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6AB862" w14:textId="77777777" w:rsidR="00A24723" w:rsidRPr="00535F39" w:rsidRDefault="00A24723">
      <w:pPr>
        <w:spacing w:after="240" w:line="276" w:lineRule="auto"/>
        <w:jc w:val="center"/>
        <w:rPr>
          <w:lang w:val="en-US"/>
        </w:rPr>
      </w:pPr>
      <w:r w:rsidRPr="00535F39">
        <w:rPr>
          <w:lang w:val="en-US"/>
        </w:rPr>
        <w:t xml:space="preserve">Case report </w:t>
      </w:r>
    </w:p>
    <w:p w14:paraId="083065CA" w14:textId="77777777" w:rsidR="00A24723" w:rsidRDefault="00A24723">
      <w:pPr>
        <w:spacing w:after="240" w:line="276" w:lineRule="auto"/>
        <w:jc w:val="center"/>
        <w:rPr>
          <w:rFonts w:ascii="Arial" w:eastAsia="Arial" w:hAnsi="Arial" w:cs="Arial"/>
          <w:b/>
          <w:bCs/>
          <w:sz w:val="36"/>
          <w:szCs w:val="36"/>
          <w:lang w:val="en-US"/>
        </w:rPr>
      </w:pPr>
    </w:p>
    <w:p w14:paraId="43BDB639" w14:textId="77777777" w:rsidR="00017E31" w:rsidRDefault="00694BD0">
      <w:pPr>
        <w:spacing w:after="240" w:line="276" w:lineRule="auto"/>
        <w:jc w:val="center"/>
        <w:rPr>
          <w:rFonts w:ascii="Arial" w:eastAsia="Arial" w:hAnsi="Arial" w:cs="Arial"/>
          <w:b/>
          <w:bCs/>
          <w:sz w:val="36"/>
          <w:szCs w:val="36"/>
          <w:lang w:val="en-US"/>
        </w:rPr>
      </w:pPr>
      <w:r w:rsidRPr="00383451">
        <w:rPr>
          <w:rFonts w:ascii="Arial" w:eastAsia="Arial" w:hAnsi="Arial" w:cs="Arial"/>
          <w:b/>
          <w:bCs/>
          <w:sz w:val="36"/>
          <w:szCs w:val="36"/>
          <w:lang w:val="en-US"/>
        </w:rPr>
        <w:t>Keloidal Morphea: A Rare Variant Presenting as a Diagnostic Challenge</w:t>
      </w:r>
    </w:p>
    <w:p w14:paraId="60047941" w14:textId="77777777" w:rsidR="00A24723" w:rsidRPr="00383451" w:rsidRDefault="00A24723">
      <w:pPr>
        <w:spacing w:after="240" w:line="276" w:lineRule="auto"/>
        <w:jc w:val="center"/>
        <w:rPr>
          <w:lang w:val="en-US"/>
        </w:rPr>
      </w:pPr>
    </w:p>
    <w:p w14:paraId="26AC9692" w14:textId="77777777" w:rsidR="00017E31" w:rsidRPr="00383451" w:rsidRDefault="00017E31">
      <w:pPr>
        <w:pBdr>
          <w:bottom w:val="single" w:sz="12" w:space="1" w:color="000000"/>
        </w:pBdr>
        <w:spacing w:before="60" w:after="120"/>
        <w:rPr>
          <w:lang w:val="en-US"/>
        </w:rPr>
      </w:pPr>
    </w:p>
    <w:p w14:paraId="46191E5A" w14:textId="77777777" w:rsidR="00017E31" w:rsidRDefault="00694BD0">
      <w:pPr>
        <w:spacing w:before="240" w:after="120"/>
      </w:pPr>
      <w:r>
        <w:rPr>
          <w:rFonts w:ascii="Arial" w:eastAsia="Arial" w:hAnsi="Arial" w:cs="Arial"/>
          <w:b/>
          <w:bC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8"/>
      </w:tblGrid>
      <w:tr w:rsidR="00017E31" w:rsidRPr="00FE6A9F" w14:paraId="7500546C" w14:textId="77777777">
        <w:tc>
          <w:tcPr>
            <w:tcW w:w="8208"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60" w:type="dxa"/>
            </w:tcMar>
          </w:tcPr>
          <w:p w14:paraId="4CAE4F31" w14:textId="7EBB539F" w:rsidR="00017E31" w:rsidRPr="00383451" w:rsidRDefault="001272DA">
            <w:pPr>
              <w:spacing w:after="120"/>
              <w:jc w:val="both"/>
              <w:rPr>
                <w:lang w:val="en-US"/>
              </w:rPr>
            </w:pPr>
            <w:r>
              <w:rPr>
                <w:rFonts w:ascii="Arial" w:eastAsia="Arial" w:hAnsi="Arial" w:cs="Arial"/>
                <w:b/>
                <w:bCs/>
                <w:lang w:val="en-US"/>
              </w:rPr>
              <w:t xml:space="preserve">Background and </w:t>
            </w:r>
            <w:r w:rsidR="00694BD0" w:rsidRPr="00383451">
              <w:rPr>
                <w:rFonts w:ascii="Arial" w:eastAsia="Arial" w:hAnsi="Arial" w:cs="Arial"/>
                <w:b/>
                <w:bCs/>
                <w:lang w:val="en-US"/>
              </w:rPr>
              <w:t xml:space="preserve">Aims: </w:t>
            </w:r>
            <w:r w:rsidR="00694BD0">
              <w:rPr>
                <w:rFonts w:ascii="Arial" w:eastAsia="Arial" w:hAnsi="Arial" w:cs="Arial"/>
                <w:lang w:val="en-US"/>
              </w:rPr>
              <w:t xml:space="preserve">Keloidal morphea, also referred to as nodular scleroderma, is an extremely rare variant of </w:t>
            </w:r>
            <w:r w:rsidR="00694BD0">
              <w:rPr>
                <w:rFonts w:ascii="Arial" w:eastAsia="Arial" w:hAnsi="Arial" w:cs="Arial"/>
                <w:highlight w:val="yellow"/>
                <w:lang w:val="en-US"/>
              </w:rPr>
              <w:t>localised</w:t>
            </w:r>
            <w:r w:rsidR="00694BD0">
              <w:rPr>
                <w:rFonts w:ascii="Arial" w:eastAsia="Arial" w:hAnsi="Arial" w:cs="Arial"/>
                <w:lang w:val="en-US"/>
              </w:rPr>
              <w:t xml:space="preserve"> scleroderma </w:t>
            </w:r>
            <w:r w:rsidR="00694BD0">
              <w:rPr>
                <w:rFonts w:ascii="Arial" w:eastAsia="Arial" w:hAnsi="Arial" w:cs="Arial"/>
                <w:highlight w:val="yellow"/>
                <w:lang w:val="en-US"/>
              </w:rPr>
              <w:t>characterised</w:t>
            </w:r>
            <w:r w:rsidR="00694BD0">
              <w:rPr>
                <w:rFonts w:ascii="Arial" w:eastAsia="Arial" w:hAnsi="Arial" w:cs="Arial"/>
                <w:lang w:val="en-US"/>
              </w:rPr>
              <w:t xml:space="preserve"> by keloid-like nodules developing within sclerotic skin lesions. Because of its rarity and clinical resemblance to keloids, it may represent a significant diagnostic challenge. We describe such a case and underline its diagnostic pitfalls.</w:t>
            </w:r>
          </w:p>
          <w:p w14:paraId="5620E53D" w14:textId="77777777" w:rsidR="00017E31" w:rsidRPr="00383451" w:rsidRDefault="00694BD0">
            <w:pPr>
              <w:spacing w:after="120"/>
              <w:jc w:val="both"/>
              <w:rPr>
                <w:lang w:val="en-US"/>
              </w:rPr>
            </w:pPr>
            <w:r w:rsidRPr="00383451">
              <w:rPr>
                <w:rFonts w:ascii="Arial" w:eastAsia="Arial" w:hAnsi="Arial" w:cs="Arial"/>
                <w:b/>
                <w:bCs/>
                <w:lang w:val="en-US"/>
              </w:rPr>
              <w:t xml:space="preserve">Presentation of Case: </w:t>
            </w:r>
            <w:r w:rsidRPr="00383451">
              <w:rPr>
                <w:rFonts w:ascii="Arial" w:eastAsia="Arial" w:hAnsi="Arial" w:cs="Arial"/>
                <w:lang w:val="en-US"/>
              </w:rPr>
              <w:t>A 40-year-old woman presented with multiple hyperpigmented sclerotic plaques involving the trunk, back, axilla, and upper limbs that had progressively evolved over 10 years. Firm keloid-like nodules, some with pseudopod-like extensions, developed within these plaques. There was no history of trauma or keloid formation and no clinical or serological evidence of systemic sclerosis. Histopathological examination revealed dermal fibrosis with thickened collagen bundles arranged in a sclerotic pattern, consistent with morphea and keloidal change.</w:t>
            </w:r>
          </w:p>
          <w:p w14:paraId="47073837" w14:textId="77777777" w:rsidR="00017E31" w:rsidRPr="00383451" w:rsidRDefault="00694BD0">
            <w:pPr>
              <w:spacing w:after="120"/>
              <w:jc w:val="both"/>
              <w:rPr>
                <w:lang w:val="en-US"/>
              </w:rPr>
            </w:pPr>
            <w:r w:rsidRPr="00383451">
              <w:rPr>
                <w:rFonts w:ascii="Arial" w:eastAsia="Arial" w:hAnsi="Arial" w:cs="Arial"/>
                <w:b/>
                <w:bCs/>
                <w:lang w:val="en-US"/>
              </w:rPr>
              <w:t xml:space="preserve">Discussion: </w:t>
            </w:r>
            <w:r w:rsidRPr="00383451">
              <w:rPr>
                <w:rFonts w:ascii="Arial" w:eastAsia="Arial" w:hAnsi="Arial" w:cs="Arial"/>
                <w:lang w:val="en-US"/>
              </w:rPr>
              <w:t>The patient was treated with systemic corticosteroids combined with methotrexate, but no significant clinical improvement was observed after six months of therapy, in keeping with the frequently reported therapeutic resistance of this condition.</w:t>
            </w:r>
          </w:p>
          <w:p w14:paraId="7B0474C3" w14:textId="77777777" w:rsidR="00017E31" w:rsidRPr="00383451" w:rsidRDefault="00694BD0">
            <w:pPr>
              <w:spacing w:after="120"/>
              <w:jc w:val="both"/>
              <w:rPr>
                <w:lang w:val="en-US"/>
              </w:rPr>
            </w:pPr>
            <w:r w:rsidRPr="00383451">
              <w:rPr>
                <w:rFonts w:ascii="Arial" w:eastAsia="Arial" w:hAnsi="Arial" w:cs="Arial"/>
                <w:b/>
                <w:bCs/>
                <w:lang w:val="en-US"/>
              </w:rPr>
              <w:t xml:space="preserve">Conclusion: </w:t>
            </w:r>
            <w:r>
              <w:rPr>
                <w:rFonts w:ascii="Arial" w:eastAsia="Arial" w:hAnsi="Arial" w:cs="Arial"/>
                <w:lang w:val="en-US"/>
              </w:rPr>
              <w:t xml:space="preserve">This case highlights the importance of </w:t>
            </w:r>
            <w:r>
              <w:rPr>
                <w:rFonts w:ascii="Arial" w:eastAsia="Arial" w:hAnsi="Arial" w:cs="Arial"/>
                <w:highlight w:val="yellow"/>
                <w:lang w:val="en-US"/>
              </w:rPr>
              <w:t>recognising</w:t>
            </w:r>
            <w:r>
              <w:rPr>
                <w:rFonts w:ascii="Arial" w:eastAsia="Arial" w:hAnsi="Arial" w:cs="Arial"/>
                <w:lang w:val="en-US"/>
              </w:rPr>
              <w:t xml:space="preserve"> keloidal morphea as a rare variant of morphea and of considering it in the differential diagnosis of keloid-like lesions, particularly in patients without known risk factors for keloid formation.</w:t>
            </w:r>
          </w:p>
        </w:tc>
      </w:tr>
    </w:tbl>
    <w:p w14:paraId="28B3AF8B" w14:textId="77777777" w:rsidR="00017E31" w:rsidRPr="00383451" w:rsidRDefault="00694BD0">
      <w:pPr>
        <w:spacing w:before="160" w:after="200"/>
        <w:jc w:val="both"/>
        <w:rPr>
          <w:lang w:val="en-US"/>
        </w:rPr>
      </w:pPr>
      <w:r w:rsidRPr="00383451">
        <w:rPr>
          <w:rFonts w:ascii="Arial" w:eastAsia="Arial" w:hAnsi="Arial" w:cs="Arial"/>
          <w:i/>
          <w:iCs/>
          <w:lang w:val="en-US"/>
        </w:rPr>
        <w:t>Keywords: dermatopathology; keloidal morphea; keloid-like lesions; localized scleroderma; nodular scleroderma</w:t>
      </w:r>
    </w:p>
    <w:p w14:paraId="1062282A" w14:textId="77777777" w:rsidR="00017E31" w:rsidRPr="00383451" w:rsidRDefault="00694BD0">
      <w:pPr>
        <w:spacing w:before="240" w:after="120"/>
        <w:rPr>
          <w:lang w:val="en-US"/>
        </w:rPr>
      </w:pPr>
      <w:r w:rsidRPr="00383451">
        <w:rPr>
          <w:rFonts w:ascii="Arial" w:eastAsia="Arial" w:hAnsi="Arial" w:cs="Arial"/>
          <w:b/>
          <w:bCs/>
          <w:sz w:val="22"/>
          <w:szCs w:val="22"/>
          <w:lang w:val="en-US"/>
        </w:rPr>
        <w:t>1. INTRODUCTION</w:t>
      </w:r>
    </w:p>
    <w:p w14:paraId="20AB7D5F" w14:textId="77777777" w:rsidR="00017E31" w:rsidRPr="00383451" w:rsidRDefault="00694BD0">
      <w:pPr>
        <w:spacing w:after="160"/>
        <w:jc w:val="both"/>
        <w:rPr>
          <w:lang w:val="en-US"/>
        </w:rPr>
      </w:pPr>
      <w:r>
        <w:rPr>
          <w:rFonts w:ascii="Arial" w:eastAsia="Arial" w:hAnsi="Arial" w:cs="Arial"/>
          <w:lang w:val="en-US"/>
        </w:rPr>
        <w:t xml:space="preserve">Morphea, or </w:t>
      </w:r>
      <w:r>
        <w:rPr>
          <w:rFonts w:ascii="Arial" w:eastAsia="Arial" w:hAnsi="Arial" w:cs="Arial"/>
          <w:highlight w:val="yellow"/>
          <w:lang w:val="en-US"/>
        </w:rPr>
        <w:t>localised</w:t>
      </w:r>
      <w:r>
        <w:rPr>
          <w:rFonts w:ascii="Arial" w:eastAsia="Arial" w:hAnsi="Arial" w:cs="Arial"/>
          <w:lang w:val="en-US"/>
        </w:rPr>
        <w:t xml:space="preserve"> scleroderma, is a chronic autoimmune condition </w:t>
      </w:r>
      <w:r>
        <w:rPr>
          <w:rFonts w:ascii="Arial" w:eastAsia="Arial" w:hAnsi="Arial" w:cs="Arial"/>
          <w:highlight w:val="yellow"/>
          <w:lang w:val="en-US"/>
        </w:rPr>
        <w:t>characterised</w:t>
      </w:r>
      <w:r>
        <w:rPr>
          <w:rFonts w:ascii="Arial" w:eastAsia="Arial" w:hAnsi="Arial" w:cs="Arial"/>
          <w:lang w:val="en-US"/>
        </w:rPr>
        <w:t xml:space="preserve"> by one or more sclerotic plaques affecting the skin and underlying tissues. It differs from systemic sclerosis, which is marked by widespread cutaneous fibrosis associated with internal organ involvement (Sanchez et al., 2023). </w:t>
      </w:r>
      <w:r>
        <w:rPr>
          <w:rFonts w:ascii="Arial" w:eastAsia="Arial" w:hAnsi="Arial" w:cs="Arial"/>
          <w:b/>
          <w:highlight w:val="yellow"/>
          <w:lang w:val="en-US"/>
        </w:rPr>
        <w:t xml:space="preserve">The distinction between localised and systemic forms of scleroderma is also emphasised in the clinical literature because their patterns of disease involvement differ (Male et al., 2021). </w:t>
      </w:r>
      <w:r>
        <w:rPr>
          <w:rFonts w:ascii="Arial" w:eastAsia="Arial" w:hAnsi="Arial" w:cs="Arial"/>
          <w:lang w:val="en-US"/>
        </w:rPr>
        <w:t xml:space="preserve">Among the various clinical forms described, the nodular or keloidal variant is one of the rarest subtypes (Kauer et al., 2009). Keloidal morphea (KM), also called nodular or keloidal scleroderma, is </w:t>
      </w:r>
      <w:r>
        <w:rPr>
          <w:rFonts w:ascii="Arial" w:eastAsia="Arial" w:hAnsi="Arial" w:cs="Arial"/>
          <w:highlight w:val="yellow"/>
          <w:lang w:val="en-US"/>
        </w:rPr>
        <w:t>characterised</w:t>
      </w:r>
      <w:r>
        <w:rPr>
          <w:rFonts w:ascii="Arial" w:eastAsia="Arial" w:hAnsi="Arial" w:cs="Arial"/>
          <w:lang w:val="en-US"/>
        </w:rPr>
        <w:t xml:space="preserve"> by firm keloid-like nodules arising within pre-existing sclerotic plaques, and its clinical resemblance to keloids may lead to diagnostic confusion. </w:t>
      </w:r>
      <w:r>
        <w:rPr>
          <w:rFonts w:ascii="Arial" w:eastAsia="Arial" w:hAnsi="Arial" w:cs="Arial"/>
          <w:b/>
          <w:highlight w:val="yellow"/>
          <w:lang w:val="en-US"/>
        </w:rPr>
        <w:t xml:space="preserve">Recent reviews further emphasise the heterogeneous </w:t>
      </w:r>
      <w:r>
        <w:rPr>
          <w:rFonts w:ascii="Arial" w:eastAsia="Arial" w:hAnsi="Arial" w:cs="Arial"/>
          <w:b/>
          <w:highlight w:val="yellow"/>
          <w:lang w:val="en-US"/>
        </w:rPr>
        <w:lastRenderedPageBreak/>
        <w:t xml:space="preserve">clinical presentation of morphea and the potential for diagnostic confusion with other dermatological disorders (Papara et al., 2023). </w:t>
      </w:r>
      <w:r>
        <w:rPr>
          <w:rFonts w:ascii="Arial" w:eastAsia="Arial" w:hAnsi="Arial" w:cs="Arial"/>
          <w:lang w:val="en-US"/>
        </w:rPr>
        <w:t xml:space="preserve">Fewer than 60 cases have been reported to date, underscoring the rarity of this condition. </w:t>
      </w:r>
      <w:r>
        <w:rPr>
          <w:rFonts w:ascii="Arial" w:eastAsia="Arial" w:hAnsi="Arial" w:cs="Arial"/>
          <w:b/>
          <w:highlight w:val="yellow"/>
          <w:lang w:val="en-US"/>
        </w:rPr>
        <w:t xml:space="preserve">Recent epidemiological analyses continue to characterise morphea as an uncommon disorder (Keum et al., 2024). Despite the available case reports, the marked rarity of keloidal morphea and its clinical resemblance to conventional keloids mean that this presentation remains sparsely documented. </w:t>
      </w:r>
      <w:r>
        <w:rPr>
          <w:rFonts w:ascii="Arial" w:eastAsia="Arial" w:hAnsi="Arial" w:cs="Arial"/>
          <w:lang w:val="en-US"/>
        </w:rPr>
        <w:t>We report a case of keloidal morphea in a 40-year-old woman with long-standing hyperpigmented sclerotic plaques and multiple keloidal nodules.</w:t>
      </w:r>
    </w:p>
    <w:p w14:paraId="6DF55C22" w14:textId="77777777" w:rsidR="00017E31" w:rsidRPr="00383451" w:rsidRDefault="00694BD0">
      <w:pPr>
        <w:spacing w:before="240" w:after="120"/>
        <w:rPr>
          <w:lang w:val="en-US"/>
        </w:rPr>
      </w:pPr>
      <w:r w:rsidRPr="00383451">
        <w:rPr>
          <w:rFonts w:ascii="Arial" w:eastAsia="Arial" w:hAnsi="Arial" w:cs="Arial"/>
          <w:b/>
          <w:bCs/>
          <w:sz w:val="22"/>
          <w:szCs w:val="22"/>
          <w:lang w:val="en-US"/>
        </w:rPr>
        <w:t>2. PRESENTATION OF CASE</w:t>
      </w:r>
    </w:p>
    <w:p w14:paraId="78DC6E26" w14:textId="77777777" w:rsidR="00017E31" w:rsidRPr="00383451" w:rsidRDefault="00694BD0">
      <w:pPr>
        <w:spacing w:after="160"/>
        <w:jc w:val="both"/>
        <w:rPr>
          <w:lang w:val="en-US"/>
        </w:rPr>
      </w:pPr>
      <w:r>
        <w:rPr>
          <w:rFonts w:ascii="Arial" w:eastAsia="Arial" w:hAnsi="Arial" w:cs="Arial"/>
          <w:lang w:val="en-US"/>
        </w:rPr>
        <w:t xml:space="preserve">A 40-year-old woman presented for evaluation of hyperpigmented sclerotic plaques involving the neck, trunk, arms, and axillae that had progressively increased in number over 10 years. Firm nodules subsequently developed within the hyperpigmented plaques. She reported no features of systemic involvement such as Raynaud phenomenon, </w:t>
      </w:r>
      <w:r>
        <w:rPr>
          <w:rFonts w:ascii="Arial" w:eastAsia="Arial" w:hAnsi="Arial" w:cs="Arial"/>
          <w:highlight w:val="yellow"/>
          <w:lang w:val="en-US"/>
        </w:rPr>
        <w:t>diarrhoea</w:t>
      </w:r>
      <w:r>
        <w:rPr>
          <w:rFonts w:ascii="Arial" w:eastAsia="Arial" w:hAnsi="Arial" w:cs="Arial"/>
          <w:lang w:val="en-US"/>
        </w:rPr>
        <w:t xml:space="preserve">, or </w:t>
      </w:r>
      <w:r>
        <w:rPr>
          <w:rFonts w:ascii="Arial" w:eastAsia="Arial" w:hAnsi="Arial" w:cs="Arial"/>
          <w:highlight w:val="yellow"/>
          <w:lang w:val="en-US"/>
        </w:rPr>
        <w:t>dyspnoea</w:t>
      </w:r>
      <w:r>
        <w:rPr>
          <w:rFonts w:ascii="Arial" w:eastAsia="Arial" w:hAnsi="Arial" w:cs="Arial"/>
          <w:lang w:val="en-US"/>
        </w:rPr>
        <w:t>, no history of keloid formation, and no trauma to the affected sites.</w:t>
      </w:r>
    </w:p>
    <w:p w14:paraId="3B7A93ED" w14:textId="77777777" w:rsidR="00017E31" w:rsidRPr="005D0DB4" w:rsidRDefault="005D0DB4" w:rsidP="005D0DB4">
      <w:pPr>
        <w:rPr>
          <w:rFonts w:asciiTheme="minorBidi" w:hAnsiTheme="minorBidi" w:cstheme="minorBidi"/>
          <w:lang w:val="en-US"/>
        </w:rPr>
      </w:pPr>
      <w:r w:rsidRPr="005D0DB4">
        <w:rPr>
          <w:rFonts w:asciiTheme="minorBidi" w:hAnsiTheme="minorBidi" w:cstheme="minorBidi"/>
          <w:color w:val="000000"/>
          <w:lang w:val="en-US"/>
        </w:rPr>
        <w:t>Physical examination revealed multiple asymptomatic hyperpigmented plaques with mild induration on palpation, scattered over the trunk, abdomen, back, axillae, upper arms, and legs</w:t>
      </w:r>
      <w:r w:rsidRPr="005D0DB4">
        <w:rPr>
          <w:rFonts w:asciiTheme="minorBidi" w:hAnsiTheme="minorBidi" w:cstheme="minorBidi"/>
          <w:lang w:val="en-US"/>
        </w:rPr>
        <w:t xml:space="preserve"> </w:t>
      </w:r>
      <w:r w:rsidR="00694BD0" w:rsidRPr="005D0DB4">
        <w:rPr>
          <w:rFonts w:asciiTheme="minorBidi" w:eastAsia="Arial" w:hAnsiTheme="minorBidi" w:cstheme="minorBidi"/>
          <w:lang w:val="en-US"/>
        </w:rPr>
        <w:t>(Figure 1).</w:t>
      </w:r>
    </w:p>
    <w:p w14:paraId="6889C921" w14:textId="77777777" w:rsidR="00017E31" w:rsidRDefault="00694BD0">
      <w:pPr>
        <w:spacing w:before="80" w:after="40"/>
        <w:jc w:val="center"/>
      </w:pPr>
      <w:r>
        <w:rPr>
          <w:noProof/>
        </w:rPr>
        <w:drawing>
          <wp:inline distT="0" distB="0" distL="0" distR="0" wp14:anchorId="4101A13E" wp14:editId="76939A77">
            <wp:extent cx="4914900" cy="38671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4914900" cy="3867150"/>
                    </a:xfrm>
                    <a:prstGeom prst="rect">
                      <a:avLst/>
                    </a:prstGeom>
                  </pic:spPr>
                </pic:pic>
              </a:graphicData>
            </a:graphic>
          </wp:inline>
        </w:drawing>
      </w:r>
    </w:p>
    <w:p w14:paraId="08F5F59F" w14:textId="77777777" w:rsidR="00017E31" w:rsidRPr="00383451" w:rsidRDefault="00694BD0">
      <w:pPr>
        <w:spacing w:after="200"/>
        <w:jc w:val="both"/>
        <w:rPr>
          <w:lang w:val="en-US"/>
        </w:rPr>
      </w:pPr>
      <w:r w:rsidRPr="00383451">
        <w:rPr>
          <w:rFonts w:ascii="Arial" w:eastAsia="Arial" w:hAnsi="Arial" w:cs="Arial"/>
          <w:b/>
          <w:bCs/>
          <w:lang w:val="en-US"/>
        </w:rPr>
        <w:t xml:space="preserve">Figure 1. </w:t>
      </w:r>
      <w:r w:rsidRPr="00383451">
        <w:rPr>
          <w:rFonts w:ascii="Arial" w:eastAsia="Arial" w:hAnsi="Arial" w:cs="Arial"/>
          <w:lang w:val="en-US"/>
        </w:rPr>
        <w:t>Clinical photograph of the back demonstrating hypertrophic, linear keloid-like lesions (arrow).</w:t>
      </w:r>
    </w:p>
    <w:p w14:paraId="5EDC8730" w14:textId="77777777" w:rsidR="00017E31" w:rsidRPr="00383451" w:rsidRDefault="00694BD0">
      <w:pPr>
        <w:spacing w:after="160"/>
        <w:jc w:val="both"/>
        <w:rPr>
          <w:lang w:val="en-US"/>
        </w:rPr>
      </w:pPr>
      <w:r w:rsidRPr="00383451">
        <w:rPr>
          <w:rFonts w:ascii="Arial" w:eastAsia="Arial" w:hAnsi="Arial" w:cs="Arial"/>
          <w:lang w:val="en-US"/>
        </w:rPr>
        <w:t>Multiple firm, non-tender nodules measuring 5 to 40 mm were observed on the back, abdomen, arms, and legs; they were not fixed to deeper tissues, and pseudopod-like extensions were noted on both upper arms (Figure 2).</w:t>
      </w:r>
    </w:p>
    <w:p w14:paraId="4D3B1FA4" w14:textId="77777777" w:rsidR="00017E31" w:rsidRDefault="00694BD0">
      <w:pPr>
        <w:spacing w:before="80" w:after="40"/>
        <w:jc w:val="center"/>
      </w:pPr>
      <w:r>
        <w:rPr>
          <w:noProof/>
        </w:rPr>
        <w:lastRenderedPageBreak/>
        <w:drawing>
          <wp:inline distT="0" distB="0" distL="0" distR="0" wp14:anchorId="1799CA5C" wp14:editId="01F4DA1B">
            <wp:extent cx="3848100" cy="38862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3848100" cy="3886200"/>
                    </a:xfrm>
                    <a:prstGeom prst="rect">
                      <a:avLst/>
                    </a:prstGeom>
                  </pic:spPr>
                </pic:pic>
              </a:graphicData>
            </a:graphic>
          </wp:inline>
        </w:drawing>
      </w:r>
    </w:p>
    <w:p w14:paraId="7039C34C" w14:textId="77777777" w:rsidR="00017E31" w:rsidRPr="00383451" w:rsidRDefault="00694BD0">
      <w:pPr>
        <w:spacing w:after="200"/>
        <w:jc w:val="both"/>
        <w:rPr>
          <w:lang w:val="en-US"/>
        </w:rPr>
      </w:pPr>
      <w:r w:rsidRPr="00383451">
        <w:rPr>
          <w:rFonts w:ascii="Arial" w:eastAsia="Arial" w:hAnsi="Arial" w:cs="Arial"/>
          <w:b/>
          <w:bCs/>
          <w:lang w:val="en-US"/>
        </w:rPr>
        <w:t xml:space="preserve">Figure 2. </w:t>
      </w:r>
      <w:r w:rsidRPr="00383451">
        <w:rPr>
          <w:rFonts w:ascii="Arial" w:eastAsia="Arial" w:hAnsi="Arial" w:cs="Arial"/>
          <w:lang w:val="en-US"/>
        </w:rPr>
        <w:t>Clinical photograph of the left axilla showing firm keloid-like nodules with pseudopod-like extensions arising on hyperpigmented sclerotic plaques (arrow).</w:t>
      </w:r>
    </w:p>
    <w:p w14:paraId="730629F3" w14:textId="77777777" w:rsidR="00AB5355" w:rsidRPr="00AB5355" w:rsidRDefault="00694BD0" w:rsidP="00AB5355">
      <w:pPr>
        <w:rPr>
          <w:rFonts w:asciiTheme="minorBidi" w:hAnsiTheme="minorBidi" w:cstheme="minorBidi"/>
          <w:sz w:val="24"/>
          <w:szCs w:val="24"/>
          <w:lang w:val="en-US"/>
        </w:rPr>
      </w:pPr>
      <w:r w:rsidRPr="00383451">
        <w:rPr>
          <w:rFonts w:ascii="Arial" w:eastAsia="Arial" w:hAnsi="Arial" w:cs="Arial"/>
          <w:lang w:val="en-US"/>
        </w:rPr>
        <w:t xml:space="preserve">Periungual dermoscopy was unremarkable, and there was no calcinosis, sclerodactyly, or telangiectasia. </w:t>
      </w:r>
      <w:r>
        <w:rPr>
          <w:rFonts w:asciiTheme="minorBidi" w:hAnsiTheme="minorBidi" w:cstheme="minorBidi"/>
          <w:color w:val="000000"/>
          <w:lang w:val="en-US"/>
        </w:rPr>
        <w:t xml:space="preserve">A thin, normally healed scar was present on the lower abdomen following a </w:t>
      </w:r>
      <w:r>
        <w:rPr>
          <w:rFonts w:asciiTheme="minorBidi" w:hAnsiTheme="minorBidi" w:cstheme="minorBidi"/>
          <w:color w:val="000000"/>
          <w:highlight w:val="yellow"/>
          <w:lang w:val="en-US"/>
        </w:rPr>
        <w:t>caesarean</w:t>
      </w:r>
      <w:r>
        <w:rPr>
          <w:rFonts w:asciiTheme="minorBidi" w:hAnsiTheme="minorBidi" w:cstheme="minorBidi"/>
          <w:color w:val="000000"/>
          <w:lang w:val="en-US"/>
        </w:rPr>
        <w:t xml:space="preserve"> section performed two years before the onset of the cutaneous lesions, with no keloidal changes observed at this site.</w:t>
      </w:r>
    </w:p>
    <w:p w14:paraId="4E844C7B" w14:textId="77777777" w:rsidR="00AB5355" w:rsidRDefault="00AB5355">
      <w:pPr>
        <w:spacing w:after="160"/>
        <w:jc w:val="both"/>
        <w:rPr>
          <w:rFonts w:ascii="Arial" w:eastAsia="Arial" w:hAnsi="Arial" w:cs="Arial"/>
          <w:lang w:val="en-US"/>
        </w:rPr>
      </w:pPr>
    </w:p>
    <w:p w14:paraId="4476F89A" w14:textId="77777777" w:rsidR="00017E31" w:rsidRPr="00383451" w:rsidRDefault="00694BD0">
      <w:pPr>
        <w:spacing w:after="160"/>
        <w:jc w:val="both"/>
        <w:rPr>
          <w:lang w:val="en-US"/>
        </w:rPr>
      </w:pPr>
      <w:r w:rsidRPr="00383451">
        <w:rPr>
          <w:rFonts w:ascii="Arial" w:eastAsia="Arial" w:hAnsi="Arial" w:cs="Arial"/>
          <w:lang w:val="en-US"/>
        </w:rPr>
        <w:t>Routine laboratory tests were within normal limits. Immunological work-up, including antinuclear, anticentromere, anti-dsDNA, and anti-Scl70 antibodies, was negative. Two biopsy specimens were obtained. Histopathological examination of a hyperpigmented plaque showed a fibrotic dermis with thickened, densely arranged collagen bundles consistent with dermal sclerosis (Figure 3).</w:t>
      </w:r>
    </w:p>
    <w:p w14:paraId="232C17B2" w14:textId="77777777" w:rsidR="00017E31" w:rsidRDefault="00694BD0">
      <w:pPr>
        <w:spacing w:before="80" w:after="40"/>
        <w:jc w:val="center"/>
      </w:pPr>
      <w:r>
        <w:rPr>
          <w:noProof/>
        </w:rPr>
        <w:lastRenderedPageBreak/>
        <w:drawing>
          <wp:inline distT="0" distB="0" distL="0" distR="0" wp14:anchorId="295FF781" wp14:editId="61A6E475">
            <wp:extent cx="4381500" cy="32766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4381500" cy="3276600"/>
                    </a:xfrm>
                    <a:prstGeom prst="rect">
                      <a:avLst/>
                    </a:prstGeom>
                  </pic:spPr>
                </pic:pic>
              </a:graphicData>
            </a:graphic>
          </wp:inline>
        </w:drawing>
      </w:r>
    </w:p>
    <w:p w14:paraId="6D95C2C8" w14:textId="77777777" w:rsidR="00017E31" w:rsidRPr="00383451" w:rsidRDefault="00694BD0">
      <w:pPr>
        <w:spacing w:after="200"/>
        <w:jc w:val="both"/>
        <w:rPr>
          <w:lang w:val="en-US"/>
        </w:rPr>
      </w:pPr>
      <w:r w:rsidRPr="00383451">
        <w:rPr>
          <w:rFonts w:ascii="Arial" w:eastAsia="Arial" w:hAnsi="Arial" w:cs="Arial"/>
          <w:b/>
          <w:bCs/>
          <w:lang w:val="en-US"/>
        </w:rPr>
        <w:t xml:space="preserve">Figure 3. </w:t>
      </w:r>
      <w:r w:rsidRPr="00383451">
        <w:rPr>
          <w:rFonts w:ascii="Arial" w:eastAsia="Arial" w:hAnsi="Arial" w:cs="Arial"/>
          <w:lang w:val="en-US"/>
        </w:rPr>
        <w:t>Histopathological examination showing dense, thickened collagen bundles within the dermis, consistent with dermal sclerosis in morphea (hematoxylin and eosin, ×100).</w:t>
      </w:r>
    </w:p>
    <w:p w14:paraId="255E5890" w14:textId="77777777" w:rsidR="00017E31" w:rsidRPr="00383451" w:rsidRDefault="00694BD0">
      <w:pPr>
        <w:spacing w:after="160"/>
        <w:jc w:val="both"/>
        <w:rPr>
          <w:lang w:val="en-US"/>
        </w:rPr>
      </w:pPr>
      <w:r w:rsidRPr="00383451">
        <w:rPr>
          <w:rFonts w:ascii="Arial" w:eastAsia="Arial" w:hAnsi="Arial" w:cs="Arial"/>
          <w:lang w:val="en-US"/>
        </w:rPr>
        <w:t>Biopsy of a nodular lesion revealed an acanthotic, orthokeratotic epidermis with thickened dermal collagen bundles. The combined clinical and histopathological findings were consistent with keloidal morphea.</w:t>
      </w:r>
    </w:p>
    <w:p w14:paraId="2F7840FD" w14:textId="77777777" w:rsidR="00017E31" w:rsidRPr="00383451" w:rsidRDefault="00694BD0">
      <w:pPr>
        <w:spacing w:after="160"/>
        <w:jc w:val="both"/>
        <w:rPr>
          <w:lang w:val="en-US"/>
        </w:rPr>
      </w:pPr>
      <w:r>
        <w:rPr>
          <w:rFonts w:ascii="Arial" w:eastAsia="Arial" w:hAnsi="Arial" w:cs="Arial"/>
          <w:highlight w:val="yellow"/>
          <w:lang w:val="en-US"/>
        </w:rPr>
        <w:t>The patient was treated with oral prednisone (0.5 mg/kg/day) for one month, which was then gradually tapered over four months, in combination with methotrexate at 15 mg/week.</w:t>
      </w:r>
      <w:r>
        <w:rPr>
          <w:rFonts w:ascii="Arial" w:eastAsia="Arial" w:hAnsi="Arial" w:cs="Arial"/>
          <w:lang w:val="en-US"/>
        </w:rPr>
        <w:t xml:space="preserve"> After six months of follow-up, the lesions remained clinically stable, with no significant progression or improvement.</w:t>
      </w:r>
    </w:p>
    <w:p w14:paraId="3361F7FD" w14:textId="77777777" w:rsidR="00017E31" w:rsidRPr="00383451" w:rsidRDefault="00694BD0">
      <w:pPr>
        <w:spacing w:before="240" w:after="120"/>
        <w:rPr>
          <w:lang w:val="en-US"/>
        </w:rPr>
      </w:pPr>
      <w:r w:rsidRPr="00383451">
        <w:rPr>
          <w:rFonts w:ascii="Arial" w:eastAsia="Arial" w:hAnsi="Arial" w:cs="Arial"/>
          <w:b/>
          <w:bCs/>
          <w:sz w:val="22"/>
          <w:szCs w:val="22"/>
          <w:lang w:val="en-US"/>
        </w:rPr>
        <w:t>3. DISCUSSION</w:t>
      </w:r>
    </w:p>
    <w:p w14:paraId="507362BA" w14:textId="77777777" w:rsidR="00017E31" w:rsidRPr="00383451" w:rsidRDefault="00694BD0">
      <w:pPr>
        <w:spacing w:after="160"/>
        <w:jc w:val="both"/>
        <w:rPr>
          <w:lang w:val="en-US"/>
        </w:rPr>
      </w:pPr>
      <w:r w:rsidRPr="00383451">
        <w:rPr>
          <w:rFonts w:ascii="Arial" w:eastAsia="Arial" w:hAnsi="Arial" w:cs="Arial"/>
          <w:lang w:val="en-US"/>
        </w:rPr>
        <w:t>Keloidal morphea and nodular scleroderma have been used interchangeably to describe nodular lesions arising in the setting of cutaneous sclerosis. The first description is attributed to Thomas Addison in 1854, who termed it “untrue keloid” (Dadkhahfar et al., 2020). The pathogenesis remains unclear. Some authors propose an inflammatory dermal process leading to sclerosis and secondary keloid-like lesions, whereas others suggest that repeated microtrauma and local inflammation trigger excessive fibrosis in predisposed individuals (Syder et al., 2025).</w:t>
      </w:r>
    </w:p>
    <w:p w14:paraId="759F4DC9" w14:textId="77777777" w:rsidR="00017E31" w:rsidRPr="00383451" w:rsidRDefault="00694BD0">
      <w:pPr>
        <w:spacing w:after="160"/>
        <w:jc w:val="both"/>
        <w:rPr>
          <w:lang w:val="en-US"/>
        </w:rPr>
      </w:pPr>
      <w:r w:rsidRPr="00383451">
        <w:rPr>
          <w:rFonts w:ascii="Arial" w:eastAsia="Arial" w:hAnsi="Arial" w:cs="Arial"/>
          <w:lang w:val="en-US"/>
        </w:rPr>
        <w:t>Clinically, the entity presents as one or several elevated lesions developing in association with classical morphea, either within pre-existing plaques or on clinically unaffected skin. Similar nodular lesions may occur in systemic sclerosis, where the condition is termed nodular scleroderma (Srisuttiyakorn &amp; Aunhachoke, 2016; Krell et al., 1995; Wriston et al., 2008). The main clinical differential diagnoses include keloids, hypertrophic scars, sarcoidosis, sclerotic dermatofibroma, mycosis fungoides, and lichen sclerosus.</w:t>
      </w:r>
    </w:p>
    <w:p w14:paraId="7B781E83" w14:textId="77777777" w:rsidR="00017E31" w:rsidRPr="00383451" w:rsidRDefault="00694BD0">
      <w:pPr>
        <w:spacing w:after="160"/>
        <w:jc w:val="both"/>
        <w:rPr>
          <w:lang w:val="en-US"/>
        </w:rPr>
      </w:pPr>
      <w:r>
        <w:rPr>
          <w:rFonts w:ascii="Arial" w:eastAsia="Arial" w:hAnsi="Arial" w:cs="Arial"/>
          <w:lang w:val="en-US"/>
        </w:rPr>
        <w:t xml:space="preserve">Histopathological features range from keloid-like </w:t>
      </w:r>
      <w:r>
        <w:rPr>
          <w:rFonts w:ascii="Arial" w:eastAsia="Arial" w:hAnsi="Arial" w:cs="Arial"/>
          <w:highlight w:val="yellow"/>
          <w:lang w:val="en-US"/>
        </w:rPr>
        <w:t>hyalinised</w:t>
      </w:r>
      <w:r>
        <w:rPr>
          <w:rFonts w:ascii="Arial" w:eastAsia="Arial" w:hAnsi="Arial" w:cs="Arial"/>
          <w:lang w:val="en-US"/>
        </w:rPr>
        <w:t xml:space="preserve"> collagen bundles to changes typical of scleroderma with horizontally arranged sclerotic dermal bands, or a combination of both, as in our case. The main histological differential diagnoses include keloid or hypertrophic </w:t>
      </w:r>
      <w:r>
        <w:rPr>
          <w:rFonts w:ascii="Arial" w:eastAsia="Arial" w:hAnsi="Arial" w:cs="Arial"/>
          <w:lang w:val="en-US"/>
        </w:rPr>
        <w:lastRenderedPageBreak/>
        <w:t xml:space="preserve">scar, storiform collagenoma, sclerotic dermatofibroma, sclerosing perineuroma, and keloidal </w:t>
      </w:r>
      <w:r w:rsidRPr="00383451">
        <w:rPr>
          <w:rFonts w:ascii="Arial" w:eastAsia="Arial" w:hAnsi="Arial" w:cs="Arial"/>
          <w:lang w:val="en-US"/>
        </w:rPr>
        <w:t>fibroxanthoma (</w:t>
      </w:r>
      <w:r w:rsidR="001A0815" w:rsidRPr="001A0815">
        <w:rPr>
          <w:rFonts w:ascii="Arial" w:eastAsia="Arial" w:hAnsi="Arial" w:cs="Arial"/>
          <w:lang w:val="en-US"/>
        </w:rPr>
        <w:t>Sanchez et al</w:t>
      </w:r>
      <w:r w:rsidR="001A0815">
        <w:rPr>
          <w:rFonts w:ascii="Arial" w:eastAsia="Arial" w:hAnsi="Arial" w:cs="Arial"/>
          <w:lang w:val="en-US"/>
        </w:rPr>
        <w:t>.</w:t>
      </w:r>
      <w:r w:rsidRPr="00383451">
        <w:rPr>
          <w:rFonts w:ascii="Arial" w:eastAsia="Arial" w:hAnsi="Arial" w:cs="Arial"/>
          <w:lang w:val="en-US"/>
        </w:rPr>
        <w:t>, 2023; Castelli et al., 2021). In our patient, the combined features of morphea and keloidal change supported the diagnosis.</w:t>
      </w:r>
    </w:p>
    <w:p w14:paraId="4A378997" w14:textId="77777777" w:rsidR="00017E31" w:rsidRPr="00383451" w:rsidRDefault="00694BD0">
      <w:pPr>
        <w:spacing w:after="160"/>
        <w:jc w:val="both"/>
        <w:rPr>
          <w:lang w:val="en-US"/>
        </w:rPr>
      </w:pPr>
      <w:r>
        <w:rPr>
          <w:rFonts w:ascii="Arial" w:eastAsia="Arial" w:hAnsi="Arial" w:cs="Arial"/>
          <w:lang w:val="en-US"/>
        </w:rPr>
        <w:t xml:space="preserve">There is no </w:t>
      </w:r>
      <w:r>
        <w:rPr>
          <w:rFonts w:ascii="Arial" w:eastAsia="Arial" w:hAnsi="Arial" w:cs="Arial"/>
          <w:highlight w:val="yellow"/>
          <w:lang w:val="en-US"/>
        </w:rPr>
        <w:t>standardised</w:t>
      </w:r>
      <w:r>
        <w:rPr>
          <w:rFonts w:ascii="Arial" w:eastAsia="Arial" w:hAnsi="Arial" w:cs="Arial"/>
          <w:lang w:val="en-US"/>
        </w:rPr>
        <w:t xml:space="preserve"> treatment for keloidal or nodular scleroderma; therapeutic strategies derive mainly from isolated case reports and small series, yielding inconclusive results. Reported options include topical or intralesional corticosteroids, phototherapy (UVA1 or PUVA), and systemic agents such as corticosteroids, methotrexate, azathioprine, and cyclosporine, with variable outcomes. Despite systemic corticosteroids and methotrexate, our patient showed no significant improvement after six months, supporting previous observations that this condition may be resistant to therapy (Trufin et al., 2024).</w:t>
      </w:r>
    </w:p>
    <w:p w14:paraId="4FA64563" w14:textId="77777777" w:rsidR="00017E31" w:rsidRPr="00383451" w:rsidRDefault="00694BD0">
      <w:pPr>
        <w:spacing w:before="240" w:after="120"/>
        <w:rPr>
          <w:lang w:val="en-US"/>
        </w:rPr>
      </w:pPr>
      <w:r w:rsidRPr="00383451">
        <w:rPr>
          <w:rFonts w:ascii="Arial" w:eastAsia="Arial" w:hAnsi="Arial" w:cs="Arial"/>
          <w:b/>
          <w:bCs/>
          <w:sz w:val="22"/>
          <w:szCs w:val="22"/>
          <w:lang w:val="en-US"/>
        </w:rPr>
        <w:t>4. CONCLUSION</w:t>
      </w:r>
    </w:p>
    <w:p w14:paraId="38C0D782" w14:textId="77777777" w:rsidR="00017E31" w:rsidRDefault="00694BD0">
      <w:pPr>
        <w:spacing w:after="160"/>
        <w:jc w:val="both"/>
        <w:rPr>
          <w:rFonts w:ascii="Arial" w:eastAsia="Arial" w:hAnsi="Arial" w:cs="Arial"/>
          <w:lang w:val="en-US"/>
        </w:rPr>
      </w:pPr>
      <w:r>
        <w:rPr>
          <w:rFonts w:ascii="Arial" w:eastAsia="Arial" w:hAnsi="Arial" w:cs="Arial"/>
          <w:lang w:val="en-US"/>
        </w:rPr>
        <w:t xml:space="preserve">Keloidal morphea is a rare variant of morphea that may pose a diagnostic challenge because of its clinical resemblance to keloids and its unclear pathogenesis. It should be considered when firm keloid-like nodules develop in patients without known risk factors for keloid formation or in association with </w:t>
      </w:r>
      <w:r>
        <w:rPr>
          <w:rFonts w:ascii="Arial" w:eastAsia="Arial" w:hAnsi="Arial" w:cs="Arial"/>
          <w:highlight w:val="yellow"/>
          <w:lang w:val="en-US"/>
        </w:rPr>
        <w:t>localised</w:t>
      </w:r>
      <w:r>
        <w:rPr>
          <w:rFonts w:ascii="Arial" w:eastAsia="Arial" w:hAnsi="Arial" w:cs="Arial"/>
          <w:lang w:val="en-US"/>
        </w:rPr>
        <w:t xml:space="preserve"> or systemic scleroderma. Given the rarity of this entity, evidence regarding optimal management remains limited.</w:t>
      </w:r>
    </w:p>
    <w:p w14:paraId="212239D1" w14:textId="6AFD97FE" w:rsidR="001272DA" w:rsidRPr="001272DA" w:rsidRDefault="001272DA" w:rsidP="001272DA">
      <w:pPr>
        <w:spacing w:after="160"/>
        <w:jc w:val="both"/>
        <w:rPr>
          <w:b/>
          <w:bCs/>
          <w:lang w:val="en-US"/>
        </w:rPr>
      </w:pPr>
      <w:r w:rsidRPr="001272DA">
        <w:rPr>
          <w:b/>
          <w:bCs/>
          <w:lang w:val="en-US"/>
        </w:rPr>
        <w:t>Limitation</w:t>
      </w:r>
      <w:r>
        <w:rPr>
          <w:b/>
          <w:bCs/>
          <w:lang w:val="en-US"/>
        </w:rPr>
        <w:t>:</w:t>
      </w:r>
    </w:p>
    <w:p w14:paraId="294E06C2" w14:textId="51CBD317" w:rsidR="001272DA" w:rsidRPr="00383451" w:rsidRDefault="001272DA" w:rsidP="001272DA">
      <w:pPr>
        <w:spacing w:after="160"/>
        <w:jc w:val="both"/>
        <w:rPr>
          <w:lang w:val="en-US"/>
        </w:rPr>
      </w:pPr>
      <w:r w:rsidRPr="001272DA">
        <w:rPr>
          <w:lang w:val="en-US"/>
        </w:rPr>
        <w:t>This report describes a single patient with keloidal morphea; therefore, its clinical course and treatment response cannot be generalised. Follow-up was limited to six months after initiation of systemic corticosteroids and methotrexate, restricting assessment of longer-term therapeutic response or disease evolution. The rarity of the condition and the limited evidence available from case-based literature also constrain comparison of treatment outcomes and prevent firm conclusions regarding the optimal management strategy.</w:t>
      </w:r>
    </w:p>
    <w:p w14:paraId="59186952" w14:textId="77777777" w:rsidR="00017E31" w:rsidRPr="00383451" w:rsidRDefault="00694BD0">
      <w:pPr>
        <w:spacing w:before="240" w:after="120"/>
        <w:rPr>
          <w:lang w:val="en-US"/>
        </w:rPr>
      </w:pPr>
      <w:r w:rsidRPr="00383451">
        <w:rPr>
          <w:rFonts w:ascii="Arial" w:eastAsia="Arial" w:hAnsi="Arial" w:cs="Arial"/>
          <w:b/>
          <w:bCs/>
          <w:sz w:val="22"/>
          <w:szCs w:val="22"/>
          <w:lang w:val="en-US"/>
        </w:rPr>
        <w:t>COMPETING INTERESTS</w:t>
      </w:r>
    </w:p>
    <w:p w14:paraId="188D597D" w14:textId="77777777" w:rsidR="00017E31" w:rsidRPr="00383451" w:rsidRDefault="00694BD0">
      <w:pPr>
        <w:spacing w:after="160"/>
        <w:jc w:val="both"/>
        <w:rPr>
          <w:lang w:val="en-US"/>
        </w:rPr>
      </w:pPr>
      <w:r w:rsidRPr="00383451">
        <w:rPr>
          <w:rFonts w:ascii="Arial" w:eastAsia="Arial" w:hAnsi="Arial" w:cs="Arial"/>
          <w:lang w:val="en-US"/>
        </w:rPr>
        <w:t>The authors have declared that no competing interests exist.</w:t>
      </w:r>
    </w:p>
    <w:p w14:paraId="01AEDD11" w14:textId="77777777" w:rsidR="00017E31" w:rsidRPr="00383451" w:rsidRDefault="00694BD0">
      <w:pPr>
        <w:spacing w:before="240" w:after="120"/>
        <w:rPr>
          <w:lang w:val="en-US"/>
        </w:rPr>
      </w:pPr>
      <w:r w:rsidRPr="00383451">
        <w:rPr>
          <w:rFonts w:ascii="Arial" w:eastAsia="Arial" w:hAnsi="Arial" w:cs="Arial"/>
          <w:b/>
          <w:bCs/>
          <w:sz w:val="22"/>
          <w:szCs w:val="22"/>
          <w:lang w:val="en-US"/>
        </w:rPr>
        <w:t>CONSENT</w:t>
      </w:r>
    </w:p>
    <w:p w14:paraId="2C6381AF" w14:textId="77777777" w:rsidR="00017E31" w:rsidRPr="00383451" w:rsidRDefault="00694BD0">
      <w:pPr>
        <w:spacing w:after="160"/>
        <w:jc w:val="both"/>
        <w:rPr>
          <w:lang w:val="en-US"/>
        </w:rPr>
      </w:pPr>
      <w:r w:rsidRPr="00383451">
        <w:rPr>
          <w:rFonts w:ascii="Arial" w:eastAsia="Arial" w:hAnsi="Arial" w:cs="Arial"/>
          <w:lang w:val="en-US"/>
        </w:rPr>
        <w:t>Written informed consent was obtained from the patient for publication of this case report and the accompanying clinical and histopathological images. A copy of the written consent is available for review by the Editorial Office of this journal.</w:t>
      </w:r>
    </w:p>
    <w:p w14:paraId="0072EC60" w14:textId="77777777" w:rsidR="00017E31" w:rsidRPr="00383451" w:rsidRDefault="00694BD0">
      <w:pPr>
        <w:spacing w:before="240" w:after="120"/>
        <w:rPr>
          <w:lang w:val="en-US"/>
        </w:rPr>
      </w:pPr>
      <w:r w:rsidRPr="00383451">
        <w:rPr>
          <w:rFonts w:ascii="Arial" w:eastAsia="Arial" w:hAnsi="Arial" w:cs="Arial"/>
          <w:b/>
          <w:bCs/>
          <w:sz w:val="22"/>
          <w:szCs w:val="22"/>
          <w:lang w:val="en-US"/>
        </w:rPr>
        <w:t>ETHICAL APPROVAL</w:t>
      </w:r>
    </w:p>
    <w:p w14:paraId="53E2C22A" w14:textId="77777777" w:rsidR="00017E31" w:rsidRDefault="00694BD0" w:rsidP="00535F39">
      <w:pPr>
        <w:spacing w:after="160"/>
        <w:jc w:val="both"/>
        <w:rPr>
          <w:rFonts w:ascii="Arial" w:eastAsia="Arial" w:hAnsi="Arial" w:cs="Arial"/>
          <w:i/>
          <w:iCs/>
          <w:lang w:val="en-US"/>
        </w:rPr>
      </w:pPr>
      <w:r w:rsidRPr="00383451">
        <w:rPr>
          <w:rFonts w:ascii="Arial" w:eastAsia="Arial" w:hAnsi="Arial" w:cs="Arial"/>
          <w:lang w:val="en-US"/>
        </w:rPr>
        <w:t>All authors hereby declare that all experiments have been examined and approved by the appropriate ethics committee and have therefore been performed in accordance with the ethical standards laid down in the 1964 Declaration of Helsinki.</w:t>
      </w:r>
    </w:p>
    <w:p w14:paraId="3D3FB44E" w14:textId="77777777" w:rsidR="00A46993" w:rsidRDefault="00A46993">
      <w:pPr>
        <w:spacing w:after="160"/>
        <w:jc w:val="both"/>
        <w:rPr>
          <w:lang w:val="en-US"/>
        </w:rPr>
      </w:pPr>
    </w:p>
    <w:p w14:paraId="4FF4DA9E" w14:textId="77777777" w:rsidR="00A46993" w:rsidRPr="00FE6A9F" w:rsidRDefault="00A46993" w:rsidP="00A46993">
      <w:pPr>
        <w:rPr>
          <w:rFonts w:ascii="Arial" w:hAnsi="Arial" w:cs="Arial"/>
          <w:b/>
          <w:lang w:val="en-US"/>
        </w:rPr>
      </w:pPr>
      <w:bookmarkStart w:id="0" w:name="_Hlk237856463"/>
      <w:r w:rsidRPr="00FE6A9F">
        <w:rPr>
          <w:rFonts w:ascii="Arial" w:hAnsi="Arial" w:cs="Arial"/>
          <w:b/>
          <w:lang w:val="en-US"/>
        </w:rPr>
        <w:t>Declaration of AI Use</w:t>
      </w:r>
    </w:p>
    <w:p w14:paraId="7F73C7C5" w14:textId="77777777" w:rsidR="00A46993" w:rsidRPr="00FE6A9F" w:rsidRDefault="00A46993" w:rsidP="00A46993">
      <w:pPr>
        <w:rPr>
          <w:rFonts w:ascii="Arial" w:hAnsi="Arial" w:cs="Arial"/>
          <w:lang w:val="en-US"/>
        </w:rPr>
      </w:pPr>
    </w:p>
    <w:p w14:paraId="17C3D1BF" w14:textId="77777777" w:rsidR="00A46993" w:rsidRPr="00FE6A9F" w:rsidRDefault="00A46993" w:rsidP="00A46993">
      <w:pPr>
        <w:rPr>
          <w:rFonts w:ascii="Arial" w:hAnsi="Arial" w:cs="Arial"/>
          <w:lang w:val="en-US"/>
        </w:rPr>
      </w:pPr>
      <w:bookmarkStart w:id="1" w:name="_Hlk237862032"/>
      <w:r w:rsidRPr="00FE6A9F">
        <w:rPr>
          <w:rFonts w:ascii="Arial" w:hAnsi="Arial" w:cs="Arial"/>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bookmarkEnd w:id="0"/>
    <w:bookmarkEnd w:id="1"/>
    <w:p w14:paraId="4E52458E" w14:textId="77777777" w:rsidR="00A46993" w:rsidRPr="00383451" w:rsidRDefault="00A46993">
      <w:pPr>
        <w:spacing w:after="160"/>
        <w:jc w:val="both"/>
        <w:rPr>
          <w:lang w:val="en-US"/>
        </w:rPr>
      </w:pPr>
    </w:p>
    <w:p w14:paraId="45434921" w14:textId="77777777" w:rsidR="00017E31" w:rsidRPr="00383451" w:rsidRDefault="00694BD0">
      <w:pPr>
        <w:spacing w:before="240" w:after="120"/>
        <w:rPr>
          <w:lang w:val="en-US"/>
        </w:rPr>
      </w:pPr>
      <w:r w:rsidRPr="00383451">
        <w:rPr>
          <w:rFonts w:ascii="Arial" w:eastAsia="Arial" w:hAnsi="Arial" w:cs="Arial"/>
          <w:b/>
          <w:bCs/>
          <w:sz w:val="22"/>
          <w:szCs w:val="22"/>
          <w:lang w:val="en-US"/>
        </w:rPr>
        <w:lastRenderedPageBreak/>
        <w:t>REFERENCES</w:t>
      </w:r>
    </w:p>
    <w:p w14:paraId="41594A16"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t xml:space="preserve">Sanchez, N. G., Rebollo Domínguez, N., Martínez Luna, E., &amp; Villaseñor Ovies, P. (2023). Nodular (keloidal) scleroderma. </w:t>
      </w:r>
      <w:r w:rsidRPr="001A0815">
        <w:rPr>
          <w:i/>
          <w:iCs/>
          <w:sz w:val="24"/>
          <w:szCs w:val="24"/>
          <w:lang w:val="en-US" w:eastAsia="en-US"/>
        </w:rPr>
        <w:t>Reumatología Clínica (English Edition), 19</w:t>
      </w:r>
      <w:r w:rsidRPr="001A0815">
        <w:rPr>
          <w:sz w:val="24"/>
          <w:szCs w:val="24"/>
          <w:lang w:val="en-US" w:eastAsia="en-US"/>
        </w:rPr>
        <w:t xml:space="preserve">(8), 463–464. </w:t>
      </w:r>
      <w:hyperlink r:id="rId10" w:tgtFrame="_new" w:history="1">
        <w:r w:rsidRPr="001A0815">
          <w:rPr>
            <w:color w:val="0000FF"/>
            <w:sz w:val="24"/>
            <w:szCs w:val="24"/>
            <w:u w:val="single"/>
            <w:lang w:val="en-US" w:eastAsia="en-US"/>
          </w:rPr>
          <w:t>https://doi.org/10.1016/j.reumae.2023.02.009</w:t>
        </w:r>
      </w:hyperlink>
      <w:r w:rsidRPr="001A0815">
        <w:rPr>
          <w:sz w:val="24"/>
          <w:szCs w:val="24"/>
          <w:lang w:val="en-US" w:eastAsia="en-US"/>
        </w:rPr>
        <w:t xml:space="preserve"> </w:t>
      </w:r>
    </w:p>
    <w:p w14:paraId="197BF254" w14:textId="77777777" w:rsidR="002E5A87" w:rsidRDefault="00000000">
      <w:pPr>
        <w:spacing w:before="100" w:beforeAutospacing="1" w:after="100" w:afterAutospacing="1"/>
        <w:ind w:left="720" w:hanging="810"/>
        <w:jc w:val="both"/>
        <w:rPr>
          <w:sz w:val="24"/>
          <w:szCs w:val="24"/>
          <w:lang w:val="en-US" w:eastAsia="en-US"/>
        </w:rPr>
      </w:pPr>
      <w:r>
        <w:rPr>
          <w:highlight w:val="yellow"/>
        </w:rPr>
        <w:t xml:space="preserve">Male, C. K. V. L. S. N. A., Varikallu, H. C., Swapna, T. S., Dileep, N., Prasad, S. H. D., &amp; Nalla, S. (2021). A case report on scleroderma: A diagnostic dilema. </w:t>
      </w:r>
      <w:r>
        <w:rPr>
          <w:i/>
          <w:highlight w:val="yellow"/>
        </w:rPr>
        <w:t>Journal of Pharmaceutical Research International, 33</w:t>
      </w:r>
      <w:r>
        <w:rPr>
          <w:highlight w:val="yellow"/>
        </w:rPr>
        <w:t>(40A), 251–255. https://doi.org/10.9734/JPRI/2021/v33i40A32241</w:t>
      </w:r>
    </w:p>
    <w:p w14:paraId="430C4D2B"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t xml:space="preserve">Kauer, F., Simon, J. C., &amp; Sticherling, M. (2009). Nodular morphea. </w:t>
      </w:r>
      <w:r w:rsidRPr="001A0815">
        <w:rPr>
          <w:i/>
          <w:iCs/>
          <w:sz w:val="24"/>
          <w:szCs w:val="24"/>
          <w:lang w:val="en-US" w:eastAsia="en-US"/>
        </w:rPr>
        <w:t>Dermatology, 218</w:t>
      </w:r>
      <w:r w:rsidRPr="001A0815">
        <w:rPr>
          <w:sz w:val="24"/>
          <w:szCs w:val="24"/>
          <w:lang w:val="en-US" w:eastAsia="en-US"/>
        </w:rPr>
        <w:t xml:space="preserve">(1), 63–66. </w:t>
      </w:r>
      <w:hyperlink r:id="rId11" w:tgtFrame="_new" w:history="1">
        <w:r w:rsidRPr="001A0815">
          <w:rPr>
            <w:color w:val="0000FF"/>
            <w:sz w:val="24"/>
            <w:szCs w:val="24"/>
            <w:u w:val="single"/>
            <w:lang w:val="en-US" w:eastAsia="en-US"/>
          </w:rPr>
          <w:t>https://doi.org/10.1159/000173976</w:t>
        </w:r>
      </w:hyperlink>
      <w:r w:rsidRPr="001A0815">
        <w:rPr>
          <w:sz w:val="24"/>
          <w:szCs w:val="24"/>
          <w:lang w:val="en-US" w:eastAsia="en-US"/>
        </w:rPr>
        <w:t xml:space="preserve"> </w:t>
      </w:r>
    </w:p>
    <w:p w14:paraId="49F93D7E" w14:textId="77777777" w:rsidR="002E5A87" w:rsidRDefault="00000000">
      <w:pPr>
        <w:spacing w:before="100" w:beforeAutospacing="1" w:after="100" w:afterAutospacing="1"/>
        <w:ind w:left="720" w:hanging="810"/>
        <w:jc w:val="both"/>
        <w:rPr>
          <w:sz w:val="24"/>
          <w:szCs w:val="24"/>
          <w:lang w:val="en-US" w:eastAsia="en-US"/>
        </w:rPr>
      </w:pPr>
      <w:r>
        <w:rPr>
          <w:highlight w:val="yellow"/>
        </w:rPr>
        <w:t xml:space="preserve">Papara, C., De Luca, D. A., Bieber, K., Vorobyev, A., &amp; Ludwig, R. J. (2023). Morphea: The 2023 update. </w:t>
      </w:r>
      <w:r>
        <w:rPr>
          <w:i/>
          <w:highlight w:val="yellow"/>
        </w:rPr>
        <w:t>Frontiers in Medicine, 10</w:t>
      </w:r>
      <w:r>
        <w:rPr>
          <w:highlight w:val="yellow"/>
        </w:rPr>
        <w:t>, 1108623. https://doi.org/10.3389/fmed.2023.1108623</w:t>
      </w:r>
    </w:p>
    <w:p w14:paraId="79B8E090" w14:textId="77777777" w:rsidR="002E5A87" w:rsidRDefault="00000000">
      <w:pPr>
        <w:spacing w:before="100" w:beforeAutospacing="1" w:after="100" w:afterAutospacing="1"/>
        <w:ind w:left="720" w:hanging="810"/>
        <w:jc w:val="both"/>
        <w:rPr>
          <w:sz w:val="24"/>
          <w:szCs w:val="24"/>
          <w:lang w:val="en-US" w:eastAsia="en-US"/>
        </w:rPr>
      </w:pPr>
      <w:r>
        <w:rPr>
          <w:highlight w:val="yellow"/>
        </w:rPr>
        <w:t xml:space="preserve">Keum, H., Chen, H. W., Haley, R. W., &amp; Jacobe, H. T. (2024). Incidence and prevalence of morphea. </w:t>
      </w:r>
      <w:r>
        <w:rPr>
          <w:i/>
          <w:highlight w:val="yellow"/>
        </w:rPr>
        <w:t>JAMA Dermatology, 160</w:t>
      </w:r>
      <w:r>
        <w:rPr>
          <w:highlight w:val="yellow"/>
        </w:rPr>
        <w:t>(10), 1128–1130. https://doi.org/10.1001/jamadermatol.2024.2993</w:t>
      </w:r>
    </w:p>
    <w:p w14:paraId="448BF3B1"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t xml:space="preserve">Dadkhahfar, S., Asadi Kani, Z., Araghi, F., &amp; Moravvej, H. (2020). Development of keloidal morphea after treatment with cyclosporine in a case of recalcitrant generalized morphea. </w:t>
      </w:r>
      <w:r w:rsidRPr="001A0815">
        <w:rPr>
          <w:i/>
          <w:iCs/>
          <w:sz w:val="24"/>
          <w:szCs w:val="24"/>
          <w:lang w:val="en-US" w:eastAsia="en-US"/>
        </w:rPr>
        <w:t>Clinical Case Reports, 8</w:t>
      </w:r>
      <w:r w:rsidRPr="001A0815">
        <w:rPr>
          <w:sz w:val="24"/>
          <w:szCs w:val="24"/>
          <w:lang w:val="en-US" w:eastAsia="en-US"/>
        </w:rPr>
        <w:t xml:space="preserve">(5), 837–839. </w:t>
      </w:r>
      <w:hyperlink r:id="rId12" w:tgtFrame="_new" w:history="1">
        <w:r w:rsidRPr="001A0815">
          <w:rPr>
            <w:color w:val="0000FF"/>
            <w:sz w:val="24"/>
            <w:szCs w:val="24"/>
            <w:u w:val="single"/>
            <w:lang w:val="en-US" w:eastAsia="en-US"/>
          </w:rPr>
          <w:t>https://doi.org/10.1002/ccr3.2776</w:t>
        </w:r>
      </w:hyperlink>
      <w:r w:rsidRPr="001A0815">
        <w:rPr>
          <w:sz w:val="24"/>
          <w:szCs w:val="24"/>
          <w:lang w:val="en-US" w:eastAsia="en-US"/>
        </w:rPr>
        <w:t xml:space="preserve"> </w:t>
      </w:r>
    </w:p>
    <w:p w14:paraId="48109F0C"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nl-BE" w:eastAsia="en-US"/>
        </w:rPr>
        <w:t xml:space="preserve">Syder, N. C., Saizan, A. L., McKenzie, S., De Clerck, B., Hurtado, A. C. M., &amp; Elbuluk, N. (2025). </w:t>
      </w:r>
      <w:r w:rsidRPr="001A0815">
        <w:rPr>
          <w:sz w:val="24"/>
          <w:szCs w:val="24"/>
          <w:lang w:val="en-US" w:eastAsia="en-US"/>
        </w:rPr>
        <w:t xml:space="preserve">Keloidal morphea: A unique variant of morphea presenting in a Black female. </w:t>
      </w:r>
      <w:r w:rsidRPr="001A0815">
        <w:rPr>
          <w:i/>
          <w:iCs/>
          <w:sz w:val="24"/>
          <w:szCs w:val="24"/>
          <w:lang w:val="en-US" w:eastAsia="en-US"/>
        </w:rPr>
        <w:t>Journal of Drugs in Dermatology, 24</w:t>
      </w:r>
      <w:r w:rsidRPr="001A0815">
        <w:rPr>
          <w:sz w:val="24"/>
          <w:szCs w:val="24"/>
          <w:lang w:val="en-US" w:eastAsia="en-US"/>
        </w:rPr>
        <w:t xml:space="preserve">(2), 203–204. </w:t>
      </w:r>
      <w:hyperlink r:id="rId13" w:tgtFrame="_new" w:history="1">
        <w:r w:rsidRPr="001A0815">
          <w:rPr>
            <w:color w:val="0000FF"/>
            <w:sz w:val="24"/>
            <w:szCs w:val="24"/>
            <w:u w:val="single"/>
            <w:lang w:val="en-US" w:eastAsia="en-US"/>
          </w:rPr>
          <w:t>https://doi.org/10.36849/JDD.7960</w:t>
        </w:r>
      </w:hyperlink>
      <w:r w:rsidRPr="001A0815">
        <w:rPr>
          <w:sz w:val="24"/>
          <w:szCs w:val="24"/>
          <w:lang w:val="en-US" w:eastAsia="en-US"/>
        </w:rPr>
        <w:t xml:space="preserve"> </w:t>
      </w:r>
    </w:p>
    <w:p w14:paraId="40B26FB8"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t xml:space="preserve">Srisuttiyakorn, C., &amp; Aunhachoke, K. (2016). Scleroderma with nodular scleroderma. </w:t>
      </w:r>
      <w:r w:rsidRPr="001A0815">
        <w:rPr>
          <w:i/>
          <w:iCs/>
          <w:sz w:val="24"/>
          <w:szCs w:val="24"/>
          <w:lang w:val="en-US" w:eastAsia="en-US"/>
        </w:rPr>
        <w:t>Case Reports in Dermatology, 8</w:t>
      </w:r>
      <w:r w:rsidRPr="001A0815">
        <w:rPr>
          <w:sz w:val="24"/>
          <w:szCs w:val="24"/>
          <w:lang w:val="en-US" w:eastAsia="en-US"/>
        </w:rPr>
        <w:t xml:space="preserve">(3), 303–310. </w:t>
      </w:r>
      <w:hyperlink r:id="rId14" w:tgtFrame="_new" w:history="1">
        <w:r w:rsidRPr="001A0815">
          <w:rPr>
            <w:color w:val="0000FF"/>
            <w:sz w:val="24"/>
            <w:szCs w:val="24"/>
            <w:u w:val="single"/>
            <w:lang w:val="en-US" w:eastAsia="en-US"/>
          </w:rPr>
          <w:t>https://doi.org/10.1159/000452324</w:t>
        </w:r>
      </w:hyperlink>
      <w:r w:rsidRPr="001A0815">
        <w:rPr>
          <w:sz w:val="24"/>
          <w:szCs w:val="24"/>
          <w:lang w:val="en-US" w:eastAsia="en-US"/>
        </w:rPr>
        <w:t xml:space="preserve"> </w:t>
      </w:r>
    </w:p>
    <w:p w14:paraId="1874AFF3"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t xml:space="preserve">Krell, J. M., Solomon, A. R., Glavey, C. M., &amp; Lawley, T. J. (1995). Nodular scleroderma. </w:t>
      </w:r>
      <w:r w:rsidRPr="001A0815">
        <w:rPr>
          <w:i/>
          <w:iCs/>
          <w:sz w:val="24"/>
          <w:szCs w:val="24"/>
          <w:lang w:val="en-US" w:eastAsia="en-US"/>
        </w:rPr>
        <w:t>Journal of the American Academy of Dermatology, 32</w:t>
      </w:r>
      <w:r w:rsidRPr="001A0815">
        <w:rPr>
          <w:sz w:val="24"/>
          <w:szCs w:val="24"/>
          <w:lang w:val="en-US" w:eastAsia="en-US"/>
        </w:rPr>
        <w:t xml:space="preserve">(2 Pt 2), 343–345. https://doi.org/10.1016/0190-9622(95)90400-X </w:t>
      </w:r>
    </w:p>
    <w:p w14:paraId="4F8EC967"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t xml:space="preserve">Wriston, C. C., Rubin, A. I., Elenitsas, R., &amp; Crawford, G. H. (2008). Nodular scleroderma: A report of 2 cases. </w:t>
      </w:r>
      <w:r w:rsidRPr="001A0815">
        <w:rPr>
          <w:i/>
          <w:iCs/>
          <w:sz w:val="24"/>
          <w:szCs w:val="24"/>
          <w:lang w:val="en-US" w:eastAsia="en-US"/>
        </w:rPr>
        <w:t>The American Journal of Dermatopathology, 30</w:t>
      </w:r>
      <w:r w:rsidRPr="001A0815">
        <w:rPr>
          <w:sz w:val="24"/>
          <w:szCs w:val="24"/>
          <w:lang w:val="en-US" w:eastAsia="en-US"/>
        </w:rPr>
        <w:t xml:space="preserve">(4), 385–388. </w:t>
      </w:r>
      <w:hyperlink r:id="rId15" w:tgtFrame="_new" w:history="1">
        <w:r w:rsidRPr="001A0815">
          <w:rPr>
            <w:color w:val="0000FF"/>
            <w:sz w:val="24"/>
            <w:szCs w:val="24"/>
            <w:u w:val="single"/>
            <w:lang w:val="en-US" w:eastAsia="en-US"/>
          </w:rPr>
          <w:t>https://doi.org/10.1097/DAD.0b013e3181766177</w:t>
        </w:r>
      </w:hyperlink>
      <w:r w:rsidRPr="001A0815">
        <w:rPr>
          <w:sz w:val="24"/>
          <w:szCs w:val="24"/>
          <w:lang w:val="en-US" w:eastAsia="en-US"/>
        </w:rPr>
        <w:t xml:space="preserve"> </w:t>
      </w:r>
    </w:p>
    <w:p w14:paraId="33D1633D"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t xml:space="preserve">Castelli, E., Orlando, E., Pardo, N., Turdo, A., Pistone, G., &amp; Bongiorno, M. R. (2021). Nodular morphea keloidal type: A rare case with paradigmatic histopathology significantly accompanied by a flawless surgical scar. </w:t>
      </w:r>
      <w:r w:rsidRPr="001A0815">
        <w:rPr>
          <w:i/>
          <w:iCs/>
          <w:sz w:val="24"/>
          <w:szCs w:val="24"/>
          <w:lang w:val="en-US" w:eastAsia="en-US"/>
        </w:rPr>
        <w:t>Journal of Cutaneous Pathology, 48</w:t>
      </w:r>
      <w:r w:rsidRPr="001A0815">
        <w:rPr>
          <w:sz w:val="24"/>
          <w:szCs w:val="24"/>
          <w:lang w:val="en-US" w:eastAsia="en-US"/>
        </w:rPr>
        <w:t xml:space="preserve">(11), 1329–1334. </w:t>
      </w:r>
      <w:hyperlink r:id="rId16" w:tgtFrame="_new" w:history="1">
        <w:r w:rsidRPr="001A0815">
          <w:rPr>
            <w:color w:val="0000FF"/>
            <w:sz w:val="24"/>
            <w:szCs w:val="24"/>
            <w:u w:val="single"/>
            <w:lang w:val="en-US" w:eastAsia="en-US"/>
          </w:rPr>
          <w:t>https://doi.org/10.1111/cup.13810</w:t>
        </w:r>
      </w:hyperlink>
      <w:r w:rsidRPr="001A0815">
        <w:rPr>
          <w:sz w:val="24"/>
          <w:szCs w:val="24"/>
          <w:lang w:val="en-US" w:eastAsia="en-US"/>
        </w:rPr>
        <w:t xml:space="preserve"> </w:t>
      </w:r>
    </w:p>
    <w:p w14:paraId="02D8E771" w14:textId="77777777" w:rsidR="001A0815" w:rsidRPr="001A0815" w:rsidRDefault="001A0815" w:rsidP="001A0815">
      <w:pPr>
        <w:spacing w:before="100" w:beforeAutospacing="1" w:after="100" w:afterAutospacing="1"/>
        <w:ind w:left="720" w:hanging="810"/>
        <w:jc w:val="both"/>
        <w:rPr>
          <w:sz w:val="24"/>
          <w:szCs w:val="24"/>
          <w:lang w:val="en-US" w:eastAsia="en-US"/>
        </w:rPr>
      </w:pPr>
      <w:r w:rsidRPr="001A0815">
        <w:rPr>
          <w:sz w:val="24"/>
          <w:szCs w:val="24"/>
          <w:lang w:val="en-US" w:eastAsia="en-US"/>
        </w:rPr>
        <w:lastRenderedPageBreak/>
        <w:t xml:space="preserve">Trufin, I. I., Ungureanu, L., Halmágyi, S.-R., Apostu, A. P., &amp; Șenilă, S. C. (2024). Nodular/keloidal scleroderma with no systemic involvement: A case report and a review of the literature. </w:t>
      </w:r>
      <w:r w:rsidRPr="001A0815">
        <w:rPr>
          <w:i/>
          <w:iCs/>
          <w:sz w:val="24"/>
          <w:szCs w:val="24"/>
          <w:lang w:val="en-US" w:eastAsia="en-US"/>
        </w:rPr>
        <w:t>Journal of Clinical Medicine, 13</w:t>
      </w:r>
      <w:r w:rsidRPr="001A0815">
        <w:rPr>
          <w:sz w:val="24"/>
          <w:szCs w:val="24"/>
          <w:lang w:val="en-US" w:eastAsia="en-US"/>
        </w:rPr>
        <w:t xml:space="preserve">(9), 2662. </w:t>
      </w:r>
      <w:hyperlink r:id="rId17" w:tgtFrame="_new" w:history="1">
        <w:r w:rsidRPr="001A0815">
          <w:rPr>
            <w:color w:val="0000FF"/>
            <w:sz w:val="24"/>
            <w:szCs w:val="24"/>
            <w:u w:val="single"/>
            <w:lang w:val="en-US" w:eastAsia="en-US"/>
          </w:rPr>
          <w:t>https://doi.org/10.3390/jcm13092662</w:t>
        </w:r>
      </w:hyperlink>
    </w:p>
    <w:p w14:paraId="56338A14" w14:textId="77777777" w:rsidR="00017E31" w:rsidRDefault="00017E31" w:rsidP="001A0815">
      <w:pPr>
        <w:spacing w:after="120"/>
        <w:jc w:val="both"/>
      </w:pPr>
    </w:p>
    <w:sectPr w:rsidR="00017E31" w:rsidSect="008D2712">
      <w:headerReference w:type="even" r:id="rId18"/>
      <w:headerReference w:type="default" r:id="rId19"/>
      <w:footerReference w:type="even" r:id="rId20"/>
      <w:footerReference w:type="default" r:id="rId21"/>
      <w:headerReference w:type="first" r:id="rId22"/>
      <w:footerReference w:type="first" r:id="rId23"/>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4C82EC" w14:textId="77777777" w:rsidR="00D2567B" w:rsidRDefault="00D2567B">
      <w:r>
        <w:separator/>
      </w:r>
    </w:p>
  </w:endnote>
  <w:endnote w:type="continuationSeparator" w:id="0">
    <w:p w14:paraId="552DE4FB" w14:textId="77777777" w:rsidR="00D2567B" w:rsidRDefault="00D256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A03CB" w14:textId="77777777" w:rsidR="008D2712" w:rsidRDefault="008D27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7E0B5" w14:textId="77777777" w:rsidR="00017E31" w:rsidRPr="00383451" w:rsidRDefault="00017E31">
    <w:pPr>
      <w:suppressLineNumbers/>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83C36" w14:textId="77777777" w:rsidR="008D2712" w:rsidRDefault="008D27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7AE5A" w14:textId="77777777" w:rsidR="00D2567B" w:rsidRDefault="00D2567B">
      <w:r>
        <w:separator/>
      </w:r>
    </w:p>
  </w:footnote>
  <w:footnote w:type="continuationSeparator" w:id="0">
    <w:p w14:paraId="1813F0E1" w14:textId="77777777" w:rsidR="00D2567B" w:rsidRDefault="00D256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224A" w14:textId="77777777" w:rsidR="008D2712" w:rsidRDefault="00000000">
    <w:pPr>
      <w:pStyle w:val="Header"/>
    </w:pPr>
    <w:r>
      <w:rPr>
        <w:noProof/>
      </w:rPr>
      <w:pict w14:anchorId="405F0EC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6" o:spid="_x0000_s1027" type="#_x0000_t136" alt="" style="position:absolute;margin-left:0;margin-top:0;width:520.65pt;height:57.85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111B8" w14:textId="77777777" w:rsidR="008D2712" w:rsidRDefault="00000000">
    <w:pPr>
      <w:pStyle w:val="Header"/>
    </w:pPr>
    <w:r>
      <w:rPr>
        <w:noProof/>
      </w:rPr>
      <w:pict w14:anchorId="2636D59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7" o:spid="_x0000_s1026" type="#_x0000_t136" alt="" style="position:absolute;margin-left:0;margin-top:0;width:520.65pt;height:57.85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DA954" w14:textId="77777777" w:rsidR="008D2712" w:rsidRDefault="00000000">
    <w:pPr>
      <w:pStyle w:val="Header"/>
    </w:pPr>
    <w:r>
      <w:rPr>
        <w:noProof/>
      </w:rPr>
      <w:pict w14:anchorId="307DB0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1037765" o:spid="_x0000_s1025" type="#_x0000_t136" alt="" style="position:absolute;margin-left:0;margin-top:0;width:520.65pt;height:57.85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C7460D"/>
    <w:multiLevelType w:val="multilevel"/>
    <w:tmpl w:val="382E98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9123DF"/>
    <w:multiLevelType w:val="hybridMultilevel"/>
    <w:tmpl w:val="DA72F1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4857D25"/>
    <w:multiLevelType w:val="multilevel"/>
    <w:tmpl w:val="98F686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67F2B8A"/>
    <w:multiLevelType w:val="hybridMultilevel"/>
    <w:tmpl w:val="2D880F4E"/>
    <w:lvl w:ilvl="0" w:tplc="7A1CEA8C">
      <w:start w:val="1"/>
      <w:numFmt w:val="bullet"/>
      <w:lvlText w:val="●"/>
      <w:lvlJc w:val="left"/>
      <w:pPr>
        <w:ind w:left="720" w:hanging="360"/>
      </w:pPr>
    </w:lvl>
    <w:lvl w:ilvl="1" w:tplc="8C4A79C8">
      <w:start w:val="1"/>
      <w:numFmt w:val="bullet"/>
      <w:lvlText w:val="○"/>
      <w:lvlJc w:val="left"/>
      <w:pPr>
        <w:ind w:left="1440" w:hanging="360"/>
      </w:pPr>
    </w:lvl>
    <w:lvl w:ilvl="2" w:tplc="84CE63EE">
      <w:start w:val="1"/>
      <w:numFmt w:val="bullet"/>
      <w:lvlText w:val="■"/>
      <w:lvlJc w:val="left"/>
      <w:pPr>
        <w:ind w:left="2160" w:hanging="360"/>
      </w:pPr>
    </w:lvl>
    <w:lvl w:ilvl="3" w:tplc="1ADA613C">
      <w:start w:val="1"/>
      <w:numFmt w:val="bullet"/>
      <w:lvlText w:val="●"/>
      <w:lvlJc w:val="left"/>
      <w:pPr>
        <w:ind w:left="2880" w:hanging="360"/>
      </w:pPr>
    </w:lvl>
    <w:lvl w:ilvl="4" w:tplc="A4CEE3F8">
      <w:start w:val="1"/>
      <w:numFmt w:val="bullet"/>
      <w:lvlText w:val="○"/>
      <w:lvlJc w:val="left"/>
      <w:pPr>
        <w:ind w:left="3600" w:hanging="360"/>
      </w:pPr>
    </w:lvl>
    <w:lvl w:ilvl="5" w:tplc="1C02E414">
      <w:start w:val="1"/>
      <w:numFmt w:val="bullet"/>
      <w:lvlText w:val="■"/>
      <w:lvlJc w:val="left"/>
      <w:pPr>
        <w:ind w:left="4320" w:hanging="360"/>
      </w:pPr>
    </w:lvl>
    <w:lvl w:ilvl="6" w:tplc="8D8E16FA">
      <w:start w:val="1"/>
      <w:numFmt w:val="bullet"/>
      <w:lvlText w:val="●"/>
      <w:lvlJc w:val="left"/>
      <w:pPr>
        <w:ind w:left="5040" w:hanging="360"/>
      </w:pPr>
    </w:lvl>
    <w:lvl w:ilvl="7" w:tplc="BCB02104">
      <w:start w:val="1"/>
      <w:numFmt w:val="bullet"/>
      <w:lvlText w:val="●"/>
      <w:lvlJc w:val="left"/>
      <w:pPr>
        <w:ind w:left="5760" w:hanging="360"/>
      </w:pPr>
    </w:lvl>
    <w:lvl w:ilvl="8" w:tplc="EBD4ECB8">
      <w:start w:val="1"/>
      <w:numFmt w:val="bullet"/>
      <w:lvlText w:val="●"/>
      <w:lvlJc w:val="left"/>
      <w:pPr>
        <w:ind w:left="6480" w:hanging="360"/>
      </w:pPr>
    </w:lvl>
  </w:abstractNum>
  <w:num w:numId="1" w16cid:durableId="1640765537">
    <w:abstractNumId w:val="3"/>
    <w:lvlOverride w:ilvl="0">
      <w:startOverride w:val="1"/>
    </w:lvlOverride>
  </w:num>
  <w:num w:numId="2" w16cid:durableId="667564478">
    <w:abstractNumId w:val="0"/>
  </w:num>
  <w:num w:numId="3" w16cid:durableId="1417702432">
    <w:abstractNumId w:val="2"/>
  </w:num>
  <w:num w:numId="4" w16cid:durableId="18131362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7E31"/>
    <w:rsid w:val="00017E31"/>
    <w:rsid w:val="001272DA"/>
    <w:rsid w:val="001A0815"/>
    <w:rsid w:val="002368F3"/>
    <w:rsid w:val="002E5A87"/>
    <w:rsid w:val="003350D6"/>
    <w:rsid w:val="00383451"/>
    <w:rsid w:val="003956CA"/>
    <w:rsid w:val="003A5D1E"/>
    <w:rsid w:val="00535F39"/>
    <w:rsid w:val="005D0DB4"/>
    <w:rsid w:val="00694BD0"/>
    <w:rsid w:val="007C3280"/>
    <w:rsid w:val="008D2712"/>
    <w:rsid w:val="009D6CB4"/>
    <w:rsid w:val="00A24723"/>
    <w:rsid w:val="00A46993"/>
    <w:rsid w:val="00AA6159"/>
    <w:rsid w:val="00AB5355"/>
    <w:rsid w:val="00D2567B"/>
    <w:rsid w:val="00EA727A"/>
    <w:rsid w:val="00EB0266"/>
    <w:rsid w:val="00F961AF"/>
    <w:rsid w:val="00FE6A9F"/>
  </w:rsids>
  <m:mathPr>
    <m:mathFont m:val="Cambria Math"/>
    <m:brkBin m:val="before"/>
    <m:brkBinSub m:val="--"/>
    <m:smallFrac m:val="0"/>
    <m:dispDef/>
    <m:lMargin m:val="0"/>
    <m:rMargin m:val="0"/>
    <m:defJc m:val="centerGroup"/>
    <m:wrapIndent m:val="1440"/>
    <m:intLim m:val="subSup"/>
    <m:naryLim m:val="undOvr"/>
  </m:mathPr>
  <w:themeFontLang w:val="fr-MA"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229FC7"/>
  <w15:docId w15:val="{523D2D23-EBBB-0343-A827-979376A44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MA"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lev1">
    <w:name w:val="Élevé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383451"/>
  </w:style>
  <w:style w:type="paragraph" w:styleId="BalloonText">
    <w:name w:val="Balloon Text"/>
    <w:basedOn w:val="Normal"/>
    <w:link w:val="BalloonTextChar"/>
    <w:uiPriority w:val="99"/>
    <w:semiHidden/>
    <w:unhideWhenUsed/>
    <w:rsid w:val="00383451"/>
    <w:rPr>
      <w:sz w:val="18"/>
      <w:szCs w:val="18"/>
    </w:rPr>
  </w:style>
  <w:style w:type="character" w:customStyle="1" w:styleId="BalloonTextChar">
    <w:name w:val="Balloon Text Char"/>
    <w:basedOn w:val="DefaultParagraphFont"/>
    <w:link w:val="BalloonText"/>
    <w:uiPriority w:val="99"/>
    <w:semiHidden/>
    <w:rsid w:val="00383451"/>
    <w:rPr>
      <w:sz w:val="18"/>
      <w:szCs w:val="18"/>
    </w:rPr>
  </w:style>
  <w:style w:type="character" w:styleId="UnresolvedMention">
    <w:name w:val="Unresolved Mention"/>
    <w:basedOn w:val="DefaultParagraphFont"/>
    <w:uiPriority w:val="99"/>
    <w:semiHidden/>
    <w:unhideWhenUsed/>
    <w:rsid w:val="00A24723"/>
    <w:rPr>
      <w:color w:val="605E5C"/>
      <w:shd w:val="clear" w:color="auto" w:fill="E1DFDD"/>
    </w:rPr>
  </w:style>
  <w:style w:type="table" w:styleId="TableGrid">
    <w:name w:val="Table Grid"/>
    <w:basedOn w:val="TableNormal"/>
    <w:uiPriority w:val="39"/>
    <w:rsid w:val="00A24723"/>
    <w:rPr>
      <w:rFonts w:asciiTheme="minorHAnsi" w:eastAsiaTheme="minorHAnsi" w:hAnsiTheme="minorHAnsi" w:cstheme="minorBid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A6159"/>
    <w:pPr>
      <w:tabs>
        <w:tab w:val="center" w:pos="4513"/>
        <w:tab w:val="right" w:pos="9026"/>
      </w:tabs>
    </w:pPr>
  </w:style>
  <w:style w:type="character" w:customStyle="1" w:styleId="HeaderChar">
    <w:name w:val="Header Char"/>
    <w:basedOn w:val="DefaultParagraphFont"/>
    <w:link w:val="Header"/>
    <w:uiPriority w:val="99"/>
    <w:rsid w:val="00AA6159"/>
  </w:style>
  <w:style w:type="paragraph" w:styleId="Footer">
    <w:name w:val="footer"/>
    <w:basedOn w:val="Normal"/>
    <w:link w:val="FooterChar"/>
    <w:uiPriority w:val="99"/>
    <w:unhideWhenUsed/>
    <w:rsid w:val="00AA6159"/>
    <w:pPr>
      <w:tabs>
        <w:tab w:val="center" w:pos="4513"/>
        <w:tab w:val="right" w:pos="9026"/>
      </w:tabs>
    </w:pPr>
  </w:style>
  <w:style w:type="character" w:customStyle="1" w:styleId="FooterChar">
    <w:name w:val="Footer Char"/>
    <w:basedOn w:val="DefaultParagraphFont"/>
    <w:link w:val="Footer"/>
    <w:uiPriority w:val="99"/>
    <w:rsid w:val="00AA61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4812021">
      <w:bodyDiv w:val="1"/>
      <w:marLeft w:val="0"/>
      <w:marRight w:val="0"/>
      <w:marTop w:val="0"/>
      <w:marBottom w:val="0"/>
      <w:divBdr>
        <w:top w:val="none" w:sz="0" w:space="0" w:color="auto"/>
        <w:left w:val="none" w:sz="0" w:space="0" w:color="auto"/>
        <w:bottom w:val="none" w:sz="0" w:space="0" w:color="auto"/>
        <w:right w:val="none" w:sz="0" w:space="0" w:color="auto"/>
      </w:divBdr>
    </w:div>
    <w:div w:id="20366938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doi.org/10.36849/JDD.7960"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jpg"/><Relationship Id="rId12" Type="http://schemas.openxmlformats.org/officeDocument/2006/relationships/hyperlink" Target="https://doi.org/10.1002/ccr3.2776" TargetMode="External"/><Relationship Id="rId17" Type="http://schemas.openxmlformats.org/officeDocument/2006/relationships/hyperlink" Target="https://doi.org/10.3390/jcm1309266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doi.org/10.1111/cup.1381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159/000173976"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doi.org/10.1097/DAD.0b013e3181766177" TargetMode="External"/><Relationship Id="rId23" Type="http://schemas.openxmlformats.org/officeDocument/2006/relationships/footer" Target="footer3.xml"/><Relationship Id="rId10" Type="http://schemas.openxmlformats.org/officeDocument/2006/relationships/hyperlink" Target="https://doi.org/10.1016/j.reumae.2023.02.009"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hyperlink" Target="https://doi.org/10.1159/000452324" TargetMode="External"/><Relationship Id="rId22" Type="http://schemas.openxmlformats.org/officeDocument/2006/relationships/header" Target="head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1970</Words>
  <Characters>11231</Characters>
  <Application>Microsoft Office Word</Application>
  <DocSecurity>0</DocSecurity>
  <Lines>93</Lines>
  <Paragraphs>26</Paragraphs>
  <ScaleCrop>false</ScaleCrop>
  <Company/>
  <LinksUpToDate>false</LinksUpToDate>
  <CharactersWithSpaces>13175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Manuscript formatter</dc:creator>
  <cp:lastModifiedBy>Editor-1183</cp:lastModifiedBy>
  <cp:revision>13</cp:revision>
  <dcterms:created xsi:type="dcterms:W3CDTF">2026-08-16T21:49:00Z</dcterms:created>
  <dcterms:modified xsi:type="dcterms:W3CDTF">2026-09-03T04:44:00Z</dcterms:modified>
</cp:coreProperties>
</file>