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F4B0" w14:textId="77777777" w:rsidR="000A21BE" w:rsidRDefault="00772D4B" w:rsidP="00386DA6">
      <w:pPr>
        <w:pStyle w:val="Title"/>
        <w:jc w:val="both"/>
      </w:pPr>
      <w:r>
        <w:t>Public Support and Enterprise Performance under Kenya’s Bottom Up Economic Transformation Agenda</w:t>
      </w:r>
      <w:r w:rsidR="00FC5EB5">
        <w:t xml:space="preserve">: A Conceptual Framework </w:t>
      </w:r>
    </w:p>
    <w:p w14:paraId="0D6EDE14" w14:textId="77777777" w:rsidR="00D56D82" w:rsidRPr="00D56D82" w:rsidRDefault="00D56D82" w:rsidP="00386DA6">
      <w:pPr>
        <w:jc w:val="both"/>
      </w:pPr>
    </w:p>
    <w:p w14:paraId="714A6C72" w14:textId="77777777" w:rsidR="00051945" w:rsidRDefault="00051945" w:rsidP="00386DA6">
      <w:pPr>
        <w:pStyle w:val="Heading1"/>
        <w:jc w:val="both"/>
      </w:pPr>
    </w:p>
    <w:p w14:paraId="4F2F40AF" w14:textId="77777777" w:rsidR="000A21BE" w:rsidRDefault="00772D4B" w:rsidP="00386DA6">
      <w:pPr>
        <w:pStyle w:val="Heading1"/>
        <w:jc w:val="both"/>
      </w:pPr>
      <w:r>
        <w:t>Abstract</w:t>
      </w:r>
    </w:p>
    <w:p w14:paraId="3D8AEDAE" w14:textId="77777777" w:rsidR="00386DA6" w:rsidRDefault="00386DA6" w:rsidP="00386DA6">
      <w:pPr>
        <w:jc w:val="both"/>
      </w:pPr>
      <w:r w:rsidRPr="00386DA6">
        <w:rPr>
          <w:rStyle w:val="Strong"/>
          <w:highlight w:val="yellow"/>
        </w:rPr>
        <w:t>Purpose:</w:t>
      </w:r>
      <w:r w:rsidRPr="00386DA6">
        <w:rPr>
          <w:highlight w:val="yellow"/>
        </w:rPr>
        <w:t xml:space="preserve"> This conceptual paper explains how public enterprise support may influence business continuity and sustained enterprise performance under Kenya’s Bottom-Up Economic Transformation Agenda, while accounting for differences in outcomes across enterprises. </w:t>
      </w:r>
      <w:r w:rsidRPr="00386DA6">
        <w:rPr>
          <w:rStyle w:val="Strong"/>
          <w:highlight w:val="yellow"/>
        </w:rPr>
        <w:t>Approach:</w:t>
      </w:r>
      <w:r w:rsidRPr="00386DA6">
        <w:rPr>
          <w:highlight w:val="yellow"/>
        </w:rPr>
        <w:t xml:space="preserve"> The paper develops an integrated conceptual framework through theory synthesis, combining dynamic capabilities and institutional perspectives with selected evidence on microcredit, business practices, training and </w:t>
      </w:r>
      <w:proofErr w:type="spellStart"/>
      <w:r w:rsidRPr="00386DA6">
        <w:rPr>
          <w:highlight w:val="yellow"/>
        </w:rPr>
        <w:t>programme</w:t>
      </w:r>
      <w:proofErr w:type="spellEnd"/>
      <w:r w:rsidRPr="00386DA6">
        <w:rPr>
          <w:highlight w:val="yellow"/>
        </w:rPr>
        <w:t xml:space="preserve"> design. Official Kenyan </w:t>
      </w:r>
      <w:proofErr w:type="spellStart"/>
      <w:r w:rsidRPr="00386DA6">
        <w:rPr>
          <w:highlight w:val="yellow"/>
        </w:rPr>
        <w:t>programme</w:t>
      </w:r>
      <w:proofErr w:type="spellEnd"/>
      <w:r w:rsidRPr="00386DA6">
        <w:rPr>
          <w:highlight w:val="yellow"/>
        </w:rPr>
        <w:t xml:space="preserve"> documents provide the application context; no primary data are collected and no hypotheses are empirically tested. </w:t>
      </w:r>
      <w:r w:rsidRPr="00386DA6">
        <w:rPr>
          <w:rStyle w:val="Strong"/>
          <w:highlight w:val="yellow"/>
        </w:rPr>
        <w:t>Conceptual contribution:</w:t>
      </w:r>
      <w:r w:rsidRPr="00386DA6">
        <w:rPr>
          <w:highlight w:val="yellow"/>
        </w:rPr>
        <w:t xml:space="preserve"> The framework distinguishes two connected pathways. The continuity pathway describes how usable finance may relieve immediate liquidity constraints and preserve ongoing operations. The capability pathway explains how complementary business support may strengthen management routines and enable adaptive responses that contribute to sustained performance. Six propositions specify the roles of usable finance, practice-oriented support, adaptive capabilities, institutional conditions, financing horizons and market spillovers. The framework clarifies why short-term </w:t>
      </w:r>
      <w:proofErr w:type="spellStart"/>
      <w:r w:rsidRPr="00386DA6">
        <w:rPr>
          <w:highlight w:val="yellow"/>
        </w:rPr>
        <w:t>stabilisation</w:t>
      </w:r>
      <w:proofErr w:type="spellEnd"/>
      <w:r w:rsidRPr="00386DA6">
        <w:rPr>
          <w:highlight w:val="yellow"/>
        </w:rPr>
        <w:t xml:space="preserve"> may occur without durable growth and why enterprise-level gains may not translate directly into wider market gains. </w:t>
      </w:r>
      <w:r w:rsidRPr="00386DA6">
        <w:rPr>
          <w:rStyle w:val="Strong"/>
          <w:highlight w:val="yellow"/>
        </w:rPr>
        <w:t>Implications:</w:t>
      </w:r>
      <w:r w:rsidRPr="00386DA6">
        <w:rPr>
          <w:highlight w:val="yellow"/>
        </w:rPr>
        <w:t xml:space="preserve"> Future research should measure support components, routines, capabilities and outcomes separately and should address selection, timing and contextual conditions. For policy, the framework supports matching support to enterprise constraints while treating </w:t>
      </w:r>
      <w:proofErr w:type="spellStart"/>
      <w:r w:rsidRPr="00386DA6">
        <w:rPr>
          <w:highlight w:val="yellow"/>
        </w:rPr>
        <w:t>programme</w:t>
      </w:r>
      <w:proofErr w:type="spellEnd"/>
      <w:r w:rsidRPr="00386DA6">
        <w:rPr>
          <w:highlight w:val="yellow"/>
        </w:rPr>
        <w:t xml:space="preserve"> effectiveness as an empirical question rather than an assumed </w:t>
      </w:r>
      <w:proofErr w:type="spellStart"/>
      <w:r w:rsidRPr="00386DA6">
        <w:rPr>
          <w:highlight w:val="yellow"/>
        </w:rPr>
        <w:t>outcome.</w:t>
      </w:r>
      <w:proofErr w:type="spellEnd"/>
    </w:p>
    <w:p w14:paraId="73D00504" w14:textId="77777777" w:rsidR="00386DA6" w:rsidRDefault="00386DA6" w:rsidP="00386DA6">
      <w:pPr>
        <w:jc w:val="both"/>
      </w:pPr>
    </w:p>
    <w:p w14:paraId="48ED00AD" w14:textId="15CCFB43" w:rsidR="000A21BE" w:rsidRDefault="00772D4B" w:rsidP="00386DA6">
      <w:pPr>
        <w:jc w:val="both"/>
      </w:pPr>
      <w:r w:rsidRPr="00386DA6">
        <w:rPr>
          <w:b/>
          <w:bCs/>
        </w:rPr>
        <w:t>Keywords</w:t>
      </w:r>
      <w:r>
        <w:t>: conceptual framework; enterprise performance; dynamic capabilities; institutional conditions; public enterprise support; Kenya</w:t>
      </w:r>
    </w:p>
    <w:p w14:paraId="473FB8E6" w14:textId="77777777" w:rsidR="000A21BE" w:rsidRDefault="00772D4B" w:rsidP="00386DA6">
      <w:pPr>
        <w:pStyle w:val="Heading1"/>
        <w:jc w:val="both"/>
      </w:pPr>
      <w:r>
        <w:t>1 Introduction</w:t>
      </w:r>
    </w:p>
    <w:p w14:paraId="72A53767" w14:textId="77777777" w:rsidR="000A21BE" w:rsidRDefault="00772D4B" w:rsidP="00386DA6">
      <w:pPr>
        <w:jc w:val="both"/>
      </w:pPr>
      <w:r>
        <w:t>A government can lend repeatedly to the same borrower without knowing whether the borrower’s business has become more productive. It can also help an enterprise survive a difficult month without producing measurable expansion. These are different achievements. Evaluating Kenya’s Bottom-Up Economic Transformation Agenda (BETA) therefore requires a clear account of what each intervention is intended to change, whose outcomes are measured and what would probably have happened without the intervention.</w:t>
      </w:r>
    </w:p>
    <w:p w14:paraId="31DBF7CE" w14:textId="458B2B5D" w:rsidR="00C141B7" w:rsidRPr="00386DA6" w:rsidRDefault="00772D4B" w:rsidP="00386DA6">
      <w:pPr>
        <w:jc w:val="both"/>
      </w:pPr>
      <w:r>
        <w:t xml:space="preserve">The State Department for Economic Planning (2025) places micro, small and medium enterprises (MSMEs) within the implementation of the Fourth Medium-Term Plan. This article focuses on </w:t>
      </w:r>
      <w:r w:rsidRPr="00386DA6">
        <w:t>enterprise finance and complementary business support, with the Hustler Fund as the principal application. It does not attempt to estimate the combined impact of every BETA pillar. A national policy agenda contains different instruments, delivery agencies and implementation dates; treating it as a single intervention obscures the mechanisms that policymakers can change.</w:t>
      </w:r>
      <w:r w:rsidR="00386DA6" w:rsidRPr="00386DA6">
        <w:t xml:space="preserve"> </w:t>
      </w:r>
      <w:r w:rsidR="00000000" w:rsidRPr="00386DA6">
        <w:rPr>
          <w:highlight w:val="yellow"/>
        </w:rPr>
        <w:t>Recent Kenyan evidence indicates that enterprise support may combine financial inputs with tailored business-development services, while the effects observed depend on the design and delivery of those components rather than on support availability alone (Nakasone et al., 2024; Ngetha et al., 2026).</w:t>
      </w:r>
    </w:p>
    <w:p w14:paraId="5EBE685C" w14:textId="77777777" w:rsidR="00C141B7" w:rsidRPr="00386DA6" w:rsidRDefault="00000000" w:rsidP="00386DA6">
      <w:pPr>
        <w:jc w:val="both"/>
      </w:pPr>
      <w:r w:rsidRPr="00386DA6">
        <w:rPr>
          <w:highlight w:val="yellow"/>
        </w:rPr>
        <w:lastRenderedPageBreak/>
        <w:t>Performance is also shaped by the surrounding operating environment; recent evidence from registered SMEs in Nairobi shows that some tax-related obligations can be associated with profitability, reinforcing the need to distinguish programme effects from concurrent external conditions (Nyabera &amp; Warui, 2026).</w:t>
      </w:r>
    </w:p>
    <w:p w14:paraId="784EA336" w14:textId="5C9F8973" w:rsidR="00C141B7" w:rsidRPr="00386DA6" w:rsidRDefault="00772D4B" w:rsidP="00386DA6">
      <w:pPr>
        <w:jc w:val="both"/>
      </w:pPr>
      <w:r w:rsidRPr="00386DA6">
        <w:t>The Financial Inclusion Fund’s public dashboard distinguishes personal, group and bridge products and reports participation, disbursements and savings (Financial Inclusion Fund, n.d.-a). Such indicators describe activity. They do not identify additional</w:t>
      </w:r>
      <w:r>
        <w:t xml:space="preserve"> business profits or jobs. Repeat transactions must not be mistaken for distinct enterprises, and personal borrowing must not automatically be classified as business </w:t>
      </w:r>
      <w:r w:rsidRPr="00386DA6">
        <w:t>investment. Programme reach matters, but its interpretation depends on the unit counted and the reporting period.</w:t>
      </w:r>
      <w:r w:rsidR="00386DA6" w:rsidRPr="00386DA6">
        <w:t xml:space="preserve"> </w:t>
      </w:r>
      <w:r w:rsidR="00000000" w:rsidRPr="00386DA6">
        <w:rPr>
          <w:highlight w:val="yellow"/>
        </w:rPr>
        <w:t xml:space="preserve">Evidence from a </w:t>
      </w:r>
      <w:proofErr w:type="spellStart"/>
      <w:r w:rsidR="00000000" w:rsidRPr="00386DA6">
        <w:rPr>
          <w:highlight w:val="yellow"/>
        </w:rPr>
        <w:t>randomised</w:t>
      </w:r>
      <w:proofErr w:type="spellEnd"/>
      <w:r w:rsidR="00000000" w:rsidRPr="00386DA6">
        <w:rPr>
          <w:highlight w:val="yellow"/>
        </w:rPr>
        <w:t xml:space="preserve"> trial with Kenyan SMEs likewise shows that greater access to mobile loans need not translate into higher sales or profits, highlighting the distinction between expanded finance and realised enterprise outcomes (Dalton et al., 2023).</w:t>
      </w:r>
    </w:p>
    <w:p w14:paraId="48E7813D" w14:textId="207639A6" w:rsidR="00C141B7" w:rsidRPr="00386DA6" w:rsidRDefault="00772D4B" w:rsidP="00386DA6">
      <w:pPr>
        <w:jc w:val="both"/>
      </w:pPr>
      <w:r w:rsidRPr="00386DA6">
        <w:t>On 1 July 2026, the Financial Inclusion Fund announced Tukuze Hub, offering training, coaching and advice to selected borrowers with good repayment records (Financial Inclusion Fund, 2026). This development makes the relationship between finance and complementary support particularly relevant. The conceptual problem, however, extends beyond this initiative: resource receipt, competent daily management and the ability to adapt can be treated as if they were interchangeable explanations of enterprise performance. They describe different processes and need different theoretical roles.</w:t>
      </w:r>
      <w:r w:rsidR="00386DA6">
        <w:t xml:space="preserve"> </w:t>
      </w:r>
      <w:r w:rsidR="00000000" w:rsidRPr="00386DA6">
        <w:rPr>
          <w:highlight w:val="yellow"/>
        </w:rPr>
        <w:t>Recent experimental evidence from Kenya also shows that the timing of finance relative to business training can influence whether improved practices are adopted, indicating that complementary interventions should not be assumed to generate additive benefits automatically (Ashraf &amp; Lyons, 2026).</w:t>
      </w:r>
      <w:r w:rsidR="00386DA6">
        <w:t xml:space="preserve"> </w:t>
      </w:r>
      <w:r w:rsidR="00000000" w:rsidRPr="00386DA6">
        <w:rPr>
          <w:highlight w:val="yellow"/>
        </w:rPr>
        <w:t>Taken together, these studies address particular forms of finance or business support, but they do not by themselves provide an integrated explanation that separates short-term continuity from capability development and specifies the conditions under which public support may translate into sustained performance (Nakasone et al., 2024; Ashraf &amp; Lyons, 2026).</w:t>
      </w:r>
    </w:p>
    <w:p w14:paraId="7455D693" w14:textId="77777777" w:rsidR="000A21BE" w:rsidRDefault="00772D4B" w:rsidP="00386DA6">
      <w:pPr>
        <w:jc w:val="both"/>
      </w:pPr>
      <w:r w:rsidRPr="00386DA6">
        <w:t>This paper asks how public enterprise support can influence continuity and sustained performance, and which conditions shape those relationships. It develops a model with two pathways and six propositions. The contribution is to distinguish</w:t>
      </w:r>
      <w:r>
        <w:t xml:space="preserve"> outcomes and mechanisms that can otherwise be conflated: preserving current operations, changing management routines and developing the capacity to respond to new circumstances. BETA provides the setting in which these distinctions are developed; the model remains open to testing and refinement in other enterprise-support contexts.</w:t>
      </w:r>
    </w:p>
    <w:p w14:paraId="1C15C84E" w14:textId="77777777" w:rsidR="000A21BE" w:rsidRDefault="00772D4B" w:rsidP="00386DA6">
      <w:pPr>
        <w:pStyle w:val="Heading1"/>
        <w:jc w:val="both"/>
      </w:pPr>
      <w:r>
        <w:t>2 Conceptual research approach</w:t>
      </w:r>
    </w:p>
    <w:p w14:paraId="0AB21867" w14:textId="77777777" w:rsidR="000A21BE" w:rsidRDefault="00772D4B" w:rsidP="00386DA6">
      <w:pPr>
        <w:jc w:val="both"/>
      </w:pPr>
      <w:r>
        <w:t>The paper uses theory synthesis to develop a conceptual model. Jaakkola (2020) explains the importance of making theory selection and its analytical role explicit in conceptual research. Here, the dynamic capabilities perspective explains adaptation within the enterprise, while the institutional perspective explains how external conditions shape incentives and the feasibility of action. These perspectives are combined because neither resource availability nor internal adaptation alone explains why enterprises receiving similar support may experience different outcomes. The resulting framework is a proposed explanation, not a statistical model estimated in this paper.</w:t>
      </w:r>
    </w:p>
    <w:p w14:paraId="6D5EE681" w14:textId="77777777" w:rsidR="000A21BE" w:rsidRDefault="00772D4B" w:rsidP="00386DA6">
      <w:pPr>
        <w:jc w:val="both"/>
      </w:pPr>
      <w:r>
        <w:rPr>
          <w:highlight w:val="yellow"/>
        </w:rPr>
        <w:t>A purposive literature search and document review were completed</w:t>
      </w:r>
      <w:r>
        <w:t xml:space="preserve"> on 11 September 2026. Targeted web searches and direct consultation of publisher records, author repositories and official Kenyan sources covered enterprise support, business practices, dynamic capabilities, institutional conditions and programme evaluation. The selection prioritised conceptual relevance, identifiable sources and evidence that could challenge the proposed relationships. It was not an exhaustive systematic review. Assistance from generative artificial intelligence with source discovery and manuscript development is disclosed in the acknowledgements.</w:t>
      </w:r>
    </w:p>
    <w:p w14:paraId="6CBDE0D1" w14:textId="77777777" w:rsidR="000A21BE" w:rsidRDefault="00772D4B" w:rsidP="00386DA6">
      <w:pPr>
        <w:jc w:val="both"/>
      </w:pPr>
      <w:r>
        <w:lastRenderedPageBreak/>
        <w:t>Theoretical sources were selected for their explanatory roles. Published microcredit and training studies informed the plausibility and limits of the proposed mechanisms. Official programme sources established services, eligibility and implementation context; they were not treated as independent evidence of impact. Sources whose identity or relevant findings could not be verified were excluded from the evidential argument. Existing empirical findings therefore inform the conceptual reasoning without being presented as tests of the integrated framework.</w:t>
      </w:r>
    </w:p>
    <w:p w14:paraId="4B6698CD" w14:textId="77777777" w:rsidR="000A21BE" w:rsidRDefault="00772D4B" w:rsidP="00386DA6">
      <w:pPr>
        <w:jc w:val="both"/>
      </w:pPr>
      <w:r>
        <w:t>The synthesis proceeded by defining the constructs, separating continuity from adaptation, tracing the mechanisms linking support to performance, and identifying conditions that could interrupt those mechanisms. Propositions were then formulated with observable implications and potential counterevidence. Table 1 distinguishes the roles of the source material. The paper is evaluated through conceptual clarity, consistency and testability; empirical validation is reserved for subsequent research.</w:t>
      </w:r>
    </w:p>
    <w:p w14:paraId="3A00D973" w14:textId="77777777" w:rsidR="000A21BE" w:rsidRDefault="00772D4B" w:rsidP="00386DA6">
      <w:pPr>
        <w:pStyle w:val="Caption"/>
        <w:keepNext/>
        <w:jc w:val="both"/>
      </w:pPr>
      <w:r>
        <w:t>Table 1 Evidence used and limits of inference</w:t>
      </w:r>
    </w:p>
    <w:tbl>
      <w:tblPr>
        <w:tblW w:w="0" w:type="auto"/>
        <w:jc w:val="center"/>
        <w:tblLayout w:type="fixed"/>
        <w:tblLook w:val="04A0" w:firstRow="1" w:lastRow="0" w:firstColumn="1" w:lastColumn="0" w:noHBand="0" w:noVBand="1"/>
      </w:tblPr>
      <w:tblGrid>
        <w:gridCol w:w="2304"/>
        <w:gridCol w:w="3528"/>
        <w:gridCol w:w="3960"/>
      </w:tblGrid>
      <w:tr w:rsidR="000A21BE" w14:paraId="79499AB2" w14:textId="77777777">
        <w:trPr>
          <w:cantSplit/>
          <w:tblHeader/>
          <w:jc w:val="center"/>
        </w:trPr>
        <w:tc>
          <w:tcPr>
            <w:tcW w:w="2304" w:type="dxa"/>
            <w:tcBorders>
              <w:top w:val="single" w:sz="4" w:space="0" w:color="auto"/>
              <w:left w:val="nil"/>
              <w:bottom w:val="single" w:sz="4" w:space="0" w:color="auto"/>
              <w:right w:val="nil"/>
            </w:tcBorders>
          </w:tcPr>
          <w:p w14:paraId="4DA2D69C" w14:textId="77777777" w:rsidR="000A21BE" w:rsidRDefault="00772D4B" w:rsidP="00386DA6">
            <w:pPr>
              <w:spacing w:before="40" w:after="40" w:line="480" w:lineRule="auto"/>
              <w:jc w:val="both"/>
            </w:pPr>
            <w:r>
              <w:rPr>
                <w:b/>
              </w:rPr>
              <w:t>Evidence</w:t>
            </w:r>
          </w:p>
        </w:tc>
        <w:tc>
          <w:tcPr>
            <w:tcW w:w="3528" w:type="dxa"/>
            <w:tcBorders>
              <w:top w:val="single" w:sz="4" w:space="0" w:color="auto"/>
              <w:left w:val="nil"/>
              <w:bottom w:val="single" w:sz="4" w:space="0" w:color="auto"/>
              <w:right w:val="nil"/>
            </w:tcBorders>
          </w:tcPr>
          <w:p w14:paraId="7B100399" w14:textId="77777777" w:rsidR="000A21BE" w:rsidRDefault="00772D4B" w:rsidP="00386DA6">
            <w:pPr>
              <w:spacing w:before="40" w:after="40" w:line="480" w:lineRule="auto"/>
              <w:jc w:val="both"/>
            </w:pPr>
            <w:r>
              <w:rPr>
                <w:b/>
              </w:rPr>
              <w:t>Relevant contribution</w:t>
            </w:r>
          </w:p>
        </w:tc>
        <w:tc>
          <w:tcPr>
            <w:tcW w:w="3960" w:type="dxa"/>
            <w:tcBorders>
              <w:top w:val="single" w:sz="4" w:space="0" w:color="auto"/>
              <w:left w:val="nil"/>
              <w:bottom w:val="single" w:sz="4" w:space="0" w:color="auto"/>
              <w:right w:val="nil"/>
            </w:tcBorders>
          </w:tcPr>
          <w:p w14:paraId="3066F81F" w14:textId="77777777" w:rsidR="000A21BE" w:rsidRDefault="00772D4B" w:rsidP="00386DA6">
            <w:pPr>
              <w:spacing w:before="40" w:after="40" w:line="480" w:lineRule="auto"/>
              <w:jc w:val="both"/>
            </w:pPr>
            <w:r>
              <w:rPr>
                <w:b/>
              </w:rPr>
              <w:t>Inference limit</w:t>
            </w:r>
          </w:p>
        </w:tc>
      </w:tr>
      <w:tr w:rsidR="000A21BE" w14:paraId="3C29566B" w14:textId="77777777">
        <w:trPr>
          <w:cantSplit/>
          <w:jc w:val="center"/>
        </w:trPr>
        <w:tc>
          <w:tcPr>
            <w:tcW w:w="2304" w:type="dxa"/>
            <w:tcBorders>
              <w:top w:val="nil"/>
              <w:left w:val="nil"/>
              <w:bottom w:val="nil"/>
              <w:right w:val="nil"/>
            </w:tcBorders>
          </w:tcPr>
          <w:p w14:paraId="17C08BEA" w14:textId="77777777" w:rsidR="000A21BE" w:rsidRDefault="00772D4B" w:rsidP="00386DA6">
            <w:pPr>
              <w:spacing w:before="40" w:after="40" w:line="480" w:lineRule="auto"/>
              <w:jc w:val="both"/>
            </w:pPr>
            <w:r>
              <w:t>Official programme documents</w:t>
            </w:r>
          </w:p>
        </w:tc>
        <w:tc>
          <w:tcPr>
            <w:tcW w:w="3528" w:type="dxa"/>
            <w:tcBorders>
              <w:top w:val="nil"/>
              <w:left w:val="nil"/>
              <w:bottom w:val="nil"/>
              <w:right w:val="nil"/>
            </w:tcBorders>
          </w:tcPr>
          <w:p w14:paraId="50C43D30" w14:textId="77777777" w:rsidR="000A21BE" w:rsidRDefault="00772D4B" w:rsidP="00386DA6">
            <w:pPr>
              <w:spacing w:before="40" w:after="40" w:line="480" w:lineRule="auto"/>
              <w:jc w:val="both"/>
            </w:pPr>
            <w:r>
              <w:t>Identify services, eligibility and reported delivery.</w:t>
            </w:r>
          </w:p>
        </w:tc>
        <w:tc>
          <w:tcPr>
            <w:tcW w:w="3960" w:type="dxa"/>
            <w:tcBorders>
              <w:top w:val="nil"/>
              <w:left w:val="nil"/>
              <w:bottom w:val="nil"/>
              <w:right w:val="nil"/>
            </w:tcBorders>
          </w:tcPr>
          <w:p w14:paraId="136C4896" w14:textId="77777777" w:rsidR="000A21BE" w:rsidRDefault="00772D4B" w:rsidP="00386DA6">
            <w:pPr>
              <w:spacing w:before="40" w:after="40" w:line="480" w:lineRule="auto"/>
              <w:jc w:val="both"/>
            </w:pPr>
            <w:r>
              <w:t>Do not establish additional enterprise gains.</w:t>
            </w:r>
          </w:p>
        </w:tc>
      </w:tr>
      <w:tr w:rsidR="000A21BE" w14:paraId="026F5262" w14:textId="77777777">
        <w:trPr>
          <w:cantSplit/>
          <w:jc w:val="center"/>
        </w:trPr>
        <w:tc>
          <w:tcPr>
            <w:tcW w:w="2304" w:type="dxa"/>
            <w:tcBorders>
              <w:top w:val="nil"/>
              <w:left w:val="nil"/>
              <w:bottom w:val="nil"/>
              <w:right w:val="nil"/>
            </w:tcBorders>
          </w:tcPr>
          <w:p w14:paraId="18E51BFE" w14:textId="77777777" w:rsidR="000A21BE" w:rsidRDefault="00772D4B" w:rsidP="00386DA6">
            <w:pPr>
              <w:spacing w:before="40" w:after="40" w:line="480" w:lineRule="auto"/>
              <w:jc w:val="both"/>
            </w:pPr>
            <w:r>
              <w:t>Microcredit evaluations</w:t>
            </w:r>
          </w:p>
        </w:tc>
        <w:tc>
          <w:tcPr>
            <w:tcW w:w="3528" w:type="dxa"/>
            <w:tcBorders>
              <w:top w:val="nil"/>
              <w:left w:val="nil"/>
              <w:bottom w:val="nil"/>
              <w:right w:val="nil"/>
            </w:tcBorders>
          </w:tcPr>
          <w:p w14:paraId="286F9FF0" w14:textId="77777777" w:rsidR="000A21BE" w:rsidRDefault="00772D4B" w:rsidP="00386DA6">
            <w:pPr>
              <w:spacing w:before="40" w:after="40" w:line="480" w:lineRule="auto"/>
              <w:jc w:val="both"/>
            </w:pPr>
            <w:r>
              <w:t>Show that expanded access need not yield large average gains.</w:t>
            </w:r>
          </w:p>
        </w:tc>
        <w:tc>
          <w:tcPr>
            <w:tcW w:w="3960" w:type="dxa"/>
            <w:tcBorders>
              <w:top w:val="nil"/>
              <w:left w:val="nil"/>
              <w:bottom w:val="nil"/>
              <w:right w:val="nil"/>
            </w:tcBorders>
          </w:tcPr>
          <w:p w14:paraId="5D578AA9" w14:textId="77777777" w:rsidR="000A21BE" w:rsidRDefault="00772D4B" w:rsidP="00386DA6">
            <w:pPr>
              <w:spacing w:before="40" w:after="40" w:line="480" w:lineRule="auto"/>
              <w:jc w:val="both"/>
            </w:pPr>
            <w:r>
              <w:t>Different products and settings limit transfer.</w:t>
            </w:r>
          </w:p>
        </w:tc>
      </w:tr>
      <w:tr w:rsidR="000A21BE" w14:paraId="256A9478" w14:textId="77777777">
        <w:trPr>
          <w:cantSplit/>
          <w:jc w:val="center"/>
        </w:trPr>
        <w:tc>
          <w:tcPr>
            <w:tcW w:w="2304" w:type="dxa"/>
            <w:tcBorders>
              <w:top w:val="nil"/>
              <w:left w:val="nil"/>
              <w:bottom w:val="nil"/>
              <w:right w:val="nil"/>
            </w:tcBorders>
          </w:tcPr>
          <w:p w14:paraId="03B83D0B" w14:textId="77777777" w:rsidR="000A21BE" w:rsidRDefault="00772D4B" w:rsidP="00386DA6">
            <w:pPr>
              <w:spacing w:before="40" w:after="40" w:line="480" w:lineRule="auto"/>
              <w:jc w:val="both"/>
            </w:pPr>
            <w:r>
              <w:t>Business training research</w:t>
            </w:r>
          </w:p>
        </w:tc>
        <w:tc>
          <w:tcPr>
            <w:tcW w:w="3528" w:type="dxa"/>
            <w:tcBorders>
              <w:top w:val="nil"/>
              <w:left w:val="nil"/>
              <w:bottom w:val="nil"/>
              <w:right w:val="nil"/>
            </w:tcBorders>
          </w:tcPr>
          <w:p w14:paraId="4E0A6E65" w14:textId="77777777" w:rsidR="000A21BE" w:rsidRDefault="00772D4B" w:rsidP="00386DA6">
            <w:pPr>
              <w:spacing w:before="40" w:after="40" w:line="480" w:lineRule="auto"/>
              <w:jc w:val="both"/>
            </w:pPr>
            <w:r>
              <w:t>Supports testing changes in business practices and performance.</w:t>
            </w:r>
          </w:p>
        </w:tc>
        <w:tc>
          <w:tcPr>
            <w:tcW w:w="3960" w:type="dxa"/>
            <w:tcBorders>
              <w:top w:val="nil"/>
              <w:left w:val="nil"/>
              <w:bottom w:val="nil"/>
              <w:right w:val="nil"/>
            </w:tcBorders>
          </w:tcPr>
          <w:p w14:paraId="0139E749" w14:textId="77777777" w:rsidR="000A21BE" w:rsidRDefault="00772D4B" w:rsidP="00386DA6">
            <w:pPr>
              <w:spacing w:before="40" w:after="40" w:line="480" w:lineRule="auto"/>
              <w:jc w:val="both"/>
            </w:pPr>
            <w:r>
              <w:t>No automatic effect for a new programme.</w:t>
            </w:r>
          </w:p>
        </w:tc>
      </w:tr>
      <w:tr w:rsidR="000A21BE" w14:paraId="56518E25" w14:textId="77777777">
        <w:trPr>
          <w:cantSplit/>
          <w:jc w:val="center"/>
        </w:trPr>
        <w:tc>
          <w:tcPr>
            <w:tcW w:w="2304" w:type="dxa"/>
            <w:tcBorders>
              <w:top w:val="nil"/>
              <w:left w:val="nil"/>
              <w:bottom w:val="single" w:sz="4" w:space="0" w:color="auto"/>
              <w:right w:val="nil"/>
            </w:tcBorders>
          </w:tcPr>
          <w:p w14:paraId="04CE74DF" w14:textId="77777777" w:rsidR="000A21BE" w:rsidRDefault="00772D4B" w:rsidP="00386DA6">
            <w:pPr>
              <w:spacing w:before="40" w:after="40" w:line="480" w:lineRule="auto"/>
              <w:jc w:val="both"/>
            </w:pPr>
            <w:r>
              <w:t>Strategy and evaluation research</w:t>
            </w:r>
          </w:p>
        </w:tc>
        <w:tc>
          <w:tcPr>
            <w:tcW w:w="3528" w:type="dxa"/>
            <w:tcBorders>
              <w:top w:val="nil"/>
              <w:left w:val="nil"/>
              <w:bottom w:val="single" w:sz="4" w:space="0" w:color="auto"/>
              <w:right w:val="nil"/>
            </w:tcBorders>
          </w:tcPr>
          <w:p w14:paraId="7F66539B" w14:textId="77777777" w:rsidR="000A21BE" w:rsidRDefault="00772D4B" w:rsidP="00386DA6">
            <w:pPr>
              <w:spacing w:before="40" w:after="40" w:line="480" w:lineRule="auto"/>
              <w:jc w:val="both"/>
            </w:pPr>
            <w:r>
              <w:t>Specify mechanisms and credible comparisons.</w:t>
            </w:r>
          </w:p>
        </w:tc>
        <w:tc>
          <w:tcPr>
            <w:tcW w:w="3960" w:type="dxa"/>
            <w:tcBorders>
              <w:top w:val="nil"/>
              <w:left w:val="nil"/>
              <w:bottom w:val="single" w:sz="4" w:space="0" w:color="auto"/>
              <w:right w:val="nil"/>
            </w:tcBorders>
          </w:tcPr>
          <w:p w14:paraId="13A25989" w14:textId="77777777" w:rsidR="000A21BE" w:rsidRDefault="00772D4B" w:rsidP="00386DA6">
            <w:pPr>
              <w:spacing w:before="40" w:after="40" w:line="480" w:lineRule="auto"/>
              <w:jc w:val="both"/>
            </w:pPr>
            <w:r>
              <w:t>Plausible pathways remain untested here.</w:t>
            </w:r>
          </w:p>
        </w:tc>
      </w:tr>
    </w:tbl>
    <w:p w14:paraId="11C7162F" w14:textId="77777777" w:rsidR="000A21BE" w:rsidRDefault="00772D4B" w:rsidP="00386DA6">
      <w:pPr>
        <w:pStyle w:val="Caption"/>
        <w:jc w:val="both"/>
      </w:pPr>
      <w:r>
        <w:t>Sources: Financial Inclusion Fund (2026, n.d.-c); Banerjee et al. (2015); McKenzie and Puerto (2021); Teece (2007); Imai et al. (2010).</w:t>
      </w:r>
    </w:p>
    <w:p w14:paraId="1DAABC67" w14:textId="77777777" w:rsidR="000A21BE" w:rsidRDefault="00772D4B" w:rsidP="00386DA6">
      <w:pPr>
        <w:pStyle w:val="Heading1"/>
        <w:jc w:val="both"/>
      </w:pPr>
      <w:r>
        <w:t>3 Literature informing the conceptual model</w:t>
      </w:r>
    </w:p>
    <w:p w14:paraId="3A0A7F27" w14:textId="77777777" w:rsidR="000A21BE" w:rsidRDefault="00772D4B" w:rsidP="00386DA6">
      <w:pPr>
        <w:pStyle w:val="Heading1"/>
        <w:jc w:val="both"/>
      </w:pPr>
      <w:r>
        <w:t>3.1 Finance can support continuity without ensuring expansion</w:t>
      </w:r>
    </w:p>
    <w:p w14:paraId="3FBCDCCD" w14:textId="77777777" w:rsidR="000A21BE" w:rsidRDefault="00772D4B" w:rsidP="00386DA6">
      <w:pPr>
        <w:jc w:val="both"/>
      </w:pPr>
      <w:r>
        <w:t>Banerjee et al. (2015) synthesise six randomised microcredit evaluations and describe modest average benefits rather than broad transformation. This finding does not show that a particular Kenyan product is ineffective. It establishes a reason to test the size and distribution of benefits instead of inferring them from credit access. Borrowers may differ in business opportunities, existing debt and the purposes for which liquidity is needed.</w:t>
      </w:r>
    </w:p>
    <w:p w14:paraId="4B6F71F3" w14:textId="77777777" w:rsidR="000A21BE" w:rsidRDefault="00772D4B" w:rsidP="00386DA6">
      <w:pPr>
        <w:jc w:val="both"/>
      </w:pPr>
      <w:r>
        <w:lastRenderedPageBreak/>
        <w:t>Product maturity also matters. The current personal-loan webpage describes a 14-day repayment period, an annual interest rate calculated daily and a mandatory savings allocation. It permits business or personal use (Financial Inclusion Fund, n.d.-c). A short repayment horizon may suit fast inventory turnover but be poorly matched to an investment whose cash returns arrive much later. This is a proposed mechanism, not evidence that borrowers systematically misuse the product.</w:t>
      </w:r>
    </w:p>
    <w:p w14:paraId="0D734A14" w14:textId="77777777" w:rsidR="000A21BE" w:rsidRDefault="00772D4B" w:rsidP="00386DA6">
      <w:pPr>
        <w:jc w:val="both"/>
      </w:pPr>
      <w:r>
        <w:t>Restocking can prevent lost sales, preserve customer relationships and improve purchasing efficiency. It is therefore inappropriate to label all stock replenishment unstrategic. Conversely, buying unfamiliar equipment or entering a new market may destroy value if demand is weak. The relevant distinction is whether a decision improves expected returns or reduces an identified risk, given the enterprise’s circumstances. The novelty of the purchase alone cannot establish strategic quality.</w:t>
      </w:r>
    </w:p>
    <w:p w14:paraId="1AED89BB" w14:textId="77777777" w:rsidR="000A21BE" w:rsidRDefault="00772D4B" w:rsidP="00386DA6">
      <w:pPr>
        <w:jc w:val="both"/>
      </w:pPr>
      <w:r>
        <w:t>Household and enterprise finances also overlap. Emergency spending may protect an owner’s capacity to keep operating, even when it produces no immediate business investment. Evaluation should record these uses separately and assess household distress alongside enterprise outcomes. An instrument designed partly for financial inclusion should not be judged exclusively against an industrial growth objective that its terms may not support.</w:t>
      </w:r>
    </w:p>
    <w:p w14:paraId="25C981B5" w14:textId="77777777" w:rsidR="000A21BE" w:rsidRDefault="00772D4B" w:rsidP="00386DA6">
      <w:pPr>
        <w:pStyle w:val="Heading1"/>
        <w:jc w:val="both"/>
      </w:pPr>
      <w:r>
        <w:t>3.2 Management support is plausible but programme specific</w:t>
      </w:r>
    </w:p>
    <w:p w14:paraId="3E81CE20" w14:textId="77777777" w:rsidR="000A21BE" w:rsidRDefault="00772D4B" w:rsidP="00386DA6">
      <w:pPr>
        <w:jc w:val="both"/>
      </w:pPr>
      <w:r>
        <w:t>McKenzie and Woodruff (2017) develop measures of marketing, stock management, record keeping and financial planning across small firms in several developing countries. Better practices predict survival and sales growth in their panel evidence. Because prediction can reflect owner ability and other advantages, this association alone does not establish the effect of teaching those practices. It nevertheless provides more concrete measurement options than asking owners whether they have become more strategic.</w:t>
      </w:r>
    </w:p>
    <w:p w14:paraId="14CD8582" w14:textId="77777777" w:rsidR="000A21BE" w:rsidRDefault="00772D4B" w:rsidP="00386DA6">
      <w:pPr>
        <w:jc w:val="both"/>
      </w:pPr>
      <w:r>
        <w:t>Experimental evidence offers a stronger basis for testing support. McKenzie and Puerto (2021) report lasting business gains from a training experiment with women entrepreneurs in Kenya, alongside market-level sales growth. Their estimates for spillovers on competitors were small and statistically insignificant. The setting is relevant, but differences in participants, training and delivery prevent treating those results as an impact estimate for BETA.</w:t>
      </w:r>
    </w:p>
    <w:p w14:paraId="2B878493" w14:textId="77777777" w:rsidR="000A21BE" w:rsidRDefault="00772D4B" w:rsidP="00386DA6">
      <w:pPr>
        <w:jc w:val="both"/>
      </w:pPr>
      <w:r>
        <w:t>Campos et al. (2017) compare personal initiative training with traditional business training in Togo and find stronger profit gains under the personal initiative approach. This supports attention to what participants practise, not simply whether a course occurred. The implication for a Kenyan pilot is to specify the curriculum, document delivery and measure behaviour change. It does not justify promising the same percentage gain to a different population.</w:t>
      </w:r>
    </w:p>
    <w:p w14:paraId="08F5C5A9" w14:textId="77777777" w:rsidR="000A21BE" w:rsidRDefault="00772D4B" w:rsidP="00386DA6">
      <w:pPr>
        <w:pStyle w:val="Heading1"/>
        <w:jc w:val="both"/>
      </w:pPr>
      <w:r>
        <w:t>3.3 The Kenyan programme context</w:t>
      </w:r>
    </w:p>
    <w:p w14:paraId="57AC9818" w14:textId="77777777" w:rsidR="000A21BE" w:rsidRDefault="00772D4B" w:rsidP="00386DA6">
      <w:pPr>
        <w:jc w:val="both"/>
      </w:pPr>
      <w:r>
        <w:t>The 2024–2025 implementation report records zero achievement against a target of 1,000 enterprises trained and mentored under a specified Hustler Fund output, explaining that training materials were being developed (State Department for Economic Planning, 2025, Table 4.11, p. 90). This is a dated programme-specific entry, not evidence that all government enterprise training stopped. It demonstrates why exposure must be verified by component and period.</w:t>
      </w:r>
    </w:p>
    <w:p w14:paraId="1353B74C" w14:textId="77777777" w:rsidR="000A21BE" w:rsidRDefault="00772D4B" w:rsidP="00386DA6">
      <w:pPr>
        <w:jc w:val="both"/>
      </w:pPr>
      <w:r>
        <w:t>The subsequent Tukuze Hub information describes a phased pilot in Mombasa, Nyeri and Uasin Gishu, with possible wider rollout in 2027. Eligibility involves repayment history and screening; participation is voluntary (Financial Inclusion Fund, n.d.-b). Comparing participants with all nonparticipants would therefore combine the effect of support with pre-existing differences in eligibility, motivation and financial position. A defensible evaluation must address this selection directly.</w:t>
      </w:r>
    </w:p>
    <w:p w14:paraId="0DABABA4" w14:textId="77777777" w:rsidR="000A21BE" w:rsidRDefault="00772D4B" w:rsidP="00386DA6">
      <w:pPr>
        <w:pStyle w:val="Heading1"/>
        <w:jc w:val="both"/>
      </w:pPr>
      <w:r>
        <w:lastRenderedPageBreak/>
        <w:t>4 Conceptual framework and proposition development</w:t>
      </w:r>
    </w:p>
    <w:p w14:paraId="0DE45B91" w14:textId="77777777" w:rsidR="000A21BE" w:rsidRDefault="00772D4B" w:rsidP="00386DA6">
      <w:pPr>
        <w:jc w:val="both"/>
      </w:pPr>
      <w:r>
        <w:t>The focal unit is the enterprise, distinguished from its owner’s household and the wider market. Public support is an external input, comprising usable finance and services actually delivered. Management routines are repeated activities that support current operations, such as recording costs or monitoring inventory. Adaptive capabilities concern identifying consequential changes, committing resources to a response and reconfiguring operations. Continuity means maintaining operations and limiting disruption; sustained performance means persistent improvements in outcomes such as real profitability or productivity. These constructs must remain distinct even when they influence one another.</w:t>
      </w:r>
    </w:p>
    <w:p w14:paraId="0C998ADE" w14:textId="77777777" w:rsidR="000A21BE" w:rsidRDefault="00772D4B" w:rsidP="00386DA6">
      <w:pPr>
        <w:jc w:val="both"/>
      </w:pPr>
      <w:r>
        <w:t>Teece (2007) provides the sensing, seizing and reconfiguring perspective used here to describe adaptation. Fainshmidt et al. (2016) examine the broader relationship between dynamic capabilities and organisational performance through meta-analysis. These contributions motivate a mechanism worth investigating; they do not establish that receiving a public loan creates such capabilities. Nor should an analyst define a capable firm as one that performs well and then use that definition to explain performance.</w:t>
      </w:r>
    </w:p>
    <w:p w14:paraId="79711B2C" w14:textId="77777777" w:rsidR="000A21BE" w:rsidRDefault="00772D4B" w:rsidP="00386DA6">
      <w:pPr>
        <w:jc w:val="both"/>
      </w:pPr>
      <w:r>
        <w:t>North (1991) explains how formal rules and informal constraints shape incentives and the costs of exchange. Applied here, unpredictable fees, unreliable services or delayed buyer payments may absorb the benefit of additional resources. Local conditions should be measured independently where possible, using service records and documented operating constraints. Owner perceptions remain valuable, but dissatisfaction with business performance can influence those perceptions and produce misleading correlations.</w:t>
      </w:r>
    </w:p>
    <w:p w14:paraId="032C4D7E" w14:textId="77777777" w:rsidR="000A21BE" w:rsidRDefault="00772D4B" w:rsidP="00386DA6">
      <w:pPr>
        <w:jc w:val="both"/>
      </w:pPr>
      <w:r>
        <w:t>The model contains two connected pathways. In the continuity pathway, usable finance relieves an immediate liquidity constraint and reduces interruptions in existing activity. In the capability pathway, delivered support improves routines that generate information and managerial discipline; these routines can enable adaptive responses that subsequently affect performance. Finance may also influence performance directly, and prior capabilities can shape both participation and resource use. The model therefore proposes partial, conditional mediation rather than requiring all benefits to pass through one mechanism.</w:t>
      </w:r>
    </w:p>
    <w:p w14:paraId="55A57A78" w14:textId="77777777" w:rsidR="000A21BE" w:rsidRDefault="00772D4B" w:rsidP="00386DA6">
      <w:pPr>
        <w:pStyle w:val="Heading2"/>
        <w:jc w:val="both"/>
      </w:pPr>
      <w:r>
        <w:t>4.1 Liquidity and enterprise continuity</w:t>
      </w:r>
    </w:p>
    <w:p w14:paraId="48582111" w14:textId="77777777" w:rsidR="000A21BE" w:rsidRDefault="00772D4B" w:rsidP="00386DA6">
      <w:pPr>
        <w:jc w:val="both"/>
      </w:pPr>
      <w:r>
        <w:t>An enterprise can face profitable customer demand while lacking the cash needed to purchase inputs. If additional usable finance resolves that constraint, the enterprise can avoid missed transactions and maintain operations. This mechanism does not require a new product or market. It assumes that viable demand exists, borrowing does not merely replace equally accessible finance, and repayment obligations do not create a larger interruption later. Modest and heterogeneous microcredit findings make these qualifications essential (Banerjee et al., 2015).</w:t>
      </w:r>
    </w:p>
    <w:p w14:paraId="77F960FD" w14:textId="77777777" w:rsidR="000A21BE" w:rsidRDefault="00772D4B" w:rsidP="00386DA6">
      <w:pPr>
        <w:jc w:val="both"/>
      </w:pPr>
      <w:r>
        <w:t>Proposition 1: Where liquidity constrains otherwise viable operations, usable public finance is positively related to enterprise continuity, conditional on manageable repayment obligations.</w:t>
      </w:r>
    </w:p>
    <w:p w14:paraId="350AC59E" w14:textId="77777777" w:rsidR="000A21BE" w:rsidRDefault="00772D4B" w:rsidP="00386DA6">
      <w:pPr>
        <w:pStyle w:val="Heading2"/>
        <w:jc w:val="both"/>
      </w:pPr>
      <w:r>
        <w:t>4.2 Complementary support and management routines</w:t>
      </w:r>
    </w:p>
    <w:p w14:paraId="794C140A" w14:textId="77777777" w:rsidR="000A21BE" w:rsidRDefault="00772D4B" w:rsidP="00386DA6">
      <w:pPr>
        <w:jc w:val="both"/>
      </w:pPr>
      <w:r>
        <w:t>Advice affects an enterprise only when its content is understood and can be enacted. Training attendance is therefore an input, while a changed routine is an intermediate response. Practical coaching may improve the use of records, stock information and financial plans, reducing decision errors. Existing business-practice evidence and training experiments support examining this link, but they do not imply that every curriculum produces it (McKenzie &amp; Woodruff, 2017; Campos et al., 2017). Benefits should depend on relevance, delivery quality and opportunities to practise.</w:t>
      </w:r>
    </w:p>
    <w:p w14:paraId="76A9B512" w14:textId="77777777" w:rsidR="000A21BE" w:rsidRDefault="00772D4B" w:rsidP="00386DA6">
      <w:pPr>
        <w:jc w:val="both"/>
      </w:pPr>
      <w:r>
        <w:lastRenderedPageBreak/>
        <w:t>Proposition 2: Relevant, practice-oriented business support is positively related to improvements in management routines, with a stronger relationship where owners can apply and sustain the practices taught.</w:t>
      </w:r>
    </w:p>
    <w:p w14:paraId="6794740A" w14:textId="77777777" w:rsidR="000A21BE" w:rsidRDefault="00772D4B" w:rsidP="00386DA6">
      <w:pPr>
        <w:pStyle w:val="Heading2"/>
        <w:jc w:val="both"/>
      </w:pPr>
      <w:r>
        <w:t>4.3 Routines and adaptive capabilities</w:t>
      </w:r>
    </w:p>
    <w:p w14:paraId="45349141" w14:textId="77777777" w:rsidR="000A21BE" w:rsidRDefault="00772D4B" w:rsidP="00386DA6">
      <w:pPr>
        <w:jc w:val="both"/>
      </w:pPr>
      <w:r>
        <w:t>Reliable records may reveal declining margins or changing customer preferences, but information alone does not produce adaptation. An owner must recognise the implication, choose a response and redirect resources. This is where dynamic capabilities add explanatory value beyond ordinary routines (Teece, 2007). A firm may record transactions accurately yet fail to act on them; another may adapt successfully through informal observation. Routines are consequently an enabling condition rather than a necessary or sufficient cause of adaptive capability.</w:t>
      </w:r>
    </w:p>
    <w:p w14:paraId="0CB53A7E" w14:textId="77777777" w:rsidR="000A21BE" w:rsidRDefault="00772D4B" w:rsidP="00386DA6">
      <w:pPr>
        <w:jc w:val="both"/>
      </w:pPr>
      <w:r>
        <w:t>Proposition 3: Improvements in management routines contribute to sustained enterprise performance partly through adaptive capabilities, where firms possess sufficient decision discretion and resources to act on the information those routines generate.</w:t>
      </w:r>
    </w:p>
    <w:p w14:paraId="1F919904" w14:textId="77777777" w:rsidR="000A21BE" w:rsidRDefault="00772D4B" w:rsidP="00386DA6">
      <w:pPr>
        <w:pStyle w:val="Heading2"/>
        <w:jc w:val="both"/>
      </w:pPr>
      <w:r>
        <w:t>4.4 Institutional conditions as a boundary condition</w:t>
      </w:r>
    </w:p>
    <w:p w14:paraId="2FA7EC7F" w14:textId="77777777" w:rsidR="000A21BE" w:rsidRDefault="00772D4B" w:rsidP="00386DA6">
      <w:pPr>
        <w:jc w:val="both"/>
      </w:pPr>
      <w:r>
        <w:t>Institutional conditions can affect both resource access and the returns to deploying resources. Following North (1991), the framework treats predictable rules and dependable exchange arrangements as conditions that reduce uncertainty and transaction costs. An adaptive response may be economically sensible yet infeasible when licensing delays or unreliable buyer payments prevent implementation. County context is therefore not simply another individual attitude: it includes conditions shared by firms, alongside differences in their actual exposure to those conditions.</w:t>
      </w:r>
    </w:p>
    <w:p w14:paraId="582886E6" w14:textId="77777777" w:rsidR="000A21BE" w:rsidRDefault="00772D4B" w:rsidP="00386DA6">
      <w:pPr>
        <w:jc w:val="both"/>
      </w:pPr>
      <w:r>
        <w:t>Proposition 4: Predictable local institutional conditions strengthen the relationship between adaptive capabilities and sustained enterprise performance by reducing the costs and uncertainty of implementing strategic responses.</w:t>
      </w:r>
    </w:p>
    <w:p w14:paraId="25CBF954" w14:textId="77777777" w:rsidR="000A21BE" w:rsidRDefault="00772D4B" w:rsidP="00386DA6">
      <w:pPr>
        <w:pStyle w:val="Heading2"/>
        <w:jc w:val="both"/>
      </w:pPr>
      <w:r>
        <w:t>4.5 Financing horizons and strategic choice</w:t>
      </w:r>
    </w:p>
    <w:p w14:paraId="1D28C1D7" w14:textId="77777777" w:rsidR="000A21BE" w:rsidRDefault="00772D4B" w:rsidP="00386DA6">
      <w:pPr>
        <w:jc w:val="both"/>
      </w:pPr>
      <w:r>
        <w:t>The time required for an investment to generate cash places a constraint on which actions are feasible. A short-duration loan may sustain rapid inventory turnover yet leave an owner unable to undertake a longer-return investment. The personal-loan terms illustrate the relevance of this distinction without proving that a maturity mismatch occurs in every case (Financial Inclusion Fund, n.d.-c). Owners may rationally choose continuity even when they recognise an expansion opportunity. Repeated short-term borrowing should not automatically be interpreted as the absence of strategic intent.</w:t>
      </w:r>
    </w:p>
    <w:p w14:paraId="3FA12308" w14:textId="77777777" w:rsidR="000A21BE" w:rsidRDefault="00772D4B" w:rsidP="00386DA6">
      <w:pPr>
        <w:jc w:val="both"/>
      </w:pPr>
      <w:r>
        <w:t>Proposition 5: A closer match between financing duration and the cash-generation horizon of a proposed business response strengthens the relationship between usable finance and the implementation of that response.</w:t>
      </w:r>
    </w:p>
    <w:p w14:paraId="23C9C027" w14:textId="77777777" w:rsidR="000A21BE" w:rsidRDefault="00772D4B" w:rsidP="00386DA6">
      <w:pPr>
        <w:pStyle w:val="Heading2"/>
        <w:jc w:val="both"/>
      </w:pPr>
      <w:r>
        <w:t>4.6 Enterprise gains and market outcomes</w:t>
      </w:r>
    </w:p>
    <w:p w14:paraId="0DDD4E45" w14:textId="77777777" w:rsidR="000A21BE" w:rsidRDefault="00772D4B" w:rsidP="00386DA6">
      <w:pPr>
        <w:jc w:val="both"/>
      </w:pPr>
      <w:r>
        <w:t>A supported business may gain customers by improving quality, reaching new demand or taking sales from a neighbouring firm. These mechanisms can generate similar enterprise-level results but different market-level consequences. The Kenyan training experiment of McKenzie and Puerto (2021) demonstrates why competitor outcomes are relevant to analysis. The framework does not assume either universal displacement or universal market expansion; it identifies demand expansion as a condition shaping the relationship between private gains and broader gains.</w:t>
      </w:r>
    </w:p>
    <w:p w14:paraId="7E106615" w14:textId="77777777" w:rsidR="000A21BE" w:rsidRDefault="00772D4B" w:rsidP="00386DA6">
      <w:pPr>
        <w:jc w:val="both"/>
      </w:pPr>
      <w:r>
        <w:lastRenderedPageBreak/>
        <w:t>Proposition 6: Improvements in supported-enterprise performance are more likely to generate positive aggregate market outcomes where support expands demand or productive capacity than where it only reallocates existing sales among competitors.</w:t>
      </w:r>
    </w:p>
    <w:p w14:paraId="56293C99" w14:textId="77777777" w:rsidR="000A21BE" w:rsidRDefault="00772D4B" w:rsidP="00386DA6">
      <w:pPr>
        <w:jc w:val="both"/>
      </w:pPr>
      <w:r>
        <w:t>Table 2 summarises the six propositions and the evidence that would help evaluate them. The statements are provisional theoretical expectations. Counterevidence may indicate a failed mechanism, a boundary condition or an inadequate measure; it should prompt revision of the framework rather than automatic dismissal of enterprise support.</w:t>
      </w:r>
    </w:p>
    <w:p w14:paraId="070694EC" w14:textId="77777777" w:rsidR="000A21BE" w:rsidRDefault="00772D4B" w:rsidP="00386DA6">
      <w:pPr>
        <w:pStyle w:val="Caption"/>
        <w:keepNext/>
        <w:jc w:val="both"/>
      </w:pPr>
      <w:r>
        <w:t>Table 2 Conceptual propositions and empirical implications</w:t>
      </w:r>
    </w:p>
    <w:tbl>
      <w:tblPr>
        <w:tblW w:w="0" w:type="auto"/>
        <w:jc w:val="center"/>
        <w:tblLayout w:type="fixed"/>
        <w:tblLook w:val="04A0" w:firstRow="1" w:lastRow="0" w:firstColumn="1" w:lastColumn="0" w:noHBand="0" w:noVBand="1"/>
      </w:tblPr>
      <w:tblGrid>
        <w:gridCol w:w="3096"/>
        <w:gridCol w:w="3384"/>
        <w:gridCol w:w="3312"/>
      </w:tblGrid>
      <w:tr w:rsidR="000A21BE" w14:paraId="4A13F140" w14:textId="77777777">
        <w:trPr>
          <w:cantSplit/>
          <w:tblHeader/>
          <w:jc w:val="center"/>
        </w:trPr>
        <w:tc>
          <w:tcPr>
            <w:tcW w:w="3096" w:type="dxa"/>
            <w:tcBorders>
              <w:top w:val="single" w:sz="4" w:space="0" w:color="auto"/>
              <w:left w:val="nil"/>
              <w:bottom w:val="single" w:sz="4" w:space="0" w:color="auto"/>
              <w:right w:val="nil"/>
            </w:tcBorders>
          </w:tcPr>
          <w:p w14:paraId="228BE552" w14:textId="77777777" w:rsidR="000A21BE" w:rsidRDefault="00772D4B" w:rsidP="00386DA6">
            <w:pPr>
              <w:spacing w:before="40" w:after="40" w:line="480" w:lineRule="auto"/>
              <w:jc w:val="both"/>
            </w:pPr>
            <w:r>
              <w:rPr>
                <w:b/>
              </w:rPr>
              <w:t>Proposition</w:t>
            </w:r>
          </w:p>
        </w:tc>
        <w:tc>
          <w:tcPr>
            <w:tcW w:w="3384" w:type="dxa"/>
            <w:tcBorders>
              <w:top w:val="single" w:sz="4" w:space="0" w:color="auto"/>
              <w:left w:val="nil"/>
              <w:bottom w:val="single" w:sz="4" w:space="0" w:color="auto"/>
              <w:right w:val="nil"/>
            </w:tcBorders>
          </w:tcPr>
          <w:p w14:paraId="6BE94E7B" w14:textId="77777777" w:rsidR="000A21BE" w:rsidRDefault="00772D4B" w:rsidP="00386DA6">
            <w:pPr>
              <w:spacing w:before="40" w:after="40" w:line="480" w:lineRule="auto"/>
              <w:jc w:val="both"/>
            </w:pPr>
            <w:r>
              <w:rPr>
                <w:b/>
              </w:rPr>
              <w:t>Observation required</w:t>
            </w:r>
          </w:p>
        </w:tc>
        <w:tc>
          <w:tcPr>
            <w:tcW w:w="3312" w:type="dxa"/>
            <w:tcBorders>
              <w:top w:val="single" w:sz="4" w:space="0" w:color="auto"/>
              <w:left w:val="nil"/>
              <w:bottom w:val="single" w:sz="4" w:space="0" w:color="auto"/>
              <w:right w:val="nil"/>
            </w:tcBorders>
          </w:tcPr>
          <w:p w14:paraId="7074C0C3" w14:textId="77777777" w:rsidR="000A21BE" w:rsidRDefault="00772D4B" w:rsidP="00386DA6">
            <w:pPr>
              <w:spacing w:before="40" w:after="40" w:line="480" w:lineRule="auto"/>
              <w:jc w:val="both"/>
            </w:pPr>
            <w:r>
              <w:rPr>
                <w:b/>
              </w:rPr>
              <w:t>Finding that would weaken it</w:t>
            </w:r>
          </w:p>
        </w:tc>
      </w:tr>
      <w:tr w:rsidR="000A21BE" w14:paraId="24B09F53" w14:textId="77777777">
        <w:trPr>
          <w:cantSplit/>
          <w:jc w:val="center"/>
        </w:trPr>
        <w:tc>
          <w:tcPr>
            <w:tcW w:w="3096" w:type="dxa"/>
          </w:tcPr>
          <w:p w14:paraId="7A1AFA31" w14:textId="77777777" w:rsidR="000A21BE" w:rsidRDefault="00772D4B" w:rsidP="00386DA6">
            <w:pPr>
              <w:spacing w:after="40" w:line="480" w:lineRule="auto"/>
              <w:jc w:val="both"/>
            </w:pPr>
            <w:r>
              <w:t>P1 Liquidity supports continuity.</w:t>
            </w:r>
          </w:p>
        </w:tc>
        <w:tc>
          <w:tcPr>
            <w:tcW w:w="3384" w:type="dxa"/>
          </w:tcPr>
          <w:p w14:paraId="77FD10C0" w14:textId="77777777" w:rsidR="000A21BE" w:rsidRDefault="00772D4B" w:rsidP="00386DA6">
            <w:pPr>
              <w:spacing w:after="40" w:line="480" w:lineRule="auto"/>
              <w:jc w:val="both"/>
            </w:pPr>
            <w:r>
              <w:t>Fewer interruptions where liquidity was binding.</w:t>
            </w:r>
          </w:p>
        </w:tc>
        <w:tc>
          <w:tcPr>
            <w:tcW w:w="3312" w:type="dxa"/>
          </w:tcPr>
          <w:p w14:paraId="427885C5" w14:textId="77777777" w:rsidR="000A21BE" w:rsidRDefault="00772D4B" w:rsidP="00386DA6">
            <w:pPr>
              <w:spacing w:after="40" w:line="480" w:lineRule="auto"/>
              <w:jc w:val="both"/>
            </w:pPr>
            <w:r>
              <w:t>No continuity gains despite adequate usable finance.</w:t>
            </w:r>
          </w:p>
        </w:tc>
      </w:tr>
      <w:tr w:rsidR="000A21BE" w14:paraId="454E5B79" w14:textId="77777777">
        <w:trPr>
          <w:cantSplit/>
          <w:jc w:val="center"/>
        </w:trPr>
        <w:tc>
          <w:tcPr>
            <w:tcW w:w="3096" w:type="dxa"/>
          </w:tcPr>
          <w:p w14:paraId="26DCF4F1" w14:textId="77777777" w:rsidR="000A21BE" w:rsidRDefault="00772D4B" w:rsidP="00386DA6">
            <w:pPr>
              <w:spacing w:after="40" w:line="480" w:lineRule="auto"/>
              <w:jc w:val="both"/>
            </w:pPr>
            <w:r>
              <w:t>P2 Support improves routines.</w:t>
            </w:r>
          </w:p>
        </w:tc>
        <w:tc>
          <w:tcPr>
            <w:tcW w:w="3384" w:type="dxa"/>
          </w:tcPr>
          <w:p w14:paraId="05AD8776" w14:textId="77777777" w:rsidR="000A21BE" w:rsidRDefault="00772D4B" w:rsidP="00386DA6">
            <w:pPr>
              <w:spacing w:after="40" w:line="480" w:lineRule="auto"/>
              <w:jc w:val="both"/>
            </w:pPr>
            <w:r>
              <w:t>Relevant practices adopted and sustained.</w:t>
            </w:r>
          </w:p>
        </w:tc>
        <w:tc>
          <w:tcPr>
            <w:tcW w:w="3312" w:type="dxa"/>
          </w:tcPr>
          <w:p w14:paraId="6D327F66" w14:textId="77777777" w:rsidR="000A21BE" w:rsidRDefault="00772D4B" w:rsidP="00386DA6">
            <w:pPr>
              <w:spacing w:after="40" w:line="480" w:lineRule="auto"/>
              <w:jc w:val="both"/>
            </w:pPr>
            <w:r>
              <w:t>Attendance without changes in practice.</w:t>
            </w:r>
          </w:p>
        </w:tc>
      </w:tr>
      <w:tr w:rsidR="000A21BE" w14:paraId="52B91C21" w14:textId="77777777">
        <w:trPr>
          <w:cantSplit/>
          <w:jc w:val="center"/>
        </w:trPr>
        <w:tc>
          <w:tcPr>
            <w:tcW w:w="3096" w:type="dxa"/>
          </w:tcPr>
          <w:p w14:paraId="6A180EB1" w14:textId="77777777" w:rsidR="000A21BE" w:rsidRDefault="00772D4B" w:rsidP="00386DA6">
            <w:pPr>
              <w:spacing w:after="40" w:line="480" w:lineRule="auto"/>
              <w:jc w:val="both"/>
            </w:pPr>
            <w:r>
              <w:t>P3 Capabilities mediate later gains.</w:t>
            </w:r>
          </w:p>
        </w:tc>
        <w:tc>
          <w:tcPr>
            <w:tcW w:w="3384" w:type="dxa"/>
          </w:tcPr>
          <w:p w14:paraId="37F87F0F" w14:textId="77777777" w:rsidR="000A21BE" w:rsidRDefault="00772D4B" w:rsidP="00386DA6">
            <w:pPr>
              <w:spacing w:after="40" w:line="480" w:lineRule="auto"/>
              <w:jc w:val="both"/>
            </w:pPr>
            <w:r>
              <w:t>Adaptive responses follow routine improvements.</w:t>
            </w:r>
          </w:p>
        </w:tc>
        <w:tc>
          <w:tcPr>
            <w:tcW w:w="3312" w:type="dxa"/>
          </w:tcPr>
          <w:p w14:paraId="532F255C" w14:textId="77777777" w:rsidR="000A21BE" w:rsidRDefault="00772D4B" w:rsidP="00386DA6">
            <w:pPr>
              <w:spacing w:after="40" w:line="480" w:lineRule="auto"/>
              <w:jc w:val="both"/>
            </w:pPr>
            <w:r>
              <w:t>Performance changes without the proposed mechanism.</w:t>
            </w:r>
          </w:p>
        </w:tc>
      </w:tr>
      <w:tr w:rsidR="000A21BE" w14:paraId="4A6D2424" w14:textId="77777777">
        <w:trPr>
          <w:cantSplit/>
          <w:jc w:val="center"/>
        </w:trPr>
        <w:tc>
          <w:tcPr>
            <w:tcW w:w="3096" w:type="dxa"/>
          </w:tcPr>
          <w:p w14:paraId="2278F26F" w14:textId="77777777" w:rsidR="000A21BE" w:rsidRDefault="00772D4B" w:rsidP="00386DA6">
            <w:pPr>
              <w:spacing w:after="40" w:line="480" w:lineRule="auto"/>
              <w:jc w:val="both"/>
            </w:pPr>
            <w:r>
              <w:t>P4 Institutions condition capability returns.</w:t>
            </w:r>
          </w:p>
        </w:tc>
        <w:tc>
          <w:tcPr>
            <w:tcW w:w="3384" w:type="dxa"/>
          </w:tcPr>
          <w:p w14:paraId="14F95B00" w14:textId="77777777" w:rsidR="000A21BE" w:rsidRDefault="00772D4B" w:rsidP="00386DA6">
            <w:pPr>
              <w:spacing w:after="40" w:line="480" w:lineRule="auto"/>
              <w:jc w:val="both"/>
            </w:pPr>
            <w:r>
              <w:t>Stronger returns under predictable conditions.</w:t>
            </w:r>
          </w:p>
        </w:tc>
        <w:tc>
          <w:tcPr>
            <w:tcW w:w="3312" w:type="dxa"/>
          </w:tcPr>
          <w:p w14:paraId="3D24DE33" w14:textId="77777777" w:rsidR="000A21BE" w:rsidRDefault="00772D4B" w:rsidP="00386DA6">
            <w:pPr>
              <w:spacing w:after="40" w:line="480" w:lineRule="auto"/>
              <w:jc w:val="both"/>
            </w:pPr>
            <w:r>
              <w:t>No meaningful interaction at adequate precision.</w:t>
            </w:r>
          </w:p>
        </w:tc>
      </w:tr>
      <w:tr w:rsidR="000A21BE" w14:paraId="43EE4B55" w14:textId="77777777">
        <w:trPr>
          <w:cantSplit/>
          <w:jc w:val="center"/>
        </w:trPr>
        <w:tc>
          <w:tcPr>
            <w:tcW w:w="3096" w:type="dxa"/>
          </w:tcPr>
          <w:p w14:paraId="58105C35" w14:textId="77777777" w:rsidR="000A21BE" w:rsidRDefault="00772D4B" w:rsidP="00386DA6">
            <w:pPr>
              <w:spacing w:after="40" w:line="480" w:lineRule="auto"/>
              <w:jc w:val="both"/>
            </w:pPr>
            <w:r>
              <w:t>P5 Financing horizons enable responses.</w:t>
            </w:r>
          </w:p>
        </w:tc>
        <w:tc>
          <w:tcPr>
            <w:tcW w:w="3384" w:type="dxa"/>
          </w:tcPr>
          <w:p w14:paraId="06AE4303" w14:textId="77777777" w:rsidR="000A21BE" w:rsidRDefault="00772D4B" w:rsidP="00386DA6">
            <w:pPr>
              <w:spacing w:after="40" w:line="480" w:lineRule="auto"/>
              <w:jc w:val="both"/>
            </w:pPr>
            <w:r>
              <w:t>Investment timing aligns with cash generation.</w:t>
            </w:r>
          </w:p>
        </w:tc>
        <w:tc>
          <w:tcPr>
            <w:tcW w:w="3312" w:type="dxa"/>
          </w:tcPr>
          <w:p w14:paraId="664D70D3" w14:textId="77777777" w:rsidR="000A21BE" w:rsidRDefault="00772D4B" w:rsidP="00386DA6">
            <w:pPr>
              <w:spacing w:after="40" w:line="480" w:lineRule="auto"/>
              <w:jc w:val="both"/>
            </w:pPr>
            <w:r>
              <w:t>No relationship after accounting for financing needs.</w:t>
            </w:r>
          </w:p>
        </w:tc>
      </w:tr>
      <w:tr w:rsidR="000A21BE" w14:paraId="10F5423A" w14:textId="77777777">
        <w:trPr>
          <w:cantSplit/>
          <w:jc w:val="center"/>
        </w:trPr>
        <w:tc>
          <w:tcPr>
            <w:tcW w:w="3096" w:type="dxa"/>
            <w:tcBorders>
              <w:bottom w:val="single" w:sz="4" w:space="0" w:color="000000"/>
            </w:tcBorders>
          </w:tcPr>
          <w:p w14:paraId="27CCDF50" w14:textId="77777777" w:rsidR="000A21BE" w:rsidRDefault="00772D4B" w:rsidP="00386DA6">
            <w:pPr>
              <w:spacing w:after="40" w:line="480" w:lineRule="auto"/>
              <w:jc w:val="both"/>
            </w:pPr>
            <w:r>
              <w:t>P6 Market gains depend on demand expansion.</w:t>
            </w:r>
          </w:p>
        </w:tc>
        <w:tc>
          <w:tcPr>
            <w:tcW w:w="3384" w:type="dxa"/>
            <w:tcBorders>
              <w:bottom w:val="single" w:sz="4" w:space="0" w:color="000000"/>
            </w:tcBorders>
          </w:tcPr>
          <w:p w14:paraId="799FB4F5" w14:textId="77777777" w:rsidR="000A21BE" w:rsidRDefault="00772D4B" w:rsidP="00386DA6">
            <w:pPr>
              <w:spacing w:after="40" w:line="480" w:lineRule="auto"/>
              <w:jc w:val="both"/>
            </w:pPr>
            <w:r>
              <w:t>Participant and competitor outcomes tracked.</w:t>
            </w:r>
          </w:p>
        </w:tc>
        <w:tc>
          <w:tcPr>
            <w:tcW w:w="3312" w:type="dxa"/>
            <w:tcBorders>
              <w:bottom w:val="single" w:sz="4" w:space="0" w:color="000000"/>
            </w:tcBorders>
          </w:tcPr>
          <w:p w14:paraId="7EEE2458" w14:textId="77777777" w:rsidR="000A21BE" w:rsidRDefault="00772D4B" w:rsidP="00386DA6">
            <w:pPr>
              <w:spacing w:after="40" w:line="480" w:lineRule="auto"/>
              <w:jc w:val="both"/>
            </w:pPr>
            <w:r>
              <w:t>No difference across demand-expanding and redistributive responses.</w:t>
            </w:r>
          </w:p>
        </w:tc>
      </w:tr>
    </w:tbl>
    <w:p w14:paraId="2BFA6118" w14:textId="77777777" w:rsidR="000A21BE" w:rsidRDefault="00772D4B" w:rsidP="00386DA6">
      <w:pPr>
        <w:pStyle w:val="Caption"/>
        <w:jc w:val="both"/>
      </w:pPr>
      <w:r>
        <w:t>Source: Author’s proposed framework. These propositions have not been tested in this article.</w:t>
      </w:r>
    </w:p>
    <w:p w14:paraId="3F6BAE22" w14:textId="77777777" w:rsidR="000A21BE" w:rsidRDefault="00772D4B" w:rsidP="00386DA6">
      <w:pPr>
        <w:jc w:val="both"/>
      </w:pPr>
      <w:r>
        <w:t>The framework deliberately avoids a single score for BETA exposure. An approved loan, cash actually received and repeated borrowing are different measures; coaching requires evidence of sessions delivered. Training and finance should enter analysis as distinct components before any complementarity is tested. A positive coaching effect among existing borrowers shows incremental value in that population. Demonstrating that finance and coaching are complementary requires additional variation in finance access, such as an appropriately designed factorial evaluation.</w:t>
      </w:r>
    </w:p>
    <w:p w14:paraId="21043515" w14:textId="77777777" w:rsidR="000A21BE" w:rsidRDefault="00772D4B" w:rsidP="00386DA6">
      <w:pPr>
        <w:pStyle w:val="Heading1"/>
        <w:jc w:val="both"/>
      </w:pPr>
      <w:r>
        <w:lastRenderedPageBreak/>
        <w:t>5 Theoretical contribution and policy implications</w:t>
      </w:r>
    </w:p>
    <w:p w14:paraId="39751B3B" w14:textId="77777777" w:rsidR="000A21BE" w:rsidRDefault="00772D4B" w:rsidP="00386DA6">
      <w:pPr>
        <w:jc w:val="both"/>
      </w:pPr>
      <w:r>
        <w:t>The framework contributes to enterprise-support research in three specific ways. It separates business continuity from sustained improvement, preventing the absence of expansion from being mistaken for the absence of benefit. It distinguishes ordinary management routines from adaptive capabilities, reducing conceptual overlap between mediators and outcomes. It also locates institutional predictability and financing horizons within the explanation of why similar resources yield different responses. These are refinements to the organisation and application of existing ideas, not claims of an entirely new theory.</w:t>
      </w:r>
    </w:p>
    <w:p w14:paraId="5CA26D8A" w14:textId="77777777" w:rsidR="000A21BE" w:rsidRDefault="00772D4B" w:rsidP="00386DA6">
      <w:pPr>
        <w:jc w:val="both"/>
      </w:pPr>
      <w:r>
        <w:t>For measurement, the distinctions imply that public support should be observed as services and resources delivered, while outcomes should be measured independently. Unique enterprises, repeat loan transactions and households are different units. Repayment is relevant to financial sustainability, but it is not a direct measure of enterprise profitability. The framework therefore calls for separate measures of exposure, continuity, adaptive responses and sustained performance.</w:t>
      </w:r>
    </w:p>
    <w:p w14:paraId="5E512F6E" w14:textId="77777777" w:rsidR="000A21BE" w:rsidRDefault="00772D4B" w:rsidP="00386DA6">
      <w:pPr>
        <w:jc w:val="both"/>
      </w:pPr>
      <w:r>
        <w:t>For programme design, support should correspond to the constraint the enterprise faces. A firm with viable demand and stockouts may primarily need liquidity and better cash-flow routines. A firm facing changing demand may require information and the resources to adapt. Additional borrowing may have little value when the central constraint is a lack of viable customers. The model supports diagnosis and testing rather than a presumption that a larger loan is always the appropriate response.</w:t>
      </w:r>
    </w:p>
    <w:p w14:paraId="6B95892B" w14:textId="77777777" w:rsidR="000A21BE" w:rsidRDefault="00772D4B" w:rsidP="00386DA6">
      <w:pPr>
        <w:jc w:val="both"/>
      </w:pPr>
      <w:r>
        <w:t>Institutional conditions should also enter interpretation. Failure to implement an intended response may reflect unreliable services or delayed payments rather than an owner’s lack of capability. Conversely, improved outcomes after support may reflect unrelated changes in the local environment. Table 3 translates these theoretical distinctions into possible policy applications. It does not prescribe a programme rollout or present an agreed implementation plan.</w:t>
      </w:r>
    </w:p>
    <w:p w14:paraId="62BC1A46" w14:textId="77777777" w:rsidR="000A21BE" w:rsidRDefault="00772D4B" w:rsidP="00386DA6">
      <w:pPr>
        <w:pStyle w:val="Caption"/>
        <w:keepNext/>
        <w:jc w:val="both"/>
      </w:pPr>
      <w:r>
        <w:t>Table 3 Policy implications of the conceptual distinctions</w:t>
      </w:r>
    </w:p>
    <w:tbl>
      <w:tblPr>
        <w:tblW w:w="0" w:type="auto"/>
        <w:jc w:val="center"/>
        <w:tblLayout w:type="fixed"/>
        <w:tblLook w:val="04A0" w:firstRow="1" w:lastRow="0" w:firstColumn="1" w:lastColumn="0" w:noHBand="0" w:noVBand="1"/>
      </w:tblPr>
      <w:tblGrid>
        <w:gridCol w:w="3384"/>
        <w:gridCol w:w="3024"/>
        <w:gridCol w:w="3384"/>
      </w:tblGrid>
      <w:tr w:rsidR="000A21BE" w14:paraId="2B240EC8" w14:textId="77777777">
        <w:trPr>
          <w:cantSplit/>
          <w:tblHeader/>
          <w:jc w:val="center"/>
        </w:trPr>
        <w:tc>
          <w:tcPr>
            <w:tcW w:w="3384" w:type="dxa"/>
            <w:tcBorders>
              <w:top w:val="single" w:sz="4" w:space="0" w:color="auto"/>
              <w:left w:val="nil"/>
              <w:bottom w:val="single" w:sz="4" w:space="0" w:color="auto"/>
              <w:right w:val="nil"/>
            </w:tcBorders>
          </w:tcPr>
          <w:p w14:paraId="6548DFBF" w14:textId="77777777" w:rsidR="000A21BE" w:rsidRDefault="00772D4B" w:rsidP="00386DA6">
            <w:pPr>
              <w:spacing w:line="480" w:lineRule="auto"/>
              <w:jc w:val="both"/>
            </w:pPr>
            <w:r>
              <w:rPr>
                <w:b/>
              </w:rPr>
              <w:t>Conceptual distinction</w:t>
            </w:r>
          </w:p>
        </w:tc>
        <w:tc>
          <w:tcPr>
            <w:tcW w:w="3024" w:type="dxa"/>
            <w:tcBorders>
              <w:top w:val="single" w:sz="4" w:space="0" w:color="auto"/>
              <w:left w:val="nil"/>
              <w:bottom w:val="single" w:sz="4" w:space="0" w:color="auto"/>
              <w:right w:val="nil"/>
            </w:tcBorders>
          </w:tcPr>
          <w:p w14:paraId="37BC86F1" w14:textId="77777777" w:rsidR="000A21BE" w:rsidRDefault="00772D4B" w:rsidP="00386DA6">
            <w:pPr>
              <w:spacing w:line="480" w:lineRule="auto"/>
              <w:jc w:val="both"/>
            </w:pPr>
            <w:r>
              <w:rPr>
                <w:b/>
              </w:rPr>
              <w:t>Policy implication</w:t>
            </w:r>
          </w:p>
        </w:tc>
        <w:tc>
          <w:tcPr>
            <w:tcW w:w="3384" w:type="dxa"/>
            <w:tcBorders>
              <w:top w:val="single" w:sz="4" w:space="0" w:color="auto"/>
              <w:left w:val="nil"/>
              <w:bottom w:val="single" w:sz="4" w:space="0" w:color="auto"/>
              <w:right w:val="nil"/>
            </w:tcBorders>
          </w:tcPr>
          <w:p w14:paraId="56919C3F" w14:textId="77777777" w:rsidR="000A21BE" w:rsidRDefault="00772D4B" w:rsidP="00386DA6">
            <w:pPr>
              <w:spacing w:line="480" w:lineRule="auto"/>
              <w:jc w:val="both"/>
            </w:pPr>
            <w:r>
              <w:rPr>
                <w:b/>
              </w:rPr>
              <w:t>Illustrative indicator</w:t>
            </w:r>
          </w:p>
        </w:tc>
      </w:tr>
      <w:tr w:rsidR="000A21BE" w14:paraId="44E39FFF" w14:textId="77777777">
        <w:trPr>
          <w:cantSplit/>
          <w:jc w:val="center"/>
        </w:trPr>
        <w:tc>
          <w:tcPr>
            <w:tcW w:w="3384" w:type="dxa"/>
            <w:tcBorders>
              <w:top w:val="nil"/>
              <w:left w:val="nil"/>
              <w:bottom w:val="nil"/>
              <w:right w:val="nil"/>
            </w:tcBorders>
          </w:tcPr>
          <w:p w14:paraId="2157C5BB" w14:textId="77777777" w:rsidR="000A21BE" w:rsidRDefault="00772D4B" w:rsidP="00386DA6">
            <w:pPr>
              <w:spacing w:line="480" w:lineRule="auto"/>
              <w:jc w:val="both"/>
            </w:pPr>
            <w:r>
              <w:t>Continuity versus growth</w:t>
            </w:r>
          </w:p>
        </w:tc>
        <w:tc>
          <w:tcPr>
            <w:tcW w:w="3024" w:type="dxa"/>
            <w:tcBorders>
              <w:top w:val="nil"/>
              <w:left w:val="nil"/>
              <w:bottom w:val="nil"/>
              <w:right w:val="nil"/>
            </w:tcBorders>
          </w:tcPr>
          <w:p w14:paraId="3F495DD1" w14:textId="77777777" w:rsidR="000A21BE" w:rsidRDefault="00772D4B" w:rsidP="00386DA6">
            <w:pPr>
              <w:spacing w:line="480" w:lineRule="auto"/>
              <w:jc w:val="both"/>
            </w:pPr>
            <w:r>
              <w:t>Recognise stabilisation separately.</w:t>
            </w:r>
          </w:p>
        </w:tc>
        <w:tc>
          <w:tcPr>
            <w:tcW w:w="3384" w:type="dxa"/>
            <w:tcBorders>
              <w:top w:val="nil"/>
              <w:left w:val="nil"/>
              <w:bottom w:val="nil"/>
              <w:right w:val="nil"/>
            </w:tcBorders>
          </w:tcPr>
          <w:p w14:paraId="7CA0EE51" w14:textId="77777777" w:rsidR="000A21BE" w:rsidRDefault="00772D4B" w:rsidP="00386DA6">
            <w:pPr>
              <w:spacing w:line="480" w:lineRule="auto"/>
              <w:jc w:val="both"/>
            </w:pPr>
            <w:r>
              <w:t>Track interruptions and later real profits.</w:t>
            </w:r>
          </w:p>
        </w:tc>
      </w:tr>
      <w:tr w:rsidR="000A21BE" w14:paraId="4101C43F" w14:textId="77777777">
        <w:trPr>
          <w:cantSplit/>
          <w:jc w:val="center"/>
        </w:trPr>
        <w:tc>
          <w:tcPr>
            <w:tcW w:w="3384" w:type="dxa"/>
            <w:tcBorders>
              <w:top w:val="nil"/>
              <w:left w:val="nil"/>
              <w:bottom w:val="nil"/>
              <w:right w:val="nil"/>
            </w:tcBorders>
          </w:tcPr>
          <w:p w14:paraId="6B7DDC2A" w14:textId="77777777" w:rsidR="000A21BE" w:rsidRDefault="00772D4B" w:rsidP="00386DA6">
            <w:pPr>
              <w:spacing w:line="480" w:lineRule="auto"/>
              <w:jc w:val="both"/>
            </w:pPr>
            <w:r>
              <w:t>Resources versus routines</w:t>
            </w:r>
          </w:p>
        </w:tc>
        <w:tc>
          <w:tcPr>
            <w:tcW w:w="3024" w:type="dxa"/>
            <w:tcBorders>
              <w:top w:val="nil"/>
              <w:left w:val="nil"/>
              <w:bottom w:val="nil"/>
              <w:right w:val="nil"/>
            </w:tcBorders>
          </w:tcPr>
          <w:p w14:paraId="567431FD" w14:textId="77777777" w:rsidR="000A21BE" w:rsidRDefault="00772D4B" w:rsidP="00386DA6">
            <w:pPr>
              <w:spacing w:line="480" w:lineRule="auto"/>
              <w:jc w:val="both"/>
            </w:pPr>
            <w:r>
              <w:t>Measure delivered and applied support.</w:t>
            </w:r>
          </w:p>
        </w:tc>
        <w:tc>
          <w:tcPr>
            <w:tcW w:w="3384" w:type="dxa"/>
            <w:tcBorders>
              <w:top w:val="nil"/>
              <w:left w:val="nil"/>
              <w:bottom w:val="nil"/>
              <w:right w:val="nil"/>
            </w:tcBorders>
          </w:tcPr>
          <w:p w14:paraId="42AEA521" w14:textId="77777777" w:rsidR="000A21BE" w:rsidRDefault="00772D4B" w:rsidP="00386DA6">
            <w:pPr>
              <w:spacing w:line="480" w:lineRule="auto"/>
              <w:jc w:val="both"/>
            </w:pPr>
            <w:r>
              <w:t>Compare access, attendance and practice change.</w:t>
            </w:r>
          </w:p>
        </w:tc>
      </w:tr>
      <w:tr w:rsidR="000A21BE" w14:paraId="5A6C0D4E" w14:textId="77777777">
        <w:trPr>
          <w:cantSplit/>
          <w:jc w:val="center"/>
        </w:trPr>
        <w:tc>
          <w:tcPr>
            <w:tcW w:w="3384" w:type="dxa"/>
            <w:tcBorders>
              <w:top w:val="nil"/>
              <w:left w:val="nil"/>
              <w:bottom w:val="nil"/>
              <w:right w:val="nil"/>
            </w:tcBorders>
          </w:tcPr>
          <w:p w14:paraId="7BD275E2" w14:textId="77777777" w:rsidR="000A21BE" w:rsidRDefault="00772D4B" w:rsidP="00386DA6">
            <w:pPr>
              <w:spacing w:line="480" w:lineRule="auto"/>
              <w:jc w:val="both"/>
            </w:pPr>
            <w:r>
              <w:t>Capabilities versus institutions</w:t>
            </w:r>
          </w:p>
        </w:tc>
        <w:tc>
          <w:tcPr>
            <w:tcW w:w="3024" w:type="dxa"/>
            <w:tcBorders>
              <w:top w:val="nil"/>
              <w:left w:val="nil"/>
              <w:bottom w:val="nil"/>
              <w:right w:val="nil"/>
            </w:tcBorders>
          </w:tcPr>
          <w:p w14:paraId="54014680" w14:textId="77777777" w:rsidR="000A21BE" w:rsidRDefault="00772D4B" w:rsidP="00386DA6">
            <w:pPr>
              <w:spacing w:line="480" w:lineRule="auto"/>
              <w:jc w:val="both"/>
            </w:pPr>
            <w:r>
              <w:t>Assess feasible strategic responses.</w:t>
            </w:r>
          </w:p>
        </w:tc>
        <w:tc>
          <w:tcPr>
            <w:tcW w:w="3384" w:type="dxa"/>
            <w:tcBorders>
              <w:top w:val="nil"/>
              <w:left w:val="nil"/>
              <w:bottom w:val="nil"/>
              <w:right w:val="nil"/>
            </w:tcBorders>
          </w:tcPr>
          <w:p w14:paraId="4FFA8FD0" w14:textId="77777777" w:rsidR="000A21BE" w:rsidRDefault="00772D4B" w:rsidP="00386DA6">
            <w:pPr>
              <w:spacing w:line="480" w:lineRule="auto"/>
              <w:jc w:val="both"/>
            </w:pPr>
            <w:r>
              <w:t>Record adaptation and external constraints.</w:t>
            </w:r>
          </w:p>
        </w:tc>
      </w:tr>
      <w:tr w:rsidR="000A21BE" w14:paraId="051643BE" w14:textId="77777777">
        <w:trPr>
          <w:cantSplit/>
          <w:jc w:val="center"/>
        </w:trPr>
        <w:tc>
          <w:tcPr>
            <w:tcW w:w="3384" w:type="dxa"/>
            <w:tcBorders>
              <w:top w:val="nil"/>
              <w:left w:val="nil"/>
              <w:bottom w:val="single" w:sz="4" w:space="0" w:color="auto"/>
              <w:right w:val="nil"/>
            </w:tcBorders>
          </w:tcPr>
          <w:p w14:paraId="7E475501" w14:textId="77777777" w:rsidR="000A21BE" w:rsidRDefault="00772D4B" w:rsidP="00386DA6">
            <w:pPr>
              <w:spacing w:line="480" w:lineRule="auto"/>
              <w:jc w:val="both"/>
            </w:pPr>
            <w:r>
              <w:t>Enterprise versus market gains</w:t>
            </w:r>
          </w:p>
        </w:tc>
        <w:tc>
          <w:tcPr>
            <w:tcW w:w="3024" w:type="dxa"/>
            <w:tcBorders>
              <w:top w:val="nil"/>
              <w:left w:val="nil"/>
              <w:bottom w:val="single" w:sz="4" w:space="0" w:color="auto"/>
              <w:right w:val="nil"/>
            </w:tcBorders>
          </w:tcPr>
          <w:p w14:paraId="1195083E" w14:textId="77777777" w:rsidR="000A21BE" w:rsidRDefault="00772D4B" w:rsidP="00386DA6">
            <w:pPr>
              <w:spacing w:line="480" w:lineRule="auto"/>
              <w:jc w:val="both"/>
            </w:pPr>
            <w:r>
              <w:t>Examine wider distributional effects.</w:t>
            </w:r>
          </w:p>
        </w:tc>
        <w:tc>
          <w:tcPr>
            <w:tcW w:w="3384" w:type="dxa"/>
            <w:tcBorders>
              <w:top w:val="nil"/>
              <w:left w:val="nil"/>
              <w:bottom w:val="single" w:sz="4" w:space="0" w:color="auto"/>
              <w:right w:val="nil"/>
            </w:tcBorders>
          </w:tcPr>
          <w:p w14:paraId="1D69F630" w14:textId="77777777" w:rsidR="000A21BE" w:rsidRDefault="00772D4B" w:rsidP="00386DA6">
            <w:pPr>
              <w:spacing w:line="480" w:lineRule="auto"/>
              <w:jc w:val="both"/>
            </w:pPr>
            <w:r>
              <w:t>Include competitors and excluded firms.</w:t>
            </w:r>
          </w:p>
        </w:tc>
      </w:tr>
    </w:tbl>
    <w:p w14:paraId="42317B42" w14:textId="77777777" w:rsidR="000A21BE" w:rsidRDefault="00772D4B" w:rsidP="00386DA6">
      <w:pPr>
        <w:pStyle w:val="Caption"/>
        <w:jc w:val="both"/>
      </w:pPr>
      <w:r>
        <w:t>Source: Author’s interpretation of the conceptual framework.</w:t>
      </w:r>
    </w:p>
    <w:p w14:paraId="7F526565" w14:textId="77777777" w:rsidR="000A21BE" w:rsidRDefault="00772D4B" w:rsidP="00386DA6">
      <w:pPr>
        <w:jc w:val="both"/>
      </w:pPr>
      <w:r>
        <w:lastRenderedPageBreak/>
        <w:t>Equity is part of the decision, not an appendix to average results. A programme selected on good repayment may appropriately target a growth segment while revealing little about owners experiencing distress. Report who is eligible, who is invited, who participates and who completes support. Examine barriers by sex, age, disability and business location where data quality and sample size permit. Separate an evaluation of an eligible growth cohort from the broader question of whether enterprise policy reaches people facing the greatest constraints.</w:t>
      </w:r>
    </w:p>
    <w:p w14:paraId="1708CC67" w14:textId="77777777" w:rsidR="000A21BE" w:rsidRDefault="00772D4B" w:rsidP="00386DA6">
      <w:pPr>
        <w:pStyle w:val="Heading1"/>
        <w:jc w:val="both"/>
      </w:pPr>
      <w:r>
        <w:t>6 Directions for future empirical research</w:t>
      </w:r>
    </w:p>
    <w:p w14:paraId="479656DF" w14:textId="77777777" w:rsidR="000A21BE" w:rsidRDefault="00772D4B" w:rsidP="00386DA6">
      <w:pPr>
        <w:pStyle w:val="Heading1"/>
        <w:jc w:val="both"/>
      </w:pPr>
      <w:r>
        <w:t>6.1 Testing the proposed relationships</w:t>
      </w:r>
    </w:p>
    <w:p w14:paraId="6D8F7F7A" w14:textId="77777777" w:rsidR="000A21BE" w:rsidRDefault="00772D4B" w:rsidP="00386DA6">
      <w:pPr>
        <w:jc w:val="both"/>
      </w:pPr>
      <w:r>
        <w:t>Future research should examine the two pathways separately before estimating a more complex integrated model. A longitudinal design could observe support exposure first, changes in routines and adaptive responses next, and performance later. Where feasible, randomised offers of additional support would strengthen causal inference. Observational comparisons would need to address selection into borrowing and training. No particular sample, study site or research protocol is adopted by this conceptual paper.</w:t>
      </w:r>
    </w:p>
    <w:p w14:paraId="351A5CB0" w14:textId="77777777" w:rsidR="000A21BE" w:rsidRDefault="00772D4B" w:rsidP="00386DA6">
      <w:pPr>
        <w:jc w:val="both"/>
      </w:pPr>
      <w:r>
        <w:t>The relevant outcome depends on the proposition: interruptions and survival for continuity, observable decisions for adaptation, and persistent real profitability or productivity for sustained performance. Dynamic capabilities should not be measured by asking whether a firm performs well. Instruments should distinguish information generation, decision processes and implemented responses, and examine whether owners interpret these concepts consistently across firm sizes and sectors.</w:t>
      </w:r>
    </w:p>
    <w:p w14:paraId="4F629F08" w14:textId="77777777" w:rsidR="000A21BE" w:rsidRDefault="00772D4B" w:rsidP="00386DA6">
      <w:pPr>
        <w:jc w:val="both"/>
      </w:pPr>
      <w:r>
        <w:t>Where services are introduced at different times, suitable longitudinal methods may help evaluate exposure, but credible comparison groups remain essential (Callaway &amp; Sant’Anna, 2021). A temporal sequence alone cannot establish causality. In particular, mediation requires assumptions about unmeasured causes of both intermediate processes and outcomes; sensitivity analysis should accompany causal interpretations (Imai et al., 2010).</w:t>
      </w:r>
    </w:p>
    <w:p w14:paraId="157BE09B" w14:textId="77777777" w:rsidR="000A21BE" w:rsidRDefault="00772D4B" w:rsidP="00386DA6">
      <w:pPr>
        <w:jc w:val="both"/>
      </w:pPr>
      <w:r>
        <w:t>Testing institutional moderation requires enough independent local contexts. More enterprises within a few purposively selected counties do not provide additional independent county observations. Future researchers should distinguish shared county conditions from firm-specific experiences and calculate sample requirements for the particular relationships being examined.</w:t>
      </w:r>
    </w:p>
    <w:p w14:paraId="4C6466F6" w14:textId="77777777" w:rsidR="000A21BE" w:rsidRDefault="00772D4B" w:rsidP="00386DA6">
      <w:pPr>
        <w:pStyle w:val="Heading1"/>
        <w:jc w:val="both"/>
      </w:pPr>
      <w:r>
        <w:t>6.2 Sampling and alternative explanations</w:t>
      </w:r>
    </w:p>
    <w:p w14:paraId="42CEBE3D" w14:textId="77777777" w:rsidR="000A21BE" w:rsidRDefault="00772D4B" w:rsidP="00386DA6">
      <w:pPr>
        <w:jc w:val="both"/>
      </w:pPr>
      <w:r>
        <w:t xml:space="preserve">Sampling should include informal enterprises. </w:t>
      </w:r>
      <w:r>
        <w:rPr>
          <w:highlight w:val="yellow"/>
        </w:rPr>
        <w:t>The Kenya National Bureau of Statistics (KNBS, 2016) survey combined household-based identification with county business registers and covered establishments engaging at most 99 persons.</w:t>
      </w:r>
      <w:r>
        <w:t xml:space="preserve"> This provides a useful methodological precedent, not a current population estimate. A new study should refresh its frame, distinguish establishments from firms with multiple outlets, retain owner-operated businesses and state explicitly which size definition it uses.</w:t>
      </w:r>
    </w:p>
    <w:p w14:paraId="1064FFF5" w14:textId="77777777" w:rsidR="000A21BE" w:rsidRDefault="00772D4B" w:rsidP="00386DA6">
      <w:pPr>
        <w:jc w:val="both"/>
      </w:pPr>
      <w:r>
        <w:t>Competing explanations include prior owner ability, existing capabilities, demand changes, household shocks and differential access to other finance. These should be considered before attributing improved outcomes to support. Studies should also test whether financing maturity matters differently across activities with different cash cycles, rather than assuming the same loan structure suits every enterprise.</w:t>
      </w:r>
    </w:p>
    <w:p w14:paraId="0DBC0CA9" w14:textId="77777777" w:rsidR="000A21BE" w:rsidRDefault="00772D4B" w:rsidP="00386DA6">
      <w:pPr>
        <w:jc w:val="both"/>
      </w:pPr>
      <w:r>
        <w:t>Businesses that close and owners who discontinue borrowing remain relevant to the theory. Excluding them would favour survivors and could misrepresent the continuity pathway. Participant, nonparticipant and competitor outcomes should therefore be distinguished, with missing observations treated transparently rather than classified automatically as business failure.</w:t>
      </w:r>
    </w:p>
    <w:p w14:paraId="023E5AC8" w14:textId="77777777" w:rsidR="000A21BE" w:rsidRDefault="00772D4B" w:rsidP="00386DA6">
      <w:pPr>
        <w:jc w:val="both"/>
      </w:pPr>
      <w:r>
        <w:lastRenderedPageBreak/>
        <w:t>Qualitative research can refine the meaning of adaptation in owner-managed firms and identify mechanisms missed by formal scales. Interviews with owners experiencing contrasting outcomes can challenge the proposed assumptions. Subsequent quantitative work can then assess whether refined constructs and relationships hold across contexts. Both approaches would extend this paper; neither has been conducted here.</w:t>
      </w:r>
    </w:p>
    <w:p w14:paraId="2D2D64A7" w14:textId="77777777" w:rsidR="000A21BE" w:rsidRDefault="00772D4B" w:rsidP="00386DA6">
      <w:pPr>
        <w:pStyle w:val="Heading1"/>
        <w:jc w:val="both"/>
      </w:pPr>
      <w:r>
        <w:t>7 Limitations</w:t>
      </w:r>
    </w:p>
    <w:p w14:paraId="417B24C6" w14:textId="77777777" w:rsidR="000A21BE" w:rsidRDefault="00772D4B" w:rsidP="00386DA6">
      <w:pPr>
        <w:jc w:val="both"/>
      </w:pPr>
      <w:r>
        <w:t>The purposive source selection may omit relevant research, particularly local studies and programme records that are not publicly accessible. Some evidence was assessed through publisher summaries or author records rather than replication. The integration of selected theories is consequently a reasoned conceptual proposal, not a systematic assessment of every explanation of enterprise performance. Alternative perspectives on entrepreneurship, household decision-making and political allocation may add explanatory value.</w:t>
      </w:r>
    </w:p>
    <w:p w14:paraId="2C3EA310" w14:textId="77777777" w:rsidR="000A21BE" w:rsidRDefault="00772D4B" w:rsidP="00386DA6">
      <w:pPr>
        <w:jc w:val="both"/>
      </w:pPr>
      <w:r>
        <w:t>The six propositions remain untested, and the distinction between ordinary routines and adaptive capabilities may be difficult to measure in very small firms. Product terms and programme delivery can change. Kenya supplies the application context, but the model’s transferability cannot be assumed. Future evidence should establish which relationships hold, for whom they hold and where the framework requires revision.</w:t>
      </w:r>
    </w:p>
    <w:p w14:paraId="7A025C33" w14:textId="77777777" w:rsidR="000A21BE" w:rsidRDefault="00772D4B" w:rsidP="00386DA6">
      <w:pPr>
        <w:pStyle w:val="Heading1"/>
        <w:jc w:val="both"/>
      </w:pPr>
      <w:r>
        <w:t>8 Conclusion</w:t>
      </w:r>
    </w:p>
    <w:p w14:paraId="2DDDFDAB" w14:textId="140BE0D0" w:rsidR="00051945" w:rsidRPr="00386DA6" w:rsidRDefault="00386DA6" w:rsidP="00386DA6">
      <w:pPr>
        <w:pStyle w:val="Heading1"/>
        <w:jc w:val="both"/>
        <w:rPr>
          <w:b w:val="0"/>
          <w:bCs w:val="0"/>
        </w:rPr>
      </w:pPr>
      <w:r w:rsidRPr="00386DA6">
        <w:rPr>
          <w:b w:val="0"/>
          <w:bCs w:val="0"/>
          <w:highlight w:val="yellow"/>
        </w:rPr>
        <w:t xml:space="preserve">Public enterprise support can contribute to enterprise continuity, adaptive action, or both, but these outcomes arise through different mechanisms and should not be treated as interchangeable indicators of </w:t>
      </w:r>
      <w:proofErr w:type="spellStart"/>
      <w:r w:rsidRPr="00386DA6">
        <w:rPr>
          <w:b w:val="0"/>
          <w:bCs w:val="0"/>
          <w:highlight w:val="yellow"/>
        </w:rPr>
        <w:t>programme</w:t>
      </w:r>
      <w:proofErr w:type="spellEnd"/>
      <w:r w:rsidRPr="00386DA6">
        <w:rPr>
          <w:b w:val="0"/>
          <w:bCs w:val="0"/>
          <w:highlight w:val="yellow"/>
        </w:rPr>
        <w:t xml:space="preserve"> success. The conceptual framework developed in this paper distinguishes immediate liquidity relief from the longer process through which delivered support may strengthen management routines and enable adaptive capabilities. It further shows that financing horizons, institutional conditions and market-level spillovers can shape whether enterprise-level support produces sustained performance. The six propositions provide a structured basis for subsequent empirical testing while avoiding the assumption that access to finance, participation in training or repeated borrowing necessarily demonstrates improved performance. Within Kenya’s Bottom-Up Economic Transformation Agenda, the framework therefore directs attention to the mechanisms linking support to observable enterprise outcomes and to the conditions under which those mechanisms may operate. Its principal contribution is conceptual clarification: it </w:t>
      </w:r>
      <w:proofErr w:type="spellStart"/>
      <w:r w:rsidRPr="00386DA6">
        <w:rPr>
          <w:b w:val="0"/>
          <w:bCs w:val="0"/>
          <w:highlight w:val="yellow"/>
        </w:rPr>
        <w:t>organises</w:t>
      </w:r>
      <w:proofErr w:type="spellEnd"/>
      <w:r w:rsidRPr="00386DA6">
        <w:rPr>
          <w:b w:val="0"/>
          <w:bCs w:val="0"/>
          <w:highlight w:val="yellow"/>
        </w:rPr>
        <w:t xml:space="preserve"> existing ideas into testable relationships while leaving the effectiveness of specific </w:t>
      </w:r>
      <w:proofErr w:type="spellStart"/>
      <w:r w:rsidRPr="00386DA6">
        <w:rPr>
          <w:b w:val="0"/>
          <w:bCs w:val="0"/>
          <w:highlight w:val="yellow"/>
        </w:rPr>
        <w:t>programmes</w:t>
      </w:r>
      <w:proofErr w:type="spellEnd"/>
      <w:r w:rsidRPr="00386DA6">
        <w:rPr>
          <w:b w:val="0"/>
          <w:bCs w:val="0"/>
          <w:highlight w:val="yellow"/>
        </w:rPr>
        <w:t xml:space="preserve"> to be established through appropriately designed empirical research.</w:t>
      </w:r>
    </w:p>
    <w:p w14:paraId="38594D28" w14:textId="77777777" w:rsidR="000A21BE" w:rsidRDefault="00772D4B" w:rsidP="00386DA6">
      <w:pPr>
        <w:pStyle w:val="Heading1"/>
        <w:jc w:val="both"/>
      </w:pPr>
      <w:r>
        <w:t>Competing interests</w:t>
      </w:r>
    </w:p>
    <w:p w14:paraId="54F1CEAC" w14:textId="77777777" w:rsidR="000A21BE" w:rsidRDefault="00FC59EC" w:rsidP="00386DA6">
      <w:pPr>
        <w:jc w:val="both"/>
      </w:pPr>
      <w:r w:rsidRPr="00FC59EC">
        <w:t>The author declares that there are no competing interests</w:t>
      </w:r>
      <w:r>
        <w:rPr>
          <w:b/>
          <w:bCs/>
        </w:rPr>
        <w:t>.</w:t>
      </w:r>
      <w:r w:rsidRPr="00FC59EC">
        <w:t xml:space="preserve"> </w:t>
      </w:r>
    </w:p>
    <w:p w14:paraId="5B927FD7" w14:textId="77777777" w:rsidR="000A21BE" w:rsidRDefault="00772D4B" w:rsidP="00386DA6">
      <w:pPr>
        <w:pStyle w:val="Heading1"/>
        <w:jc w:val="both"/>
      </w:pPr>
      <w:r>
        <w:t>Ethics and data availability</w:t>
      </w:r>
    </w:p>
    <w:p w14:paraId="1E3F2F67" w14:textId="77777777" w:rsidR="000A21BE" w:rsidRDefault="00772D4B" w:rsidP="00386DA6">
      <w:pPr>
        <w:jc w:val="both"/>
      </w:pPr>
      <w:r>
        <w:t>This article uses published sources and public programme documentation. No participants were recruited or identifiable records collected. Future empirical research would require appropriate ethical review, research permissions and data-access agreements before recruitment.</w:t>
      </w:r>
    </w:p>
    <w:p w14:paraId="790A4327" w14:textId="77777777" w:rsidR="006D1D04" w:rsidRDefault="006D1D04" w:rsidP="00386DA6">
      <w:pPr>
        <w:jc w:val="both"/>
      </w:pPr>
    </w:p>
    <w:p w14:paraId="19BF2CFA" w14:textId="77777777" w:rsidR="006D1D04" w:rsidRPr="002D08AC" w:rsidRDefault="006D1D04" w:rsidP="00386DA6">
      <w:pPr>
        <w:spacing w:after="0"/>
        <w:jc w:val="both"/>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562D2565" w14:textId="77777777" w:rsidR="006D1D04" w:rsidRPr="002D08AC" w:rsidRDefault="006D1D04" w:rsidP="00386DA6">
      <w:pPr>
        <w:spacing w:after="0"/>
        <w:jc w:val="both"/>
        <w:rPr>
          <w:rFonts w:ascii="Arial" w:hAnsi="Arial" w:cs="Arial"/>
          <w:sz w:val="20"/>
          <w:szCs w:val="20"/>
        </w:rPr>
      </w:pPr>
      <w:bookmarkStart w:id="2" w:name="_Hlk239068730"/>
    </w:p>
    <w:p w14:paraId="1D0084D6" w14:textId="77777777" w:rsidR="006D1D04" w:rsidRPr="002D08AC" w:rsidRDefault="006D1D04" w:rsidP="00386DA6">
      <w:pPr>
        <w:spacing w:after="0"/>
        <w:jc w:val="both"/>
        <w:rPr>
          <w:rFonts w:ascii="Arial" w:hAnsi="Arial" w:cs="Arial"/>
          <w:sz w:val="20"/>
          <w:szCs w:val="20"/>
        </w:rPr>
      </w:pPr>
      <w:bookmarkStart w:id="3" w:name="_Hlk237862032"/>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t>
      </w:r>
      <w:r w:rsidRPr="002D08AC">
        <w:rPr>
          <w:rFonts w:ascii="Arial" w:hAnsi="Arial" w:cs="Arial"/>
          <w:sz w:val="20"/>
          <w:szCs w:val="20"/>
        </w:rPr>
        <w:lastRenderedPageBreak/>
        <w:t>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37F4C3DC" w14:textId="77777777" w:rsidR="006D1D04" w:rsidRDefault="006D1D04" w:rsidP="00386DA6">
      <w:pPr>
        <w:jc w:val="both"/>
      </w:pPr>
    </w:p>
    <w:p w14:paraId="440A98A7" w14:textId="77777777" w:rsidR="000A21BE" w:rsidRDefault="00772D4B" w:rsidP="00386DA6">
      <w:pPr>
        <w:pStyle w:val="Heading1"/>
        <w:jc w:val="both"/>
      </w:pPr>
      <w:r>
        <w:t>References</w:t>
      </w:r>
    </w:p>
    <w:p w14:paraId="658F0E51" w14:textId="77777777" w:rsidR="00C141B7" w:rsidRPr="00386DA6" w:rsidRDefault="00000000" w:rsidP="00386DA6">
      <w:pPr>
        <w:ind w:left="432" w:hanging="432"/>
        <w:jc w:val="both"/>
        <w:rPr>
          <w:bCs/>
        </w:rPr>
      </w:pPr>
      <w:r w:rsidRPr="00386DA6">
        <w:rPr>
          <w:bCs/>
          <w:highlight w:val="yellow"/>
        </w:rPr>
        <w:t xml:space="preserve">Ashraf, A., &amp; Lyons, E. (2026). Complementing business training with access to finance: Evidence from SMEs in Kenya. </w:t>
      </w:r>
      <w:r w:rsidRPr="00386DA6">
        <w:rPr>
          <w:bCs/>
          <w:i/>
          <w:highlight w:val="yellow"/>
        </w:rPr>
        <w:t>Journal of Development Economics, 179</w:t>
      </w:r>
      <w:r w:rsidRPr="00386DA6">
        <w:rPr>
          <w:bCs/>
          <w:highlight w:val="yellow"/>
        </w:rPr>
        <w:t>, 103645. https://doi.org/10.1016/j.jdeveco.2025.103645</w:t>
      </w:r>
    </w:p>
    <w:p w14:paraId="3C25167D" w14:textId="77777777" w:rsidR="000A21BE" w:rsidRPr="00386DA6" w:rsidRDefault="00772D4B" w:rsidP="00386DA6">
      <w:pPr>
        <w:spacing w:after="0"/>
        <w:ind w:left="432" w:hanging="432"/>
        <w:jc w:val="both"/>
        <w:rPr>
          <w:bCs/>
        </w:rPr>
      </w:pPr>
      <w:r w:rsidRPr="00386DA6">
        <w:rPr>
          <w:bCs/>
        </w:rPr>
        <w:t xml:space="preserve">Banerjee, A., Karlan, D., &amp; Zinman, J. (2015). Six randomized evaluations of microcredit: Introduction and further steps. </w:t>
      </w:r>
      <w:r w:rsidRPr="00386DA6">
        <w:rPr>
          <w:bCs/>
          <w:i/>
        </w:rPr>
        <w:t>American Economic Journal: Applied Economics, 7</w:t>
      </w:r>
      <w:r w:rsidRPr="00386DA6">
        <w:rPr>
          <w:bCs/>
        </w:rPr>
        <w:t xml:space="preserve">(1), 1–21. </w:t>
      </w:r>
      <w:hyperlink r:id="rId8">
        <w:r w:rsidRPr="00386DA6">
          <w:rPr>
            <w:bCs/>
          </w:rPr>
          <w:t>https://doi.org/10.1257/app.20140287</w:t>
        </w:r>
      </w:hyperlink>
    </w:p>
    <w:p w14:paraId="75DC83D0" w14:textId="77777777" w:rsidR="000A21BE" w:rsidRPr="00386DA6" w:rsidRDefault="00772D4B" w:rsidP="00386DA6">
      <w:pPr>
        <w:spacing w:after="0"/>
        <w:ind w:left="432" w:hanging="432"/>
        <w:jc w:val="both"/>
        <w:rPr>
          <w:bCs/>
        </w:rPr>
      </w:pPr>
      <w:r w:rsidRPr="00386DA6">
        <w:rPr>
          <w:bCs/>
        </w:rPr>
        <w:t xml:space="preserve">Callaway, B., &amp; Sant’Anna, P. H. C. (2021). Difference-in-differences with multiple time periods. </w:t>
      </w:r>
      <w:r w:rsidRPr="00386DA6">
        <w:rPr>
          <w:bCs/>
          <w:i/>
        </w:rPr>
        <w:t>Journal of Econometrics, 225</w:t>
      </w:r>
      <w:r w:rsidRPr="00386DA6">
        <w:rPr>
          <w:bCs/>
        </w:rPr>
        <w:t xml:space="preserve">(2), 200–230. </w:t>
      </w:r>
      <w:hyperlink r:id="rId9">
        <w:r w:rsidRPr="00386DA6">
          <w:rPr>
            <w:bCs/>
          </w:rPr>
          <w:t>https://doi.org/10.1016/j.jeconom.2020.12.001</w:t>
        </w:r>
      </w:hyperlink>
    </w:p>
    <w:p w14:paraId="27B9AA91" w14:textId="77777777" w:rsidR="000A21BE" w:rsidRPr="00386DA6" w:rsidRDefault="00772D4B" w:rsidP="00386DA6">
      <w:pPr>
        <w:spacing w:after="0"/>
        <w:ind w:left="432" w:hanging="432"/>
        <w:jc w:val="both"/>
        <w:rPr>
          <w:bCs/>
        </w:rPr>
      </w:pPr>
      <w:r w:rsidRPr="00386DA6">
        <w:rPr>
          <w:bCs/>
          <w:highlight w:val="yellow"/>
        </w:rPr>
        <w:t>Campos, F., Frese, M., Goldstein, M., Iacovone, L., Johnson, H. C., McKenzie, D., &amp; Mensmann, M. (2017).</w:t>
      </w:r>
      <w:r w:rsidRPr="00386DA6">
        <w:rPr>
          <w:bCs/>
        </w:rPr>
        <w:t xml:space="preserve"> Teaching personal initiative beats traditional training in boosting small business in West Africa. </w:t>
      </w:r>
      <w:r w:rsidRPr="00386DA6">
        <w:rPr>
          <w:bCs/>
          <w:i/>
        </w:rPr>
        <w:t>Science, 357</w:t>
      </w:r>
      <w:r w:rsidRPr="00386DA6">
        <w:rPr>
          <w:bCs/>
        </w:rPr>
        <w:t xml:space="preserve">(6357), 1287–1290. </w:t>
      </w:r>
      <w:hyperlink r:id="rId10">
        <w:r w:rsidRPr="00386DA6">
          <w:rPr>
            <w:bCs/>
          </w:rPr>
          <w:t>https://doi.org/10.1126/science.aan5329</w:t>
        </w:r>
      </w:hyperlink>
    </w:p>
    <w:p w14:paraId="18D134A6" w14:textId="77777777" w:rsidR="00C141B7" w:rsidRPr="00386DA6" w:rsidRDefault="00000000" w:rsidP="00386DA6">
      <w:pPr>
        <w:ind w:left="432" w:hanging="432"/>
        <w:jc w:val="both"/>
        <w:rPr>
          <w:bCs/>
        </w:rPr>
      </w:pPr>
      <w:r w:rsidRPr="00386DA6">
        <w:rPr>
          <w:bCs/>
          <w:highlight w:val="yellow"/>
        </w:rPr>
        <w:t xml:space="preserve">Dalton, P. S., Pamuk, H., Ramrattan, R., Uras, B., &amp; van Soest, D. (2023). Electronic payment technology and business finance: A randomized, controlled trial with mobile money. </w:t>
      </w:r>
      <w:r w:rsidRPr="00386DA6">
        <w:rPr>
          <w:bCs/>
          <w:i/>
          <w:highlight w:val="yellow"/>
        </w:rPr>
        <w:t>Management Science, 70</w:t>
      </w:r>
      <w:r w:rsidRPr="00386DA6">
        <w:rPr>
          <w:bCs/>
          <w:highlight w:val="yellow"/>
        </w:rPr>
        <w:t>(4), 2590–2625. https://doi.org/10.1287/mnsc.2023.4821</w:t>
      </w:r>
    </w:p>
    <w:p w14:paraId="2CDD9215" w14:textId="77777777" w:rsidR="000A21BE" w:rsidRPr="00386DA6" w:rsidRDefault="00772D4B" w:rsidP="00386DA6">
      <w:pPr>
        <w:spacing w:after="0"/>
        <w:ind w:left="432" w:hanging="432"/>
        <w:jc w:val="both"/>
        <w:rPr>
          <w:bCs/>
        </w:rPr>
      </w:pPr>
      <w:r w:rsidRPr="00386DA6">
        <w:rPr>
          <w:bCs/>
        </w:rPr>
        <w:t xml:space="preserve">Fainshmidt, S., Pezeshkan, A., Frazier, M. L., Nair, A., &amp; Markowski, E. (2016). Dynamic capabilities and organizational performance: A meta-analytic evaluation and extension. </w:t>
      </w:r>
      <w:r w:rsidRPr="00386DA6">
        <w:rPr>
          <w:bCs/>
          <w:i/>
        </w:rPr>
        <w:t>Journal of Management Studies, 53</w:t>
      </w:r>
      <w:r w:rsidRPr="00386DA6">
        <w:rPr>
          <w:bCs/>
        </w:rPr>
        <w:t xml:space="preserve">(8), 1348–1380. </w:t>
      </w:r>
      <w:hyperlink r:id="rId11">
        <w:r w:rsidRPr="00386DA6">
          <w:rPr>
            <w:bCs/>
          </w:rPr>
          <w:t>https://doi.org/10.1111/joms.12213</w:t>
        </w:r>
      </w:hyperlink>
    </w:p>
    <w:p w14:paraId="4B39F7EF" w14:textId="77777777" w:rsidR="000A21BE" w:rsidRPr="00386DA6" w:rsidRDefault="00772D4B" w:rsidP="00386DA6">
      <w:pPr>
        <w:spacing w:after="0"/>
        <w:ind w:left="432" w:hanging="432"/>
        <w:jc w:val="both"/>
        <w:rPr>
          <w:bCs/>
        </w:rPr>
      </w:pPr>
      <w:r w:rsidRPr="00386DA6">
        <w:rPr>
          <w:bCs/>
        </w:rPr>
        <w:t xml:space="preserve">Financial Inclusion Fund. (n.d.-a). </w:t>
      </w:r>
      <w:r w:rsidRPr="00386DA6">
        <w:rPr>
          <w:bCs/>
          <w:i/>
        </w:rPr>
        <w:t>FIF.</w:t>
      </w:r>
      <w:r w:rsidRPr="00386DA6">
        <w:rPr>
          <w:bCs/>
        </w:rPr>
        <w:t xml:space="preserve"> Retrieved September 11, 2026, from </w:t>
      </w:r>
      <w:hyperlink r:id="rId12">
        <w:r w:rsidRPr="00386DA6">
          <w:rPr>
            <w:bCs/>
          </w:rPr>
          <w:t>https://www.hustlerfund.go.ke/</w:t>
        </w:r>
      </w:hyperlink>
    </w:p>
    <w:p w14:paraId="09E97088" w14:textId="77777777" w:rsidR="000A21BE" w:rsidRPr="00386DA6" w:rsidRDefault="00772D4B" w:rsidP="00386DA6">
      <w:pPr>
        <w:spacing w:after="0"/>
        <w:ind w:left="432" w:hanging="432"/>
        <w:jc w:val="both"/>
        <w:rPr>
          <w:bCs/>
        </w:rPr>
      </w:pPr>
      <w:r w:rsidRPr="00386DA6">
        <w:rPr>
          <w:bCs/>
        </w:rPr>
        <w:t xml:space="preserve">Financial Inclusion Fund. (n.d.-b). </w:t>
      </w:r>
      <w:r w:rsidRPr="00386DA6">
        <w:rPr>
          <w:bCs/>
          <w:i/>
        </w:rPr>
        <w:t>Hustler Fund Tukuze Hub FAQs.</w:t>
      </w:r>
      <w:r w:rsidRPr="00386DA6">
        <w:rPr>
          <w:bCs/>
        </w:rPr>
        <w:t xml:space="preserve"> Retrieved September 11, 2026, from </w:t>
      </w:r>
      <w:hyperlink r:id="rId13">
        <w:r w:rsidRPr="00386DA6">
          <w:rPr>
            <w:bCs/>
          </w:rPr>
          <w:t>https://www.hustlerfund.go.ke/hustler-fund-tukuze-hub-faqs</w:t>
        </w:r>
      </w:hyperlink>
    </w:p>
    <w:p w14:paraId="5B8EC9AD" w14:textId="77777777" w:rsidR="000A21BE" w:rsidRPr="00386DA6" w:rsidRDefault="00772D4B" w:rsidP="00386DA6">
      <w:pPr>
        <w:spacing w:after="0"/>
        <w:ind w:left="432" w:hanging="432"/>
        <w:jc w:val="both"/>
        <w:rPr>
          <w:bCs/>
        </w:rPr>
      </w:pPr>
      <w:r w:rsidRPr="00386DA6">
        <w:rPr>
          <w:bCs/>
        </w:rPr>
        <w:t xml:space="preserve">Financial Inclusion Fund. (n.d.-c). </w:t>
      </w:r>
      <w:r w:rsidRPr="00386DA6">
        <w:rPr>
          <w:bCs/>
          <w:i/>
        </w:rPr>
        <w:t>Personal loan.</w:t>
      </w:r>
      <w:r w:rsidRPr="00386DA6">
        <w:rPr>
          <w:bCs/>
        </w:rPr>
        <w:t xml:space="preserve"> Retrieved September 11, 2026, from </w:t>
      </w:r>
      <w:hyperlink r:id="rId14">
        <w:r w:rsidRPr="00386DA6">
          <w:rPr>
            <w:bCs/>
          </w:rPr>
          <w:t>https://www.hustlerfund.go.ke/personal-loan</w:t>
        </w:r>
      </w:hyperlink>
    </w:p>
    <w:p w14:paraId="0FDBDB80" w14:textId="77777777" w:rsidR="000A21BE" w:rsidRPr="00386DA6" w:rsidRDefault="00772D4B" w:rsidP="00386DA6">
      <w:pPr>
        <w:spacing w:after="0"/>
        <w:ind w:left="432" w:hanging="432"/>
        <w:jc w:val="both"/>
        <w:rPr>
          <w:bCs/>
        </w:rPr>
      </w:pPr>
      <w:r w:rsidRPr="00386DA6">
        <w:rPr>
          <w:bCs/>
        </w:rPr>
        <w:t xml:space="preserve">Financial Inclusion Fund. (2026, July 1). </w:t>
      </w:r>
      <w:r w:rsidRPr="00386DA6">
        <w:rPr>
          <w:bCs/>
          <w:i/>
        </w:rPr>
        <w:t>Hustler Fund launches Tukuze Hub to support top-performing borrowers.</w:t>
      </w:r>
      <w:r w:rsidRPr="00386DA6">
        <w:rPr>
          <w:bCs/>
        </w:rPr>
        <w:t xml:space="preserve"> </w:t>
      </w:r>
      <w:hyperlink r:id="rId15">
        <w:r w:rsidRPr="00386DA6">
          <w:rPr>
            <w:bCs/>
          </w:rPr>
          <w:t>https://www.hustlerfund.go.ke/hustler-fund-launches-tukuze-hub-support-top-performing-borrowers</w:t>
        </w:r>
      </w:hyperlink>
    </w:p>
    <w:p w14:paraId="00807553" w14:textId="77777777" w:rsidR="000A21BE" w:rsidRPr="00386DA6" w:rsidRDefault="00772D4B" w:rsidP="00386DA6">
      <w:pPr>
        <w:spacing w:after="0"/>
        <w:ind w:left="432" w:hanging="432"/>
        <w:jc w:val="both"/>
        <w:rPr>
          <w:bCs/>
        </w:rPr>
      </w:pPr>
      <w:r w:rsidRPr="00386DA6">
        <w:rPr>
          <w:bCs/>
        </w:rPr>
        <w:t xml:space="preserve">Imai, K., Keele, L., &amp; Yamamoto, T. (2010). Identification, inference, and sensitivity analysis for causal mediation effects. </w:t>
      </w:r>
      <w:r w:rsidRPr="00386DA6">
        <w:rPr>
          <w:bCs/>
          <w:i/>
        </w:rPr>
        <w:t>Statistical Science, 25</w:t>
      </w:r>
      <w:r w:rsidRPr="00386DA6">
        <w:rPr>
          <w:bCs/>
        </w:rPr>
        <w:t xml:space="preserve">(1), 51–71. </w:t>
      </w:r>
      <w:hyperlink r:id="rId16">
        <w:r w:rsidRPr="00386DA6">
          <w:rPr>
            <w:bCs/>
          </w:rPr>
          <w:t>https://doi.org/10.1214/10-STS321</w:t>
        </w:r>
      </w:hyperlink>
    </w:p>
    <w:p w14:paraId="5B21B0FD" w14:textId="77777777" w:rsidR="000A21BE" w:rsidRPr="00386DA6" w:rsidRDefault="00772D4B" w:rsidP="00386DA6">
      <w:pPr>
        <w:spacing w:after="0"/>
        <w:ind w:left="432" w:hanging="432"/>
        <w:jc w:val="both"/>
        <w:rPr>
          <w:bCs/>
        </w:rPr>
      </w:pPr>
      <w:r w:rsidRPr="00386DA6">
        <w:rPr>
          <w:bCs/>
        </w:rPr>
        <w:t xml:space="preserve">Jaakkola, E. (2020). Designing conceptual articles: Four approaches. </w:t>
      </w:r>
      <w:r w:rsidRPr="00386DA6">
        <w:rPr>
          <w:bCs/>
          <w:i/>
        </w:rPr>
        <w:t>AMS Review, 10</w:t>
      </w:r>
      <w:r w:rsidRPr="00386DA6">
        <w:rPr>
          <w:bCs/>
        </w:rPr>
        <w:t>, 18–26. https://doi.org/10.1007/s13162-020-00161-0</w:t>
      </w:r>
    </w:p>
    <w:p w14:paraId="368FD0D3" w14:textId="77777777" w:rsidR="000A21BE" w:rsidRPr="00386DA6" w:rsidRDefault="00772D4B" w:rsidP="00386DA6">
      <w:pPr>
        <w:spacing w:after="0"/>
        <w:ind w:left="432" w:hanging="432"/>
        <w:jc w:val="both"/>
        <w:rPr>
          <w:bCs/>
        </w:rPr>
      </w:pPr>
      <w:r w:rsidRPr="00386DA6">
        <w:rPr>
          <w:bCs/>
        </w:rPr>
        <w:t xml:space="preserve">Kenya National Bureau of Statistics. (2016). </w:t>
      </w:r>
      <w:r w:rsidRPr="00386DA6">
        <w:rPr>
          <w:bCs/>
          <w:i/>
        </w:rPr>
        <w:t>Kenya: Small and Medium Enterprises (MSME) Survey 2016.</w:t>
      </w:r>
      <w:r w:rsidRPr="00386DA6">
        <w:rPr>
          <w:bCs/>
        </w:rPr>
        <w:t xml:space="preserve"> [Survey documentation]. </w:t>
      </w:r>
      <w:hyperlink r:id="rId17">
        <w:r w:rsidRPr="00386DA6">
          <w:rPr>
            <w:bCs/>
          </w:rPr>
          <w:t>https://statistics.knbs.or.ke/nada/index.php/catalog/69</w:t>
        </w:r>
      </w:hyperlink>
    </w:p>
    <w:p w14:paraId="464AF7B5" w14:textId="77777777" w:rsidR="000A21BE" w:rsidRPr="00386DA6" w:rsidRDefault="00772D4B" w:rsidP="00386DA6">
      <w:pPr>
        <w:spacing w:after="0"/>
        <w:ind w:left="432" w:hanging="432"/>
        <w:jc w:val="both"/>
        <w:rPr>
          <w:bCs/>
        </w:rPr>
      </w:pPr>
      <w:r w:rsidRPr="00386DA6">
        <w:rPr>
          <w:bCs/>
        </w:rPr>
        <w:t xml:space="preserve">McKenzie, D., &amp; Puerto, S. (2021). Growing markets through business training for female entrepreneurs: A market-level randomized experiment in Kenya. </w:t>
      </w:r>
      <w:r w:rsidRPr="00386DA6">
        <w:rPr>
          <w:bCs/>
          <w:i/>
        </w:rPr>
        <w:t>American Economic Journal: Applied Economics, 13</w:t>
      </w:r>
      <w:r w:rsidRPr="00386DA6">
        <w:rPr>
          <w:bCs/>
        </w:rPr>
        <w:t xml:space="preserve">(2), 297–332. </w:t>
      </w:r>
      <w:hyperlink r:id="rId18">
        <w:r w:rsidRPr="00386DA6">
          <w:rPr>
            <w:bCs/>
          </w:rPr>
          <w:t>https://doi.org/10.1257/app.20180340</w:t>
        </w:r>
      </w:hyperlink>
    </w:p>
    <w:p w14:paraId="450DB86A" w14:textId="77777777" w:rsidR="000A21BE" w:rsidRPr="00386DA6" w:rsidRDefault="00772D4B" w:rsidP="00386DA6">
      <w:pPr>
        <w:spacing w:after="0"/>
        <w:ind w:left="432" w:hanging="432"/>
        <w:jc w:val="both"/>
        <w:rPr>
          <w:bCs/>
        </w:rPr>
      </w:pPr>
      <w:r w:rsidRPr="00386DA6">
        <w:rPr>
          <w:bCs/>
        </w:rPr>
        <w:t xml:space="preserve">McKenzie, D., &amp; Woodruff, C. (2017). Business practices in small firms in developing countries. </w:t>
      </w:r>
      <w:r w:rsidRPr="00386DA6">
        <w:rPr>
          <w:bCs/>
          <w:i/>
        </w:rPr>
        <w:t>Management Science, 63</w:t>
      </w:r>
      <w:r w:rsidRPr="00386DA6">
        <w:rPr>
          <w:bCs/>
        </w:rPr>
        <w:t xml:space="preserve">(9), 2967–2981. </w:t>
      </w:r>
      <w:hyperlink r:id="rId19">
        <w:r w:rsidRPr="00386DA6">
          <w:rPr>
            <w:bCs/>
          </w:rPr>
          <w:t>https://doi.org/10.1287/mnsc.2016.2492</w:t>
        </w:r>
      </w:hyperlink>
    </w:p>
    <w:p w14:paraId="3A68964C" w14:textId="77777777" w:rsidR="00C141B7" w:rsidRPr="00386DA6" w:rsidRDefault="00000000" w:rsidP="00386DA6">
      <w:pPr>
        <w:ind w:left="432" w:hanging="432"/>
        <w:jc w:val="both"/>
        <w:rPr>
          <w:bCs/>
        </w:rPr>
      </w:pPr>
      <w:r w:rsidRPr="00386DA6">
        <w:rPr>
          <w:bCs/>
          <w:highlight w:val="yellow"/>
        </w:rPr>
        <w:t xml:space="preserve">Nakasone, E., Porter, M., Maredia, M. K., Jones, A., &amp; Tschirley, D. (2024). A mixed methods assessment of technical and financial assistance to small- and medium-sized enterprises in Kenya's food sector. </w:t>
      </w:r>
      <w:r w:rsidRPr="00386DA6">
        <w:rPr>
          <w:bCs/>
          <w:i/>
          <w:highlight w:val="yellow"/>
        </w:rPr>
        <w:t>Applied Economic Perspectives and Policy, 46</w:t>
      </w:r>
      <w:r w:rsidRPr="00386DA6">
        <w:rPr>
          <w:bCs/>
          <w:highlight w:val="yellow"/>
        </w:rPr>
        <w:t>(2), 435–455. https://doi.org/10.1002/aepp.13426</w:t>
      </w:r>
    </w:p>
    <w:p w14:paraId="595AA8A4" w14:textId="77777777" w:rsidR="00C141B7" w:rsidRPr="00386DA6" w:rsidRDefault="00000000" w:rsidP="00386DA6">
      <w:pPr>
        <w:ind w:left="432" w:hanging="432"/>
        <w:jc w:val="both"/>
        <w:rPr>
          <w:bCs/>
        </w:rPr>
      </w:pPr>
      <w:r w:rsidRPr="00386DA6">
        <w:rPr>
          <w:bCs/>
          <w:highlight w:val="yellow"/>
        </w:rPr>
        <w:lastRenderedPageBreak/>
        <w:t xml:space="preserve">Ngetha, M. W., Njehia, B., &amp; Ndegwa, M. (2026). Targeted interventions for enhancing business development services in improving Agri-SME performance in Nairobi, Kiambu and Machakos Counties, Kenya. </w:t>
      </w:r>
      <w:r w:rsidRPr="00386DA6">
        <w:rPr>
          <w:bCs/>
          <w:i/>
          <w:highlight w:val="yellow"/>
        </w:rPr>
        <w:t>Archives of Current Research International, 26</w:t>
      </w:r>
      <w:r w:rsidRPr="00386DA6">
        <w:rPr>
          <w:bCs/>
          <w:highlight w:val="yellow"/>
        </w:rPr>
        <w:t>(9), 595–611. https://doi.org/10.9734/acri/2026/v26i92154</w:t>
      </w:r>
    </w:p>
    <w:p w14:paraId="06047CEA" w14:textId="77777777" w:rsidR="000A21BE" w:rsidRPr="00386DA6" w:rsidRDefault="00772D4B" w:rsidP="00386DA6">
      <w:pPr>
        <w:spacing w:after="0"/>
        <w:ind w:left="432" w:hanging="432"/>
        <w:jc w:val="both"/>
        <w:rPr>
          <w:bCs/>
        </w:rPr>
      </w:pPr>
      <w:r w:rsidRPr="00386DA6">
        <w:rPr>
          <w:bCs/>
        </w:rPr>
        <w:t xml:space="preserve">North, D. C. (1991). Institutions. </w:t>
      </w:r>
      <w:r w:rsidRPr="00386DA6">
        <w:rPr>
          <w:bCs/>
          <w:i/>
        </w:rPr>
        <w:t>Journal of Economic Perspectives, 5</w:t>
      </w:r>
      <w:r w:rsidRPr="00386DA6">
        <w:rPr>
          <w:bCs/>
        </w:rPr>
        <w:t xml:space="preserve">(1), 97–112. </w:t>
      </w:r>
      <w:hyperlink r:id="rId20">
        <w:r w:rsidRPr="00386DA6">
          <w:rPr>
            <w:bCs/>
          </w:rPr>
          <w:t>https://doi.org/10.1257/jep.5.1.97</w:t>
        </w:r>
      </w:hyperlink>
    </w:p>
    <w:p w14:paraId="7538CE9C" w14:textId="77777777" w:rsidR="00C141B7" w:rsidRPr="00386DA6" w:rsidRDefault="00000000" w:rsidP="00386DA6">
      <w:pPr>
        <w:ind w:left="432" w:hanging="432"/>
        <w:jc w:val="both"/>
        <w:rPr>
          <w:bCs/>
        </w:rPr>
      </w:pPr>
      <w:r w:rsidRPr="00386DA6">
        <w:rPr>
          <w:bCs/>
          <w:highlight w:val="yellow"/>
        </w:rPr>
        <w:t xml:space="preserve">Nyabera, L. E., &amp; Warui, F. (2026). Specific taxes and financial performance of registered small and medium sized enterprises in Nairobi City County, Kenya. </w:t>
      </w:r>
      <w:r w:rsidRPr="00386DA6">
        <w:rPr>
          <w:bCs/>
          <w:i/>
          <w:highlight w:val="yellow"/>
        </w:rPr>
        <w:t>Asian Basic and Applied Research Journal, 8</w:t>
      </w:r>
      <w:r w:rsidRPr="00386DA6">
        <w:rPr>
          <w:bCs/>
          <w:highlight w:val="yellow"/>
        </w:rPr>
        <w:t>(1), 351–368. https://doi.org/10.56557/abaarj/2026/v8i1231</w:t>
      </w:r>
    </w:p>
    <w:p w14:paraId="1F5B19F4" w14:textId="77777777" w:rsidR="000A21BE" w:rsidRPr="00386DA6" w:rsidRDefault="00772D4B" w:rsidP="00386DA6">
      <w:pPr>
        <w:spacing w:after="0"/>
        <w:ind w:left="432" w:hanging="432"/>
        <w:jc w:val="both"/>
        <w:rPr>
          <w:bCs/>
        </w:rPr>
      </w:pPr>
      <w:r w:rsidRPr="00386DA6">
        <w:rPr>
          <w:bCs/>
        </w:rPr>
        <w:t xml:space="preserve">State Department for Economic Planning. (2025). </w:t>
      </w:r>
      <w:r w:rsidRPr="00386DA6">
        <w:rPr>
          <w:bCs/>
          <w:i/>
        </w:rPr>
        <w:t>Second annual progress report 2024–2025 on the implementation of the Fourth Medium-Term Plan (2023–2027) of the Kenya Vision 2030.</w:t>
      </w:r>
      <w:r w:rsidRPr="00386DA6">
        <w:rPr>
          <w:bCs/>
        </w:rPr>
        <w:t xml:space="preserve"> The National Treasury and Economic Planning. </w:t>
      </w:r>
      <w:hyperlink r:id="rId21">
        <w:r w:rsidRPr="00386DA6">
          <w:rPr>
            <w:bCs/>
          </w:rPr>
          <w:t>https://www.planning.go.ke/sites/default/files/Project%20Documents/APR%20FY2024-2025%20of%20MTP%20IV.pdf</w:t>
        </w:r>
      </w:hyperlink>
    </w:p>
    <w:p w14:paraId="04FF730C" w14:textId="77777777" w:rsidR="000A21BE" w:rsidRPr="00386DA6" w:rsidRDefault="00772D4B" w:rsidP="00386DA6">
      <w:pPr>
        <w:spacing w:after="0"/>
        <w:ind w:left="432" w:hanging="432"/>
        <w:jc w:val="both"/>
        <w:rPr>
          <w:bCs/>
        </w:rPr>
      </w:pPr>
      <w:r w:rsidRPr="00386DA6">
        <w:rPr>
          <w:bCs/>
        </w:rPr>
        <w:t xml:space="preserve">Teece, D. J. (2007). Explicating dynamic capabilities: The nature and microfoundations of (sustainable) enterprise performance. </w:t>
      </w:r>
      <w:r w:rsidRPr="00386DA6">
        <w:rPr>
          <w:bCs/>
          <w:i/>
        </w:rPr>
        <w:t>Strategic Management Journal, 28</w:t>
      </w:r>
      <w:r w:rsidRPr="00386DA6">
        <w:rPr>
          <w:bCs/>
        </w:rPr>
        <w:t xml:space="preserve">(13), 1319–1350. </w:t>
      </w:r>
      <w:hyperlink r:id="rId22">
        <w:r w:rsidRPr="00386DA6">
          <w:rPr>
            <w:bCs/>
          </w:rPr>
          <w:t>https://doi.org/10.1002/smj.640</w:t>
        </w:r>
      </w:hyperlink>
    </w:p>
    <w:sectPr w:rsidR="000A21BE" w:rsidRPr="00386DA6" w:rsidSect="00034616">
      <w:headerReference w:type="even" r:id="rId23"/>
      <w:headerReference w:type="default" r:id="rId24"/>
      <w:footerReference w:type="even" r:id="rId25"/>
      <w:footerReference w:type="default" r:id="rId26"/>
      <w:headerReference w:type="first" r:id="rId27"/>
      <w:footerReference w:type="first" r:id="rId28"/>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7810" w14:textId="77777777" w:rsidR="007E74C5" w:rsidRDefault="007E74C5">
      <w:pPr>
        <w:spacing w:after="0"/>
      </w:pPr>
      <w:r>
        <w:separator/>
      </w:r>
    </w:p>
  </w:endnote>
  <w:endnote w:type="continuationSeparator" w:id="0">
    <w:p w14:paraId="15A335C9" w14:textId="77777777" w:rsidR="007E74C5" w:rsidRDefault="007E74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C656" w14:textId="77777777" w:rsidR="00051945" w:rsidRDefault="00051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BF2B" w14:textId="77777777" w:rsidR="000A21BE" w:rsidRDefault="00772D4B">
    <w:pPr>
      <w:pStyle w:val="Footer"/>
      <w:jc w:val="center"/>
    </w:pPr>
    <w:r>
      <w:fldChar w:fldCharType="begin"/>
    </w:r>
    <w:r>
      <w:instrText>PAGE</w:instrText>
    </w:r>
    <w:r>
      <w:fldChar w:fldCharType="separate"/>
    </w:r>
    <w:r w:rsidR="00487FF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CD7D" w14:textId="77777777" w:rsidR="00051945" w:rsidRDefault="00051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DB200" w14:textId="77777777" w:rsidR="007E74C5" w:rsidRDefault="007E74C5">
      <w:pPr>
        <w:spacing w:after="0"/>
      </w:pPr>
      <w:r>
        <w:separator/>
      </w:r>
    </w:p>
  </w:footnote>
  <w:footnote w:type="continuationSeparator" w:id="0">
    <w:p w14:paraId="01CC7355" w14:textId="77777777" w:rsidR="007E74C5" w:rsidRDefault="007E74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9E45" w14:textId="77777777" w:rsidR="00051945" w:rsidRDefault="00000000">
    <w:pPr>
      <w:pStyle w:val="Header"/>
    </w:pPr>
    <w:r>
      <w:rPr>
        <w:noProof/>
      </w:rPr>
      <w:pict w14:anchorId="713E68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1"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6BF4" w14:textId="77777777" w:rsidR="00051945" w:rsidRDefault="00000000">
    <w:pPr>
      <w:pStyle w:val="Header"/>
    </w:pPr>
    <w:r>
      <w:rPr>
        <w:noProof/>
      </w:rPr>
      <w:pict w14:anchorId="47EAE9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2"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BAAD" w14:textId="77777777" w:rsidR="00051945" w:rsidRDefault="00000000">
    <w:pPr>
      <w:pStyle w:val="Header"/>
    </w:pPr>
    <w:r>
      <w:rPr>
        <w:noProof/>
      </w:rPr>
      <w:pict w14:anchorId="571BEC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0"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7366469">
    <w:abstractNumId w:val="8"/>
  </w:num>
  <w:num w:numId="2" w16cid:durableId="1755474229">
    <w:abstractNumId w:val="6"/>
  </w:num>
  <w:num w:numId="3" w16cid:durableId="678771758">
    <w:abstractNumId w:val="5"/>
  </w:num>
  <w:num w:numId="4" w16cid:durableId="1526404691">
    <w:abstractNumId w:val="4"/>
  </w:num>
  <w:num w:numId="5" w16cid:durableId="1618829592">
    <w:abstractNumId w:val="7"/>
  </w:num>
  <w:num w:numId="6" w16cid:durableId="259144093">
    <w:abstractNumId w:val="3"/>
  </w:num>
  <w:num w:numId="7" w16cid:durableId="2086560982">
    <w:abstractNumId w:val="2"/>
  </w:num>
  <w:num w:numId="8" w16cid:durableId="457648722">
    <w:abstractNumId w:val="1"/>
  </w:num>
  <w:num w:numId="9" w16cid:durableId="345134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YwMzY1MTY3NjMzMDJR0lEKTi0uzszPAykwrAUALuZY6CwAAAA="/>
  </w:docVars>
  <w:rsids>
    <w:rsidRoot w:val="00B47730"/>
    <w:rsid w:val="00034616"/>
    <w:rsid w:val="00051945"/>
    <w:rsid w:val="0006063C"/>
    <w:rsid w:val="000A21BE"/>
    <w:rsid w:val="0015074B"/>
    <w:rsid w:val="00213641"/>
    <w:rsid w:val="0029639D"/>
    <w:rsid w:val="00326F90"/>
    <w:rsid w:val="00386DA6"/>
    <w:rsid w:val="00487FF1"/>
    <w:rsid w:val="005C364A"/>
    <w:rsid w:val="006D1D04"/>
    <w:rsid w:val="00772D4B"/>
    <w:rsid w:val="007867F2"/>
    <w:rsid w:val="007E74C5"/>
    <w:rsid w:val="008A1B22"/>
    <w:rsid w:val="009258F5"/>
    <w:rsid w:val="00A24205"/>
    <w:rsid w:val="00AA1D8D"/>
    <w:rsid w:val="00AD2444"/>
    <w:rsid w:val="00B47730"/>
    <w:rsid w:val="00C141B7"/>
    <w:rsid w:val="00CB0664"/>
    <w:rsid w:val="00D56D82"/>
    <w:rsid w:val="00FC59EC"/>
    <w:rsid w:val="00FC5E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2A1570"/>
  <w14:defaultImageDpi w14:val="300"/>
  <w15:docId w15:val="{57846CBF-6A6E-4CAA-9BF7-584FB8AE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00"/>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pPr>
    <w:rPr>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1D04"/>
    <w:rPr>
      <w:color w:val="0000FF" w:themeColor="hyperlink"/>
      <w:u w:val="single"/>
    </w:rPr>
  </w:style>
  <w:style w:type="character" w:styleId="UnresolvedMention">
    <w:name w:val="Unresolved Mention"/>
    <w:basedOn w:val="DefaultParagraphFont"/>
    <w:uiPriority w:val="99"/>
    <w:semiHidden/>
    <w:unhideWhenUsed/>
    <w:rsid w:val="006D1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57/app.20140287" TargetMode="External"/><Relationship Id="rId13" Type="http://schemas.openxmlformats.org/officeDocument/2006/relationships/hyperlink" Target="https://www.hustlerfund.go.ke/hustler-fund-tukuze-hub-faqs" TargetMode="External"/><Relationship Id="rId18" Type="http://schemas.openxmlformats.org/officeDocument/2006/relationships/hyperlink" Target="https://doi.org/10.1257/app.2018034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planning.go.ke/sites/default/files/Project%20Documents/APR%20FY2024-2025%20of%20MTP%20IV.pdf" TargetMode="External"/><Relationship Id="rId7" Type="http://schemas.openxmlformats.org/officeDocument/2006/relationships/endnotes" Target="endnotes.xml"/><Relationship Id="rId12" Type="http://schemas.openxmlformats.org/officeDocument/2006/relationships/hyperlink" Target="https://www.hustlerfund.go.ke/" TargetMode="External"/><Relationship Id="rId17" Type="http://schemas.openxmlformats.org/officeDocument/2006/relationships/hyperlink" Target="https://statistics.knbs.or.ke/nada/index.php/catalog/6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214/10-STS321" TargetMode="External"/><Relationship Id="rId20" Type="http://schemas.openxmlformats.org/officeDocument/2006/relationships/hyperlink" Target="https://doi.org/10.1257/jep.5.1.9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oms.12213"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hustlerfund.go.ke/hustler-fund-launches-tukuze-hub-support-top-performing-borrower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126/science.aan5329" TargetMode="External"/><Relationship Id="rId19" Type="http://schemas.openxmlformats.org/officeDocument/2006/relationships/hyperlink" Target="https://doi.org/10.1287/mnsc.2016.2492" TargetMode="External"/><Relationship Id="rId4" Type="http://schemas.openxmlformats.org/officeDocument/2006/relationships/settings" Target="settings.xml"/><Relationship Id="rId9" Type="http://schemas.openxmlformats.org/officeDocument/2006/relationships/hyperlink" Target="https://doi.org/10.1016/j.jeconom.2020.12.001" TargetMode="External"/><Relationship Id="rId14" Type="http://schemas.openxmlformats.org/officeDocument/2006/relationships/hyperlink" Target="https://www.hustlerfund.go.ke/personal-loan" TargetMode="External"/><Relationship Id="rId22" Type="http://schemas.openxmlformats.org/officeDocument/2006/relationships/hyperlink" Target="https://doi.org/10.1002/smj.640"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8FF41-AD60-4F49-AB88-A44E5152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5777</Words>
  <Characters>32929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Public Support and Enterprise Performance under Kenya’s Bottom Up Economic Transformation Agenda</vt:lpstr>
    </vt:vector>
  </TitlesOfParts>
  <Manager/>
  <Company/>
  <LinksUpToDate>false</LinksUpToDate>
  <CharactersWithSpaces>38629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Support and Enterprise Performance under Kenya’s Bottom Up Economic Transformation Agenda</dc:title>
  <dc:subject>Conceptual article prepared for author review</dc:subject>
  <dc:creator>Ian Ochieng Otieno</dc:creator>
  <cp:keywords/>
  <dc:description>generated by python-docx</dc:description>
  <cp:lastModifiedBy>SDI PC New 16</cp:lastModifiedBy>
  <cp:revision>6</cp:revision>
  <dcterms:created xsi:type="dcterms:W3CDTF">2026-09-11T06:32:00Z</dcterms:created>
  <dcterms:modified xsi:type="dcterms:W3CDTF">2026-09-14T12:46:00Z</dcterms:modified>
  <cp:category/>
</cp:coreProperties>
</file>