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07436" w14:textId="77777777" w:rsidR="00C565DC" w:rsidRDefault="00000000">
      <w:pPr>
        <w:spacing w:after="140"/>
        <w:jc w:val="center"/>
      </w:pPr>
      <w:r>
        <w:rPr>
          <w:b/>
          <w:sz w:val="28"/>
        </w:rPr>
        <w:t>RENEWABLE-ENERGY MOBILITY AND SOCIAL SUSTAINABILITY IN AFRICAN AND ASIAN CITIES: A COMPARATIVE DOCUMENTARY CASE ANALYSIS</w:t>
      </w:r>
    </w:p>
    <w:p w14:paraId="1276FC6F" w14:textId="77777777" w:rsidR="00C565DC" w:rsidRDefault="00000000">
      <w:pPr>
        <w:pStyle w:val="Heading1"/>
      </w:pPr>
      <w:r>
        <w:t>Abstract</w:t>
      </w:r>
    </w:p>
    <w:p w14:paraId="79BEE65E" w14:textId="77777777" w:rsidR="00C565DC" w:rsidRDefault="00000000">
      <w:r>
        <w:rPr>
          <w:highlight w:val="yellow"/>
        </w:rPr>
        <w:t>Renewable-energy mobility and electrified public transport are expanding</w:t>
      </w:r>
      <w:r>
        <w:t xml:space="preserve"> across developing cities, yet evidence on social sustainability remains less mature than evidence on technology, operations, and emissions. This comparative documentary case analysis examines Addis Ababa, Nairobi, Lagos, Delhi, and Shenzhen through six domains: affordability, accessibility, employment and local capability, gender and social inclusion, public-health and environmental co-benefits, and implementation conditions. The empirical search covered 2015–31 May 2026, while foundational theoretical and methodological sources predating 2015 were retained where necessary. The evidence base comprises </w:t>
      </w:r>
      <w:r>
        <w:rPr>
          <w:highlight w:val="yellow"/>
        </w:rPr>
        <w:t>22 verified peer-reviewed empirical or review sources</w:t>
      </w:r>
      <w:r>
        <w:t xml:space="preserve"> and 9 authenticated theoretical or methodological sources. Evidence was coded within cases and compared across implementation stages, while direct observations, modelled outcomes, policy/stakeholder evidence, and pilot findings were explicitly distinguished. Addis Ababa provides direct evidence of reduced transport costs and travel times for some adjacent communities, but also crowding, waiting-time, spatial-access, and community-severance concerns. Evidence for Nairobi and Lagos is more limited and indicates emerging transition activity alongside financing, charging, governance, and incumbent-operator challenges rather than demonstrated city-wide social outcomes. Delhi offers modelled evidence of potentially substantial air-quality and health co-benefits from bus electrification, while equity-oriented policy research shows that access inequalities require explicit attention. Shenzhen provides the strongest evidence of system-scale bus electrification and the infrastructure coordination needed to sustain it, although social-distributional outcomes are less consistently measured than operational and environmental performance. Across cases, electrification is not equivalent to social sustainability: equitable outcomes depend on affordable access, network integration, reliable infrastructure, inclusive governance, and locally maintainable capability. The analysis therefore recommends that clean-mobility </w:t>
      </w:r>
      <w:proofErr w:type="spellStart"/>
      <w:r>
        <w:t>programmes</w:t>
      </w:r>
      <w:proofErr w:type="spellEnd"/>
      <w:r>
        <w:t xml:space="preserve"> be assessed through distributional and social-performance indicators alongside operational and emissions metrics.</w:t>
      </w:r>
    </w:p>
    <w:p w14:paraId="2B989F42" w14:textId="77777777" w:rsidR="00C565DC" w:rsidRDefault="00000000">
      <w:pPr>
        <w:spacing w:after="100"/>
      </w:pPr>
      <w:r>
        <w:rPr>
          <w:b/>
          <w:sz w:val="21"/>
        </w:rPr>
        <w:t xml:space="preserve">Keywords: </w:t>
      </w:r>
      <w:r>
        <w:rPr>
          <w:sz w:val="21"/>
        </w:rPr>
        <w:t>renewable-energy mobility; electric public transport; social sustainability; mobility justice; transport equity; urban accessibility</w:t>
      </w:r>
    </w:p>
    <w:p w14:paraId="19226B3D" w14:textId="77777777" w:rsidR="00C565DC" w:rsidRDefault="00000000">
      <w:pPr>
        <w:pStyle w:val="Heading1"/>
      </w:pPr>
      <w:r>
        <w:t>1.0 Introduction</w:t>
      </w:r>
    </w:p>
    <w:p w14:paraId="5878C8D8" w14:textId="77777777" w:rsidR="00C565DC" w:rsidRDefault="00000000">
      <w:pPr>
        <w:ind w:firstLine="317"/>
      </w:pPr>
      <w:r>
        <w:t xml:space="preserve">Urban transport </w:t>
      </w:r>
      <w:proofErr w:type="spellStart"/>
      <w:r>
        <w:t>decarbonisation</w:t>
      </w:r>
      <w:proofErr w:type="spellEnd"/>
      <w:r>
        <w:t xml:space="preserve"> is increasingly pursued through electric buses, electric rail, charging systems, digital fleet management, and the progressive integration of lower-carbon electricity. Such change is socio-technical rather than purely technological: vehicle substitution interacts with infrastructure, institutions, markets, user practices, finance, and policy (Geels, 2002, 2012). The transition is therefore relevant not only to emissions and energy use but also to who can reach employment, education, health care, and other opportunities, at what cost, and under what conditions.</w:t>
      </w:r>
    </w:p>
    <w:p w14:paraId="0AE5CD4A" w14:textId="77777777" w:rsidR="00C565DC" w:rsidRDefault="00000000">
      <w:pPr>
        <w:ind w:firstLine="317"/>
      </w:pPr>
      <w:r>
        <w:t xml:space="preserve">Transport disadvantage and social exclusion are closely linked to the availability, affordability, and practical usability of mobility options (Lucas, 2012). Justice-oriented transport scholarship similarly argues that accessibility and the distribution of transport benefits and burdens should be central to appraisal rather than treated as secondary outcomes (Pereira et al., 2017; </w:t>
      </w:r>
      <w:proofErr w:type="spellStart"/>
      <w:r>
        <w:t>Verlinghieri</w:t>
      </w:r>
      <w:proofErr w:type="spellEnd"/>
      <w:r>
        <w:t xml:space="preserve"> &amp; </w:t>
      </w:r>
      <w:proofErr w:type="spellStart"/>
      <w:r>
        <w:t>Schwanen</w:t>
      </w:r>
      <w:proofErr w:type="spellEnd"/>
      <w:r>
        <w:t>, 2020). These considerations are especially important in rapidly growing African and Asian cities, where formal public transport, informal or semi-formal services, infrastructure constraints, and unequal access frequently coexist.</w:t>
      </w:r>
    </w:p>
    <w:p w14:paraId="2D01460F" w14:textId="77777777" w:rsidR="00C565DC" w:rsidRDefault="00000000">
      <w:pPr>
        <w:ind w:firstLine="317"/>
      </w:pPr>
      <w:r>
        <w:t xml:space="preserve">In this article, the term renewable-energy mobility is used operationally to describe electrified public-transport systems that can be supplied partly or increasingly by renewable electricity. The five case systems are not assumed to operate on exclusively renewable electricity. Consequently, this study distinguishes local tailpipe effects from lifecycle or electricity-system effects and does not equate vehicle electrification with zero total </w:t>
      </w:r>
      <w:r>
        <w:lastRenderedPageBreak/>
        <w:t>emissions. This distinction is particularly important for grid-connected rail and battery-electric bus systems whose upstream impacts depend on electricity generation and charging conditions (Mao et al., 2020).</w:t>
      </w:r>
    </w:p>
    <w:p w14:paraId="24E96D71" w14:textId="77777777" w:rsidR="00C565DC" w:rsidRDefault="00000000">
      <w:pPr>
        <w:pStyle w:val="Heading2"/>
      </w:pPr>
      <w:r>
        <w:t>1.1 Research Problem and Gap</w:t>
      </w:r>
    </w:p>
    <w:p w14:paraId="2A18402C" w14:textId="77777777" w:rsidR="00C565DC" w:rsidRDefault="00000000">
      <w:pPr>
        <w:ind w:firstLine="317"/>
      </w:pPr>
      <w:r>
        <w:t xml:space="preserve">A central policy risk is that a cleaner vehicle fleet may be interpreted as evidence of a socially sustainable transport system even where fares, route coverage, transfer penalties, service reliability, personal safety, or physical accessibility remain unequal. Research on transport equity </w:t>
      </w:r>
      <w:r>
        <w:rPr>
          <w:highlight w:val="yellow"/>
        </w:rPr>
        <w:t>emphasises</w:t>
      </w:r>
      <w:r>
        <w:t xml:space="preserve"> that distributional outcomes depend on effective accessibility and on the treatment of disadvantaged groups, not only aggregate improvements (Pereira et al., 2017). Gender-focused evidence further shows that inadequate service quality, unsafe environments, first- and last-mile barriers, and weakly inclusive policy design can constrain public-transport use even when a nominal service is available (Roy et al., 2024; Sil et al., 2023).</w:t>
      </w:r>
    </w:p>
    <w:p w14:paraId="7F62B3B1" w14:textId="77777777" w:rsidR="00C565DC" w:rsidRDefault="00000000">
      <w:pPr>
        <w:ind w:firstLine="317"/>
      </w:pPr>
      <w:r>
        <w:t xml:space="preserve">Electric-bus scholarship, meanwhile, consistently identifies financial, technological, managerial, and infrastructure barriers to large-scale implementation (Rodrigues &amp; Seixas, 2022; </w:t>
      </w:r>
      <w:proofErr w:type="spellStart"/>
      <w:r>
        <w:t>Sadrani</w:t>
      </w:r>
      <w:proofErr w:type="spellEnd"/>
      <w:r>
        <w:t xml:space="preserve"> et al., 2024). In African urban contexts, the transition is additionally shaped by informal operators, limited financing, charging and electricity constraints, and the challenge of integrating new technology into existing mobility systems (Galuszka et al., 2021; </w:t>
      </w:r>
      <w:proofErr w:type="spellStart"/>
      <w:r>
        <w:t>Sovacool</w:t>
      </w:r>
      <w:proofErr w:type="spellEnd"/>
      <w:r>
        <w:t xml:space="preserve"> et al., 2022). What remains comparatively underdeveloped is a cross-case interpretation that connects implementation maturity to social outcomes while avoiding unsupported equivalence between pilot projects, modelled scenarios, established rail systems, and fully electrified bus networks.</w:t>
      </w:r>
    </w:p>
    <w:p w14:paraId="356741A9" w14:textId="77777777" w:rsidR="00C565DC" w:rsidRDefault="00000000">
      <w:pPr>
        <w:ind w:firstLine="317"/>
      </w:pPr>
      <w:r>
        <w:t>The present study addresses this gap by applying one evidence-calibrated framework to Addis Ababa, Nairobi, Lagos, Delhi, and Shenzhen. Rather than ranking cities, it compares what can reasonably be inferred from the available evidence and identifies where social outcomes are demonstrated, modelled, prospective, or insufficiently documented.</w:t>
      </w:r>
    </w:p>
    <w:p w14:paraId="7CA920A6" w14:textId="633CAF76" w:rsidR="00F84A2D" w:rsidRPr="00F84A2D" w:rsidRDefault="00F84A2D" w:rsidP="00F84A2D">
      <w:pPr>
        <w:keepNext/>
        <w:keepLines/>
        <w:spacing w:before="160" w:after="60"/>
        <w:outlineLvl w:val="1"/>
        <w:rPr>
          <w:rFonts w:asciiTheme="majorHAnsi" w:eastAsiaTheme="majorEastAsia" w:hAnsiTheme="majorHAnsi" w:cstheme="majorBidi"/>
          <w:b/>
          <w:bCs/>
          <w:color w:val="000000"/>
          <w:sz w:val="23"/>
          <w:szCs w:val="26"/>
        </w:rPr>
      </w:pPr>
      <w:r w:rsidRPr="00F84A2D">
        <w:rPr>
          <w:rFonts w:asciiTheme="majorHAnsi" w:eastAsiaTheme="majorEastAsia" w:hAnsiTheme="majorHAnsi" w:cstheme="majorBidi"/>
          <w:b/>
          <w:bCs/>
          <w:color w:val="000000"/>
          <w:sz w:val="23"/>
          <w:szCs w:val="26"/>
          <w:highlight w:val="yellow"/>
        </w:rPr>
        <w:t>1.</w:t>
      </w:r>
      <w:r>
        <w:rPr>
          <w:rFonts w:asciiTheme="majorHAnsi" w:eastAsiaTheme="majorEastAsia" w:hAnsiTheme="majorHAnsi" w:cstheme="majorBidi"/>
          <w:b/>
          <w:bCs/>
          <w:color w:val="000000"/>
          <w:sz w:val="23"/>
          <w:szCs w:val="26"/>
          <w:highlight w:val="yellow"/>
        </w:rPr>
        <w:t>2</w:t>
      </w:r>
      <w:r w:rsidRPr="00F84A2D">
        <w:rPr>
          <w:rFonts w:asciiTheme="majorHAnsi" w:eastAsiaTheme="majorEastAsia" w:hAnsiTheme="majorHAnsi" w:cstheme="majorBidi"/>
          <w:b/>
          <w:bCs/>
          <w:color w:val="000000"/>
          <w:sz w:val="23"/>
          <w:szCs w:val="26"/>
          <w:highlight w:val="yellow"/>
        </w:rPr>
        <w:t xml:space="preserve"> Research Question and Objectives</w:t>
      </w:r>
    </w:p>
    <w:p w14:paraId="7F567650" w14:textId="77777777" w:rsidR="00F84A2D" w:rsidRPr="00F84A2D" w:rsidRDefault="00F84A2D" w:rsidP="00F84A2D">
      <w:r w:rsidRPr="00F84A2D">
        <w:t>The study addresses the following research question: How are social-sustainability outcomes associated with renewable-energy and electrified public-transport transitions across selected African and Asian cities, and what implementation conditions shape the strength and distribution of those outcomes?</w:t>
      </w:r>
    </w:p>
    <w:p w14:paraId="3305DE90" w14:textId="77777777" w:rsidR="00F84A2D" w:rsidRPr="00F84A2D" w:rsidRDefault="00F84A2D" w:rsidP="00F84A2D">
      <w:r w:rsidRPr="00F84A2D">
        <w:t>Accordingly, the study seeks to:</w:t>
      </w:r>
    </w:p>
    <w:p w14:paraId="03380BC3" w14:textId="77777777" w:rsidR="00F84A2D" w:rsidRPr="00F84A2D" w:rsidRDefault="00F84A2D" w:rsidP="00F84A2D">
      <w:pPr>
        <w:spacing w:after="40"/>
        <w:ind w:left="432" w:hanging="317"/>
      </w:pPr>
      <w:r w:rsidRPr="00F84A2D">
        <w:t xml:space="preserve">1. </w:t>
      </w:r>
      <w:proofErr w:type="spellStart"/>
      <w:r w:rsidRPr="00F84A2D">
        <w:t>synthesise</w:t>
      </w:r>
      <w:proofErr w:type="spellEnd"/>
      <w:r w:rsidRPr="00F84A2D">
        <w:t xml:space="preserve"> documented outcomes associated with affordability, accessibility, employment and local capability, gender and social inclusion, and public-health or environmental co-benefits;</w:t>
      </w:r>
    </w:p>
    <w:p w14:paraId="1827FC54" w14:textId="77777777" w:rsidR="00F84A2D" w:rsidRPr="00F84A2D" w:rsidRDefault="00F84A2D" w:rsidP="00F84A2D">
      <w:pPr>
        <w:spacing w:after="40"/>
        <w:ind w:left="432" w:hanging="317"/>
      </w:pPr>
      <w:r w:rsidRPr="00F84A2D">
        <w:t>2. compare the strength and type of evidence across Addis Ababa, Nairobi, Lagos, Delhi, and Shenzhen;</w:t>
      </w:r>
    </w:p>
    <w:p w14:paraId="5107D6BE" w14:textId="77777777" w:rsidR="00F84A2D" w:rsidRPr="00F84A2D" w:rsidRDefault="00F84A2D" w:rsidP="00F84A2D">
      <w:pPr>
        <w:spacing w:after="40"/>
        <w:ind w:left="432" w:hanging="317"/>
      </w:pPr>
      <w:r w:rsidRPr="00F84A2D">
        <w:t>3. identify financial, institutional, infrastructural, technical, and network conditions that shape implementation and distributional outcomes; and</w:t>
      </w:r>
    </w:p>
    <w:p w14:paraId="34C618A8" w14:textId="77777777" w:rsidR="00F84A2D" w:rsidRPr="00F84A2D" w:rsidRDefault="00F84A2D" w:rsidP="00F84A2D">
      <w:pPr>
        <w:spacing w:after="40"/>
        <w:ind w:left="432" w:hanging="317"/>
      </w:pPr>
      <w:r w:rsidRPr="00F84A2D">
        <w:t>4. derive policy implications for more equitable clean-mobility transitions while distinguishing demonstrated effects from modelled or prospective benefits.</w:t>
      </w:r>
    </w:p>
    <w:p w14:paraId="35739C05" w14:textId="77777777" w:rsidR="00F84A2D" w:rsidRDefault="00F84A2D">
      <w:pPr>
        <w:ind w:firstLine="317"/>
      </w:pPr>
    </w:p>
    <w:p w14:paraId="554ED313" w14:textId="46955CEF" w:rsidR="00C565DC" w:rsidRDefault="00000000">
      <w:pPr>
        <w:pStyle w:val="Heading2"/>
      </w:pPr>
      <w:r>
        <w:rPr>
          <w:highlight w:val="yellow"/>
        </w:rPr>
        <w:t>1.</w:t>
      </w:r>
      <w:r w:rsidR="00F84A2D">
        <w:rPr>
          <w:highlight w:val="yellow"/>
        </w:rPr>
        <w:t>3</w:t>
      </w:r>
      <w:r>
        <w:rPr>
          <w:highlight w:val="yellow"/>
        </w:rPr>
        <w:t xml:space="preserve"> Scope, Significance and Contribution</w:t>
      </w:r>
    </w:p>
    <w:p w14:paraId="4C046235" w14:textId="77777777" w:rsidR="00C565DC" w:rsidRDefault="00000000">
      <w:pPr>
        <w:ind w:firstLine="317"/>
      </w:pPr>
      <w:r>
        <w:t>The cases were selected to provide variation in region, mode, and implementation maturity. Addis Ababa represents an established grid-electric light-rail system with documented user and adjacent-community outcomes. Nairobi and Lagos represent earlier-stage electric-mobility transitions in transport systems where informal or semi-formal operators remain important. Delhi represents a rapidly scaling public electric-bus context supported by policy intervention and modelling evidence. Shenzhen represents a mature system-scale bus-electrification case with well-documented charging and operational requirements. The comparison is therefore analytical rather than statistically representative.</w:t>
      </w:r>
    </w:p>
    <w:p w14:paraId="5F387114" w14:textId="77777777" w:rsidR="00C565DC" w:rsidRDefault="00000000">
      <w:pPr>
        <w:ind w:firstLine="317"/>
      </w:pPr>
      <w:r>
        <w:t xml:space="preserve">The principal contribution is methodological and interpretive. The study combines socio-technical transition theory with energy and mobility justice, classifies evidence by its inferential strength, and treats social </w:t>
      </w:r>
      <w:r>
        <w:lastRenderedPageBreak/>
        <w:t>sustainability as a multidimensional performance requirement. This approach reduces the risk of treating cleaner technology as an automatic proxy for affordability, accessibility, inclusion, or employment quality.</w:t>
      </w:r>
    </w:p>
    <w:p w14:paraId="025C275B" w14:textId="77777777" w:rsidR="00C565DC" w:rsidRDefault="00000000">
      <w:pPr>
        <w:pStyle w:val="Heading1"/>
      </w:pPr>
      <w:r>
        <w:t>2.0 Literature Review</w:t>
      </w:r>
    </w:p>
    <w:p w14:paraId="245E7ADE" w14:textId="77777777" w:rsidR="00C565DC" w:rsidRDefault="00000000">
      <w:pPr>
        <w:ind w:firstLine="317"/>
      </w:pPr>
      <w:r>
        <w:t>The literature relevant to socially sustainable clean mobility spans transport disadvantage, mobility justice, energy justice, socio-technical transitions, electric-bus implementation, and city-specific evidence. Across these bodies of work, a recurring distinction is evident: technological change can alter the environmental and operational characteristics of transport, but socially sustainable outcomes depend on how opportunities, costs, risks, and decision-making power are distributed.</w:t>
      </w:r>
    </w:p>
    <w:p w14:paraId="579C61F4" w14:textId="77777777" w:rsidR="00C565DC" w:rsidRDefault="00000000">
      <w:pPr>
        <w:pStyle w:val="Heading2"/>
      </w:pPr>
      <w:r>
        <w:t>2.1 Conceptual Review</w:t>
      </w:r>
    </w:p>
    <w:p w14:paraId="2566AD2D" w14:textId="77777777" w:rsidR="00C565DC" w:rsidRDefault="00000000">
      <w:pPr>
        <w:pStyle w:val="Heading3"/>
      </w:pPr>
      <w:r>
        <w:t>2.1.1 Renewable-Energy Mobility Systems</w:t>
      </w:r>
    </w:p>
    <w:p w14:paraId="6F0E6186" w14:textId="77777777" w:rsidR="00C565DC" w:rsidRDefault="00000000">
      <w:pPr>
        <w:ind w:firstLine="317"/>
      </w:pPr>
      <w:r>
        <w:t xml:space="preserve">For this study, renewable-energy mobility systems encompass electric rail and bus technologies, charging and power-supply infrastructure, and associated operational systems that enable mobility to shift away from direct fossil-fuel combustion and, where grid conditions permit, </w:t>
      </w:r>
      <w:r>
        <w:rPr>
          <w:highlight w:val="yellow"/>
        </w:rPr>
        <w:t>towards renewable electricity</w:t>
      </w:r>
      <w:r>
        <w:t>. The definition is deliberately broader than “renewable-powered transport” because the reviewed systems have different electricity mixes. Electrification can eliminate tailpipe emissions from battery-electric buses, but lifecycle benefits depend on power generation, charging losses, vehicle use, and other operating conditions. Evidence from Shenzhen illustrates this dependence: real-world well-to-wheel analysis found lower carbon dioxide emissions for battery-electric buses than conventional diesel buses under the studied operating and grid conditions, while also showing sensitivity to electricity and charging parameters (Mao et al., 2020).</w:t>
      </w:r>
    </w:p>
    <w:p w14:paraId="15C04B24" w14:textId="77777777" w:rsidR="00C565DC" w:rsidRDefault="00000000">
      <w:pPr>
        <w:pStyle w:val="Heading3"/>
      </w:pPr>
      <w:r>
        <w:t>2.1.2 Social Sustainability</w:t>
      </w:r>
    </w:p>
    <w:p w14:paraId="0D0F687E" w14:textId="77777777" w:rsidR="00C565DC" w:rsidRDefault="00000000">
      <w:pPr>
        <w:ind w:firstLine="317"/>
      </w:pPr>
      <w:r>
        <w:t xml:space="preserve">Social sustainability in transport concerns whether mobility systems expand meaningful access to opportunities while distributing benefits and burdens fairly. Relevant dimensions include affordability, spatial accessibility, service reliability, safety, inclusion, employment quality, and exposure to environmental harm. Transport disadvantage research has long shown that the absence of usable mobility can contribute to social exclusion (Lucas, 2012), while contemporary transport-justice scholarship places accessibility and distribution at the </w:t>
      </w:r>
      <w:proofErr w:type="spellStart"/>
      <w:r>
        <w:t>centre</w:t>
      </w:r>
      <w:proofErr w:type="spellEnd"/>
      <w:r>
        <w:t xml:space="preserve"> of evaluation (Pereira et al., 2017).</w:t>
      </w:r>
    </w:p>
    <w:p w14:paraId="23285708" w14:textId="77777777" w:rsidR="00C565DC" w:rsidRDefault="00000000">
      <w:pPr>
        <w:pStyle w:val="Heading3"/>
      </w:pPr>
      <w:r>
        <w:t>2.1.3 Mobility Justice and Transport Equity</w:t>
      </w:r>
    </w:p>
    <w:p w14:paraId="5D9F9CA8" w14:textId="77777777" w:rsidR="00C565DC" w:rsidRDefault="00000000">
      <w:pPr>
        <w:ind w:firstLine="317"/>
      </w:pPr>
      <w:r>
        <w:t xml:space="preserve">Mobility justice directs attention to the difference between the presence of infrastructure and the practical capability to travel. A service may be geographically near yet remain exclusionary because of price, unsafe access, inconvenient transfers, inaccessible boarding, limited operating hours, or discriminatory conditions. </w:t>
      </w:r>
      <w:proofErr w:type="spellStart"/>
      <w:r>
        <w:t>Verlinghieri</w:t>
      </w:r>
      <w:proofErr w:type="spellEnd"/>
      <w:r>
        <w:t xml:space="preserve"> and </w:t>
      </w:r>
      <w:proofErr w:type="spellStart"/>
      <w:r>
        <w:t>Schwanen</w:t>
      </w:r>
      <w:proofErr w:type="spellEnd"/>
      <w:r>
        <w:t xml:space="preserve"> (2020) </w:t>
      </w:r>
      <w:proofErr w:type="spellStart"/>
      <w:r>
        <w:t>emphasise</w:t>
      </w:r>
      <w:proofErr w:type="spellEnd"/>
      <w:r>
        <w:t xml:space="preserve"> that mobility-justice debates extend beyond distribution to recognition and participation, while </w:t>
      </w:r>
      <w:proofErr w:type="spellStart"/>
      <w:r>
        <w:t>Schwanen</w:t>
      </w:r>
      <w:proofErr w:type="spellEnd"/>
      <w:r>
        <w:t xml:space="preserve"> (2021) argues that just low-carbon mobility transitions should attend to distributional, procedural, recognition, and knowledge dimensions. These principles are particularly relevant when electrification affects existing workers and operators as well as passengers.</w:t>
      </w:r>
    </w:p>
    <w:p w14:paraId="4F49AF33" w14:textId="77777777" w:rsidR="00C565DC" w:rsidRDefault="00000000">
      <w:pPr>
        <w:pStyle w:val="Heading3"/>
      </w:pPr>
      <w:r>
        <w:t>2.1.4 Transport-Energy Transition</w:t>
      </w:r>
    </w:p>
    <w:p w14:paraId="58D30D05" w14:textId="77777777" w:rsidR="00C565DC" w:rsidRDefault="00000000">
      <w:pPr>
        <w:ind w:firstLine="317"/>
      </w:pPr>
      <w:r>
        <w:t xml:space="preserve">Transport-energy transition is the shift in vehicles, infrastructure, electricity use, </w:t>
      </w:r>
      <w:proofErr w:type="spellStart"/>
      <w:r>
        <w:t>organisational</w:t>
      </w:r>
      <w:proofErr w:type="spellEnd"/>
      <w:r>
        <w:t xml:space="preserve"> practices, and policy arrangements required to reduce dependence on fossil-fuel mobility. Reviews of battery-electric bus implementation identify high capital requirements, charging and range considerations, financing, electricity tariffs, technical expertise, and </w:t>
      </w:r>
      <w:proofErr w:type="spellStart"/>
      <w:r>
        <w:t>organisational</w:t>
      </w:r>
      <w:proofErr w:type="spellEnd"/>
      <w:r>
        <w:t xml:space="preserve"> capacity as recurrent barriers (Rodrigues &amp; Seixas, 2022; </w:t>
      </w:r>
      <w:proofErr w:type="spellStart"/>
      <w:r>
        <w:t>Sadrani</w:t>
      </w:r>
      <w:proofErr w:type="spellEnd"/>
      <w:r>
        <w:t xml:space="preserve"> et al., 2024). These constraints are not external to social sustainability: they influence service frequency, route choice, fare pressure, maintenance reliability, and the ability of operators to sustain deployment.</w:t>
      </w:r>
    </w:p>
    <w:p w14:paraId="33A75C52" w14:textId="77777777" w:rsidR="00C565DC" w:rsidRDefault="00000000">
      <w:pPr>
        <w:pStyle w:val="Heading3"/>
      </w:pPr>
      <w:r>
        <w:t>2.1.5 Accessibility and Inclusive Mobility</w:t>
      </w:r>
    </w:p>
    <w:p w14:paraId="368D9805" w14:textId="77777777" w:rsidR="00C565DC" w:rsidRDefault="00000000">
      <w:pPr>
        <w:ind w:firstLine="317"/>
      </w:pPr>
      <w:r>
        <w:t>Accessibility refers to the ability to reach valued destinations rather than simply the supply of vehicles or route-</w:t>
      </w:r>
      <w:proofErr w:type="spellStart"/>
      <w:r>
        <w:t>kilometres</w:t>
      </w:r>
      <w:proofErr w:type="spellEnd"/>
      <w:r>
        <w:t xml:space="preserve">. Equity-oriented appraisal therefore requires attention to who gains access, which destinations become reachable, and whether disadvantaged groups receive sufficient improvements (Pereira et al., 2017). </w:t>
      </w:r>
      <w:r>
        <w:lastRenderedPageBreak/>
        <w:t>Gender and first-/last-mile evidence shows that unreliable services, poor pedestrian conditions, unsafe waiting environments, harassment, and care-related travel patterns can restrict mobility for women and other vulnerable users (Roy et al., 2024; Sil et al., 2023). These concerns motivate disaggregated social indicators in the present framework.</w:t>
      </w:r>
    </w:p>
    <w:p w14:paraId="710DD6AC" w14:textId="77777777" w:rsidR="00C565DC" w:rsidRDefault="00000000">
      <w:pPr>
        <w:pStyle w:val="Heading3"/>
      </w:pPr>
      <w:r>
        <w:t>2.1.6 Technology Adoption and System Innovation</w:t>
      </w:r>
    </w:p>
    <w:p w14:paraId="3AF1830A" w14:textId="77777777" w:rsidR="00C565DC" w:rsidRDefault="00000000">
      <w:pPr>
        <w:ind w:firstLine="317"/>
      </w:pPr>
      <w:r>
        <w:t xml:space="preserve">System innovation requires coordinated change beyond vehicle procurement. The multi-level perspective describes transitions as reconfigurations involving technology, infrastructure, regulation, markets, user practices, and cultural meaning (Geels, 2002, 2012). Electric-bus evidence supports this system view: charging infrastructure, financing, management capability, and institutional coordination can determine whether deployment remains a pilot or becomes a durable network-scale service (Rodrigues &amp; Seixas, 2022; </w:t>
      </w:r>
      <w:proofErr w:type="spellStart"/>
      <w:r>
        <w:t>Sadrani</w:t>
      </w:r>
      <w:proofErr w:type="spellEnd"/>
      <w:r>
        <w:t xml:space="preserve"> et al., 2024).</w:t>
      </w:r>
    </w:p>
    <w:p w14:paraId="5E3CE887" w14:textId="77777777" w:rsidR="00C565DC" w:rsidRDefault="00000000">
      <w:pPr>
        <w:pStyle w:val="Heading2"/>
      </w:pPr>
      <w:r>
        <w:t>2.2 Theoretical Review</w:t>
      </w:r>
    </w:p>
    <w:p w14:paraId="61B17156" w14:textId="77777777" w:rsidR="00C565DC" w:rsidRDefault="00000000">
      <w:pPr>
        <w:pStyle w:val="Heading3"/>
      </w:pPr>
      <w:r>
        <w:t>2.2.1 Socio-Technical Transitions Theory</w:t>
      </w:r>
    </w:p>
    <w:p w14:paraId="6F55D877" w14:textId="77777777" w:rsidR="00C565DC" w:rsidRDefault="00000000">
      <w:pPr>
        <w:ind w:firstLine="317"/>
      </w:pPr>
      <w:r>
        <w:t xml:space="preserve">Socio-technical transitions theory explains why replacing one propulsion technology is insufficient to transform a transport regime. In the multi-level perspective, niches interact with established regimes and wider landscape pressures; durable transition requires alignment among technical systems, </w:t>
      </w:r>
      <w:proofErr w:type="spellStart"/>
      <w:r>
        <w:t>organisational</w:t>
      </w:r>
      <w:proofErr w:type="spellEnd"/>
      <w:r>
        <w:t xml:space="preserve"> routines, policy, infrastructure, and users (Geels, 2002). Applied to transport, the framework explicitly rejects a narrow technology-fix interpretation and </w:t>
      </w:r>
      <w:proofErr w:type="spellStart"/>
      <w:r>
        <w:t>emphasises</w:t>
      </w:r>
      <w:proofErr w:type="spellEnd"/>
      <w:r>
        <w:t xml:space="preserve"> co-evolution among industry, policy, markets, infrastructure, culture, and civil society (Geels, 2012). In the present study, the theory is used to interpret differences between pilot-oriented transition activity and mature system-scale electrification.</w:t>
      </w:r>
    </w:p>
    <w:p w14:paraId="4B5E4078" w14:textId="77777777" w:rsidR="00C565DC" w:rsidRDefault="00000000">
      <w:pPr>
        <w:pStyle w:val="Heading3"/>
      </w:pPr>
      <w:r>
        <w:t>2.2.2 Energy Justice Theory</w:t>
      </w:r>
    </w:p>
    <w:p w14:paraId="79DC2384" w14:textId="77777777" w:rsidR="00C565DC" w:rsidRDefault="00000000">
      <w:pPr>
        <w:ind w:firstLine="317"/>
      </w:pPr>
      <w:r>
        <w:t xml:space="preserve">Energy justice provides normative criteria for examining how energy-related transitions distribute benefits, burdens, and decision-making influence. Jenkins et al. (2016) </w:t>
      </w:r>
      <w:proofErr w:type="spellStart"/>
      <w:r>
        <w:t>organise</w:t>
      </w:r>
      <w:proofErr w:type="spellEnd"/>
      <w:r>
        <w:t xml:space="preserve"> the concept around distributional, procedural, and recognition justice. Applied to electric mobility, distributional questions include who receives cleaner air, reliable service, and public subsidy; procedural questions concern participation in route, fare, procurement, and transition decisions; and recognition questions concern whether the needs of low-income passengers, women, persons with disabilities, peripheral communities, and existing transport workers are adequately acknowledged.</w:t>
      </w:r>
    </w:p>
    <w:p w14:paraId="0D4B7CB0" w14:textId="77777777" w:rsidR="00C565DC" w:rsidRDefault="00000000">
      <w:pPr>
        <w:pStyle w:val="Heading3"/>
      </w:pPr>
      <w:r>
        <w:t>2.2.3 Mobility Justice and Transport Equity</w:t>
      </w:r>
    </w:p>
    <w:p w14:paraId="23FB179F" w14:textId="77777777" w:rsidR="00C565DC" w:rsidRDefault="00000000">
      <w:pPr>
        <w:ind w:firstLine="317"/>
      </w:pPr>
      <w:r>
        <w:t xml:space="preserve">Transport justice gives the analysis a destination- and capability-oriented focus. Pereira et al. (2017) argue that distributional evaluation should </w:t>
      </w:r>
      <w:proofErr w:type="spellStart"/>
      <w:r>
        <w:t>emphasise</w:t>
      </w:r>
      <w:proofErr w:type="spellEnd"/>
      <w:r>
        <w:t xml:space="preserve"> accessibility to key destinations, minimum standards, disadvantaged groups, equality of opportunity, and mitigation of externalities. This perspective is especially useful where aggregate fleet expansion might obscure uneven route coverage or burdens. It also prevents a cleaner fleet from being treated as socially equitable merely because average environmental performance improves.</w:t>
      </w:r>
    </w:p>
    <w:p w14:paraId="72C604A0" w14:textId="77777777" w:rsidR="00C565DC" w:rsidRDefault="00000000">
      <w:pPr>
        <w:pStyle w:val="Heading3"/>
      </w:pPr>
      <w:r>
        <w:t>2.2.4 Just-Transition and Institutional Perspective</w:t>
      </w:r>
    </w:p>
    <w:p w14:paraId="31AC7479" w14:textId="77777777" w:rsidR="00C565DC" w:rsidRDefault="00000000">
      <w:pPr>
        <w:ind w:firstLine="317"/>
      </w:pPr>
      <w:r>
        <w:t xml:space="preserve">Just-transition thinking extends the analysis to implementation and affected workers. </w:t>
      </w:r>
      <w:proofErr w:type="spellStart"/>
      <w:r>
        <w:t>Schwanen</w:t>
      </w:r>
      <w:proofErr w:type="spellEnd"/>
      <w:r>
        <w:t xml:space="preserve"> (2021) stresses the importance of broad justice conceptions in low-carbon urban mobility, while evidence from East African e-mobility transitions shows that informal and semi-formal operators can remain insufficiently </w:t>
      </w:r>
      <w:proofErr w:type="spellStart"/>
      <w:r>
        <w:t>recognised</w:t>
      </w:r>
      <w:proofErr w:type="spellEnd"/>
      <w:r>
        <w:t xml:space="preserve"> in policy despite their central role in existing systems (Galuszka et al., 2021). Institutional capacity is therefore treated here not as an abstract background variable but as a practical condition affecting finance, charging, maintenance, stakeholder integration, data, and accountability.</w:t>
      </w:r>
    </w:p>
    <w:p w14:paraId="3FFD13A8" w14:textId="77777777" w:rsidR="00C565DC" w:rsidRDefault="00000000">
      <w:pPr>
        <w:pStyle w:val="Heading3"/>
      </w:pPr>
      <w:r>
        <w:t>2.2.5 Integrated Theoretical Position</w:t>
      </w:r>
    </w:p>
    <w:p w14:paraId="6AE7FBBB" w14:textId="77777777" w:rsidR="00C565DC" w:rsidRDefault="00000000">
      <w:pPr>
        <w:ind w:firstLine="317"/>
      </w:pPr>
      <w:r>
        <w:t xml:space="preserve">No single perspective captures technological reconfiguration, distributive outcomes, accessibility, worker transition, and implementation capacity. The study therefore combines socio-technical transitions theory with </w:t>
      </w:r>
      <w:r>
        <w:lastRenderedPageBreak/>
        <w:t xml:space="preserve">energy justice and mobility/transport justice. The resulting proposition is deliberately conditional: electrified or renewable-energy mobility is more likely to support social sustainability when technological performance is accompanied by affordable access, broad and reliable networks, inclusive governance, and locally maintainable capability. Figure 1 </w:t>
      </w:r>
      <w:proofErr w:type="spellStart"/>
      <w:r>
        <w:t>visualises</w:t>
      </w:r>
      <w:proofErr w:type="spellEnd"/>
      <w:r>
        <w:t xml:space="preserve"> this proposition by separating transmission mechanisms from implementation conditions and by treating social outcomes as contingent rather than automatic.</w:t>
      </w:r>
    </w:p>
    <w:p w14:paraId="60B11DC2" w14:textId="77777777" w:rsidR="00C565DC" w:rsidRDefault="00000000">
      <w:pPr>
        <w:keepNext/>
        <w:jc w:val="center"/>
      </w:pPr>
      <w:r>
        <w:rPr>
          <w:noProof/>
        </w:rPr>
        <w:drawing>
          <wp:inline distT="0" distB="0" distL="0" distR="0" wp14:anchorId="53B8B442" wp14:editId="6FE825B6">
            <wp:extent cx="6172200" cy="2784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rcRect t="11712" b="4236"/>
                    <a:stretch>
                      <a:fillRect/>
                    </a:stretch>
                  </pic:blipFill>
                  <pic:spPr>
                    <a:xfrm>
                      <a:off x="0" y="0"/>
                      <a:ext cx="6172200" cy="2784475"/>
                    </a:xfrm>
                    <a:prstGeom prst="rect">
                      <a:avLst/>
                    </a:prstGeom>
                  </pic:spPr>
                </pic:pic>
              </a:graphicData>
            </a:graphic>
          </wp:inline>
        </w:drawing>
      </w:r>
    </w:p>
    <w:p w14:paraId="05CF79D1" w14:textId="77777777" w:rsidR="00C565DC" w:rsidRDefault="00000000">
      <w:pPr>
        <w:pStyle w:val="CaptionJournal"/>
      </w:pPr>
      <w:r>
        <w:t>Figure 1. Integrated analytical framework linking renewable-energy mobility systems to social sustainability</w:t>
      </w:r>
    </w:p>
    <w:p w14:paraId="0380EE58" w14:textId="77777777" w:rsidR="00C565DC" w:rsidRDefault="00000000">
      <w:pPr>
        <w:pStyle w:val="TableNote"/>
        <w:jc w:val="center"/>
      </w:pPr>
      <w:r>
        <w:t xml:space="preserve">Source: Authors’ </w:t>
      </w:r>
      <w:proofErr w:type="spellStart"/>
      <w:r>
        <w:t>conceptualisation</w:t>
      </w:r>
      <w:proofErr w:type="spellEnd"/>
      <w:r>
        <w:t xml:space="preserve"> based on the integrated theoretical position.</w:t>
      </w:r>
    </w:p>
    <w:p w14:paraId="044447EA" w14:textId="77777777" w:rsidR="00C565DC" w:rsidRDefault="00000000">
      <w:pPr>
        <w:pStyle w:val="Heading2"/>
      </w:pPr>
      <w:r>
        <w:t>2.3 Empirical Review</w:t>
      </w:r>
    </w:p>
    <w:p w14:paraId="4A879A59" w14:textId="77777777" w:rsidR="00C565DC" w:rsidRDefault="00000000">
      <w:pPr>
        <w:ind w:firstLine="317"/>
      </w:pPr>
      <w:r>
        <w:t xml:space="preserve">Empirical and review evidence demonstrates both the potential and the limits of clean-mobility transitions. Global battery-electric bus reviews identify economic, technical, managerial, and infrastructure barriers that can prevent pilots from scaling or can reduce operational performance after procurement (Rodrigues &amp; Seixas, 2022; </w:t>
      </w:r>
      <w:proofErr w:type="spellStart"/>
      <w:r>
        <w:t>Sadrani</w:t>
      </w:r>
      <w:proofErr w:type="spellEnd"/>
      <w:r>
        <w:t xml:space="preserve"> et al., 2024). Socially, the critical question is whether deployment improves effective accessibility and inclusion. Transport-equity scholarship indicates that such outcomes require explicit distributional analysis rather than inference from aggregate system performance (Pereira et al., 2017).</w:t>
      </w:r>
    </w:p>
    <w:p w14:paraId="4F3926F7" w14:textId="77777777" w:rsidR="00C565DC" w:rsidRDefault="00000000">
      <w:pPr>
        <w:ind w:firstLine="317"/>
      </w:pPr>
      <w:r>
        <w:t>African evidence is particularly heterogeneous. A comparative review of Johannesburg, Kigali, Lagos, and Nairobi identifies potential low-carbon mobility benefits alongside financing, infrastructure, policy, and institutional barriers (</w:t>
      </w:r>
      <w:proofErr w:type="spellStart"/>
      <w:r>
        <w:t>Sovacool</w:t>
      </w:r>
      <w:proofErr w:type="spellEnd"/>
      <w:r>
        <w:t xml:space="preserve"> et al., 2022). In East Africa, Galuszka et al. (2021) found persistent financial and technical barriers to e-mobility and highlighted the relatively weak recognition of existing formal/informal transport operators within transition processes. These findings imply that early-stage e-mobility should not be credited with city-wide social outcomes before those outcomes have been measured.</w:t>
      </w:r>
    </w:p>
    <w:p w14:paraId="5E98BB61" w14:textId="77777777" w:rsidR="00C565DC" w:rsidRDefault="00000000">
      <w:pPr>
        <w:ind w:firstLine="317"/>
      </w:pPr>
      <w:r>
        <w:t xml:space="preserve">City-specific evidence reinforces the importance of evidence type. In Addis Ababa, spatial and passenger studies provide direct empirical information on accessibility, service quality, transport cost, travel time, and community effects (Aklilu &amp; Necha, 2018; Deyas &amp; </w:t>
      </w:r>
      <w:proofErr w:type="spellStart"/>
      <w:r>
        <w:t>Woldeamanuel</w:t>
      </w:r>
      <w:proofErr w:type="spellEnd"/>
      <w:r>
        <w:t xml:space="preserve">, 2020; </w:t>
      </w:r>
      <w:proofErr w:type="spellStart"/>
      <w:r>
        <w:t>Obsie</w:t>
      </w:r>
      <w:proofErr w:type="spellEnd"/>
      <w:r>
        <w:t xml:space="preserve"> et al., 2020). In Lagos, the available e-bus study is a small proof-of-concept assessment and should therefore be interpreted as feasibility evidence rather than system-wide impact evidence (</w:t>
      </w:r>
      <w:proofErr w:type="spellStart"/>
      <w:r>
        <w:t>Adibeli</w:t>
      </w:r>
      <w:proofErr w:type="spellEnd"/>
      <w:r>
        <w:t xml:space="preserve"> &amp; Szpytko, 2024); wider Lagos BRT research provides operational context but does not establish electrification effects (</w:t>
      </w:r>
      <w:proofErr w:type="spellStart"/>
      <w:r>
        <w:t>Aderinlewo</w:t>
      </w:r>
      <w:proofErr w:type="spellEnd"/>
      <w:r>
        <w:t xml:space="preserve"> et al., 2020). In Delhi, Bhat and Farzaneh (2022) estimate environmental, health, and economic benefits under an electrification model, whereas Kakar et al. (2021) show that transport policies at national and Delhi levels do not adequately capture all mobility inequities. These bodies of evidence answer different questions and must not be conflated.</w:t>
      </w:r>
    </w:p>
    <w:p w14:paraId="2459566D" w14:textId="77777777" w:rsidR="00C565DC" w:rsidRDefault="00000000">
      <w:pPr>
        <w:ind w:firstLine="317"/>
      </w:pPr>
      <w:r>
        <w:t>Shenzhen provides the clearest system-scale electrification case. Lin et al. (2019) describe the city as the first to replace its entire bus fleet with battery-electric buses and demonstrate the importance of systematic charging-</w:t>
      </w:r>
      <w:r>
        <w:lastRenderedPageBreak/>
        <w:t>network planning. Mao et al. (2020), using real-world operating data and a well-to-wheel framework, report carbon-dioxide reductions relative to conventional diesel buses under the studied conditions while showing sensitivity to the electricity and charging system. This mature case provides strong evidence of technological and infrastructure transition, but it still offers less direct evidence on distributional outcomes such as fare burden, gendered access, or employment quality.</w:t>
      </w:r>
    </w:p>
    <w:p w14:paraId="12555371" w14:textId="77777777" w:rsidR="00C565DC" w:rsidRDefault="00000000">
      <w:pPr>
        <w:ind w:firstLine="317"/>
      </w:pPr>
      <w:r>
        <w:t>Evidence from India also highlights the role of finance and policy. Shivam et al. (2026) use system dynamics to examine electric-bus adoption and policy incentives in India, concluding that the design of subsidies and electrification pathways materially affects adoption and fiscal performance. Such evidence supports analysis of enabling conditions but should not be read as direct measurement of passenger-level equity.</w:t>
      </w:r>
    </w:p>
    <w:p w14:paraId="6E6EC03C" w14:textId="77777777" w:rsidR="00C565DC" w:rsidRDefault="00000000">
      <w:pPr>
        <w:pStyle w:val="Heading3"/>
      </w:pPr>
      <w:r>
        <w:t>2.3.1 Synthesis of the Empirical Gap</w:t>
      </w:r>
    </w:p>
    <w:p w14:paraId="29D1A1C1" w14:textId="77777777" w:rsidR="00C565DC" w:rsidRDefault="00000000">
      <w:pPr>
        <w:ind w:firstLine="317"/>
      </w:pPr>
      <w:r>
        <w:t xml:space="preserve">Three gaps motivate the present comparison. First, technical and environmental performance is generally documented more consistently than fare burden, distributional access, gender, disability, employment quality, or worker transition. Second, the evidence spans fundamentally different inferential forms—surveys, spatial analyses, policy studies, scenario models, pilot feasibility assessments, and mature operational studies—yet these are often discussed as if they were equivalent. Third, implementation maturity strongly affects what can be observed: a small demonstration can establish technical feasibility but cannot establish city-wide accessibility or equity. The study addresses these gaps through evidence-status coding and a cross-case framework that explicitly calibrates conclusions to the strength and type of evidence. Table 1 </w:t>
      </w:r>
      <w:proofErr w:type="spellStart"/>
      <w:r>
        <w:t>summarises</w:t>
      </w:r>
      <w:proofErr w:type="spellEnd"/>
      <w:r>
        <w:t xml:space="preserve"> the verified empirical literature that anchors this gap and indicates the specific limitation each source leaves unresolved.</w:t>
      </w:r>
    </w:p>
    <w:p w14:paraId="6A372893" w14:textId="77777777" w:rsidR="00C565DC" w:rsidRDefault="00000000">
      <w:pPr>
        <w:pStyle w:val="CaptionJournal"/>
      </w:pPr>
      <w:r>
        <w:t>Table 1. Selected verified empirical literature and the unresolved research gap</w:t>
      </w:r>
    </w:p>
    <w:tbl>
      <w:tblPr>
        <w:tblStyle w:val="TableGrid"/>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800"/>
        <w:gridCol w:w="2520"/>
        <w:gridCol w:w="3096"/>
        <w:gridCol w:w="2232"/>
      </w:tblGrid>
      <w:tr w:rsidR="00C565DC" w14:paraId="30EC21D4" w14:textId="77777777">
        <w:trPr>
          <w:cantSplit/>
          <w:tblHeader/>
          <w:jc w:val="center"/>
        </w:trPr>
        <w:tc>
          <w:tcPr>
            <w:tcW w:w="1800" w:type="dxa"/>
            <w:tcMar>
              <w:top w:w="80" w:type="dxa"/>
              <w:left w:w="90" w:type="dxa"/>
              <w:bottom w:w="80" w:type="dxa"/>
              <w:right w:w="90" w:type="dxa"/>
            </w:tcMar>
            <w:vAlign w:val="center"/>
          </w:tcPr>
          <w:p w14:paraId="611C89D5" w14:textId="77777777" w:rsidR="00C565DC" w:rsidRDefault="00000000">
            <w:pPr>
              <w:spacing w:after="0" w:line="240" w:lineRule="auto"/>
              <w:jc w:val="center"/>
            </w:pPr>
            <w:r>
              <w:rPr>
                <w:b/>
                <w:sz w:val="18"/>
              </w:rPr>
              <w:t>Study/source</w:t>
            </w:r>
          </w:p>
        </w:tc>
        <w:tc>
          <w:tcPr>
            <w:tcW w:w="2520" w:type="dxa"/>
            <w:tcMar>
              <w:top w:w="80" w:type="dxa"/>
              <w:left w:w="90" w:type="dxa"/>
              <w:bottom w:w="80" w:type="dxa"/>
              <w:right w:w="90" w:type="dxa"/>
            </w:tcMar>
            <w:vAlign w:val="center"/>
          </w:tcPr>
          <w:p w14:paraId="1EE0A8F1" w14:textId="77777777" w:rsidR="00C565DC" w:rsidRDefault="00000000">
            <w:pPr>
              <w:spacing w:after="0" w:line="240" w:lineRule="auto"/>
              <w:jc w:val="center"/>
            </w:pPr>
            <w:r>
              <w:rPr>
                <w:b/>
                <w:sz w:val="18"/>
              </w:rPr>
              <w:t>Context and method</w:t>
            </w:r>
          </w:p>
        </w:tc>
        <w:tc>
          <w:tcPr>
            <w:tcW w:w="3096" w:type="dxa"/>
            <w:tcMar>
              <w:top w:w="80" w:type="dxa"/>
              <w:left w:w="90" w:type="dxa"/>
              <w:bottom w:w="80" w:type="dxa"/>
              <w:right w:w="90" w:type="dxa"/>
            </w:tcMar>
            <w:vAlign w:val="center"/>
          </w:tcPr>
          <w:p w14:paraId="2BBDE2FE" w14:textId="77777777" w:rsidR="00C565DC" w:rsidRDefault="00000000">
            <w:pPr>
              <w:spacing w:after="0" w:line="240" w:lineRule="auto"/>
              <w:jc w:val="center"/>
            </w:pPr>
            <w:r>
              <w:rPr>
                <w:b/>
                <w:sz w:val="18"/>
              </w:rPr>
              <w:t>Principal finding relevant here</w:t>
            </w:r>
          </w:p>
        </w:tc>
        <w:tc>
          <w:tcPr>
            <w:tcW w:w="2232" w:type="dxa"/>
            <w:tcMar>
              <w:top w:w="80" w:type="dxa"/>
              <w:left w:w="90" w:type="dxa"/>
              <w:bottom w:w="80" w:type="dxa"/>
              <w:right w:w="90" w:type="dxa"/>
            </w:tcMar>
            <w:vAlign w:val="center"/>
          </w:tcPr>
          <w:p w14:paraId="2EBA0204" w14:textId="77777777" w:rsidR="00C565DC" w:rsidRDefault="00000000">
            <w:pPr>
              <w:spacing w:after="0" w:line="240" w:lineRule="auto"/>
              <w:jc w:val="center"/>
            </w:pPr>
            <w:r>
              <w:rPr>
                <w:b/>
                <w:sz w:val="18"/>
              </w:rPr>
              <w:t>Gap for the present study</w:t>
            </w:r>
          </w:p>
        </w:tc>
      </w:tr>
      <w:tr w:rsidR="00C565DC" w14:paraId="2823DAA0" w14:textId="77777777">
        <w:trPr>
          <w:cantSplit/>
          <w:jc w:val="center"/>
        </w:trPr>
        <w:tc>
          <w:tcPr>
            <w:tcW w:w="1800" w:type="dxa"/>
            <w:tcMar>
              <w:top w:w="80" w:type="dxa"/>
              <w:left w:w="90" w:type="dxa"/>
              <w:bottom w:w="80" w:type="dxa"/>
              <w:right w:w="90" w:type="dxa"/>
            </w:tcMar>
            <w:vAlign w:val="center"/>
          </w:tcPr>
          <w:p w14:paraId="6DDA9BB4" w14:textId="77777777" w:rsidR="00C565DC" w:rsidRDefault="00000000">
            <w:pPr>
              <w:spacing w:after="0" w:line="240" w:lineRule="auto"/>
              <w:jc w:val="left"/>
            </w:pPr>
            <w:r>
              <w:rPr>
                <w:sz w:val="17"/>
              </w:rPr>
              <w:t>Lucas (2012)</w:t>
            </w:r>
          </w:p>
        </w:tc>
        <w:tc>
          <w:tcPr>
            <w:tcW w:w="2520" w:type="dxa"/>
            <w:tcMar>
              <w:top w:w="80" w:type="dxa"/>
              <w:left w:w="90" w:type="dxa"/>
              <w:bottom w:w="80" w:type="dxa"/>
              <w:right w:w="90" w:type="dxa"/>
            </w:tcMar>
            <w:vAlign w:val="center"/>
          </w:tcPr>
          <w:p w14:paraId="7694327C" w14:textId="77777777" w:rsidR="00C565DC" w:rsidRDefault="00000000">
            <w:pPr>
              <w:spacing w:after="0" w:line="240" w:lineRule="auto"/>
              <w:jc w:val="left"/>
            </w:pPr>
            <w:r>
              <w:rPr>
                <w:sz w:val="17"/>
              </w:rPr>
              <w:t>Review of transport disadvantage and social exclusion</w:t>
            </w:r>
          </w:p>
        </w:tc>
        <w:tc>
          <w:tcPr>
            <w:tcW w:w="3096" w:type="dxa"/>
            <w:tcMar>
              <w:top w:w="80" w:type="dxa"/>
              <w:left w:w="90" w:type="dxa"/>
              <w:bottom w:w="80" w:type="dxa"/>
              <w:right w:w="90" w:type="dxa"/>
            </w:tcMar>
            <w:vAlign w:val="center"/>
          </w:tcPr>
          <w:p w14:paraId="2E61C70B" w14:textId="77777777" w:rsidR="00C565DC" w:rsidRDefault="00000000">
            <w:pPr>
              <w:spacing w:after="0" w:line="240" w:lineRule="auto"/>
              <w:jc w:val="left"/>
            </w:pPr>
            <w:r>
              <w:rPr>
                <w:sz w:val="17"/>
              </w:rPr>
              <w:t>Mobility constraints can restrict access to key services and opportunities.</w:t>
            </w:r>
          </w:p>
        </w:tc>
        <w:tc>
          <w:tcPr>
            <w:tcW w:w="2232" w:type="dxa"/>
            <w:tcMar>
              <w:top w:w="80" w:type="dxa"/>
              <w:left w:w="90" w:type="dxa"/>
              <w:bottom w:w="80" w:type="dxa"/>
              <w:right w:w="90" w:type="dxa"/>
            </w:tcMar>
            <w:vAlign w:val="center"/>
          </w:tcPr>
          <w:p w14:paraId="781DBE8B" w14:textId="77777777" w:rsidR="00C565DC" w:rsidRDefault="00000000">
            <w:pPr>
              <w:spacing w:after="0" w:line="240" w:lineRule="auto"/>
              <w:jc w:val="left"/>
            </w:pPr>
            <w:r>
              <w:rPr>
                <w:sz w:val="17"/>
              </w:rPr>
              <w:t>Predates contemporary public-transport electrification.</w:t>
            </w:r>
          </w:p>
        </w:tc>
      </w:tr>
      <w:tr w:rsidR="00C565DC" w14:paraId="3C20C4D9" w14:textId="77777777">
        <w:trPr>
          <w:cantSplit/>
          <w:jc w:val="center"/>
        </w:trPr>
        <w:tc>
          <w:tcPr>
            <w:tcW w:w="1800" w:type="dxa"/>
            <w:tcMar>
              <w:top w:w="80" w:type="dxa"/>
              <w:left w:w="90" w:type="dxa"/>
              <w:bottom w:w="80" w:type="dxa"/>
              <w:right w:w="90" w:type="dxa"/>
            </w:tcMar>
            <w:vAlign w:val="center"/>
          </w:tcPr>
          <w:p w14:paraId="0286F6FC" w14:textId="77777777" w:rsidR="00C565DC" w:rsidRDefault="00000000">
            <w:pPr>
              <w:spacing w:after="0" w:line="240" w:lineRule="auto"/>
              <w:jc w:val="left"/>
            </w:pPr>
            <w:r>
              <w:rPr>
                <w:sz w:val="17"/>
              </w:rPr>
              <w:t>Rodrigues &amp; Seixas (2022)</w:t>
            </w:r>
          </w:p>
        </w:tc>
        <w:tc>
          <w:tcPr>
            <w:tcW w:w="2520" w:type="dxa"/>
            <w:tcMar>
              <w:top w:w="80" w:type="dxa"/>
              <w:left w:w="90" w:type="dxa"/>
              <w:bottom w:w="80" w:type="dxa"/>
              <w:right w:w="90" w:type="dxa"/>
            </w:tcMar>
            <w:vAlign w:val="center"/>
          </w:tcPr>
          <w:p w14:paraId="0EBDC045" w14:textId="77777777" w:rsidR="00C565DC" w:rsidRDefault="00000000">
            <w:pPr>
              <w:spacing w:after="0" w:line="240" w:lineRule="auto"/>
              <w:jc w:val="left"/>
            </w:pPr>
            <w:r>
              <w:rPr>
                <w:sz w:val="17"/>
              </w:rPr>
              <w:t>Review of battery-electric bus implementation barriers</w:t>
            </w:r>
          </w:p>
        </w:tc>
        <w:tc>
          <w:tcPr>
            <w:tcW w:w="3096" w:type="dxa"/>
            <w:tcMar>
              <w:top w:w="80" w:type="dxa"/>
              <w:left w:w="90" w:type="dxa"/>
              <w:bottom w:w="80" w:type="dxa"/>
              <w:right w:w="90" w:type="dxa"/>
            </w:tcMar>
            <w:vAlign w:val="center"/>
          </w:tcPr>
          <w:p w14:paraId="2085DCAE" w14:textId="77777777" w:rsidR="00C565DC" w:rsidRDefault="00000000">
            <w:pPr>
              <w:spacing w:after="0" w:line="240" w:lineRule="auto"/>
              <w:jc w:val="left"/>
            </w:pPr>
            <w:r>
              <w:rPr>
                <w:sz w:val="17"/>
              </w:rPr>
              <w:t xml:space="preserve">Large-scale adoption is constrained by technical, economic, infrastructure, and </w:t>
            </w:r>
            <w:proofErr w:type="spellStart"/>
            <w:r>
              <w:rPr>
                <w:sz w:val="17"/>
              </w:rPr>
              <w:t>organisational</w:t>
            </w:r>
            <w:proofErr w:type="spellEnd"/>
            <w:r>
              <w:rPr>
                <w:sz w:val="17"/>
              </w:rPr>
              <w:t xml:space="preserve"> barriers.</w:t>
            </w:r>
          </w:p>
        </w:tc>
        <w:tc>
          <w:tcPr>
            <w:tcW w:w="2232" w:type="dxa"/>
            <w:tcMar>
              <w:top w:w="80" w:type="dxa"/>
              <w:left w:w="90" w:type="dxa"/>
              <w:bottom w:w="80" w:type="dxa"/>
              <w:right w:w="90" w:type="dxa"/>
            </w:tcMar>
            <w:vAlign w:val="center"/>
          </w:tcPr>
          <w:p w14:paraId="4A6FBFE0" w14:textId="77777777" w:rsidR="00C565DC" w:rsidRDefault="00000000">
            <w:pPr>
              <w:spacing w:after="0" w:line="240" w:lineRule="auto"/>
              <w:jc w:val="left"/>
            </w:pPr>
            <w:r>
              <w:rPr>
                <w:sz w:val="17"/>
              </w:rPr>
              <w:t>Social distribution is not the primary outcome.</w:t>
            </w:r>
          </w:p>
        </w:tc>
      </w:tr>
      <w:tr w:rsidR="00C565DC" w14:paraId="659E969E" w14:textId="77777777">
        <w:trPr>
          <w:cantSplit/>
          <w:jc w:val="center"/>
        </w:trPr>
        <w:tc>
          <w:tcPr>
            <w:tcW w:w="1800" w:type="dxa"/>
            <w:tcMar>
              <w:top w:w="80" w:type="dxa"/>
              <w:left w:w="90" w:type="dxa"/>
              <w:bottom w:w="80" w:type="dxa"/>
              <w:right w:w="90" w:type="dxa"/>
            </w:tcMar>
            <w:vAlign w:val="center"/>
          </w:tcPr>
          <w:p w14:paraId="502C95D1" w14:textId="77777777" w:rsidR="00C565DC" w:rsidRDefault="00000000">
            <w:pPr>
              <w:spacing w:after="0" w:line="240" w:lineRule="auto"/>
              <w:jc w:val="left"/>
            </w:pPr>
            <w:proofErr w:type="spellStart"/>
            <w:r>
              <w:rPr>
                <w:sz w:val="17"/>
              </w:rPr>
              <w:t>Sovacool</w:t>
            </w:r>
            <w:proofErr w:type="spellEnd"/>
            <w:r>
              <w:rPr>
                <w:sz w:val="17"/>
              </w:rPr>
              <w:t xml:space="preserve"> et al. (2022)</w:t>
            </w:r>
          </w:p>
        </w:tc>
        <w:tc>
          <w:tcPr>
            <w:tcW w:w="2520" w:type="dxa"/>
            <w:tcMar>
              <w:top w:w="80" w:type="dxa"/>
              <w:left w:w="90" w:type="dxa"/>
              <w:bottom w:w="80" w:type="dxa"/>
              <w:right w:w="90" w:type="dxa"/>
            </w:tcMar>
            <w:vAlign w:val="center"/>
          </w:tcPr>
          <w:p w14:paraId="597C5CB9" w14:textId="77777777" w:rsidR="00C565DC" w:rsidRDefault="00000000">
            <w:pPr>
              <w:spacing w:after="0" w:line="240" w:lineRule="auto"/>
              <w:jc w:val="left"/>
            </w:pPr>
            <w:r>
              <w:rPr>
                <w:sz w:val="17"/>
              </w:rPr>
              <w:t>Comparative review including Lagos and Nairobi</w:t>
            </w:r>
          </w:p>
        </w:tc>
        <w:tc>
          <w:tcPr>
            <w:tcW w:w="3096" w:type="dxa"/>
            <w:tcMar>
              <w:top w:w="80" w:type="dxa"/>
              <w:left w:w="90" w:type="dxa"/>
              <w:bottom w:w="80" w:type="dxa"/>
              <w:right w:w="90" w:type="dxa"/>
            </w:tcMar>
            <w:vAlign w:val="center"/>
          </w:tcPr>
          <w:p w14:paraId="12FE1155" w14:textId="77777777" w:rsidR="00C565DC" w:rsidRDefault="00000000">
            <w:pPr>
              <w:spacing w:after="0" w:line="240" w:lineRule="auto"/>
              <w:jc w:val="left"/>
            </w:pPr>
            <w:r>
              <w:rPr>
                <w:sz w:val="17"/>
              </w:rPr>
              <w:t>African low-carbon mobility offers potential benefits but faces context-specific institutional and infrastructure barriers.</w:t>
            </w:r>
          </w:p>
        </w:tc>
        <w:tc>
          <w:tcPr>
            <w:tcW w:w="2232" w:type="dxa"/>
            <w:tcMar>
              <w:top w:w="80" w:type="dxa"/>
              <w:left w:w="90" w:type="dxa"/>
              <w:bottom w:w="80" w:type="dxa"/>
              <w:right w:w="90" w:type="dxa"/>
            </w:tcMar>
            <w:vAlign w:val="center"/>
          </w:tcPr>
          <w:p w14:paraId="37EBA17A" w14:textId="77777777" w:rsidR="00C565DC" w:rsidRDefault="00000000">
            <w:pPr>
              <w:spacing w:after="0" w:line="240" w:lineRule="auto"/>
              <w:jc w:val="left"/>
            </w:pPr>
            <w:r>
              <w:rPr>
                <w:sz w:val="17"/>
              </w:rPr>
              <w:t>City-level social outcomes are unevenly measured.</w:t>
            </w:r>
          </w:p>
        </w:tc>
      </w:tr>
      <w:tr w:rsidR="00C565DC" w14:paraId="476B9EA1" w14:textId="77777777">
        <w:trPr>
          <w:cantSplit/>
          <w:jc w:val="center"/>
        </w:trPr>
        <w:tc>
          <w:tcPr>
            <w:tcW w:w="1800" w:type="dxa"/>
            <w:tcMar>
              <w:top w:w="80" w:type="dxa"/>
              <w:left w:w="90" w:type="dxa"/>
              <w:bottom w:w="80" w:type="dxa"/>
              <w:right w:w="90" w:type="dxa"/>
            </w:tcMar>
            <w:vAlign w:val="center"/>
          </w:tcPr>
          <w:p w14:paraId="10050850" w14:textId="77777777" w:rsidR="00C565DC" w:rsidRDefault="00000000">
            <w:pPr>
              <w:spacing w:after="0" w:line="240" w:lineRule="auto"/>
              <w:jc w:val="left"/>
            </w:pPr>
            <w:r>
              <w:rPr>
                <w:sz w:val="17"/>
              </w:rPr>
              <w:t>Galuszka et al. (2021)</w:t>
            </w:r>
          </w:p>
        </w:tc>
        <w:tc>
          <w:tcPr>
            <w:tcW w:w="2520" w:type="dxa"/>
            <w:tcMar>
              <w:top w:w="80" w:type="dxa"/>
              <w:left w:w="90" w:type="dxa"/>
              <w:bottom w:w="80" w:type="dxa"/>
              <w:right w:w="90" w:type="dxa"/>
            </w:tcMar>
            <w:vAlign w:val="center"/>
          </w:tcPr>
          <w:p w14:paraId="2C1CA188" w14:textId="77777777" w:rsidR="00C565DC" w:rsidRDefault="00000000">
            <w:pPr>
              <w:spacing w:after="0" w:line="240" w:lineRule="auto"/>
              <w:jc w:val="left"/>
            </w:pPr>
            <w:r>
              <w:rPr>
                <w:sz w:val="17"/>
              </w:rPr>
              <w:t>Policy/document analysis and stakeholder interviews in East Africa, including Nairobi</w:t>
            </w:r>
          </w:p>
        </w:tc>
        <w:tc>
          <w:tcPr>
            <w:tcW w:w="3096" w:type="dxa"/>
            <w:tcMar>
              <w:top w:w="80" w:type="dxa"/>
              <w:left w:w="90" w:type="dxa"/>
              <w:bottom w:w="80" w:type="dxa"/>
              <w:right w:w="90" w:type="dxa"/>
            </w:tcMar>
            <w:vAlign w:val="center"/>
          </w:tcPr>
          <w:p w14:paraId="616DA849" w14:textId="77777777" w:rsidR="00C565DC" w:rsidRDefault="00000000">
            <w:pPr>
              <w:spacing w:after="0" w:line="240" w:lineRule="auto"/>
              <w:jc w:val="left"/>
            </w:pPr>
            <w:r>
              <w:rPr>
                <w:sz w:val="17"/>
              </w:rPr>
              <w:t>Financial and technical barriers persist; incumbent operators are insufficiently integrated into transition processes.</w:t>
            </w:r>
          </w:p>
        </w:tc>
        <w:tc>
          <w:tcPr>
            <w:tcW w:w="2232" w:type="dxa"/>
            <w:tcMar>
              <w:top w:w="80" w:type="dxa"/>
              <w:left w:w="90" w:type="dxa"/>
              <w:bottom w:w="80" w:type="dxa"/>
              <w:right w:w="90" w:type="dxa"/>
            </w:tcMar>
            <w:vAlign w:val="center"/>
          </w:tcPr>
          <w:p w14:paraId="46DDD61B" w14:textId="77777777" w:rsidR="00C565DC" w:rsidRDefault="00000000">
            <w:pPr>
              <w:spacing w:after="0" w:line="240" w:lineRule="auto"/>
              <w:jc w:val="left"/>
            </w:pPr>
            <w:r>
              <w:rPr>
                <w:sz w:val="17"/>
              </w:rPr>
              <w:t>Does not establish city-wide passenger outcomes from e-bus deployment.</w:t>
            </w:r>
          </w:p>
        </w:tc>
      </w:tr>
      <w:tr w:rsidR="00C565DC" w14:paraId="7640DAF3" w14:textId="77777777">
        <w:trPr>
          <w:cantSplit/>
          <w:jc w:val="center"/>
        </w:trPr>
        <w:tc>
          <w:tcPr>
            <w:tcW w:w="1800" w:type="dxa"/>
            <w:tcMar>
              <w:top w:w="80" w:type="dxa"/>
              <w:left w:w="90" w:type="dxa"/>
              <w:bottom w:w="80" w:type="dxa"/>
              <w:right w:w="90" w:type="dxa"/>
            </w:tcMar>
            <w:vAlign w:val="center"/>
          </w:tcPr>
          <w:p w14:paraId="06B151A5" w14:textId="77777777" w:rsidR="00C565DC" w:rsidRDefault="00000000">
            <w:pPr>
              <w:spacing w:after="0" w:line="240" w:lineRule="auto"/>
              <w:jc w:val="left"/>
            </w:pPr>
            <w:r>
              <w:rPr>
                <w:sz w:val="17"/>
              </w:rPr>
              <w:t>Bhat &amp; Farzaneh (2022)</w:t>
            </w:r>
          </w:p>
        </w:tc>
        <w:tc>
          <w:tcPr>
            <w:tcW w:w="2520" w:type="dxa"/>
            <w:tcMar>
              <w:top w:w="80" w:type="dxa"/>
              <w:left w:w="90" w:type="dxa"/>
              <w:bottom w:w="80" w:type="dxa"/>
              <w:right w:w="90" w:type="dxa"/>
            </w:tcMar>
            <w:vAlign w:val="center"/>
          </w:tcPr>
          <w:p w14:paraId="5B95E189" w14:textId="77777777" w:rsidR="00C565DC" w:rsidRDefault="00000000">
            <w:pPr>
              <w:spacing w:after="0" w:line="240" w:lineRule="auto"/>
              <w:jc w:val="left"/>
            </w:pPr>
            <w:r>
              <w:rPr>
                <w:sz w:val="17"/>
              </w:rPr>
              <w:t>Integrated modelling of Delhi bus-fleet electrification</w:t>
            </w:r>
          </w:p>
        </w:tc>
        <w:tc>
          <w:tcPr>
            <w:tcW w:w="3096" w:type="dxa"/>
            <w:tcMar>
              <w:top w:w="80" w:type="dxa"/>
              <w:left w:w="90" w:type="dxa"/>
              <w:bottom w:w="80" w:type="dxa"/>
              <w:right w:w="90" w:type="dxa"/>
            </w:tcMar>
            <w:vAlign w:val="center"/>
          </w:tcPr>
          <w:p w14:paraId="1FFA2042" w14:textId="77777777" w:rsidR="00C565DC" w:rsidRDefault="00000000">
            <w:pPr>
              <w:spacing w:after="0" w:line="240" w:lineRule="auto"/>
              <w:jc w:val="left"/>
            </w:pPr>
            <w:r>
              <w:rPr>
                <w:sz w:val="17"/>
              </w:rPr>
              <w:t>Model estimates substantial pollutant, health, and economic co-benefits from electrification.</w:t>
            </w:r>
          </w:p>
        </w:tc>
        <w:tc>
          <w:tcPr>
            <w:tcW w:w="2232" w:type="dxa"/>
            <w:tcMar>
              <w:top w:w="80" w:type="dxa"/>
              <w:left w:w="90" w:type="dxa"/>
              <w:bottom w:w="80" w:type="dxa"/>
              <w:right w:w="90" w:type="dxa"/>
            </w:tcMar>
            <w:vAlign w:val="center"/>
          </w:tcPr>
          <w:p w14:paraId="59B4557F" w14:textId="77777777" w:rsidR="00C565DC" w:rsidRDefault="00000000">
            <w:pPr>
              <w:spacing w:after="0" w:line="240" w:lineRule="auto"/>
              <w:jc w:val="left"/>
            </w:pPr>
            <w:r>
              <w:rPr>
                <w:sz w:val="17"/>
              </w:rPr>
              <w:t>Outcomes are modelled rather than observed passenger-level effects.</w:t>
            </w:r>
          </w:p>
        </w:tc>
      </w:tr>
      <w:tr w:rsidR="00C565DC" w14:paraId="6CD850EA" w14:textId="77777777">
        <w:trPr>
          <w:cantSplit/>
          <w:jc w:val="center"/>
        </w:trPr>
        <w:tc>
          <w:tcPr>
            <w:tcW w:w="1800" w:type="dxa"/>
            <w:tcMar>
              <w:top w:w="80" w:type="dxa"/>
              <w:left w:w="90" w:type="dxa"/>
              <w:bottom w:w="80" w:type="dxa"/>
              <w:right w:w="90" w:type="dxa"/>
            </w:tcMar>
            <w:vAlign w:val="center"/>
          </w:tcPr>
          <w:p w14:paraId="311C991C" w14:textId="77777777" w:rsidR="00C565DC" w:rsidRDefault="00000000">
            <w:pPr>
              <w:spacing w:after="0" w:line="240" w:lineRule="auto"/>
              <w:jc w:val="left"/>
            </w:pPr>
            <w:r>
              <w:rPr>
                <w:sz w:val="17"/>
              </w:rPr>
              <w:t>Lin et al. (2019)</w:t>
            </w:r>
          </w:p>
        </w:tc>
        <w:tc>
          <w:tcPr>
            <w:tcW w:w="2520" w:type="dxa"/>
            <w:tcMar>
              <w:top w:w="80" w:type="dxa"/>
              <w:left w:w="90" w:type="dxa"/>
              <w:bottom w:w="80" w:type="dxa"/>
              <w:right w:w="90" w:type="dxa"/>
            </w:tcMar>
            <w:vAlign w:val="center"/>
          </w:tcPr>
          <w:p w14:paraId="312A9254" w14:textId="77777777" w:rsidR="00C565DC" w:rsidRDefault="00000000">
            <w:pPr>
              <w:spacing w:after="0" w:line="240" w:lineRule="auto"/>
              <w:jc w:val="left"/>
            </w:pPr>
            <w:r>
              <w:rPr>
                <w:sz w:val="17"/>
              </w:rPr>
              <w:t>Charging-network planning for Shenzhen’s all-electric bus system</w:t>
            </w:r>
          </w:p>
        </w:tc>
        <w:tc>
          <w:tcPr>
            <w:tcW w:w="3096" w:type="dxa"/>
            <w:tcMar>
              <w:top w:w="80" w:type="dxa"/>
              <w:left w:w="90" w:type="dxa"/>
              <w:bottom w:w="80" w:type="dxa"/>
              <w:right w:w="90" w:type="dxa"/>
            </w:tcMar>
            <w:vAlign w:val="center"/>
          </w:tcPr>
          <w:p w14:paraId="493C5B1C" w14:textId="77777777" w:rsidR="00C565DC" w:rsidRDefault="00000000">
            <w:pPr>
              <w:spacing w:after="0" w:line="240" w:lineRule="auto"/>
              <w:jc w:val="left"/>
            </w:pPr>
            <w:r>
              <w:rPr>
                <w:sz w:val="17"/>
              </w:rPr>
              <w:t>System-scale electrification depends on coordinated charging infrastructure and network planning.</w:t>
            </w:r>
          </w:p>
        </w:tc>
        <w:tc>
          <w:tcPr>
            <w:tcW w:w="2232" w:type="dxa"/>
            <w:tcMar>
              <w:top w:w="80" w:type="dxa"/>
              <w:left w:w="90" w:type="dxa"/>
              <w:bottom w:w="80" w:type="dxa"/>
              <w:right w:w="90" w:type="dxa"/>
            </w:tcMar>
            <w:vAlign w:val="center"/>
          </w:tcPr>
          <w:p w14:paraId="2B801CA9" w14:textId="77777777" w:rsidR="00C565DC" w:rsidRDefault="00000000">
            <w:pPr>
              <w:spacing w:after="0" w:line="240" w:lineRule="auto"/>
              <w:jc w:val="left"/>
            </w:pPr>
            <w:r>
              <w:rPr>
                <w:sz w:val="17"/>
              </w:rPr>
              <w:t>Focus is infrastructure and operations rather than distributional equity.</w:t>
            </w:r>
          </w:p>
        </w:tc>
      </w:tr>
      <w:tr w:rsidR="00C565DC" w14:paraId="04F1AEE2" w14:textId="77777777">
        <w:trPr>
          <w:cantSplit/>
          <w:jc w:val="center"/>
        </w:trPr>
        <w:tc>
          <w:tcPr>
            <w:tcW w:w="1800" w:type="dxa"/>
            <w:tcMar>
              <w:top w:w="80" w:type="dxa"/>
              <w:left w:w="90" w:type="dxa"/>
              <w:bottom w:w="80" w:type="dxa"/>
              <w:right w:w="90" w:type="dxa"/>
            </w:tcMar>
            <w:vAlign w:val="center"/>
          </w:tcPr>
          <w:p w14:paraId="41A512D3" w14:textId="77777777" w:rsidR="00C565DC" w:rsidRDefault="00000000">
            <w:pPr>
              <w:spacing w:after="0" w:line="240" w:lineRule="auto"/>
              <w:jc w:val="left"/>
            </w:pPr>
            <w:r>
              <w:rPr>
                <w:sz w:val="17"/>
              </w:rPr>
              <w:t>Mao et al. (2020)</w:t>
            </w:r>
          </w:p>
        </w:tc>
        <w:tc>
          <w:tcPr>
            <w:tcW w:w="2520" w:type="dxa"/>
            <w:tcMar>
              <w:top w:w="80" w:type="dxa"/>
              <w:left w:w="90" w:type="dxa"/>
              <w:bottom w:w="80" w:type="dxa"/>
              <w:right w:w="90" w:type="dxa"/>
            </w:tcMar>
            <w:vAlign w:val="center"/>
          </w:tcPr>
          <w:p w14:paraId="74CFFF31" w14:textId="77777777" w:rsidR="00C565DC" w:rsidRDefault="00000000">
            <w:pPr>
              <w:spacing w:after="0" w:line="240" w:lineRule="auto"/>
              <w:jc w:val="left"/>
            </w:pPr>
            <w:r>
              <w:rPr>
                <w:sz w:val="17"/>
              </w:rPr>
              <w:t>Real-world well-to-wheel emissions analysis in Shenzhen</w:t>
            </w:r>
          </w:p>
        </w:tc>
        <w:tc>
          <w:tcPr>
            <w:tcW w:w="3096" w:type="dxa"/>
            <w:tcMar>
              <w:top w:w="80" w:type="dxa"/>
              <w:left w:w="90" w:type="dxa"/>
              <w:bottom w:w="80" w:type="dxa"/>
              <w:right w:w="90" w:type="dxa"/>
            </w:tcMar>
            <w:vAlign w:val="center"/>
          </w:tcPr>
          <w:p w14:paraId="6A7DF322" w14:textId="77777777" w:rsidR="00C565DC" w:rsidRDefault="00000000">
            <w:pPr>
              <w:spacing w:after="0" w:line="240" w:lineRule="auto"/>
              <w:jc w:val="left"/>
            </w:pPr>
            <w:r>
              <w:rPr>
                <w:sz w:val="17"/>
              </w:rPr>
              <w:t>Battery-electric buses reduce CO₂ relative to diesel under the studied grid and operating conditions.</w:t>
            </w:r>
          </w:p>
        </w:tc>
        <w:tc>
          <w:tcPr>
            <w:tcW w:w="2232" w:type="dxa"/>
            <w:tcMar>
              <w:top w:w="80" w:type="dxa"/>
              <w:left w:w="90" w:type="dxa"/>
              <w:bottom w:w="80" w:type="dxa"/>
              <w:right w:w="90" w:type="dxa"/>
            </w:tcMar>
            <w:vAlign w:val="center"/>
          </w:tcPr>
          <w:p w14:paraId="7CE554C3" w14:textId="77777777" w:rsidR="00C565DC" w:rsidRDefault="00000000">
            <w:pPr>
              <w:spacing w:after="0" w:line="240" w:lineRule="auto"/>
              <w:jc w:val="left"/>
            </w:pPr>
            <w:r>
              <w:rPr>
                <w:sz w:val="17"/>
              </w:rPr>
              <w:t>Does not directly measure affordability or inclusion.</w:t>
            </w:r>
          </w:p>
        </w:tc>
      </w:tr>
      <w:tr w:rsidR="00C565DC" w14:paraId="5A38559C" w14:textId="77777777">
        <w:trPr>
          <w:cantSplit/>
          <w:jc w:val="center"/>
        </w:trPr>
        <w:tc>
          <w:tcPr>
            <w:tcW w:w="1800" w:type="dxa"/>
            <w:tcMar>
              <w:top w:w="80" w:type="dxa"/>
              <w:left w:w="90" w:type="dxa"/>
              <w:bottom w:w="80" w:type="dxa"/>
              <w:right w:w="90" w:type="dxa"/>
            </w:tcMar>
            <w:vAlign w:val="center"/>
          </w:tcPr>
          <w:p w14:paraId="46CED943" w14:textId="77777777" w:rsidR="00C565DC" w:rsidRDefault="00000000">
            <w:pPr>
              <w:spacing w:after="0" w:line="240" w:lineRule="auto"/>
              <w:jc w:val="left"/>
            </w:pPr>
            <w:r>
              <w:rPr>
                <w:sz w:val="17"/>
              </w:rPr>
              <w:t>Shivam et al. (2026)</w:t>
            </w:r>
          </w:p>
        </w:tc>
        <w:tc>
          <w:tcPr>
            <w:tcW w:w="2520" w:type="dxa"/>
            <w:tcMar>
              <w:top w:w="80" w:type="dxa"/>
              <w:left w:w="90" w:type="dxa"/>
              <w:bottom w:w="80" w:type="dxa"/>
              <w:right w:w="90" w:type="dxa"/>
            </w:tcMar>
            <w:vAlign w:val="center"/>
          </w:tcPr>
          <w:p w14:paraId="0871ABEC" w14:textId="77777777" w:rsidR="00C565DC" w:rsidRDefault="00000000">
            <w:pPr>
              <w:spacing w:after="0" w:line="240" w:lineRule="auto"/>
              <w:jc w:val="left"/>
            </w:pPr>
            <w:r>
              <w:rPr>
                <w:sz w:val="17"/>
              </w:rPr>
              <w:t>System-dynamics analysis of electric-bus policy in India</w:t>
            </w:r>
          </w:p>
        </w:tc>
        <w:tc>
          <w:tcPr>
            <w:tcW w:w="3096" w:type="dxa"/>
            <w:tcMar>
              <w:top w:w="80" w:type="dxa"/>
              <w:left w:w="90" w:type="dxa"/>
              <w:bottom w:w="80" w:type="dxa"/>
              <w:right w:w="90" w:type="dxa"/>
            </w:tcMar>
            <w:vAlign w:val="center"/>
          </w:tcPr>
          <w:p w14:paraId="0BDD2247" w14:textId="77777777" w:rsidR="00C565DC" w:rsidRDefault="00000000">
            <w:pPr>
              <w:spacing w:after="0" w:line="240" w:lineRule="auto"/>
              <w:jc w:val="left"/>
            </w:pPr>
            <w:r>
              <w:rPr>
                <w:sz w:val="17"/>
              </w:rPr>
              <w:t>Subsidy and electrification strategies affect adoption and fiscal sustainability.</w:t>
            </w:r>
          </w:p>
        </w:tc>
        <w:tc>
          <w:tcPr>
            <w:tcW w:w="2232" w:type="dxa"/>
            <w:tcMar>
              <w:top w:w="80" w:type="dxa"/>
              <w:left w:w="90" w:type="dxa"/>
              <w:bottom w:w="80" w:type="dxa"/>
              <w:right w:w="90" w:type="dxa"/>
            </w:tcMar>
            <w:vAlign w:val="center"/>
          </w:tcPr>
          <w:p w14:paraId="3D78B158" w14:textId="77777777" w:rsidR="00C565DC" w:rsidRDefault="00000000">
            <w:pPr>
              <w:spacing w:after="0" w:line="240" w:lineRule="auto"/>
              <w:jc w:val="left"/>
            </w:pPr>
            <w:r>
              <w:rPr>
                <w:sz w:val="17"/>
              </w:rPr>
              <w:t>National policy modelling is not equivalent to city-level social impact evidence.</w:t>
            </w:r>
          </w:p>
        </w:tc>
      </w:tr>
    </w:tbl>
    <w:p w14:paraId="3E3916F1" w14:textId="77777777" w:rsidR="00C565DC" w:rsidRDefault="00000000">
      <w:pPr>
        <w:pStyle w:val="TableNote"/>
        <w:jc w:val="center"/>
      </w:pPr>
      <w:r>
        <w:t>Source: Authors’ synthesis of the verified literature cited in the manuscript.</w:t>
      </w:r>
    </w:p>
    <w:p w14:paraId="2F31EA27" w14:textId="77777777" w:rsidR="00C565DC" w:rsidRDefault="00000000">
      <w:pPr>
        <w:pStyle w:val="Heading1"/>
      </w:pPr>
      <w:r>
        <w:lastRenderedPageBreak/>
        <w:t>3.0 Methodology</w:t>
      </w:r>
    </w:p>
    <w:p w14:paraId="28F0A267" w14:textId="77777777" w:rsidR="00C565DC" w:rsidRDefault="00000000">
      <w:pPr>
        <w:pStyle w:val="Heading2"/>
      </w:pPr>
      <w:r>
        <w:t>3.1 Research Design and Case Selection</w:t>
      </w:r>
    </w:p>
    <w:p w14:paraId="329300CB" w14:textId="77777777" w:rsidR="00C565DC" w:rsidRDefault="00000000">
      <w:pPr>
        <w:ind w:firstLine="317"/>
      </w:pPr>
      <w:r>
        <w:t xml:space="preserve">The study uses a qualitative comparative documentary case design. Multiple-case logic is appropriate where a common analytical framework is applied to contrasting contexts and where explanation depends on within-case interpretation followed by cross-case pattern matching (Yin, 2018). Qualitative analysis is used to </w:t>
      </w:r>
      <w:proofErr w:type="spellStart"/>
      <w:r>
        <w:t>organise</w:t>
      </w:r>
      <w:proofErr w:type="spellEnd"/>
      <w:r>
        <w:t xml:space="preserve"> heterogeneous forms of evidence without converting them into a false common metric (Creswell, 2014).</w:t>
      </w:r>
    </w:p>
    <w:p w14:paraId="4C922823" w14:textId="77777777" w:rsidR="00C565DC" w:rsidRDefault="00000000">
      <w:pPr>
        <w:ind w:firstLine="317"/>
      </w:pPr>
      <w:r>
        <w:t>Cases were purposively selected using four criteria: (1) the presence of an identifiable electrified public-transport intervention or transition pathway; (2) availability of peer-reviewed evidence relevant to the intervention, implementation context, or social outcomes; (3) variation in transport mode and implementation maturity; and (4) comparative value for examining African and Asian urban transitions. The selected cases are not intended to represent all cities in either region.</w:t>
      </w:r>
    </w:p>
    <w:p w14:paraId="1E1AAFFE" w14:textId="77777777" w:rsidR="00C565DC" w:rsidRDefault="00000000">
      <w:pPr>
        <w:ind w:firstLine="317"/>
      </w:pPr>
      <w:r>
        <w:t xml:space="preserve">Implementation maturity was classified using operational rather than evaluative criteria. “Pilot/early” denotes demonstration-scale or limited deployment for which city-wide effects cannot reasonably be inferred. “Scaling” denotes substantial fleet or </w:t>
      </w:r>
      <w:proofErr w:type="spellStart"/>
      <w:r>
        <w:t>programme</w:t>
      </w:r>
      <w:proofErr w:type="spellEnd"/>
      <w:r>
        <w:t xml:space="preserve"> expansion without full system electrification. “Established corridor-scale” denotes a functioning electrified system with several years of operation but limited network coverage or operational constraints. “Mature/system-scale” denotes completed or near-completed electrification of the relevant municipal fleet with supporting infrastructure. These categories describe implementation stage; they are not rankings of social performance. Table 2 applies these criteria to the five cases and clarifies the comparative value of each case.</w:t>
      </w:r>
    </w:p>
    <w:p w14:paraId="00DE5E9F" w14:textId="77777777" w:rsidR="00C565DC" w:rsidRDefault="00000000">
      <w:pPr>
        <w:pStyle w:val="CaptionJournal"/>
      </w:pPr>
      <w:r>
        <w:t>Table 2. Case selection and analytical relevance</w:t>
      </w:r>
    </w:p>
    <w:tbl>
      <w:tblPr>
        <w:tblStyle w:val="TableGrid"/>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512"/>
        <w:gridCol w:w="2664"/>
        <w:gridCol w:w="2232"/>
        <w:gridCol w:w="3384"/>
      </w:tblGrid>
      <w:tr w:rsidR="00C565DC" w14:paraId="31B46918" w14:textId="77777777">
        <w:trPr>
          <w:cantSplit/>
          <w:tblHeader/>
          <w:jc w:val="center"/>
        </w:trPr>
        <w:tc>
          <w:tcPr>
            <w:tcW w:w="1512" w:type="dxa"/>
            <w:tcMar>
              <w:top w:w="80" w:type="dxa"/>
              <w:left w:w="90" w:type="dxa"/>
              <w:bottom w:w="80" w:type="dxa"/>
              <w:right w:w="90" w:type="dxa"/>
            </w:tcMar>
            <w:vAlign w:val="center"/>
          </w:tcPr>
          <w:p w14:paraId="6DE0A7D7" w14:textId="77777777" w:rsidR="00C565DC" w:rsidRDefault="00000000">
            <w:pPr>
              <w:spacing w:after="0" w:line="240" w:lineRule="auto"/>
              <w:jc w:val="center"/>
            </w:pPr>
            <w:r>
              <w:rPr>
                <w:b/>
                <w:sz w:val="18"/>
              </w:rPr>
              <w:t>City</w:t>
            </w:r>
          </w:p>
        </w:tc>
        <w:tc>
          <w:tcPr>
            <w:tcW w:w="2664" w:type="dxa"/>
            <w:tcMar>
              <w:top w:w="80" w:type="dxa"/>
              <w:left w:w="90" w:type="dxa"/>
              <w:bottom w:w="80" w:type="dxa"/>
              <w:right w:w="90" w:type="dxa"/>
            </w:tcMar>
            <w:vAlign w:val="center"/>
          </w:tcPr>
          <w:p w14:paraId="5E93D825" w14:textId="77777777" w:rsidR="00C565DC" w:rsidRDefault="00000000">
            <w:pPr>
              <w:spacing w:after="0" w:line="240" w:lineRule="auto"/>
              <w:jc w:val="center"/>
            </w:pPr>
            <w:r>
              <w:rPr>
                <w:b/>
                <w:sz w:val="18"/>
              </w:rPr>
              <w:t>Mobility intervention</w:t>
            </w:r>
          </w:p>
        </w:tc>
        <w:tc>
          <w:tcPr>
            <w:tcW w:w="2232" w:type="dxa"/>
            <w:tcMar>
              <w:top w:w="80" w:type="dxa"/>
              <w:left w:w="90" w:type="dxa"/>
              <w:bottom w:w="80" w:type="dxa"/>
              <w:right w:w="90" w:type="dxa"/>
            </w:tcMar>
            <w:vAlign w:val="center"/>
          </w:tcPr>
          <w:p w14:paraId="68D7DE2D" w14:textId="77777777" w:rsidR="00C565DC" w:rsidRDefault="00000000">
            <w:pPr>
              <w:spacing w:after="0" w:line="240" w:lineRule="auto"/>
              <w:jc w:val="center"/>
            </w:pPr>
            <w:r>
              <w:rPr>
                <w:b/>
                <w:sz w:val="18"/>
              </w:rPr>
              <w:t>Implementation position</w:t>
            </w:r>
          </w:p>
        </w:tc>
        <w:tc>
          <w:tcPr>
            <w:tcW w:w="3384" w:type="dxa"/>
            <w:tcMar>
              <w:top w:w="80" w:type="dxa"/>
              <w:left w:w="90" w:type="dxa"/>
              <w:bottom w:w="80" w:type="dxa"/>
              <w:right w:w="90" w:type="dxa"/>
            </w:tcMar>
            <w:vAlign w:val="center"/>
          </w:tcPr>
          <w:p w14:paraId="3C736347" w14:textId="77777777" w:rsidR="00C565DC" w:rsidRDefault="00000000">
            <w:pPr>
              <w:spacing w:after="0" w:line="240" w:lineRule="auto"/>
              <w:jc w:val="center"/>
            </w:pPr>
            <w:r>
              <w:rPr>
                <w:b/>
                <w:sz w:val="18"/>
              </w:rPr>
              <w:t>Comparative value</w:t>
            </w:r>
          </w:p>
        </w:tc>
      </w:tr>
      <w:tr w:rsidR="00C565DC" w14:paraId="2FF3F127" w14:textId="77777777">
        <w:trPr>
          <w:cantSplit/>
          <w:jc w:val="center"/>
        </w:trPr>
        <w:tc>
          <w:tcPr>
            <w:tcW w:w="1512" w:type="dxa"/>
            <w:tcMar>
              <w:top w:w="80" w:type="dxa"/>
              <w:left w:w="90" w:type="dxa"/>
              <w:bottom w:w="80" w:type="dxa"/>
              <w:right w:w="90" w:type="dxa"/>
            </w:tcMar>
            <w:vAlign w:val="center"/>
          </w:tcPr>
          <w:p w14:paraId="71309070" w14:textId="77777777" w:rsidR="00C565DC" w:rsidRDefault="00000000">
            <w:pPr>
              <w:spacing w:after="0" w:line="240" w:lineRule="auto"/>
              <w:jc w:val="left"/>
            </w:pPr>
            <w:r>
              <w:rPr>
                <w:sz w:val="17"/>
              </w:rPr>
              <w:t>Addis Ababa</w:t>
            </w:r>
          </w:p>
        </w:tc>
        <w:tc>
          <w:tcPr>
            <w:tcW w:w="2664" w:type="dxa"/>
            <w:tcMar>
              <w:top w:w="80" w:type="dxa"/>
              <w:left w:w="90" w:type="dxa"/>
              <w:bottom w:w="80" w:type="dxa"/>
              <w:right w:w="90" w:type="dxa"/>
            </w:tcMar>
            <w:vAlign w:val="center"/>
          </w:tcPr>
          <w:p w14:paraId="6F2206E8" w14:textId="77777777" w:rsidR="00C565DC" w:rsidRDefault="00000000">
            <w:pPr>
              <w:spacing w:after="0" w:line="240" w:lineRule="auto"/>
              <w:jc w:val="left"/>
            </w:pPr>
            <w:r>
              <w:rPr>
                <w:sz w:val="17"/>
              </w:rPr>
              <w:t>Grid-electric light rail</w:t>
            </w:r>
          </w:p>
        </w:tc>
        <w:tc>
          <w:tcPr>
            <w:tcW w:w="2232" w:type="dxa"/>
            <w:tcMar>
              <w:top w:w="80" w:type="dxa"/>
              <w:left w:w="90" w:type="dxa"/>
              <w:bottom w:w="80" w:type="dxa"/>
              <w:right w:w="90" w:type="dxa"/>
            </w:tcMar>
            <w:vAlign w:val="center"/>
          </w:tcPr>
          <w:p w14:paraId="076FD39E" w14:textId="77777777" w:rsidR="00C565DC" w:rsidRDefault="00000000">
            <w:pPr>
              <w:spacing w:after="0" w:line="240" w:lineRule="auto"/>
              <w:jc w:val="left"/>
            </w:pPr>
            <w:r>
              <w:rPr>
                <w:sz w:val="17"/>
              </w:rPr>
              <w:t>Established corridor-scale</w:t>
            </w:r>
          </w:p>
        </w:tc>
        <w:tc>
          <w:tcPr>
            <w:tcW w:w="3384" w:type="dxa"/>
            <w:tcMar>
              <w:top w:w="80" w:type="dxa"/>
              <w:left w:w="90" w:type="dxa"/>
              <w:bottom w:w="80" w:type="dxa"/>
              <w:right w:w="90" w:type="dxa"/>
            </w:tcMar>
            <w:vAlign w:val="center"/>
          </w:tcPr>
          <w:p w14:paraId="68160613" w14:textId="77777777" w:rsidR="00C565DC" w:rsidRDefault="00000000">
            <w:pPr>
              <w:spacing w:after="0" w:line="240" w:lineRule="auto"/>
              <w:jc w:val="left"/>
            </w:pPr>
            <w:r>
              <w:rPr>
                <w:sz w:val="17"/>
              </w:rPr>
              <w:t>Direct evidence on accessibility, user satisfaction, transport cost/time, and community effects.</w:t>
            </w:r>
          </w:p>
        </w:tc>
      </w:tr>
      <w:tr w:rsidR="00C565DC" w14:paraId="49CDC96A" w14:textId="77777777">
        <w:trPr>
          <w:cantSplit/>
          <w:jc w:val="center"/>
        </w:trPr>
        <w:tc>
          <w:tcPr>
            <w:tcW w:w="1512" w:type="dxa"/>
            <w:tcMar>
              <w:top w:w="80" w:type="dxa"/>
              <w:left w:w="90" w:type="dxa"/>
              <w:bottom w:w="80" w:type="dxa"/>
              <w:right w:w="90" w:type="dxa"/>
            </w:tcMar>
            <w:vAlign w:val="center"/>
          </w:tcPr>
          <w:p w14:paraId="3C772E60" w14:textId="77777777" w:rsidR="00C565DC" w:rsidRDefault="00000000">
            <w:pPr>
              <w:spacing w:after="0" w:line="240" w:lineRule="auto"/>
              <w:jc w:val="left"/>
            </w:pPr>
            <w:r>
              <w:rPr>
                <w:sz w:val="17"/>
              </w:rPr>
              <w:t>Nairobi</w:t>
            </w:r>
          </w:p>
        </w:tc>
        <w:tc>
          <w:tcPr>
            <w:tcW w:w="2664" w:type="dxa"/>
            <w:tcMar>
              <w:top w:w="80" w:type="dxa"/>
              <w:left w:w="90" w:type="dxa"/>
              <w:bottom w:w="80" w:type="dxa"/>
              <w:right w:w="90" w:type="dxa"/>
            </w:tcMar>
            <w:vAlign w:val="center"/>
          </w:tcPr>
          <w:p w14:paraId="433ADE1C" w14:textId="77777777" w:rsidR="00C565DC" w:rsidRDefault="00000000">
            <w:pPr>
              <w:spacing w:after="0" w:line="240" w:lineRule="auto"/>
              <w:jc w:val="left"/>
            </w:pPr>
            <w:r>
              <w:rPr>
                <w:sz w:val="17"/>
              </w:rPr>
              <w:t>Electric-mobility transition involving buses/minibuses and policy initiatives</w:t>
            </w:r>
          </w:p>
        </w:tc>
        <w:tc>
          <w:tcPr>
            <w:tcW w:w="2232" w:type="dxa"/>
            <w:tcMar>
              <w:top w:w="80" w:type="dxa"/>
              <w:left w:w="90" w:type="dxa"/>
              <w:bottom w:w="80" w:type="dxa"/>
              <w:right w:w="90" w:type="dxa"/>
            </w:tcMar>
            <w:vAlign w:val="center"/>
          </w:tcPr>
          <w:p w14:paraId="4467ABB8" w14:textId="77777777" w:rsidR="00C565DC" w:rsidRDefault="00000000">
            <w:pPr>
              <w:spacing w:after="0" w:line="240" w:lineRule="auto"/>
              <w:jc w:val="left"/>
            </w:pPr>
            <w:r>
              <w:rPr>
                <w:sz w:val="17"/>
              </w:rPr>
              <w:t>Pilot/early transition in the reviewed evidence</w:t>
            </w:r>
          </w:p>
        </w:tc>
        <w:tc>
          <w:tcPr>
            <w:tcW w:w="3384" w:type="dxa"/>
            <w:tcMar>
              <w:top w:w="80" w:type="dxa"/>
              <w:left w:w="90" w:type="dxa"/>
              <w:bottom w:w="80" w:type="dxa"/>
              <w:right w:w="90" w:type="dxa"/>
            </w:tcMar>
            <w:vAlign w:val="center"/>
          </w:tcPr>
          <w:p w14:paraId="583379A0" w14:textId="77777777" w:rsidR="00C565DC" w:rsidRDefault="00000000">
            <w:pPr>
              <w:spacing w:after="0" w:line="240" w:lineRule="auto"/>
              <w:jc w:val="left"/>
            </w:pPr>
            <w:r>
              <w:rPr>
                <w:sz w:val="17"/>
              </w:rPr>
              <w:t>Tests how finance, policy, charging, and informal-operator integration shape early transition.</w:t>
            </w:r>
          </w:p>
        </w:tc>
      </w:tr>
      <w:tr w:rsidR="00C565DC" w14:paraId="40026101" w14:textId="77777777">
        <w:trPr>
          <w:cantSplit/>
          <w:jc w:val="center"/>
        </w:trPr>
        <w:tc>
          <w:tcPr>
            <w:tcW w:w="1512" w:type="dxa"/>
            <w:tcMar>
              <w:top w:w="80" w:type="dxa"/>
              <w:left w:w="90" w:type="dxa"/>
              <w:bottom w:w="80" w:type="dxa"/>
              <w:right w:w="90" w:type="dxa"/>
            </w:tcMar>
            <w:vAlign w:val="center"/>
          </w:tcPr>
          <w:p w14:paraId="76B4BCA0" w14:textId="77777777" w:rsidR="00C565DC" w:rsidRDefault="00000000">
            <w:pPr>
              <w:spacing w:after="0" w:line="240" w:lineRule="auto"/>
              <w:jc w:val="left"/>
            </w:pPr>
            <w:r>
              <w:rPr>
                <w:sz w:val="17"/>
              </w:rPr>
              <w:t>Lagos</w:t>
            </w:r>
          </w:p>
        </w:tc>
        <w:tc>
          <w:tcPr>
            <w:tcW w:w="2664" w:type="dxa"/>
            <w:tcMar>
              <w:top w:w="80" w:type="dxa"/>
              <w:left w:w="90" w:type="dxa"/>
              <w:bottom w:w="80" w:type="dxa"/>
              <w:right w:w="90" w:type="dxa"/>
            </w:tcMar>
            <w:vAlign w:val="center"/>
          </w:tcPr>
          <w:p w14:paraId="0EB52D28" w14:textId="77777777" w:rsidR="00C565DC" w:rsidRDefault="00000000">
            <w:pPr>
              <w:spacing w:after="0" w:line="240" w:lineRule="auto"/>
              <w:jc w:val="left"/>
            </w:pPr>
            <w:r>
              <w:rPr>
                <w:sz w:val="17"/>
              </w:rPr>
              <w:t>Electric mass-transit bus proof of concept within a larger bus/BRT system</w:t>
            </w:r>
          </w:p>
        </w:tc>
        <w:tc>
          <w:tcPr>
            <w:tcW w:w="2232" w:type="dxa"/>
            <w:tcMar>
              <w:top w:w="80" w:type="dxa"/>
              <w:left w:w="90" w:type="dxa"/>
              <w:bottom w:w="80" w:type="dxa"/>
              <w:right w:w="90" w:type="dxa"/>
            </w:tcMar>
            <w:vAlign w:val="center"/>
          </w:tcPr>
          <w:p w14:paraId="579201B7" w14:textId="77777777" w:rsidR="00C565DC" w:rsidRDefault="00000000">
            <w:pPr>
              <w:spacing w:after="0" w:line="240" w:lineRule="auto"/>
              <w:jc w:val="left"/>
            </w:pPr>
            <w:r>
              <w:rPr>
                <w:sz w:val="17"/>
              </w:rPr>
              <w:t>Pilot/early</w:t>
            </w:r>
          </w:p>
        </w:tc>
        <w:tc>
          <w:tcPr>
            <w:tcW w:w="3384" w:type="dxa"/>
            <w:tcMar>
              <w:top w:w="80" w:type="dxa"/>
              <w:left w:w="90" w:type="dxa"/>
              <w:bottom w:w="80" w:type="dxa"/>
              <w:right w:w="90" w:type="dxa"/>
            </w:tcMar>
            <w:vAlign w:val="center"/>
          </w:tcPr>
          <w:p w14:paraId="1758AD70" w14:textId="77777777" w:rsidR="00C565DC" w:rsidRDefault="00000000">
            <w:pPr>
              <w:spacing w:after="0" w:line="240" w:lineRule="auto"/>
              <w:jc w:val="left"/>
            </w:pPr>
            <w:r>
              <w:rPr>
                <w:sz w:val="17"/>
              </w:rPr>
              <w:t>Combines narrow e-bus feasibility evidence with established public-transport operational constraints.</w:t>
            </w:r>
          </w:p>
        </w:tc>
      </w:tr>
      <w:tr w:rsidR="00C565DC" w14:paraId="11B8F01C" w14:textId="77777777">
        <w:trPr>
          <w:cantSplit/>
          <w:jc w:val="center"/>
        </w:trPr>
        <w:tc>
          <w:tcPr>
            <w:tcW w:w="1512" w:type="dxa"/>
            <w:tcMar>
              <w:top w:w="80" w:type="dxa"/>
              <w:left w:w="90" w:type="dxa"/>
              <w:bottom w:w="80" w:type="dxa"/>
              <w:right w:w="90" w:type="dxa"/>
            </w:tcMar>
            <w:vAlign w:val="center"/>
          </w:tcPr>
          <w:p w14:paraId="3650297F" w14:textId="77777777" w:rsidR="00C565DC" w:rsidRDefault="00000000">
            <w:pPr>
              <w:spacing w:after="0" w:line="240" w:lineRule="auto"/>
              <w:jc w:val="left"/>
            </w:pPr>
            <w:r>
              <w:rPr>
                <w:sz w:val="17"/>
              </w:rPr>
              <w:t>Delhi</w:t>
            </w:r>
          </w:p>
        </w:tc>
        <w:tc>
          <w:tcPr>
            <w:tcW w:w="2664" w:type="dxa"/>
            <w:tcMar>
              <w:top w:w="80" w:type="dxa"/>
              <w:left w:w="90" w:type="dxa"/>
              <w:bottom w:w="80" w:type="dxa"/>
              <w:right w:w="90" w:type="dxa"/>
            </w:tcMar>
            <w:vAlign w:val="center"/>
          </w:tcPr>
          <w:p w14:paraId="3C54C793" w14:textId="77777777" w:rsidR="00C565DC" w:rsidRDefault="00000000">
            <w:pPr>
              <w:spacing w:after="0" w:line="240" w:lineRule="auto"/>
              <w:jc w:val="left"/>
            </w:pPr>
            <w:r>
              <w:rPr>
                <w:sz w:val="17"/>
              </w:rPr>
              <w:t xml:space="preserve">Public electric-bus </w:t>
            </w:r>
            <w:proofErr w:type="spellStart"/>
            <w:r>
              <w:rPr>
                <w:sz w:val="17"/>
              </w:rPr>
              <w:t>programme</w:t>
            </w:r>
            <w:proofErr w:type="spellEnd"/>
            <w:r>
              <w:rPr>
                <w:sz w:val="17"/>
              </w:rPr>
              <w:t xml:space="preserve"> and policy transition</w:t>
            </w:r>
          </w:p>
        </w:tc>
        <w:tc>
          <w:tcPr>
            <w:tcW w:w="2232" w:type="dxa"/>
            <w:tcMar>
              <w:top w:w="80" w:type="dxa"/>
              <w:left w:w="90" w:type="dxa"/>
              <w:bottom w:w="80" w:type="dxa"/>
              <w:right w:w="90" w:type="dxa"/>
            </w:tcMar>
            <w:vAlign w:val="center"/>
          </w:tcPr>
          <w:p w14:paraId="1B793576" w14:textId="77777777" w:rsidR="00C565DC" w:rsidRDefault="00000000">
            <w:pPr>
              <w:spacing w:after="0" w:line="240" w:lineRule="auto"/>
              <w:jc w:val="left"/>
            </w:pPr>
            <w:r>
              <w:rPr>
                <w:sz w:val="17"/>
              </w:rPr>
              <w:t>Scaling</w:t>
            </w:r>
          </w:p>
        </w:tc>
        <w:tc>
          <w:tcPr>
            <w:tcW w:w="3384" w:type="dxa"/>
            <w:tcMar>
              <w:top w:w="80" w:type="dxa"/>
              <w:left w:w="90" w:type="dxa"/>
              <w:bottom w:w="80" w:type="dxa"/>
              <w:right w:w="90" w:type="dxa"/>
            </w:tcMar>
            <w:vAlign w:val="center"/>
          </w:tcPr>
          <w:p w14:paraId="1404A84B" w14:textId="77777777" w:rsidR="00C565DC" w:rsidRDefault="00000000">
            <w:pPr>
              <w:spacing w:after="0" w:line="240" w:lineRule="auto"/>
              <w:jc w:val="left"/>
            </w:pPr>
            <w:r>
              <w:rPr>
                <w:sz w:val="17"/>
              </w:rPr>
              <w:t>Provides scenario-model evidence on environmental/health co-benefits alongside policy evidence on mobility equity.</w:t>
            </w:r>
          </w:p>
        </w:tc>
      </w:tr>
      <w:tr w:rsidR="00C565DC" w14:paraId="799FB9AF" w14:textId="77777777">
        <w:trPr>
          <w:cantSplit/>
          <w:jc w:val="center"/>
        </w:trPr>
        <w:tc>
          <w:tcPr>
            <w:tcW w:w="1512" w:type="dxa"/>
            <w:tcMar>
              <w:top w:w="80" w:type="dxa"/>
              <w:left w:w="90" w:type="dxa"/>
              <w:bottom w:w="80" w:type="dxa"/>
              <w:right w:w="90" w:type="dxa"/>
            </w:tcMar>
            <w:vAlign w:val="center"/>
          </w:tcPr>
          <w:p w14:paraId="7EE011BF" w14:textId="77777777" w:rsidR="00C565DC" w:rsidRDefault="00000000">
            <w:pPr>
              <w:spacing w:after="0" w:line="240" w:lineRule="auto"/>
              <w:jc w:val="left"/>
            </w:pPr>
            <w:r>
              <w:rPr>
                <w:sz w:val="17"/>
              </w:rPr>
              <w:t>Shenzhen</w:t>
            </w:r>
          </w:p>
        </w:tc>
        <w:tc>
          <w:tcPr>
            <w:tcW w:w="2664" w:type="dxa"/>
            <w:tcMar>
              <w:top w:w="80" w:type="dxa"/>
              <w:left w:w="90" w:type="dxa"/>
              <w:bottom w:w="80" w:type="dxa"/>
              <w:right w:w="90" w:type="dxa"/>
            </w:tcMar>
            <w:vAlign w:val="center"/>
          </w:tcPr>
          <w:p w14:paraId="7515D9B3" w14:textId="77777777" w:rsidR="00C565DC" w:rsidRDefault="00000000">
            <w:pPr>
              <w:spacing w:after="0" w:line="240" w:lineRule="auto"/>
              <w:jc w:val="left"/>
            </w:pPr>
            <w:r>
              <w:rPr>
                <w:sz w:val="17"/>
              </w:rPr>
              <w:t>Fully electrified municipal bus fleet</w:t>
            </w:r>
          </w:p>
        </w:tc>
        <w:tc>
          <w:tcPr>
            <w:tcW w:w="2232" w:type="dxa"/>
            <w:tcMar>
              <w:top w:w="80" w:type="dxa"/>
              <w:left w:w="90" w:type="dxa"/>
              <w:bottom w:w="80" w:type="dxa"/>
              <w:right w:w="90" w:type="dxa"/>
            </w:tcMar>
            <w:vAlign w:val="center"/>
          </w:tcPr>
          <w:p w14:paraId="624D980B" w14:textId="77777777" w:rsidR="00C565DC" w:rsidRDefault="00000000">
            <w:pPr>
              <w:spacing w:after="0" w:line="240" w:lineRule="auto"/>
              <w:jc w:val="left"/>
            </w:pPr>
            <w:r>
              <w:rPr>
                <w:sz w:val="17"/>
              </w:rPr>
              <w:t>Mature/system-scale</w:t>
            </w:r>
          </w:p>
        </w:tc>
        <w:tc>
          <w:tcPr>
            <w:tcW w:w="3384" w:type="dxa"/>
            <w:tcMar>
              <w:top w:w="80" w:type="dxa"/>
              <w:left w:w="90" w:type="dxa"/>
              <w:bottom w:w="80" w:type="dxa"/>
              <w:right w:w="90" w:type="dxa"/>
            </w:tcMar>
            <w:vAlign w:val="center"/>
          </w:tcPr>
          <w:p w14:paraId="55CECD1D" w14:textId="77777777" w:rsidR="00C565DC" w:rsidRDefault="00000000">
            <w:pPr>
              <w:spacing w:after="0" w:line="240" w:lineRule="auto"/>
              <w:jc w:val="left"/>
            </w:pPr>
            <w:r>
              <w:rPr>
                <w:sz w:val="17"/>
              </w:rPr>
              <w:t>Provides system-scale evidence on charging, operations, and well-to-wheel environmental performance.</w:t>
            </w:r>
          </w:p>
        </w:tc>
      </w:tr>
    </w:tbl>
    <w:p w14:paraId="7FA35AD8" w14:textId="77777777" w:rsidR="00C565DC" w:rsidRDefault="00000000">
      <w:pPr>
        <w:pStyle w:val="TableNote"/>
        <w:jc w:val="center"/>
      </w:pPr>
      <w:r>
        <w:t>Source: Authors’ synthesis. Maturity categories indicate scale of deployment and evidence, not social-performance rankings.</w:t>
      </w:r>
    </w:p>
    <w:p w14:paraId="38E0FC71" w14:textId="77777777" w:rsidR="00C565DC" w:rsidRDefault="00000000">
      <w:pPr>
        <w:pStyle w:val="Heading2"/>
      </w:pPr>
      <w:r>
        <w:t>3.2 Evidence Identification, Screening and Reference Verification</w:t>
      </w:r>
    </w:p>
    <w:p w14:paraId="2A414B27" w14:textId="77777777" w:rsidR="00C565DC" w:rsidRDefault="00000000">
      <w:pPr>
        <w:ind w:firstLine="317"/>
      </w:pPr>
      <w:r>
        <w:t>The empirical search covered publications from 2015 to 31 May 2026, consistent with the period shown in Figure 2. Foundational theoretical and methodological sources published before 2015 were retained where they were necessary to define the analytical framework or case-study method. The documentary search used Scopus, Web of Science, Google Scholar, and ScienceDirect, supplemented by publisher and DOI records for bibliographic verification. Search terms were combined around four elements: technology, social outcome, implementation condition, and case city.</w:t>
      </w:r>
    </w:p>
    <w:p w14:paraId="25ECD150" w14:textId="77777777" w:rsidR="00C565DC" w:rsidRDefault="00000000">
      <w:pPr>
        <w:ind w:firstLine="317"/>
      </w:pPr>
      <w:r>
        <w:t xml:space="preserve">The core search structure was: (“electric bus*” OR “battery electric bus*” OR “electric public transport” OR “light rail transit” OR “transport electrification”) AND (“social </w:t>
      </w:r>
      <w:proofErr w:type="spellStart"/>
      <w:r>
        <w:t>sustainab</w:t>
      </w:r>
      <w:proofErr w:type="spellEnd"/>
      <w:r>
        <w:t xml:space="preserve">*” OR </w:t>
      </w:r>
      <w:proofErr w:type="spellStart"/>
      <w:r>
        <w:t>equit</w:t>
      </w:r>
      <w:proofErr w:type="spellEnd"/>
      <w:r>
        <w:t xml:space="preserve">* OR </w:t>
      </w:r>
      <w:proofErr w:type="spellStart"/>
      <w:r>
        <w:t>accessib</w:t>
      </w:r>
      <w:proofErr w:type="spellEnd"/>
      <w:r>
        <w:t xml:space="preserve">* OR </w:t>
      </w:r>
      <w:proofErr w:type="spellStart"/>
      <w:r>
        <w:t>affordab</w:t>
      </w:r>
      <w:proofErr w:type="spellEnd"/>
      <w:r>
        <w:t xml:space="preserve">* OR employment OR gender OR health) AND (city name). Additional searches combined “charging </w:t>
      </w:r>
      <w:r>
        <w:lastRenderedPageBreak/>
        <w:t>infrastructure,” “policy,” “informal transport,” “service quality,” “air pollution,” and “implementation barriers” with the relevant city or country. Searches were iterative because terminology differed across cities and modes.</w:t>
      </w:r>
    </w:p>
    <w:p w14:paraId="0926C21B" w14:textId="77777777" w:rsidR="00C565DC" w:rsidRDefault="00000000">
      <w:pPr>
        <w:ind w:firstLine="317"/>
      </w:pPr>
      <w:r>
        <w:t>Peer-reviewed articles were retained when they directly addressed at least one selected case, a clearly relevant national transition context, or a cross-cutting outcome/implementation domain. Sources were excluded when bibliographic identity could not be independently verified, when the article was unrelated to the cited claim, or when evidence was too remote from the analytical question. Each journal reference was checked against publisher, DOI, or established bibliographic metadata before inclusion. Only bibliographically verified sources were retained.</w:t>
      </w:r>
    </w:p>
    <w:p w14:paraId="2EF149B2" w14:textId="77777777" w:rsidR="00C565DC" w:rsidRDefault="00000000">
      <w:pPr>
        <w:ind w:firstLine="317"/>
      </w:pPr>
      <w:r>
        <w:rPr>
          <w:highlight w:val="yellow"/>
        </w:rPr>
        <w:t>The main documentary corpus contains 31 authenticated scholarly references.</w:t>
      </w:r>
      <w:r>
        <w:t xml:space="preserve"> </w:t>
      </w:r>
      <w:r>
        <w:rPr>
          <w:highlight w:val="yellow"/>
        </w:rPr>
        <w:t>Twenty-two peer-reviewed empirical or review sources</w:t>
      </w:r>
      <w:r>
        <w:t xml:space="preserve"> form the main documentary evidence base for cases and cross-cutting outcomes; nine additional sources provide theoretical or methodological foundations. No unverified source is used to support a substantive result.</w:t>
      </w:r>
    </w:p>
    <w:p w14:paraId="79A4FADE" w14:textId="77777777" w:rsidR="00C565DC" w:rsidRDefault="00000000">
      <w:pPr>
        <w:pStyle w:val="Heading2"/>
      </w:pPr>
      <w:r>
        <w:t>3.3 Evidence Extraction, Coding and Cross-Case Analysis</w:t>
      </w:r>
    </w:p>
    <w:p w14:paraId="4939023F" w14:textId="77777777" w:rsidR="00C565DC" w:rsidRDefault="00000000">
      <w:pPr>
        <w:ind w:firstLine="317"/>
      </w:pPr>
      <w:r>
        <w:t>Evidence was extracted using a common template covering: intervention and implementation stage; affordability; accessibility and spatial inclusion; employment and local capability; gender and social inclusion; public-health and environmental co-benefits; finance, charging and electricity; governance and stakeholder integration; and study design. Each finding was additionally labelled by evidence status: direct empirical observation, modelled/scenario outcome, policy/stakeholder evidence, pilot/feasibility evidence, or cross-cutting review evidence.</w:t>
      </w:r>
    </w:p>
    <w:p w14:paraId="2B17FE6F" w14:textId="77777777" w:rsidR="00C565DC" w:rsidRDefault="00000000">
      <w:pPr>
        <w:ind w:firstLine="317"/>
      </w:pPr>
      <w:r>
        <w:t>Within-case analysis first identified what each source could support without extrapolating beyond its design. Cross-case pattern matching then compared recurring implementation conditions and social-sustainability themes. Convergent evidence was given greater interpretive weight than single-source claims, while divergent or negative findings were retained. The analysis does not pool effect sizes and does not infer population-level causality from documentary associations.</w:t>
      </w:r>
    </w:p>
    <w:p w14:paraId="5288B01B" w14:textId="77777777" w:rsidR="00C565DC" w:rsidRDefault="00000000">
      <w:pPr>
        <w:pStyle w:val="Heading2"/>
      </w:pPr>
      <w:r>
        <w:t xml:space="preserve">3.4 </w:t>
      </w:r>
      <w:proofErr w:type="spellStart"/>
      <w:r>
        <w:t>Rigour</w:t>
      </w:r>
      <w:proofErr w:type="spellEnd"/>
      <w:r>
        <w:t xml:space="preserve"> and Analytical Safeguards</w:t>
      </w:r>
    </w:p>
    <w:p w14:paraId="60D8D618" w14:textId="77777777" w:rsidR="00C565DC" w:rsidRDefault="00000000">
      <w:pPr>
        <w:ind w:firstLine="317"/>
      </w:pPr>
      <w:proofErr w:type="spellStart"/>
      <w:r>
        <w:t>Rigour</w:t>
      </w:r>
      <w:proofErr w:type="spellEnd"/>
      <w:r>
        <w:t xml:space="preserve"> was strengthened in four ways. First, bibliographic identity was verified before a source was used. Second, evidence type and implementation maturity were made explicit so that a modelled benefit was not presented as an observed outcome and a pilot was not treated as a city-wide system. Third, direct social evidence was separated from technical or environmental evidence. Fourth, cross-case conclusions were restricted to patterns supported by more than one case or by a case-specific source in combination with established cross-cutting literature. </w:t>
      </w:r>
      <w:r>
        <w:rPr>
          <w:highlight w:val="yellow"/>
        </w:rPr>
        <w:t>The study relies exclusively</w:t>
      </w:r>
      <w:r>
        <w:t xml:space="preserve"> on public documentary material and does not recruit human participants.</w:t>
      </w:r>
    </w:p>
    <w:p w14:paraId="799A5233" w14:textId="77777777" w:rsidR="00C565DC" w:rsidRDefault="00000000">
      <w:pPr>
        <w:ind w:firstLine="317"/>
      </w:pPr>
      <w:r>
        <w:t xml:space="preserve">Figure 2 </w:t>
      </w:r>
      <w:proofErr w:type="spellStart"/>
      <w:r>
        <w:t>summarises</w:t>
      </w:r>
      <w:proofErr w:type="spellEnd"/>
      <w:r>
        <w:t xml:space="preserve"> the six-stage analytical procedure: case selection, evidence sourcing, within-case analysis, cross-case comparison, theoretical interpretation, and validity/limitation assessment. The procedure follows multiple-case logic and qualitative analytical principles while retaining an explicit audit trail from source type to inference (Creswell, 2014; Yin, 2018).</w:t>
      </w:r>
    </w:p>
    <w:p w14:paraId="3050558E" w14:textId="77777777" w:rsidR="00C565DC" w:rsidRDefault="00000000">
      <w:pPr>
        <w:keepNext/>
        <w:tabs>
          <w:tab w:val="left" w:pos="5060"/>
        </w:tabs>
        <w:jc w:val="center"/>
      </w:pPr>
      <w:r>
        <w:rPr>
          <w:noProof/>
        </w:rPr>
        <w:lastRenderedPageBreak/>
        <w:drawing>
          <wp:inline distT="0" distB="0" distL="0" distR="0" wp14:anchorId="37FB99E0" wp14:editId="4A4AE96F">
            <wp:extent cx="6263640" cy="3354705"/>
            <wp:effectExtent l="0" t="0" r="3810" b="171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rcRect t="10538" b="9124"/>
                    <a:stretch>
                      <a:fillRect/>
                    </a:stretch>
                  </pic:blipFill>
                  <pic:spPr>
                    <a:xfrm>
                      <a:off x="0" y="0"/>
                      <a:ext cx="6263640" cy="3354705"/>
                    </a:xfrm>
                    <a:prstGeom prst="rect">
                      <a:avLst/>
                    </a:prstGeom>
                  </pic:spPr>
                </pic:pic>
              </a:graphicData>
            </a:graphic>
          </wp:inline>
        </w:drawing>
      </w:r>
    </w:p>
    <w:p w14:paraId="14EEF923" w14:textId="77777777" w:rsidR="00C565DC" w:rsidRDefault="00000000">
      <w:pPr>
        <w:pStyle w:val="TableNote"/>
        <w:jc w:val="center"/>
      </w:pPr>
      <w:r>
        <w:rPr>
          <w:b/>
          <w:bCs/>
          <w:lang w:val="en-CA"/>
        </w:rPr>
        <w:t>Figure 2. Qualitative Multiple-Case Analytical Procedure for Evaluating Renewable-Energy Mobility and Social-Sustainability Outcomes</w:t>
      </w:r>
      <w:r>
        <w:rPr>
          <w:b/>
          <w:bCs/>
          <w:lang w:val="en-CA"/>
        </w:rPr>
        <w:br/>
      </w:r>
      <w:r>
        <w:t xml:space="preserve">Source: Authors’ </w:t>
      </w:r>
      <w:proofErr w:type="spellStart"/>
      <w:r>
        <w:t>conceptualisation</w:t>
      </w:r>
      <w:proofErr w:type="spellEnd"/>
      <w:r>
        <w:t xml:space="preserve"> informed by Creswell (2014) and Yin (2018).</w:t>
      </w:r>
    </w:p>
    <w:p w14:paraId="2ED8714F" w14:textId="77777777" w:rsidR="00C565DC" w:rsidRDefault="00000000">
      <w:pPr>
        <w:pStyle w:val="Heading1"/>
      </w:pPr>
      <w:r>
        <w:t>4.0 Findings: City-Level Evidence</w:t>
      </w:r>
    </w:p>
    <w:p w14:paraId="407FA304" w14:textId="77777777" w:rsidR="00C565DC" w:rsidRDefault="00000000">
      <w:pPr>
        <w:ind w:firstLine="317"/>
      </w:pPr>
      <w:r>
        <w:t>The cases differ substantially in the maturity of implementation and the directness of available social evidence. Accordingly, the findings are presented as evidence-calibrated case narratives. Terms such as “associated with,” “reported,” “modelled,” and “prospective” are used deliberately to avoid converting documentary patterns into causal effects.</w:t>
      </w:r>
    </w:p>
    <w:p w14:paraId="7B9D9695" w14:textId="77777777" w:rsidR="00C565DC" w:rsidRDefault="00000000">
      <w:pPr>
        <w:pStyle w:val="Heading2"/>
      </w:pPr>
      <w:r>
        <w:t>4.1 Addis Ababa: Established Electrified Light Rail</w:t>
      </w:r>
    </w:p>
    <w:p w14:paraId="67A6D2EE" w14:textId="77777777" w:rsidR="00C565DC" w:rsidRDefault="00000000">
      <w:pPr>
        <w:ind w:firstLine="317"/>
      </w:pPr>
      <w:r>
        <w:t xml:space="preserve">Addis Ababa provides the strongest direct social evidence among the African cases because the light-rail system has been studied through spatial analysis, passenger surveys, and adjacent-community research. Aklilu and Necha (2018) found generally adequate station coverage at shorter walking distances on the East–West corridor while also identifying poorly accessible areas and physical impedances; importantly, they cautioned that service-area coverage does not necessarily translate into actual use. Deyas and </w:t>
      </w:r>
      <w:proofErr w:type="spellStart"/>
      <w:r>
        <w:t>Woldeamanuel</w:t>
      </w:r>
      <w:proofErr w:type="spellEnd"/>
      <w:r>
        <w:t xml:space="preserve"> (2020), using survey evidence from communities near six East–West line stations, reported reductions in transport cost and travel time and increased travel coverage, but also identified community severance and long walking distances across parts of the infrastructure.</w:t>
      </w:r>
    </w:p>
    <w:p w14:paraId="05F6D798" w14:textId="77777777" w:rsidR="00C565DC" w:rsidRDefault="00000000">
      <w:pPr>
        <w:ind w:firstLine="317"/>
      </w:pPr>
      <w:r>
        <w:t xml:space="preserve">Passenger-level service evidence similarly presents a mixed picture. </w:t>
      </w:r>
      <w:proofErr w:type="spellStart"/>
      <w:r>
        <w:t>Obsie</w:t>
      </w:r>
      <w:proofErr w:type="spellEnd"/>
      <w:r>
        <w:t xml:space="preserve"> et al. (2020), </w:t>
      </w:r>
      <w:proofErr w:type="spellStart"/>
      <w:r>
        <w:t>analysing</w:t>
      </w:r>
      <w:proofErr w:type="spellEnd"/>
      <w:r>
        <w:t xml:space="preserve"> 1,020 passengers, found relatively </w:t>
      </w:r>
      <w:proofErr w:type="spellStart"/>
      <w:r>
        <w:t>favourable</w:t>
      </w:r>
      <w:proofErr w:type="spellEnd"/>
      <w:r>
        <w:t xml:space="preserve"> perceptions of price, cleanliness, and some safety attributes, while crowding, waiting time, travel information, and passenger </w:t>
      </w:r>
      <w:proofErr w:type="spellStart"/>
      <w:r>
        <w:t>behaviour</w:t>
      </w:r>
      <w:proofErr w:type="spellEnd"/>
      <w:r>
        <w:t xml:space="preserve"> generated dissatisfaction. The combined evidence therefore supports a limited conclusion: the electrified rail system can improve affordability and connectivity for some users, but effective accessibility is constrained by service frequency, crowding, station access, and the physical integration of surrounding communities. These findings do not establish that the electricity supplying the system is renewable, nor do they demonstrate uniform benefits across income, gender, disability, or location.</w:t>
      </w:r>
    </w:p>
    <w:p w14:paraId="69B9A19B" w14:textId="77777777" w:rsidR="00C565DC" w:rsidRDefault="00000000">
      <w:r>
        <w:rPr>
          <w:i/>
        </w:rPr>
        <w:t>Evidence status: direct empirical evidence with moderate-to-high confidence for selected corridors and users; limited evidence for city-wide distributional inclusion and employment effects.</w:t>
      </w:r>
    </w:p>
    <w:p w14:paraId="1179AAC7" w14:textId="77777777" w:rsidR="00C565DC" w:rsidRDefault="00000000">
      <w:pPr>
        <w:pStyle w:val="Heading2"/>
      </w:pPr>
      <w:r>
        <w:lastRenderedPageBreak/>
        <w:t>4.2 Nairobi: Early Electric-Mobility Transition</w:t>
      </w:r>
    </w:p>
    <w:p w14:paraId="03994440" w14:textId="77777777" w:rsidR="00C565DC" w:rsidRDefault="00000000">
      <w:pPr>
        <w:ind w:firstLine="317"/>
      </w:pPr>
      <w:r>
        <w:t xml:space="preserve">The Nairobi evidence is better suited to </w:t>
      </w:r>
      <w:proofErr w:type="spellStart"/>
      <w:r>
        <w:t>analysing</w:t>
      </w:r>
      <w:proofErr w:type="spellEnd"/>
      <w:r>
        <w:t xml:space="preserve"> transition conditions than to measuring </w:t>
      </w:r>
      <w:proofErr w:type="spellStart"/>
      <w:r>
        <w:t>realised</w:t>
      </w:r>
      <w:proofErr w:type="spellEnd"/>
      <w:r>
        <w:t xml:space="preserve"> city-wide social outcomes. Galuszka et al. (2021) identify policy and stakeholder activity around electric mobility in East African cities, including Nairobi, but also document high upfront investment costs, infrastructure constraints, and limited recognition of established transport operators within the transition. These findings are important in a city where formal and informal transport systems coexist because exclusion of incumbent operators can shift transition costs </w:t>
      </w:r>
      <w:r>
        <w:rPr>
          <w:highlight w:val="yellow"/>
        </w:rPr>
        <w:t>towards workers</w:t>
      </w:r>
      <w:r>
        <w:t xml:space="preserve"> and small operators even when new technologies promise lower emissions.</w:t>
      </w:r>
    </w:p>
    <w:p w14:paraId="29DC0851" w14:textId="77777777" w:rsidR="00C565DC" w:rsidRDefault="00000000">
      <w:pPr>
        <w:ind w:firstLine="317"/>
      </w:pPr>
      <w:proofErr w:type="spellStart"/>
      <w:r>
        <w:t>Sovacool</w:t>
      </w:r>
      <w:proofErr w:type="spellEnd"/>
      <w:r>
        <w:t xml:space="preserve"> et al. (2022) similarly identify both drivers and barriers for electrified mobility in Nairobi and other African cities, </w:t>
      </w:r>
      <w:proofErr w:type="spellStart"/>
      <w:r>
        <w:t>emphasising</w:t>
      </w:r>
      <w:proofErr w:type="spellEnd"/>
      <w:r>
        <w:t xml:space="preserve"> that innovations cannot be treated as uniformly beneficial. The reviewed peer-reviewed evidence does not justify claims that Nairobi e-bus deployment has already produced city-wide affordability, employment, gender-inclusion, or accessibility improvements. The defensible interpretation is that Nairobi illustrates an emerging transition whose social performance will depend on financing, charging and electricity systems, public planning, and arrangements for incumbent operators.</w:t>
      </w:r>
    </w:p>
    <w:p w14:paraId="7937E6AF" w14:textId="77777777" w:rsidR="00C565DC" w:rsidRDefault="00000000">
      <w:r>
        <w:rPr>
          <w:i/>
        </w:rPr>
        <w:t xml:space="preserve">Evidence status: policy/stakeholder and comparative-transition evidence; low-to-moderate confidence for </w:t>
      </w:r>
      <w:proofErr w:type="spellStart"/>
      <w:r>
        <w:rPr>
          <w:i/>
        </w:rPr>
        <w:t>realised</w:t>
      </w:r>
      <w:proofErr w:type="spellEnd"/>
      <w:r>
        <w:rPr>
          <w:i/>
        </w:rPr>
        <w:t xml:space="preserve"> passenger-level outcomes because city-wide social indicators remain sparse.</w:t>
      </w:r>
    </w:p>
    <w:p w14:paraId="7099D0EA" w14:textId="77777777" w:rsidR="00C565DC" w:rsidRDefault="00000000">
      <w:pPr>
        <w:pStyle w:val="Heading2"/>
      </w:pPr>
      <w:r>
        <w:t>4.3 Lagos: Pilot-Stage Electric Mass Transit</w:t>
      </w:r>
    </w:p>
    <w:p w14:paraId="57F09F43" w14:textId="77777777" w:rsidR="00C565DC" w:rsidRDefault="00000000">
      <w:pPr>
        <w:ind w:firstLine="317"/>
      </w:pPr>
      <w:r>
        <w:t xml:space="preserve">Lagos represents an early e-bus case embedded within a much larger and operationally complex bus and BRT environment. </w:t>
      </w:r>
      <w:proofErr w:type="spellStart"/>
      <w:r>
        <w:t>Adibeli</w:t>
      </w:r>
      <w:proofErr w:type="spellEnd"/>
      <w:r>
        <w:t xml:space="preserve"> and </w:t>
      </w:r>
      <w:proofErr w:type="spellStart"/>
      <w:r>
        <w:t>Szpytko</w:t>
      </w:r>
      <w:proofErr w:type="spellEnd"/>
      <w:r>
        <w:t xml:space="preserve"> (2024) assessed a proof-of-concept involving two electric buses and a charging station using questionnaires, interviews, inspection, and an overall-equipment-effectiveness model. The study supports technical and operational feasibility at pilot scale but cannot establish city-wide affordability, accessibility, health, or inclusion effects. Its own scale is therefore a central limitation rather than evidence of broad social impact.</w:t>
      </w:r>
    </w:p>
    <w:p w14:paraId="451AA9BA" w14:textId="77777777" w:rsidR="00C565DC" w:rsidRDefault="00000000">
      <w:pPr>
        <w:ind w:firstLine="317"/>
      </w:pPr>
      <w:r>
        <w:t xml:space="preserve">The broader public-transport context also matters. </w:t>
      </w:r>
      <w:proofErr w:type="spellStart"/>
      <w:r>
        <w:t>Aderinlewo</w:t>
      </w:r>
      <w:proofErr w:type="spellEnd"/>
      <w:r>
        <w:t xml:space="preserve"> et al. (2020) document substantial variation in commuter demand, waiting, and operational conditions on the Lagos BRT system, illustrating why service planning and route allocation are essential to passenger outcomes independent of propulsion technology. At the national level, Orji (2024) identifies government support, affordable electricity tariffs, access to electric minibuses, and charging infrastructure as critical conditions for sustained battery-electric bus adoption by local public-transport firms. Taken together, the evidence suggests that the Lagos transition is promising but still institutionally and infrastructurally contingent. Claims about city-wide equity should await larger-scale deployment and disaggregated passenger data.</w:t>
      </w:r>
    </w:p>
    <w:p w14:paraId="2AEE1CFD" w14:textId="77777777" w:rsidR="00C565DC" w:rsidRDefault="00000000">
      <w:r>
        <w:rPr>
          <w:i/>
        </w:rPr>
        <w:t>Evidence status: pilot/feasibility evidence supplemented by operational and Nigeria-wide implementation evidence; low confidence for city-wide social effects.</w:t>
      </w:r>
    </w:p>
    <w:p w14:paraId="0BDAD647" w14:textId="77777777" w:rsidR="00C565DC" w:rsidRDefault="00000000">
      <w:pPr>
        <w:pStyle w:val="Heading2"/>
      </w:pPr>
      <w:r>
        <w:t>4.4 Delhi: Scaling Electric-Bus Transition</w:t>
      </w:r>
    </w:p>
    <w:p w14:paraId="655B1664" w14:textId="77777777" w:rsidR="00C565DC" w:rsidRDefault="00000000">
      <w:pPr>
        <w:ind w:firstLine="317"/>
      </w:pPr>
      <w:r>
        <w:t>Delhi provides stronger evidence on the potential environmental and health consequences of bus electrification than on observed distributional passenger outcomes. Bhat and Farzaneh (2022) developed an integrated model to estimate environmental, health, and economic co-benefits from electrifying Delhi’s public bus fleet. Their results indicate potentially substantial reductions in bus-related pollutant emissions and associated health burdens. These results are valuable for policy appraisal but remain modelled estimates; they should not be described as observed post-implementation health effects.</w:t>
      </w:r>
    </w:p>
    <w:p w14:paraId="7276E7CC" w14:textId="77777777" w:rsidR="00C565DC" w:rsidRDefault="00000000">
      <w:pPr>
        <w:ind w:firstLine="317"/>
      </w:pPr>
      <w:r>
        <w:t xml:space="preserve">Equity evidence adds an important qualification. Kakar et al. (2021), </w:t>
      </w:r>
      <w:proofErr w:type="spellStart"/>
      <w:r>
        <w:t>analysing</w:t>
      </w:r>
      <w:proofErr w:type="spellEnd"/>
      <w:r>
        <w:t xml:space="preserve"> national and Delhi-level transport policies through an intersectional lens, found that policy frameworks did not adequately capture the mobility inequities faced by vulnerable groups and that </w:t>
      </w:r>
      <w:r>
        <w:rPr>
          <w:highlight w:val="yellow"/>
        </w:rPr>
        <w:t>policymaking remained insufficiently participatory</w:t>
      </w:r>
      <w:r>
        <w:t xml:space="preserve">. This indicates that fleet expansion and environmental benefits do not independently establish social inclusion. More recent India-wide system-dynamics evidence also shows that financial incentives and the design of electrification pathways materially affect electric-bus adoption (Shivam et al., 2026). Delhi therefore illustrates a scaling </w:t>
      </w:r>
      <w:r>
        <w:lastRenderedPageBreak/>
        <w:t>transition in which environmental gains can be substantial while affordability, route distribution, safety, and inclusion require separate measurement and governance.</w:t>
      </w:r>
    </w:p>
    <w:p w14:paraId="56A76569" w14:textId="77777777" w:rsidR="00C565DC" w:rsidRDefault="00000000">
      <w:r>
        <w:rPr>
          <w:i/>
        </w:rPr>
        <w:t>Evidence status: strong modelled environmental/health evidence and relevant policy-equity evidence; moderate confidence for implementation conditions but limited direct measurement of passenger-level distributional effects.</w:t>
      </w:r>
    </w:p>
    <w:p w14:paraId="6EEA40FD" w14:textId="77777777" w:rsidR="00C565DC" w:rsidRDefault="00000000">
      <w:pPr>
        <w:pStyle w:val="Heading2"/>
      </w:pPr>
      <w:r>
        <w:t>4.5 Shenzhen: Mature System-Scale Bus Electrification</w:t>
      </w:r>
    </w:p>
    <w:p w14:paraId="2BCC0D91" w14:textId="77777777" w:rsidR="00C565DC" w:rsidRDefault="00000000">
      <w:pPr>
        <w:ind w:firstLine="317"/>
      </w:pPr>
      <w:r>
        <w:t xml:space="preserve">Shenzhen provides the clearest evidence of mature bus electrification. Lin et al. (2019) report that the city had replaced its entire conventional bus fleet with battery-electric buses by 2017 and </w:t>
      </w:r>
      <w:proofErr w:type="spellStart"/>
      <w:r>
        <w:t>analyse</w:t>
      </w:r>
      <w:proofErr w:type="spellEnd"/>
      <w:r>
        <w:t xml:space="preserve"> the systematic charging-network planning required to support such scale. The case demonstrates that fleet conversion cannot be separated from depot location, land constraints, charging capacity, and network design.</w:t>
      </w:r>
    </w:p>
    <w:p w14:paraId="4E313DA1" w14:textId="77777777" w:rsidR="00C565DC" w:rsidRDefault="00000000">
      <w:pPr>
        <w:ind w:firstLine="317"/>
      </w:pPr>
      <w:r>
        <w:t>Environmental evidence is also more directly grounded in operational data than in the other cases. Mao et al. (2020) use real-world bus data and well-to-wheel analysis to show lower carbon dioxide emissions for battery-electric buses than conventional diesel buses under the studied Shenzhen conditions; the magnitude remains sensitive to electricity-generation and charging parameters. The case therefore provides strong evidence for system-scale technological transition and environmental benefits under specified conditions. However, the selected peer-reviewed evidence is comparatively weaker on fare burden, gendered access, disability, or worker outcomes. Shenzhen should therefore be treated as the strongest case of implementation maturity, not as proof that all dimensions of social sustainability are automatically achieved.</w:t>
      </w:r>
    </w:p>
    <w:p w14:paraId="52162E0B" w14:textId="77777777" w:rsidR="00C565DC" w:rsidRDefault="00000000">
      <w:r>
        <w:rPr>
          <w:i/>
        </w:rPr>
        <w:t>Evidence status: high confidence for system-scale electrification, charging requirements, and context-specific emissions performance; moderate-to-low confidence for social-distributional outcomes not directly measured in the selected evidence.</w:t>
      </w:r>
    </w:p>
    <w:p w14:paraId="37F12CB2" w14:textId="77777777" w:rsidR="00C565DC" w:rsidRDefault="00000000">
      <w:pPr>
        <w:pStyle w:val="Heading2"/>
      </w:pPr>
      <w:r>
        <w:t>4.6 City-Level Synthesis</w:t>
      </w:r>
    </w:p>
    <w:p w14:paraId="3A4C7431" w14:textId="77777777" w:rsidR="00C565DC" w:rsidRDefault="00000000">
      <w:pPr>
        <w:ind w:firstLine="317"/>
      </w:pPr>
      <w:r>
        <w:t xml:space="preserve">The cases show that implementation maturity and evidence maturity are related but not identical. Shenzhen offers extensive technical and operational evidence because electrification reached system scale, yet direct distributional indicators remain comparatively limited. Addis Ababa has a smaller system but provides unusually direct passenger and adjacent-community evidence. Delhi combines scaling implementation with modelled environmental/health evidence and policy-equity analysis. Nairobi and Lagos provide valuable information on early transition constraints but do not support city-wide claims about </w:t>
      </w:r>
      <w:proofErr w:type="spellStart"/>
      <w:r>
        <w:t>realised</w:t>
      </w:r>
      <w:proofErr w:type="spellEnd"/>
      <w:r>
        <w:t xml:space="preserve"> social benefits.</w:t>
      </w:r>
    </w:p>
    <w:p w14:paraId="2212593D" w14:textId="77777777" w:rsidR="00C565DC" w:rsidRDefault="00000000">
      <w:pPr>
        <w:ind w:firstLine="317"/>
      </w:pPr>
      <w:r>
        <w:t>This pattern reinforces the need to distinguish technology performance from social performance. Across cases, affordability, accessibility, inclusion, and public-health outcomes depend not merely on an electric drivetrain but on the complete service system: route location, service frequency, first-/last-mile access, fare arrangements, charging and power reliability, institutional coordination, and the treatment of existing operators and workers.</w:t>
      </w:r>
    </w:p>
    <w:p w14:paraId="34F6400B" w14:textId="77777777" w:rsidR="00C565DC" w:rsidRDefault="00000000">
      <w:pPr>
        <w:pStyle w:val="Heading1"/>
      </w:pPr>
      <w:r>
        <w:t>5.0 Comparative Findings and Discussion</w:t>
      </w:r>
    </w:p>
    <w:p w14:paraId="6603B964" w14:textId="77777777" w:rsidR="00C565DC" w:rsidRDefault="00000000">
      <w:pPr>
        <w:ind w:firstLine="317"/>
      </w:pPr>
      <w:r>
        <w:t>Cross-case comparison indicates that renewable-energy or electrified mobility is best understood as an enabling platform rather than a social outcome in itself. The evidence is consistent with socio-technical transition theory: successful deployment requires alignment among vehicles, electricity and charging systems, finance, institutions, and user-facing service design (Geels, 2012). It is also consistent with justice-oriented transport research, which evaluates who can access opportunities and who bears transition costs (Jenkins et al., 2016; Pereira et al., 2017).</w:t>
      </w:r>
    </w:p>
    <w:p w14:paraId="37EC1189" w14:textId="77777777" w:rsidR="00C565DC" w:rsidRDefault="00000000">
      <w:pPr>
        <w:pStyle w:val="Heading2"/>
      </w:pPr>
      <w:r>
        <w:t>5.1 Affordability</w:t>
      </w:r>
    </w:p>
    <w:p w14:paraId="7669974C" w14:textId="77777777" w:rsidR="00C565DC" w:rsidRDefault="00000000">
      <w:pPr>
        <w:ind w:firstLine="317"/>
      </w:pPr>
      <w:r>
        <w:t xml:space="preserve">Affordability is directly documented most clearly in Addis Ababa, where adjacent-community and passenger studies report lower transport costs for some users and relatively </w:t>
      </w:r>
      <w:proofErr w:type="spellStart"/>
      <w:r>
        <w:t>favourable</w:t>
      </w:r>
      <w:proofErr w:type="spellEnd"/>
      <w:r>
        <w:t xml:space="preserve"> perceptions of price (Deyas &amp; </w:t>
      </w:r>
      <w:proofErr w:type="spellStart"/>
      <w:r>
        <w:t>Woldeamanuel</w:t>
      </w:r>
      <w:proofErr w:type="spellEnd"/>
      <w:r>
        <w:t xml:space="preserve">, 2020; </w:t>
      </w:r>
      <w:proofErr w:type="spellStart"/>
      <w:r>
        <w:t>Obsie</w:t>
      </w:r>
      <w:proofErr w:type="spellEnd"/>
      <w:r>
        <w:t xml:space="preserve"> et al., 2020). In the bus cases, the evidence is primarily about cost structures and financing rather than </w:t>
      </w:r>
      <w:proofErr w:type="spellStart"/>
      <w:r>
        <w:t>realised</w:t>
      </w:r>
      <w:proofErr w:type="spellEnd"/>
      <w:r>
        <w:t xml:space="preserve"> fare reductions. Nigeria-wide analysis identifies electricity tariffs, charging </w:t>
      </w:r>
      <w:r>
        <w:lastRenderedPageBreak/>
        <w:t>infrastructure, and public support as central to sustained adoption (Orji, 2024), while India-wide modelling shows that subsidy design affects the fiscal pathway of electric-bus adoption (Shivam et al., 2026).</w:t>
      </w:r>
    </w:p>
    <w:p w14:paraId="4BDE3957" w14:textId="77777777" w:rsidR="00C565DC" w:rsidRDefault="00000000">
      <w:pPr>
        <w:ind w:firstLine="317"/>
      </w:pPr>
      <w:r>
        <w:t>These findings caution against assuming that lower vehicle operating costs will necessarily be passed through to passengers. Capital recovery, charging infrastructure, maintenance, subsidies, route economics, and service reliability can all affect the total journey burden. An equity-</w:t>
      </w:r>
      <w:proofErr w:type="spellStart"/>
      <w:r>
        <w:t>centred</w:t>
      </w:r>
      <w:proofErr w:type="spellEnd"/>
      <w:r>
        <w:t xml:space="preserve"> affordability measure should therefore include fares, transfers, waiting time, and the financial consequences of unreliable service, not ticket price alone.</w:t>
      </w:r>
    </w:p>
    <w:p w14:paraId="274AACD4" w14:textId="77777777" w:rsidR="00C565DC" w:rsidRDefault="00000000">
      <w:pPr>
        <w:pStyle w:val="Heading2"/>
      </w:pPr>
      <w:r>
        <w:t>5.2 Accessibility and Spatial Inclusion</w:t>
      </w:r>
    </w:p>
    <w:p w14:paraId="76D4FBE8" w14:textId="77777777" w:rsidR="00C565DC" w:rsidRDefault="00000000">
      <w:pPr>
        <w:ind w:firstLine="317"/>
      </w:pPr>
      <w:r>
        <w:t xml:space="preserve">The Addis Ababa case shows why infrastructure coverage and effective accessibility should be separated. Spatial analysis identifies areas of good station coverage alongside impedances and uncovered </w:t>
      </w:r>
      <w:proofErr w:type="spellStart"/>
      <w:r>
        <w:t>neighbourhoods</w:t>
      </w:r>
      <w:proofErr w:type="spellEnd"/>
      <w:r>
        <w:t xml:space="preserve"> (Aklilu &amp; Necha, 2018), while adjacent-community research documents both reduced travel burdens and physical severance effects (Deyas &amp; </w:t>
      </w:r>
      <w:proofErr w:type="spellStart"/>
      <w:r>
        <w:t>Woldeamanuel</w:t>
      </w:r>
      <w:proofErr w:type="spellEnd"/>
      <w:r>
        <w:t>, 2020). These findings closely match the transport-justice principle that accessibility to valued destinations, rather than infrastructure quantity, should be the primary distributional outcome (Pereira et al., 2017).</w:t>
      </w:r>
    </w:p>
    <w:p w14:paraId="63D0EAA4" w14:textId="77777777" w:rsidR="00C565DC" w:rsidRDefault="00000000">
      <w:pPr>
        <w:ind w:firstLine="317"/>
      </w:pPr>
      <w:r>
        <w:t>For Nairobi and Lagos, current peer-reviewed evidence does not establish whether early e-mobility deployment materially changes city-wide accessibility. For Delhi and Shenzhen, larger-scale electrification expands exposure to electric public transport but still does not demonstrate equitable spatial access without route- and population-specific analysis. The appropriate conclusion is therefore conditional: electrification can support accessibility when network design, frequency, transfer integration, operating hours, and first-/last-mile conditions connect disadvantaged populations to essential destinations.</w:t>
      </w:r>
    </w:p>
    <w:p w14:paraId="60C67D0D" w14:textId="77777777" w:rsidR="00C565DC" w:rsidRDefault="00000000">
      <w:pPr>
        <w:pStyle w:val="Heading2"/>
      </w:pPr>
      <w:r>
        <w:t>5.3 Employment, Local Capability and Worker Transition</w:t>
      </w:r>
    </w:p>
    <w:p w14:paraId="39B85602" w14:textId="77777777" w:rsidR="00C565DC" w:rsidRDefault="00000000">
      <w:pPr>
        <w:ind w:firstLine="317"/>
      </w:pPr>
      <w:r>
        <w:t>Employment claims are among the least consistently measured outcomes in the selected evidence. The literature nevertheless identifies institutional and technical capability as important implementation conditions. Galuszka et al. (2021) show that incumbent operators can be under-</w:t>
      </w:r>
      <w:proofErr w:type="spellStart"/>
      <w:r>
        <w:t>recognised</w:t>
      </w:r>
      <w:proofErr w:type="spellEnd"/>
      <w:r>
        <w:t xml:space="preserve"> within e-mobility transitions, and </w:t>
      </w:r>
      <w:proofErr w:type="spellStart"/>
      <w:r>
        <w:t>Sadrani</w:t>
      </w:r>
      <w:proofErr w:type="spellEnd"/>
      <w:r>
        <w:t xml:space="preserve"> et al. (2024) identify lack of expertise and informal-transit conditions as particularly relevant barriers in developing-country settings. These findings imply a potential </w:t>
      </w:r>
      <w:proofErr w:type="spellStart"/>
      <w:r>
        <w:t>labour</w:t>
      </w:r>
      <w:proofErr w:type="spellEnd"/>
      <w:r>
        <w:t>-transition risk: new charging, electrical, diagnostic, and fleet-management capabilities may be required while existing operators and mechanics face changing business models and skill demands.</w:t>
      </w:r>
    </w:p>
    <w:p w14:paraId="6FC84EFC" w14:textId="77777777" w:rsidR="00C565DC" w:rsidRDefault="00000000">
      <w:pPr>
        <w:ind w:firstLine="317"/>
      </w:pPr>
      <w:r>
        <w:t xml:space="preserve">Because the reviewed city studies do not consistently measure net job creation, wages, displacement, or occupational transitions, the study does not claim that electrification has already produced positive net employment effects. A socially sustainable </w:t>
      </w:r>
      <w:proofErr w:type="spellStart"/>
      <w:r>
        <w:t>programme</w:t>
      </w:r>
      <w:proofErr w:type="spellEnd"/>
      <w:r>
        <w:t xml:space="preserve"> should instead track training, local maintenance capability, worker transition, job quality, and the inclusion of incumbent operators as explicit outcomes.</w:t>
      </w:r>
    </w:p>
    <w:p w14:paraId="728B0597" w14:textId="77777777" w:rsidR="00C565DC" w:rsidRDefault="00000000">
      <w:pPr>
        <w:pStyle w:val="Heading2"/>
      </w:pPr>
      <w:r>
        <w:t>5.4 Gender and Social Inclusion</w:t>
      </w:r>
    </w:p>
    <w:p w14:paraId="5A626F5C" w14:textId="77777777" w:rsidR="00C565DC" w:rsidRDefault="00000000">
      <w:pPr>
        <w:ind w:firstLine="317"/>
      </w:pPr>
      <w:r>
        <w:t>Gender, disability, age, and care-related travel are less consistently reported than fleet or infrastructure variables across the five cases. This absence of evidence should not be interpreted as evidence of inclusion. Research on South and Southeast Asian public transport identifies unsafe conditions, harassment, poor service, and inadequate policy responses as persistent barriers for women (Sil et al., 2023). A systematic review of first- and last-mile mobility in low- and middle-income countries likewise identifies unreliable and unsafe transport environments, inadequate pedestrian infrastructure, and gendered norms as important restrictions on accessibility (Roy et al., 2024).</w:t>
      </w:r>
    </w:p>
    <w:p w14:paraId="0D56FFDB" w14:textId="77777777" w:rsidR="00C565DC" w:rsidRDefault="00000000">
      <w:pPr>
        <w:ind w:firstLine="317"/>
      </w:pPr>
      <w:r>
        <w:t>Kakar et al. (2021) add a policy-level warning from India and Delhi: vulnerable groups and intersecting identities are not always adequately represented in transport policy. Electrification can improve vehicle comfort or local air quality, but it does not by itself correct unsafe stops, inaccessible boarding, weak pedestrian links, or exclusion from decision-making. Social inclusion therefore requires disaggregated indicators and service-design interventions in addition to vehicle technology. Table 3 consolidates the cross-case social-sustainability evidence and reports the evidence status assigned to each city.</w:t>
      </w:r>
    </w:p>
    <w:p w14:paraId="5DA22975" w14:textId="77777777" w:rsidR="00C565DC" w:rsidRDefault="00000000">
      <w:pPr>
        <w:pStyle w:val="CaptionJournal"/>
      </w:pPr>
      <w:r>
        <w:lastRenderedPageBreak/>
        <w:t>Table 3. Cross-case synthesis of social-sustainability evidence</w:t>
      </w:r>
    </w:p>
    <w:tbl>
      <w:tblPr>
        <w:tblStyle w:val="TableGrid"/>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152"/>
        <w:gridCol w:w="1656"/>
        <w:gridCol w:w="2520"/>
        <w:gridCol w:w="2376"/>
        <w:gridCol w:w="2088"/>
      </w:tblGrid>
      <w:tr w:rsidR="00C565DC" w14:paraId="2C678410" w14:textId="77777777">
        <w:trPr>
          <w:cantSplit/>
          <w:tblHeader/>
          <w:jc w:val="center"/>
        </w:trPr>
        <w:tc>
          <w:tcPr>
            <w:tcW w:w="1152" w:type="dxa"/>
            <w:tcMar>
              <w:top w:w="80" w:type="dxa"/>
              <w:left w:w="90" w:type="dxa"/>
              <w:bottom w:w="80" w:type="dxa"/>
              <w:right w:w="90" w:type="dxa"/>
            </w:tcMar>
            <w:vAlign w:val="center"/>
          </w:tcPr>
          <w:p w14:paraId="311D507C" w14:textId="77777777" w:rsidR="00C565DC" w:rsidRDefault="00000000">
            <w:pPr>
              <w:spacing w:after="0" w:line="240" w:lineRule="auto"/>
              <w:jc w:val="center"/>
            </w:pPr>
            <w:r>
              <w:rPr>
                <w:b/>
                <w:sz w:val="17"/>
              </w:rPr>
              <w:t>City</w:t>
            </w:r>
          </w:p>
        </w:tc>
        <w:tc>
          <w:tcPr>
            <w:tcW w:w="1656" w:type="dxa"/>
            <w:tcMar>
              <w:top w:w="80" w:type="dxa"/>
              <w:left w:w="90" w:type="dxa"/>
              <w:bottom w:w="80" w:type="dxa"/>
              <w:right w:w="90" w:type="dxa"/>
            </w:tcMar>
            <w:vAlign w:val="center"/>
          </w:tcPr>
          <w:p w14:paraId="4CA57CDD" w14:textId="77777777" w:rsidR="00C565DC" w:rsidRDefault="00000000">
            <w:pPr>
              <w:spacing w:after="0" w:line="240" w:lineRule="auto"/>
              <w:jc w:val="center"/>
            </w:pPr>
            <w:r>
              <w:rPr>
                <w:b/>
                <w:sz w:val="17"/>
              </w:rPr>
              <w:t>Evidence status</w:t>
            </w:r>
          </w:p>
        </w:tc>
        <w:tc>
          <w:tcPr>
            <w:tcW w:w="2520" w:type="dxa"/>
            <w:tcMar>
              <w:top w:w="80" w:type="dxa"/>
              <w:left w:w="90" w:type="dxa"/>
              <w:bottom w:w="80" w:type="dxa"/>
              <w:right w:w="90" w:type="dxa"/>
            </w:tcMar>
            <w:vAlign w:val="center"/>
          </w:tcPr>
          <w:p w14:paraId="03B3FFA2" w14:textId="77777777" w:rsidR="00C565DC" w:rsidRDefault="00000000">
            <w:pPr>
              <w:spacing w:after="0" w:line="240" w:lineRule="auto"/>
              <w:jc w:val="center"/>
            </w:pPr>
            <w:r>
              <w:rPr>
                <w:b/>
                <w:sz w:val="17"/>
              </w:rPr>
              <w:t>Access and affordability</w:t>
            </w:r>
          </w:p>
        </w:tc>
        <w:tc>
          <w:tcPr>
            <w:tcW w:w="2376" w:type="dxa"/>
            <w:tcMar>
              <w:top w:w="80" w:type="dxa"/>
              <w:left w:w="90" w:type="dxa"/>
              <w:bottom w:w="80" w:type="dxa"/>
              <w:right w:w="90" w:type="dxa"/>
            </w:tcMar>
            <w:vAlign w:val="center"/>
          </w:tcPr>
          <w:p w14:paraId="2B62990F" w14:textId="77777777" w:rsidR="00C565DC" w:rsidRDefault="00000000">
            <w:pPr>
              <w:spacing w:after="0" w:line="240" w:lineRule="auto"/>
              <w:jc w:val="center"/>
            </w:pPr>
            <w:r>
              <w:rPr>
                <w:b/>
                <w:sz w:val="17"/>
              </w:rPr>
              <w:t>Employment/inclusion evidence</w:t>
            </w:r>
          </w:p>
        </w:tc>
        <w:tc>
          <w:tcPr>
            <w:tcW w:w="2088" w:type="dxa"/>
            <w:tcMar>
              <w:top w:w="80" w:type="dxa"/>
              <w:left w:w="90" w:type="dxa"/>
              <w:bottom w:w="80" w:type="dxa"/>
              <w:right w:w="90" w:type="dxa"/>
            </w:tcMar>
            <w:vAlign w:val="center"/>
          </w:tcPr>
          <w:p w14:paraId="00969890" w14:textId="77777777" w:rsidR="00C565DC" w:rsidRDefault="00000000">
            <w:pPr>
              <w:spacing w:after="0" w:line="240" w:lineRule="auto"/>
              <w:jc w:val="center"/>
            </w:pPr>
            <w:r>
              <w:rPr>
                <w:b/>
                <w:sz w:val="17"/>
              </w:rPr>
              <w:t>Principal constraint</w:t>
            </w:r>
          </w:p>
        </w:tc>
      </w:tr>
      <w:tr w:rsidR="00C565DC" w14:paraId="7C2E2DE6" w14:textId="77777777">
        <w:trPr>
          <w:cantSplit/>
          <w:jc w:val="center"/>
        </w:trPr>
        <w:tc>
          <w:tcPr>
            <w:tcW w:w="1152" w:type="dxa"/>
            <w:tcMar>
              <w:top w:w="80" w:type="dxa"/>
              <w:left w:w="90" w:type="dxa"/>
              <w:bottom w:w="80" w:type="dxa"/>
              <w:right w:w="90" w:type="dxa"/>
            </w:tcMar>
            <w:vAlign w:val="center"/>
          </w:tcPr>
          <w:p w14:paraId="1A4212B0" w14:textId="77777777" w:rsidR="00C565DC" w:rsidRDefault="00000000">
            <w:pPr>
              <w:spacing w:after="0" w:line="240" w:lineRule="auto"/>
              <w:jc w:val="left"/>
            </w:pPr>
            <w:r>
              <w:rPr>
                <w:sz w:val="16"/>
              </w:rPr>
              <w:t>Addis Ababa</w:t>
            </w:r>
          </w:p>
        </w:tc>
        <w:tc>
          <w:tcPr>
            <w:tcW w:w="1656" w:type="dxa"/>
            <w:tcMar>
              <w:top w:w="80" w:type="dxa"/>
              <w:left w:w="90" w:type="dxa"/>
              <w:bottom w:w="80" w:type="dxa"/>
              <w:right w:w="90" w:type="dxa"/>
            </w:tcMar>
            <w:vAlign w:val="center"/>
          </w:tcPr>
          <w:p w14:paraId="73D3A3BE" w14:textId="77777777" w:rsidR="00C565DC" w:rsidRDefault="00000000">
            <w:pPr>
              <w:spacing w:after="0" w:line="240" w:lineRule="auto"/>
              <w:jc w:val="left"/>
            </w:pPr>
            <w:r>
              <w:rPr>
                <w:sz w:val="16"/>
              </w:rPr>
              <w:t>Direct empirical; moderate–high for selected corridors/users</w:t>
            </w:r>
          </w:p>
        </w:tc>
        <w:tc>
          <w:tcPr>
            <w:tcW w:w="2520" w:type="dxa"/>
            <w:tcMar>
              <w:top w:w="80" w:type="dxa"/>
              <w:left w:w="90" w:type="dxa"/>
              <w:bottom w:w="80" w:type="dxa"/>
              <w:right w:w="90" w:type="dxa"/>
            </w:tcMar>
            <w:vAlign w:val="center"/>
          </w:tcPr>
          <w:p w14:paraId="193DA241" w14:textId="77777777" w:rsidR="00C565DC" w:rsidRDefault="00000000">
            <w:pPr>
              <w:spacing w:after="0" w:line="240" w:lineRule="auto"/>
              <w:jc w:val="left"/>
            </w:pPr>
            <w:r>
              <w:rPr>
                <w:sz w:val="16"/>
              </w:rPr>
              <w:t>Evidence of lower transport cost/time for some communities; spatial and service-access limitations remain.</w:t>
            </w:r>
          </w:p>
        </w:tc>
        <w:tc>
          <w:tcPr>
            <w:tcW w:w="2376" w:type="dxa"/>
            <w:tcMar>
              <w:top w:w="80" w:type="dxa"/>
              <w:left w:w="90" w:type="dxa"/>
              <w:bottom w:w="80" w:type="dxa"/>
              <w:right w:w="90" w:type="dxa"/>
            </w:tcMar>
            <w:vAlign w:val="center"/>
          </w:tcPr>
          <w:p w14:paraId="6C865AF9" w14:textId="77777777" w:rsidR="00C565DC" w:rsidRDefault="00000000">
            <w:pPr>
              <w:spacing w:after="0" w:line="240" w:lineRule="auto"/>
              <w:jc w:val="left"/>
            </w:pPr>
            <w:r>
              <w:rPr>
                <w:sz w:val="16"/>
              </w:rPr>
              <w:t>Passenger studies identify heterogeneous satisfaction; limited disaggregated gender/disability and employment evidence.</w:t>
            </w:r>
          </w:p>
        </w:tc>
        <w:tc>
          <w:tcPr>
            <w:tcW w:w="2088" w:type="dxa"/>
            <w:tcMar>
              <w:top w:w="80" w:type="dxa"/>
              <w:left w:w="90" w:type="dxa"/>
              <w:bottom w:w="80" w:type="dxa"/>
              <w:right w:w="90" w:type="dxa"/>
            </w:tcMar>
            <w:vAlign w:val="center"/>
          </w:tcPr>
          <w:p w14:paraId="795CE79B" w14:textId="77777777" w:rsidR="00C565DC" w:rsidRDefault="00000000">
            <w:pPr>
              <w:spacing w:after="0" w:line="240" w:lineRule="auto"/>
              <w:jc w:val="left"/>
            </w:pPr>
            <w:r>
              <w:rPr>
                <w:sz w:val="16"/>
              </w:rPr>
              <w:t>Crowding, waiting, station access, network reach, community severance.</w:t>
            </w:r>
          </w:p>
        </w:tc>
      </w:tr>
      <w:tr w:rsidR="00C565DC" w14:paraId="53F94D9D" w14:textId="77777777">
        <w:trPr>
          <w:cantSplit/>
          <w:jc w:val="center"/>
        </w:trPr>
        <w:tc>
          <w:tcPr>
            <w:tcW w:w="1152" w:type="dxa"/>
            <w:tcMar>
              <w:top w:w="80" w:type="dxa"/>
              <w:left w:w="90" w:type="dxa"/>
              <w:bottom w:w="80" w:type="dxa"/>
              <w:right w:w="90" w:type="dxa"/>
            </w:tcMar>
            <w:vAlign w:val="center"/>
          </w:tcPr>
          <w:p w14:paraId="12A3D5DB" w14:textId="77777777" w:rsidR="00C565DC" w:rsidRDefault="00000000">
            <w:pPr>
              <w:spacing w:after="0" w:line="240" w:lineRule="auto"/>
              <w:jc w:val="left"/>
            </w:pPr>
            <w:r>
              <w:rPr>
                <w:sz w:val="16"/>
              </w:rPr>
              <w:t>Nairobi</w:t>
            </w:r>
          </w:p>
        </w:tc>
        <w:tc>
          <w:tcPr>
            <w:tcW w:w="1656" w:type="dxa"/>
            <w:tcMar>
              <w:top w:w="80" w:type="dxa"/>
              <w:left w:w="90" w:type="dxa"/>
              <w:bottom w:w="80" w:type="dxa"/>
              <w:right w:w="90" w:type="dxa"/>
            </w:tcMar>
            <w:vAlign w:val="center"/>
          </w:tcPr>
          <w:p w14:paraId="324FEB6E" w14:textId="77777777" w:rsidR="00C565DC" w:rsidRDefault="00000000">
            <w:pPr>
              <w:spacing w:after="0" w:line="240" w:lineRule="auto"/>
              <w:jc w:val="left"/>
            </w:pPr>
            <w:r>
              <w:rPr>
                <w:sz w:val="16"/>
              </w:rPr>
              <w:t xml:space="preserve">Policy/stakeholder; low–moderate for </w:t>
            </w:r>
            <w:proofErr w:type="spellStart"/>
            <w:r>
              <w:rPr>
                <w:sz w:val="16"/>
              </w:rPr>
              <w:t>realised</w:t>
            </w:r>
            <w:proofErr w:type="spellEnd"/>
            <w:r>
              <w:rPr>
                <w:sz w:val="16"/>
              </w:rPr>
              <w:t xml:space="preserve"> outcomes</w:t>
            </w:r>
          </w:p>
        </w:tc>
        <w:tc>
          <w:tcPr>
            <w:tcW w:w="2520" w:type="dxa"/>
            <w:tcMar>
              <w:top w:w="80" w:type="dxa"/>
              <w:left w:w="90" w:type="dxa"/>
              <w:bottom w:w="80" w:type="dxa"/>
              <w:right w:w="90" w:type="dxa"/>
            </w:tcMar>
            <w:vAlign w:val="center"/>
          </w:tcPr>
          <w:p w14:paraId="3F07AFA1" w14:textId="77777777" w:rsidR="00C565DC" w:rsidRDefault="00000000">
            <w:pPr>
              <w:spacing w:after="0" w:line="240" w:lineRule="auto"/>
              <w:jc w:val="left"/>
            </w:pPr>
            <w:r>
              <w:rPr>
                <w:sz w:val="16"/>
              </w:rPr>
              <w:t>City-wide affordability/access effects are not established in the reviewed evidence.</w:t>
            </w:r>
          </w:p>
        </w:tc>
        <w:tc>
          <w:tcPr>
            <w:tcW w:w="2376" w:type="dxa"/>
            <w:tcMar>
              <w:top w:w="80" w:type="dxa"/>
              <w:left w:w="90" w:type="dxa"/>
              <w:bottom w:w="80" w:type="dxa"/>
              <w:right w:w="90" w:type="dxa"/>
            </w:tcMar>
            <w:vAlign w:val="center"/>
          </w:tcPr>
          <w:p w14:paraId="24E99712" w14:textId="77777777" w:rsidR="00C565DC" w:rsidRDefault="00000000">
            <w:pPr>
              <w:spacing w:after="0" w:line="240" w:lineRule="auto"/>
              <w:jc w:val="left"/>
            </w:pPr>
            <w:r>
              <w:rPr>
                <w:sz w:val="16"/>
              </w:rPr>
              <w:t>Incumbent-operator recognition and transition governance are material concerns.</w:t>
            </w:r>
          </w:p>
        </w:tc>
        <w:tc>
          <w:tcPr>
            <w:tcW w:w="2088" w:type="dxa"/>
            <w:tcMar>
              <w:top w:w="80" w:type="dxa"/>
              <w:left w:w="90" w:type="dxa"/>
              <w:bottom w:w="80" w:type="dxa"/>
              <w:right w:w="90" w:type="dxa"/>
            </w:tcMar>
            <w:vAlign w:val="center"/>
          </w:tcPr>
          <w:p w14:paraId="30555060" w14:textId="77777777" w:rsidR="00C565DC" w:rsidRDefault="00000000">
            <w:pPr>
              <w:spacing w:after="0" w:line="240" w:lineRule="auto"/>
              <w:jc w:val="left"/>
            </w:pPr>
            <w:r>
              <w:rPr>
                <w:sz w:val="16"/>
              </w:rPr>
              <w:t>Upfront cost, charging/electricity, finance, operator integration, policy coordination.</w:t>
            </w:r>
          </w:p>
        </w:tc>
      </w:tr>
      <w:tr w:rsidR="00C565DC" w14:paraId="618C37F8" w14:textId="77777777">
        <w:trPr>
          <w:cantSplit/>
          <w:jc w:val="center"/>
        </w:trPr>
        <w:tc>
          <w:tcPr>
            <w:tcW w:w="1152" w:type="dxa"/>
            <w:tcMar>
              <w:top w:w="80" w:type="dxa"/>
              <w:left w:w="90" w:type="dxa"/>
              <w:bottom w:w="80" w:type="dxa"/>
              <w:right w:w="90" w:type="dxa"/>
            </w:tcMar>
            <w:vAlign w:val="center"/>
          </w:tcPr>
          <w:p w14:paraId="1E23589A" w14:textId="77777777" w:rsidR="00C565DC" w:rsidRDefault="00000000">
            <w:pPr>
              <w:spacing w:after="0" w:line="240" w:lineRule="auto"/>
              <w:jc w:val="left"/>
            </w:pPr>
            <w:r>
              <w:rPr>
                <w:sz w:val="16"/>
              </w:rPr>
              <w:t>Lagos</w:t>
            </w:r>
          </w:p>
        </w:tc>
        <w:tc>
          <w:tcPr>
            <w:tcW w:w="1656" w:type="dxa"/>
            <w:tcMar>
              <w:top w:w="80" w:type="dxa"/>
              <w:left w:w="90" w:type="dxa"/>
              <w:bottom w:w="80" w:type="dxa"/>
              <w:right w:w="90" w:type="dxa"/>
            </w:tcMar>
            <w:vAlign w:val="center"/>
          </w:tcPr>
          <w:p w14:paraId="4D0ADA3F" w14:textId="77777777" w:rsidR="00C565DC" w:rsidRDefault="00000000">
            <w:pPr>
              <w:spacing w:after="0" w:line="240" w:lineRule="auto"/>
              <w:jc w:val="left"/>
            </w:pPr>
            <w:r>
              <w:rPr>
                <w:sz w:val="16"/>
              </w:rPr>
              <w:t>Pilot/feasibility + operational context; low for city-wide effects</w:t>
            </w:r>
          </w:p>
        </w:tc>
        <w:tc>
          <w:tcPr>
            <w:tcW w:w="2520" w:type="dxa"/>
            <w:tcMar>
              <w:top w:w="80" w:type="dxa"/>
              <w:left w:w="90" w:type="dxa"/>
              <w:bottom w:w="80" w:type="dxa"/>
              <w:right w:w="90" w:type="dxa"/>
            </w:tcMar>
            <w:vAlign w:val="center"/>
          </w:tcPr>
          <w:p w14:paraId="3463759C" w14:textId="77777777" w:rsidR="00C565DC" w:rsidRDefault="00000000">
            <w:pPr>
              <w:spacing w:after="0" w:line="240" w:lineRule="auto"/>
              <w:jc w:val="left"/>
            </w:pPr>
            <w:r>
              <w:rPr>
                <w:sz w:val="16"/>
              </w:rPr>
              <w:t>Two-bus proof of concept cannot establish system-wide affordability or access; wider BRT faces demand and waiting challenges.</w:t>
            </w:r>
          </w:p>
        </w:tc>
        <w:tc>
          <w:tcPr>
            <w:tcW w:w="2376" w:type="dxa"/>
            <w:tcMar>
              <w:top w:w="80" w:type="dxa"/>
              <w:left w:w="90" w:type="dxa"/>
              <w:bottom w:w="80" w:type="dxa"/>
              <w:right w:w="90" w:type="dxa"/>
            </w:tcMar>
            <w:vAlign w:val="center"/>
          </w:tcPr>
          <w:p w14:paraId="66A3A987" w14:textId="77777777" w:rsidR="00C565DC" w:rsidRDefault="00000000">
            <w:pPr>
              <w:spacing w:after="0" w:line="240" w:lineRule="auto"/>
              <w:jc w:val="left"/>
            </w:pPr>
            <w:r>
              <w:rPr>
                <w:sz w:val="16"/>
              </w:rPr>
              <w:t>No robust city-wide evidence of net employment or inclusion effects.</w:t>
            </w:r>
          </w:p>
        </w:tc>
        <w:tc>
          <w:tcPr>
            <w:tcW w:w="2088" w:type="dxa"/>
            <w:tcMar>
              <w:top w:w="80" w:type="dxa"/>
              <w:left w:w="90" w:type="dxa"/>
              <w:bottom w:w="80" w:type="dxa"/>
              <w:right w:w="90" w:type="dxa"/>
            </w:tcMar>
            <w:vAlign w:val="center"/>
          </w:tcPr>
          <w:p w14:paraId="2FAB814D" w14:textId="77777777" w:rsidR="00C565DC" w:rsidRDefault="00000000">
            <w:pPr>
              <w:spacing w:after="0" w:line="240" w:lineRule="auto"/>
              <w:jc w:val="left"/>
            </w:pPr>
            <w:r>
              <w:rPr>
                <w:sz w:val="16"/>
              </w:rPr>
              <w:t>Pilot scale, electricity/charging, finance, route/service planning.</w:t>
            </w:r>
          </w:p>
        </w:tc>
      </w:tr>
      <w:tr w:rsidR="00C565DC" w14:paraId="57B0AA34" w14:textId="77777777">
        <w:trPr>
          <w:cantSplit/>
          <w:jc w:val="center"/>
        </w:trPr>
        <w:tc>
          <w:tcPr>
            <w:tcW w:w="1152" w:type="dxa"/>
            <w:tcMar>
              <w:top w:w="80" w:type="dxa"/>
              <w:left w:w="90" w:type="dxa"/>
              <w:bottom w:w="80" w:type="dxa"/>
              <w:right w:w="90" w:type="dxa"/>
            </w:tcMar>
            <w:vAlign w:val="center"/>
          </w:tcPr>
          <w:p w14:paraId="5B4C0C7E" w14:textId="77777777" w:rsidR="00C565DC" w:rsidRDefault="00000000">
            <w:pPr>
              <w:spacing w:after="0" w:line="240" w:lineRule="auto"/>
              <w:jc w:val="left"/>
            </w:pPr>
            <w:r>
              <w:rPr>
                <w:sz w:val="16"/>
              </w:rPr>
              <w:t>Delhi</w:t>
            </w:r>
          </w:p>
        </w:tc>
        <w:tc>
          <w:tcPr>
            <w:tcW w:w="1656" w:type="dxa"/>
            <w:tcMar>
              <w:top w:w="80" w:type="dxa"/>
              <w:left w:w="90" w:type="dxa"/>
              <w:bottom w:w="80" w:type="dxa"/>
              <w:right w:w="90" w:type="dxa"/>
            </w:tcMar>
            <w:vAlign w:val="center"/>
          </w:tcPr>
          <w:p w14:paraId="0F883117" w14:textId="77777777" w:rsidR="00C565DC" w:rsidRDefault="00000000">
            <w:pPr>
              <w:spacing w:after="0" w:line="240" w:lineRule="auto"/>
              <w:jc w:val="left"/>
            </w:pPr>
            <w:r>
              <w:rPr>
                <w:sz w:val="16"/>
              </w:rPr>
              <w:t>Modelled environmental/health + policy equity; moderate</w:t>
            </w:r>
          </w:p>
        </w:tc>
        <w:tc>
          <w:tcPr>
            <w:tcW w:w="2520" w:type="dxa"/>
            <w:tcMar>
              <w:top w:w="80" w:type="dxa"/>
              <w:left w:w="90" w:type="dxa"/>
              <w:bottom w:w="80" w:type="dxa"/>
              <w:right w:w="90" w:type="dxa"/>
            </w:tcMar>
            <w:vAlign w:val="center"/>
          </w:tcPr>
          <w:p w14:paraId="76D007BC" w14:textId="77777777" w:rsidR="00C565DC" w:rsidRDefault="00000000">
            <w:pPr>
              <w:spacing w:after="0" w:line="240" w:lineRule="auto"/>
              <w:jc w:val="left"/>
            </w:pPr>
            <w:r>
              <w:rPr>
                <w:sz w:val="16"/>
              </w:rPr>
              <w:t>Large-scale electrification can expand clean-bus exposure, but equitable access is not demonstrated by fleet scale alone.</w:t>
            </w:r>
          </w:p>
        </w:tc>
        <w:tc>
          <w:tcPr>
            <w:tcW w:w="2376" w:type="dxa"/>
            <w:tcMar>
              <w:top w:w="80" w:type="dxa"/>
              <w:left w:w="90" w:type="dxa"/>
              <w:bottom w:w="80" w:type="dxa"/>
              <w:right w:w="90" w:type="dxa"/>
            </w:tcMar>
            <w:vAlign w:val="center"/>
          </w:tcPr>
          <w:p w14:paraId="25C5A2F9" w14:textId="77777777" w:rsidR="00C565DC" w:rsidRDefault="00000000">
            <w:pPr>
              <w:spacing w:after="0" w:line="240" w:lineRule="auto"/>
              <w:jc w:val="left"/>
            </w:pPr>
            <w:r>
              <w:rPr>
                <w:sz w:val="16"/>
              </w:rPr>
              <w:t>Policy analysis identifies incomplete treatment of intersecting mobility inequities.</w:t>
            </w:r>
          </w:p>
        </w:tc>
        <w:tc>
          <w:tcPr>
            <w:tcW w:w="2088" w:type="dxa"/>
            <w:tcMar>
              <w:top w:w="80" w:type="dxa"/>
              <w:left w:w="90" w:type="dxa"/>
              <w:bottom w:w="80" w:type="dxa"/>
              <w:right w:w="90" w:type="dxa"/>
            </w:tcMar>
            <w:vAlign w:val="center"/>
          </w:tcPr>
          <w:p w14:paraId="2A09DEAF" w14:textId="77777777" w:rsidR="00C565DC" w:rsidRDefault="00000000">
            <w:pPr>
              <w:spacing w:after="0" w:line="240" w:lineRule="auto"/>
              <w:jc w:val="left"/>
            </w:pPr>
            <w:r>
              <w:rPr>
                <w:sz w:val="16"/>
              </w:rPr>
              <w:t>Finance/subsidies, route distribution, participation, service design.</w:t>
            </w:r>
          </w:p>
        </w:tc>
      </w:tr>
      <w:tr w:rsidR="00C565DC" w14:paraId="0558E43F" w14:textId="77777777">
        <w:trPr>
          <w:cantSplit/>
          <w:jc w:val="center"/>
        </w:trPr>
        <w:tc>
          <w:tcPr>
            <w:tcW w:w="1152" w:type="dxa"/>
            <w:tcMar>
              <w:top w:w="80" w:type="dxa"/>
              <w:left w:w="90" w:type="dxa"/>
              <w:bottom w:w="80" w:type="dxa"/>
              <w:right w:w="90" w:type="dxa"/>
            </w:tcMar>
            <w:vAlign w:val="center"/>
          </w:tcPr>
          <w:p w14:paraId="2F7E636F" w14:textId="77777777" w:rsidR="00C565DC" w:rsidRDefault="00000000">
            <w:pPr>
              <w:spacing w:after="0" w:line="240" w:lineRule="auto"/>
              <w:jc w:val="left"/>
            </w:pPr>
            <w:r>
              <w:rPr>
                <w:sz w:val="16"/>
              </w:rPr>
              <w:t>Shenzhen</w:t>
            </w:r>
          </w:p>
        </w:tc>
        <w:tc>
          <w:tcPr>
            <w:tcW w:w="1656" w:type="dxa"/>
            <w:tcMar>
              <w:top w:w="80" w:type="dxa"/>
              <w:left w:w="90" w:type="dxa"/>
              <w:bottom w:w="80" w:type="dxa"/>
              <w:right w:w="90" w:type="dxa"/>
            </w:tcMar>
            <w:vAlign w:val="center"/>
          </w:tcPr>
          <w:p w14:paraId="1EB96B4C" w14:textId="77777777" w:rsidR="00C565DC" w:rsidRDefault="00000000">
            <w:pPr>
              <w:spacing w:after="0" w:line="240" w:lineRule="auto"/>
              <w:jc w:val="left"/>
            </w:pPr>
            <w:r>
              <w:rPr>
                <w:sz w:val="16"/>
              </w:rPr>
              <w:t>Mature operational/technical; high for electrification, lower for distributional outcomes</w:t>
            </w:r>
          </w:p>
        </w:tc>
        <w:tc>
          <w:tcPr>
            <w:tcW w:w="2520" w:type="dxa"/>
            <w:tcMar>
              <w:top w:w="80" w:type="dxa"/>
              <w:left w:w="90" w:type="dxa"/>
              <w:bottom w:w="80" w:type="dxa"/>
              <w:right w:w="90" w:type="dxa"/>
            </w:tcMar>
            <w:vAlign w:val="center"/>
          </w:tcPr>
          <w:p w14:paraId="4A561182" w14:textId="77777777" w:rsidR="00C565DC" w:rsidRDefault="00000000">
            <w:pPr>
              <w:spacing w:after="0" w:line="240" w:lineRule="auto"/>
              <w:jc w:val="left"/>
            </w:pPr>
            <w:r>
              <w:rPr>
                <w:sz w:val="16"/>
              </w:rPr>
              <w:t>System-scale deployment demonstrates reach of electric buses, but fare burden and distribution require separate evidence.</w:t>
            </w:r>
          </w:p>
        </w:tc>
        <w:tc>
          <w:tcPr>
            <w:tcW w:w="2376" w:type="dxa"/>
            <w:tcMar>
              <w:top w:w="80" w:type="dxa"/>
              <w:left w:w="90" w:type="dxa"/>
              <w:bottom w:w="80" w:type="dxa"/>
              <w:right w:w="90" w:type="dxa"/>
            </w:tcMar>
            <w:vAlign w:val="center"/>
          </w:tcPr>
          <w:p w14:paraId="62EA8C54" w14:textId="77777777" w:rsidR="00C565DC" w:rsidRDefault="00000000">
            <w:pPr>
              <w:spacing w:after="0" w:line="240" w:lineRule="auto"/>
              <w:jc w:val="left"/>
            </w:pPr>
            <w:r>
              <w:rPr>
                <w:sz w:val="16"/>
              </w:rPr>
              <w:t>Strong technical capability evidence; limited direct evidence on gender and worker outcomes in selected studies.</w:t>
            </w:r>
          </w:p>
        </w:tc>
        <w:tc>
          <w:tcPr>
            <w:tcW w:w="2088" w:type="dxa"/>
            <w:tcMar>
              <w:top w:w="80" w:type="dxa"/>
              <w:left w:w="90" w:type="dxa"/>
              <w:bottom w:w="80" w:type="dxa"/>
              <w:right w:w="90" w:type="dxa"/>
            </w:tcMar>
            <w:vAlign w:val="center"/>
          </w:tcPr>
          <w:p w14:paraId="5B166621" w14:textId="77777777" w:rsidR="00C565DC" w:rsidRDefault="00000000">
            <w:pPr>
              <w:spacing w:after="0" w:line="240" w:lineRule="auto"/>
              <w:jc w:val="left"/>
            </w:pPr>
            <w:r>
              <w:rPr>
                <w:sz w:val="16"/>
              </w:rPr>
              <w:t>Charging/depot planning, land, grid mix, lifecycle performance, equity measurement.</w:t>
            </w:r>
          </w:p>
        </w:tc>
      </w:tr>
    </w:tbl>
    <w:p w14:paraId="3E38F9B6" w14:textId="77777777" w:rsidR="00C565DC" w:rsidRDefault="00000000">
      <w:pPr>
        <w:pStyle w:val="TableNote"/>
        <w:jc w:val="center"/>
      </w:pPr>
      <w:r>
        <w:t xml:space="preserve">Source: Authors’ synthesis from </w:t>
      </w:r>
      <w:proofErr w:type="spellStart"/>
      <w:r>
        <w:t>Aderinlewo</w:t>
      </w:r>
      <w:proofErr w:type="spellEnd"/>
      <w:r>
        <w:t xml:space="preserve"> et al. (2020), </w:t>
      </w:r>
      <w:proofErr w:type="spellStart"/>
      <w:r>
        <w:t>Adibeli</w:t>
      </w:r>
      <w:proofErr w:type="spellEnd"/>
      <w:r>
        <w:t xml:space="preserve"> and </w:t>
      </w:r>
      <w:proofErr w:type="spellStart"/>
      <w:r>
        <w:t>Szpytko</w:t>
      </w:r>
      <w:proofErr w:type="spellEnd"/>
      <w:r>
        <w:t xml:space="preserve"> (2024), Aklilu and Necha (2018), Bhat and Farzaneh (2022), Deyas and </w:t>
      </w:r>
      <w:proofErr w:type="spellStart"/>
      <w:r>
        <w:t>Woldeamanuel</w:t>
      </w:r>
      <w:proofErr w:type="spellEnd"/>
      <w:r>
        <w:t xml:space="preserve"> (2020), Galuszka et al. </w:t>
      </w:r>
      <w:r w:rsidRPr="00515382">
        <w:rPr>
          <w:lang w:val="nl-BE"/>
        </w:rPr>
        <w:t xml:space="preserve">(2021), Kakar et al. (2021), Lin et al. (2019), Mao et al. (2020), Obsie et al. </w:t>
      </w:r>
      <w:r>
        <w:t xml:space="preserve">(2020), Orji (2024), Shivam et al. (2026), and </w:t>
      </w:r>
      <w:proofErr w:type="spellStart"/>
      <w:r>
        <w:t>Sovacool</w:t>
      </w:r>
      <w:proofErr w:type="spellEnd"/>
      <w:r>
        <w:t xml:space="preserve"> et al. (2022).</w:t>
      </w:r>
    </w:p>
    <w:p w14:paraId="2AD09721" w14:textId="77777777" w:rsidR="00C565DC" w:rsidRDefault="00000000">
      <w:pPr>
        <w:pStyle w:val="Heading2"/>
      </w:pPr>
      <w:r>
        <w:t>5.5 Public-Health and Environmental Co-Benefits</w:t>
      </w:r>
    </w:p>
    <w:p w14:paraId="1F42A8ED" w14:textId="77777777" w:rsidR="00C565DC" w:rsidRDefault="00000000">
      <w:pPr>
        <w:ind w:firstLine="317"/>
      </w:pPr>
      <w:r>
        <w:t>Electric buses eliminate local tailpipe emissions during operation, but the total environmental effect depends on electricity generation, charging losses, vehicle use, and lifecycle conditions. The case evidence illustrates two distinct forms of support. For Delhi, Bhat and Farzaneh (2022) estimate substantial potential reductions in pollutant emissions and associated health burdens under a fleet-electrification model. For Shenzhen, Mao et al. (2020) use real-world operating data and well-to-wheel analysis to show lower carbon dioxide emissions than conventional diesel buses under the studied conditions. These findings support environmental co-benefits but do not justify describing all electric mobility as zero-emission on a lifecycle basis.</w:t>
      </w:r>
    </w:p>
    <w:p w14:paraId="5B576111" w14:textId="77777777" w:rsidR="00C565DC" w:rsidRDefault="00000000">
      <w:pPr>
        <w:ind w:firstLine="317"/>
      </w:pPr>
      <w:r>
        <w:t xml:space="preserve">Health benefits are also distributional. The </w:t>
      </w:r>
      <w:proofErr w:type="spellStart"/>
      <w:r>
        <w:t>neighbourhoods</w:t>
      </w:r>
      <w:proofErr w:type="spellEnd"/>
      <w:r>
        <w:t xml:space="preserve"> and </w:t>
      </w:r>
      <w:proofErr w:type="spellStart"/>
      <w:r>
        <w:t>travellers</w:t>
      </w:r>
      <w:proofErr w:type="spellEnd"/>
      <w:r>
        <w:t xml:space="preserve"> that receive cleaner air depend on where diesel activity is displaced and which routes are electrified. Equity-oriented appraisal should therefore combine emission reduction with exposure and route-distribution analysis, particularly in high-exposure and disadvantaged areas.</w:t>
      </w:r>
    </w:p>
    <w:p w14:paraId="4233A244" w14:textId="77777777" w:rsidR="00C565DC" w:rsidRDefault="00000000">
      <w:pPr>
        <w:pStyle w:val="Heading2"/>
      </w:pPr>
      <w:r>
        <w:t>5.6 Governance, Finance and Implementation Maturity</w:t>
      </w:r>
    </w:p>
    <w:p w14:paraId="51E4E36B" w14:textId="77777777" w:rsidR="00C565DC" w:rsidRDefault="00000000">
      <w:pPr>
        <w:ind w:firstLine="317"/>
      </w:pPr>
      <w:r>
        <w:t xml:space="preserve">Governance and finance form the most consistent implementation pattern across cases. Electric-bus reviews identify economic constraints as globally important and managerial/institutional barriers as particularly salient in developing-country settings (Rodrigues &amp; Seixas, 2022; </w:t>
      </w:r>
      <w:proofErr w:type="spellStart"/>
      <w:r>
        <w:t>Sadrani</w:t>
      </w:r>
      <w:proofErr w:type="spellEnd"/>
      <w:r>
        <w:t xml:space="preserve"> et al., 2024). Nairobi evidence shows the importance of stakeholder integration (Galuszka et al., 2021), Nigeria-wide analysis highlights electricity tariffs and charging infrastructure (Orji, 2024), and India-wide modelling </w:t>
      </w:r>
      <w:proofErr w:type="spellStart"/>
      <w:r>
        <w:t>emphasises</w:t>
      </w:r>
      <w:proofErr w:type="spellEnd"/>
      <w:r>
        <w:t xml:space="preserve"> policy and subsidy design (Shivam et al., 2026). Shenzhen demonstrates that mature electrification requires systematic charging-network planning rather than vehicle procurement alone (Lin et al., 2019).</w:t>
      </w:r>
    </w:p>
    <w:p w14:paraId="54F55C1B" w14:textId="77777777" w:rsidR="00C565DC" w:rsidRDefault="00000000">
      <w:pPr>
        <w:ind w:firstLine="317"/>
      </w:pPr>
      <w:r>
        <w:t xml:space="preserve">Implementation maturity increases the range of observable operational outcomes but does not automatically increase social equity. Mature systems allow stronger claims about system performance; they still require </w:t>
      </w:r>
      <w:r>
        <w:lastRenderedPageBreak/>
        <w:t>separate measures of fare burden, distributional accessibility, safety, and participation. Conversely, early pilots are useful for testing feasibility but should not be burdened with unsupported claims about city-wide welfare.</w:t>
      </w:r>
    </w:p>
    <w:p w14:paraId="63DB68A6" w14:textId="77777777" w:rsidR="00C565DC" w:rsidRDefault="00000000">
      <w:pPr>
        <w:pStyle w:val="Heading2"/>
      </w:pPr>
      <w:r>
        <w:t>5.7 Efficiency–Equity Trade-Offs</w:t>
      </w:r>
    </w:p>
    <w:p w14:paraId="734A9745" w14:textId="77777777" w:rsidR="00C565DC" w:rsidRDefault="00000000">
      <w:pPr>
        <w:ind w:firstLine="317"/>
      </w:pPr>
      <w:r>
        <w:t xml:space="preserve">The evidence and theoretical framework identify several recurring tensions. Concentrating vehicles and chargers on high-demand corridors can improve </w:t>
      </w:r>
      <w:proofErr w:type="spellStart"/>
      <w:r>
        <w:t>utilisation</w:t>
      </w:r>
      <w:proofErr w:type="spellEnd"/>
      <w:r>
        <w:t xml:space="preserve"> but may postpone benefits for peripheral communities. Cost-recovery strategies can </w:t>
      </w:r>
      <w:proofErr w:type="spellStart"/>
      <w:r>
        <w:t>stabilise</w:t>
      </w:r>
      <w:proofErr w:type="spellEnd"/>
      <w:r>
        <w:t xml:space="preserve"> operations but increase fare pressure. Rapid procurement can accelerate </w:t>
      </w:r>
      <w:proofErr w:type="spellStart"/>
      <w:r>
        <w:t>decarbonisation</w:t>
      </w:r>
      <w:proofErr w:type="spellEnd"/>
      <w:r>
        <w:t xml:space="preserve"> while leaving less time for participatory route design or worker transition. </w:t>
      </w:r>
      <w:proofErr w:type="spellStart"/>
      <w:r>
        <w:t>Standardised</w:t>
      </w:r>
      <w:proofErr w:type="spellEnd"/>
      <w:r>
        <w:t xml:space="preserve"> technical solutions can reduce procurement complexity while fitting local power, climate, maintenance, or informal-transport conditions imperfectly. These are not arguments against electrification; they are reasons to incorporate distributional safeguards into implementation.</w:t>
      </w:r>
    </w:p>
    <w:p w14:paraId="0F9A32A6" w14:textId="77777777" w:rsidR="00C565DC" w:rsidRDefault="00000000">
      <w:pPr>
        <w:ind w:firstLine="317"/>
      </w:pPr>
      <w:r>
        <w:t xml:space="preserve">The trade-offs can also be reduced. Reliable service can lower the hidden cost of waiting; integrated fares can reduce transfer penalties; universal design can widen access; charging and maintenance planning can protect service continuity; and transparent transition arrangements can reduce risks for incumbent operators. The relevant performance question is therefore not whether efficiency and equity conflict in the abstract, but how </w:t>
      </w:r>
      <w:proofErr w:type="spellStart"/>
      <w:r>
        <w:t>programme</w:t>
      </w:r>
      <w:proofErr w:type="spellEnd"/>
      <w:r>
        <w:t xml:space="preserve"> design allocates gains and burdens across users, workers, and locations.</w:t>
      </w:r>
    </w:p>
    <w:p w14:paraId="2995B218" w14:textId="77777777" w:rsidR="00C565DC" w:rsidRDefault="00000000">
      <w:pPr>
        <w:pStyle w:val="Heading2"/>
      </w:pPr>
      <w:r>
        <w:t>5.8 Interpretation through the Theoretical Framework</w:t>
      </w:r>
    </w:p>
    <w:p w14:paraId="6EDE0780" w14:textId="77777777" w:rsidR="00C565DC" w:rsidRDefault="00000000">
      <w:pPr>
        <w:ind w:firstLine="317"/>
      </w:pPr>
      <w:r>
        <w:rPr>
          <w:highlight w:val="yellow"/>
        </w:rPr>
        <w:t>The findings are consistent with, but do not prove, the integrated theoretical proposition.</w:t>
      </w:r>
      <w:r>
        <w:t xml:space="preserve"> Socio-technical transitions theory explains why successful deployment depends on coordinated changes in vehicles, infrastructure, policy, finance, and user practices (Geels, 2012). Energy justice clarifies why environmental and financial benefits must be examined alongside burdens and participation (Jenkins et al., 2016). Mobility and transport justice clarify why effective access, not fleet size, is the appropriate social endpoint (Pereira et al., 2017; </w:t>
      </w:r>
      <w:proofErr w:type="spellStart"/>
      <w:r>
        <w:t>Verlinghieri</w:t>
      </w:r>
      <w:proofErr w:type="spellEnd"/>
      <w:r>
        <w:t xml:space="preserve"> &amp; </w:t>
      </w:r>
      <w:proofErr w:type="spellStart"/>
      <w:r>
        <w:t>Schwanen</w:t>
      </w:r>
      <w:proofErr w:type="spellEnd"/>
      <w:r>
        <w:t>, 2020). The cases collectively indicate that clean technology can create enabling conditions for social sustainability, but the distribution of benefits remains a governance and service-design question.</w:t>
      </w:r>
    </w:p>
    <w:p w14:paraId="56D2AFF6" w14:textId="77777777" w:rsidR="00C565DC" w:rsidRDefault="00000000">
      <w:pPr>
        <w:pStyle w:val="Heading1"/>
      </w:pPr>
      <w:r>
        <w:t>6.0 Policy Implications</w:t>
      </w:r>
    </w:p>
    <w:p w14:paraId="6BB550F3" w14:textId="77777777" w:rsidR="00C565DC" w:rsidRDefault="00000000">
      <w:pPr>
        <w:ind w:firstLine="317"/>
      </w:pPr>
      <w:r>
        <w:t>The policy implications below are evidence-informed rather than universal prescriptions. They combine recurring implementation patterns in the cases with established findings from transport-equity, gender-mobility, and electric-bus literature. The central principle is that vehicle acquisition should be paired with measurable social objectives.</w:t>
      </w:r>
    </w:p>
    <w:p w14:paraId="25EF594A" w14:textId="77777777" w:rsidR="00C565DC" w:rsidRDefault="00000000">
      <w:pPr>
        <w:pStyle w:val="Heading2"/>
      </w:pPr>
      <w:r>
        <w:t>6.1 Sustainable and Equitable Finance</w:t>
      </w:r>
    </w:p>
    <w:p w14:paraId="6A412BA5" w14:textId="77777777" w:rsidR="00C565DC" w:rsidRDefault="00000000">
      <w:pPr>
        <w:ind w:firstLine="317"/>
      </w:pPr>
      <w:r>
        <w:t xml:space="preserve">Financing arrangements should protect both long-term asset performance and passenger affordability. High upfront costs, charging infrastructure, electricity tariffs, and limited financing options are recurring barriers in the electric-bus literature and in developing-country contexts (Orji, 2024; Rodrigues &amp; Seixas, 2022; </w:t>
      </w:r>
      <w:proofErr w:type="spellStart"/>
      <w:r>
        <w:t>Sadrani</w:t>
      </w:r>
      <w:proofErr w:type="spellEnd"/>
      <w:r>
        <w:t xml:space="preserve"> et al., 2024). Public support or concessional finance should therefore be evaluated against service obligations such as frequency, route coverage, accessibility, and affordability rather than vehicle purchase alone. India-wide modelling further suggests that the sequencing and structure of subsidies can materially affect adoption and fiscal sustainability (Shivam et al., 2026).</w:t>
      </w:r>
    </w:p>
    <w:p w14:paraId="613448E2" w14:textId="77777777" w:rsidR="00C565DC" w:rsidRDefault="00000000">
      <w:pPr>
        <w:pStyle w:val="Heading2"/>
      </w:pPr>
      <w:r>
        <w:t>6.2 Local Capability and Worker Transition</w:t>
      </w:r>
    </w:p>
    <w:p w14:paraId="2DDCEE2E" w14:textId="77777777" w:rsidR="00C565DC" w:rsidRDefault="00000000">
      <w:pPr>
        <w:ind w:firstLine="317"/>
      </w:pPr>
      <w:r>
        <w:t xml:space="preserve">Procurement and operating contracts should include training, diagnostic access, maintenance capability, and transparent arrangements for existing operators and workers. The East African evidence demonstrates that incumbent transport providers can be insufficiently </w:t>
      </w:r>
      <w:proofErr w:type="spellStart"/>
      <w:r>
        <w:t>recognised</w:t>
      </w:r>
      <w:proofErr w:type="spellEnd"/>
      <w:r>
        <w:t xml:space="preserve"> in transition processes (Galuszka et al., 2021), while cross-country barrier analysis identifies lack of expertise and informal-transit conditions as meaningful constraints (</w:t>
      </w:r>
      <w:proofErr w:type="spellStart"/>
      <w:r>
        <w:t>Sadrani</w:t>
      </w:r>
      <w:proofErr w:type="spellEnd"/>
      <w:r>
        <w:t xml:space="preserve"> et al., 2024). Authorities should therefore monitor not only the number of new technical jobs but also displacement, reskilling, job quality, and local maintenance capacity.</w:t>
      </w:r>
    </w:p>
    <w:p w14:paraId="0FAA19A7" w14:textId="77777777" w:rsidR="00C565DC" w:rsidRDefault="00000000">
      <w:pPr>
        <w:pStyle w:val="Heading2"/>
      </w:pPr>
      <w:r>
        <w:lastRenderedPageBreak/>
        <w:t>6.3 Pro-Poor Fares and Integrated Access</w:t>
      </w:r>
    </w:p>
    <w:p w14:paraId="0BA6E553" w14:textId="77777777" w:rsidR="00C565DC" w:rsidRDefault="00000000">
      <w:pPr>
        <w:ind w:firstLine="317"/>
      </w:pPr>
      <w:r>
        <w:t xml:space="preserve">Fare policy should consider total journey burden, including transfers and time costs. Network planning should </w:t>
      </w:r>
      <w:proofErr w:type="spellStart"/>
      <w:r>
        <w:t>prioritise</w:t>
      </w:r>
      <w:proofErr w:type="spellEnd"/>
      <w:r>
        <w:t xml:space="preserve"> connections to employment, education, health care, and markets and should identify areas where first-/last-mile access is unsafe or impractical. Evidence from Addis Ababa shows that transport infrastructure can simultaneously reduce travel burdens and create spatial or pedestrian barriers (Aklilu &amp; Necha, 2018; Deyas &amp; </w:t>
      </w:r>
      <w:proofErr w:type="spellStart"/>
      <w:r>
        <w:t>Woldeamanuel</w:t>
      </w:r>
      <w:proofErr w:type="spellEnd"/>
      <w:r>
        <w:t>, 2020). Gender-mobility research further supports explicit attention to safety, pedestrian infrastructure, care-related travel, and inclusive service design (Roy et al., 2024; Sil et al., 2023).</w:t>
      </w:r>
    </w:p>
    <w:p w14:paraId="1CB869D6" w14:textId="77777777" w:rsidR="00C565DC" w:rsidRDefault="00000000">
      <w:pPr>
        <w:pStyle w:val="Heading2"/>
      </w:pPr>
      <w:r>
        <w:t>6.4 Monitoring Social Performance</w:t>
      </w:r>
    </w:p>
    <w:p w14:paraId="69C0F18F" w14:textId="77777777" w:rsidR="00C565DC" w:rsidRDefault="00000000">
      <w:pPr>
        <w:ind w:firstLine="317"/>
      </w:pPr>
      <w:r>
        <w:t>Technical dashboards should be complemented by social indicators. Recommended measures include fare burden as a share of household resources; travel time to essential destinations; service frequency and reliability; first-/last-mile accessibility; boarding accessibility; passenger safety; complaint outcomes; local pollution exposure; employment quality; training and local maintenance capability; and route-level distribution of service. Where feasible, indicators should be disaggregated by income, sex, disability, age, and location. This is necessary because the reviewed literature repeatedly shows that aggregate system improvements can coexist with uneven access or recognition (Kakar et al., 2021; Pereira et al., 2017).</w:t>
      </w:r>
    </w:p>
    <w:p w14:paraId="29FFEB58" w14:textId="77777777" w:rsidR="00C565DC" w:rsidRDefault="00000000">
      <w:pPr>
        <w:ind w:firstLine="317"/>
      </w:pPr>
      <w:r>
        <w:t xml:space="preserve">Figure 3 converts these implications into a four-phase policy roadmap. Phase 1 establishes distributional baselines and consultation; Phase 2 </w:t>
      </w:r>
      <w:proofErr w:type="gramStart"/>
      <w:r>
        <w:t>pilots</w:t>
      </w:r>
      <w:proofErr w:type="gramEnd"/>
      <w:r>
        <w:t xml:space="preserve"> routes and charging while protecting affordability and affected workers; Phase 3 scales fleets, depots, fare integration, and local capability; and Phase 4 publishes social indicators and adjusts routes, subsidies, and implementation based on observed distributional effects. Continuous safeguards—affordable access, universal design, transparent finance, </w:t>
      </w:r>
      <w:proofErr w:type="spellStart"/>
      <w:r>
        <w:t>labour</w:t>
      </w:r>
      <w:proofErr w:type="spellEnd"/>
      <w:r>
        <w:t xml:space="preserve"> protection, and accountable data—apply across all phases.</w:t>
      </w:r>
    </w:p>
    <w:p w14:paraId="59F45420" w14:textId="77777777" w:rsidR="00C565DC" w:rsidRDefault="00000000">
      <w:pPr>
        <w:keepNext/>
        <w:jc w:val="center"/>
      </w:pPr>
      <w:r>
        <w:rPr>
          <w:noProof/>
        </w:rPr>
        <w:drawing>
          <wp:inline distT="0" distB="0" distL="0" distR="0" wp14:anchorId="36EA36F8" wp14:editId="524B944C">
            <wp:extent cx="5623560" cy="165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rcRect t="23315" b="6033"/>
                    <a:stretch>
                      <a:fillRect/>
                    </a:stretch>
                  </pic:blipFill>
                  <pic:spPr>
                    <a:xfrm>
                      <a:off x="0" y="0"/>
                      <a:ext cx="5623560" cy="1651000"/>
                    </a:xfrm>
                    <a:prstGeom prst="rect">
                      <a:avLst/>
                    </a:prstGeom>
                  </pic:spPr>
                </pic:pic>
              </a:graphicData>
            </a:graphic>
          </wp:inline>
        </w:drawing>
      </w:r>
    </w:p>
    <w:p w14:paraId="0D4C4292" w14:textId="77777777" w:rsidR="00C565DC" w:rsidRDefault="00000000">
      <w:pPr>
        <w:spacing w:line="240" w:lineRule="auto"/>
        <w:jc w:val="center"/>
      </w:pPr>
      <w:r>
        <w:rPr>
          <w:rFonts w:cs="Times New Roman"/>
          <w:b/>
          <w:color w:val="000000"/>
          <w:sz w:val="19"/>
          <w:szCs w:val="19"/>
        </w:rPr>
        <w:t>Figure 3. Equity-</w:t>
      </w:r>
      <w:proofErr w:type="spellStart"/>
      <w:r>
        <w:rPr>
          <w:rFonts w:cs="Times New Roman"/>
          <w:b/>
          <w:color w:val="000000"/>
          <w:sz w:val="19"/>
          <w:szCs w:val="19"/>
        </w:rPr>
        <w:t>centred</w:t>
      </w:r>
      <w:proofErr w:type="spellEnd"/>
      <w:r>
        <w:rPr>
          <w:rFonts w:cs="Times New Roman"/>
          <w:b/>
          <w:color w:val="000000"/>
          <w:sz w:val="19"/>
          <w:szCs w:val="19"/>
        </w:rPr>
        <w:t xml:space="preserve"> renewable-mobility policy roadmap</w:t>
      </w:r>
    </w:p>
    <w:p w14:paraId="41A28094" w14:textId="77777777" w:rsidR="00C565DC" w:rsidRDefault="00000000">
      <w:pPr>
        <w:pStyle w:val="TableNote"/>
        <w:jc w:val="center"/>
      </w:pPr>
      <w:r>
        <w:t xml:space="preserve">Figure </w:t>
      </w:r>
      <w:proofErr w:type="gramStart"/>
      <w:r>
        <w:t>3.Source</w:t>
      </w:r>
      <w:proofErr w:type="gramEnd"/>
      <w:r>
        <w:t xml:space="preserve">: Authors’ synthesis based on IRENA (2019), </w:t>
      </w:r>
      <w:proofErr w:type="spellStart"/>
      <w:r>
        <w:t>Verlinghieri</w:t>
      </w:r>
      <w:proofErr w:type="spellEnd"/>
      <w:r>
        <w:t xml:space="preserve"> and </w:t>
      </w:r>
      <w:proofErr w:type="spellStart"/>
      <w:r>
        <w:t>Schwanen</w:t>
      </w:r>
      <w:proofErr w:type="spellEnd"/>
      <w:r>
        <w:t xml:space="preserve"> (2020), Lowans et al. (2021), </w:t>
      </w:r>
      <w:proofErr w:type="spellStart"/>
      <w:r>
        <w:t>Sovacool</w:t>
      </w:r>
      <w:proofErr w:type="spellEnd"/>
      <w:r>
        <w:t xml:space="preserve"> et al. (2022), WRI (2023), and IEA (2024, 2025).</w:t>
      </w:r>
    </w:p>
    <w:p w14:paraId="122B87AF" w14:textId="77777777" w:rsidR="00C565DC" w:rsidRDefault="00000000">
      <w:pPr>
        <w:pStyle w:val="Heading1"/>
      </w:pPr>
      <w:r>
        <w:t>7.0 Limitations</w:t>
      </w:r>
    </w:p>
    <w:p w14:paraId="2B00F6DA" w14:textId="77777777" w:rsidR="00C565DC" w:rsidRDefault="00000000">
      <w:pPr>
        <w:ind w:firstLine="317"/>
      </w:pPr>
      <w:r>
        <w:t xml:space="preserve">This study has several limitations. First, it is a documentary comparison rather than a primary-data study; causal effects cannot be established from the synthesis. Second, the evidence base is uneven across cities. Addis Ababa has direct passenger and community studies, Shenzhen has mature technical and operational evidence, Delhi has substantial modelling and policy evidence, while Nairobi and Lagos have more limited peer-reviewed evidence on </w:t>
      </w:r>
      <w:proofErr w:type="spellStart"/>
      <w:r>
        <w:t>realised</w:t>
      </w:r>
      <w:proofErr w:type="spellEnd"/>
      <w:r>
        <w:t xml:space="preserve"> city-wide social outcomes. Cross-case conclusions are therefore deliberately calibrated to evidence strength rather than treated as equivalent observations.</w:t>
      </w:r>
    </w:p>
    <w:p w14:paraId="5F0ADE76" w14:textId="77777777" w:rsidR="00C565DC" w:rsidRDefault="00000000">
      <w:pPr>
        <w:ind w:firstLine="317"/>
      </w:pPr>
      <w:r>
        <w:t xml:space="preserve">Third, social indicators are not </w:t>
      </w:r>
      <w:proofErr w:type="spellStart"/>
      <w:r>
        <w:t>standardised</w:t>
      </w:r>
      <w:proofErr w:type="spellEnd"/>
      <w:r>
        <w:t xml:space="preserve"> across sources. Gender, disability, employment quality, worker displacement, and income-disaggregated accessibility are particularly underreported. Fourth, the search was structured and reproducible in concept but not designed as an exhaustive systematic review with meta-analysis; publication, database, language, and geographic biases may remain. Fifth, verification of DOI and publisher metadata establishes the bibliographic authenticity of sources but does not eliminate limitations in the design or data quality of the underlying studies.</w:t>
      </w:r>
    </w:p>
    <w:p w14:paraId="3F0549D5" w14:textId="77777777" w:rsidR="00C565DC" w:rsidRDefault="00000000">
      <w:pPr>
        <w:ind w:firstLine="317"/>
      </w:pPr>
      <w:r>
        <w:lastRenderedPageBreak/>
        <w:t>Finally, the label renewable-energy mobility requires caution. The reviewed electric systems are not assumed to use exclusively renewable electricity, and lifecycle environmental performance depends on the power system, charging efficiency, vehicle operation, and component lifecycle. Environmental conclusions are therefore restricted to local tailpipe effects or source-specific modelling and well-to-wheel evidence where explicitly available.</w:t>
      </w:r>
    </w:p>
    <w:p w14:paraId="48EE389C" w14:textId="77777777" w:rsidR="00C565DC" w:rsidRDefault="00000000">
      <w:pPr>
        <w:pStyle w:val="Heading1"/>
      </w:pPr>
      <w:r>
        <w:t>8.0 Conclusion</w:t>
      </w:r>
    </w:p>
    <w:p w14:paraId="75FE9667" w14:textId="77777777" w:rsidR="00C565DC" w:rsidRDefault="00000000">
      <w:pPr>
        <w:ind w:firstLine="317"/>
      </w:pPr>
      <w:r>
        <w:t xml:space="preserve">This comparative documentary case analysis examined how renewable-energy and electrified public-transport transitions relate to social sustainability in Addis Ababa, Nairobi, Lagos, Delhi, and Shenzhen. The evidence base supports a more differentiated conclusion than a simple claim that cleaner mobility produces social benefits. Addis Ababa provides direct evidence of transport-cost and travel-time improvements for some communities together with crowding, waiting-time, spatial-access, and community-severance concerns. Nairobi and Lagos reveal important transition activity and implementation constraints but do not yet support city-wide claims about </w:t>
      </w:r>
      <w:proofErr w:type="spellStart"/>
      <w:r>
        <w:t>realised</w:t>
      </w:r>
      <w:proofErr w:type="spellEnd"/>
      <w:r>
        <w:t xml:space="preserve"> affordability, employment, or inclusion. Delhi demonstrates potentially substantial modelled environmental and health co-benefits while policy evidence shows that mobility inequities require explicit attention. Shenzhen demonstrates the infrastructure coordination and operational maturity possible at system scale, </w:t>
      </w:r>
      <w:r>
        <w:rPr>
          <w:highlight w:val="yellow"/>
        </w:rPr>
        <w:t>while a separate need remains for distributional social indicators</w:t>
      </w:r>
      <w:r>
        <w:t>.</w:t>
      </w:r>
    </w:p>
    <w:p w14:paraId="42DCF689" w14:textId="77777777" w:rsidR="00C565DC" w:rsidRDefault="00000000">
      <w:pPr>
        <w:ind w:firstLine="317"/>
      </w:pPr>
      <w:r>
        <w:t>Across cases, the strongest common finding is conditionality. Electrification can reduce local tailpipe pollution and create a platform for lower-carbon mobility, but social sustainability depends on fares, route coverage, service reliability, first-/last-mile integration, safe and accessible design, finance, charging and electricity systems, institutional coordination, local capability, and the treatment of existing operators and workers. Implementation maturity strengthens the evidence that can be observed; it does not automatically guarantee equitable outcomes.</w:t>
      </w:r>
    </w:p>
    <w:p w14:paraId="31EACF32" w14:textId="77777777" w:rsidR="00C565DC" w:rsidRDefault="00000000">
      <w:pPr>
        <w:ind w:firstLine="317"/>
      </w:pPr>
      <w:r>
        <w:t xml:space="preserve">The study therefore recommends that clean-mobility </w:t>
      </w:r>
      <w:proofErr w:type="spellStart"/>
      <w:r>
        <w:t>programmes</w:t>
      </w:r>
      <w:proofErr w:type="spellEnd"/>
      <w:r>
        <w:t xml:space="preserve"> be evaluated through a dual performance framework. Operational and environmental metrics should be accompanied by distributional indicators that show who benefits, who bears costs, where accessibility changes, and whether participation and worker transition are adequately addressed. Under this approach, renewable-energy mobility becomes socially sustainable not through technology alone, but through the institutional and service-design choices that convert technological change into equitable access and durable public value.</w:t>
      </w:r>
    </w:p>
    <w:p w14:paraId="181B7A72" w14:textId="77777777" w:rsidR="004617CE" w:rsidRDefault="004617CE">
      <w:pPr>
        <w:ind w:firstLine="317"/>
      </w:pPr>
    </w:p>
    <w:p w14:paraId="7135339D" w14:textId="77777777" w:rsidR="004617CE" w:rsidRDefault="004617CE" w:rsidP="004617CE">
      <w:pPr>
        <w:ind w:firstLine="317"/>
      </w:pPr>
      <w:r>
        <w:t>Declaration of AI Use</w:t>
      </w:r>
    </w:p>
    <w:p w14:paraId="210A03D3" w14:textId="77777777" w:rsidR="004617CE" w:rsidRDefault="004617CE" w:rsidP="004617CE">
      <w:pPr>
        <w:ind w:firstLine="317"/>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417DD0" w14:textId="77777777" w:rsidR="00C565DC" w:rsidRDefault="00000000">
      <w:pPr>
        <w:pStyle w:val="Heading1"/>
      </w:pPr>
      <w:r>
        <w:t>References</w:t>
      </w:r>
    </w:p>
    <w:p w14:paraId="238444F8" w14:textId="77777777" w:rsidR="00515382" w:rsidRDefault="00515382" w:rsidP="00515382">
      <w:pPr>
        <w:pStyle w:val="isselectedend"/>
        <w:ind w:left="540" w:hanging="540"/>
        <w:jc w:val="both"/>
      </w:pPr>
      <w:proofErr w:type="spellStart"/>
      <w:r>
        <w:t>Aderinlewo</w:t>
      </w:r>
      <w:proofErr w:type="spellEnd"/>
      <w:r>
        <w:t xml:space="preserve">, O. O., Akinyemi, G. A., Afolayan, A., &amp; Modupe, A. E. (2020). Analysis of the operational data of a public transportation system: A case study of the bus rapid transit (BRT), Lagos State, Nigeria. </w:t>
      </w:r>
      <w:r>
        <w:rPr>
          <w:rStyle w:val="Emphasis"/>
        </w:rPr>
        <w:t>Journal of Urban and Environmental Engineering, 14</w:t>
      </w:r>
      <w:r>
        <w:t xml:space="preserve">(1), 87–97. </w:t>
      </w:r>
      <w:hyperlink r:id="rId11" w:history="1">
        <w:r>
          <w:rPr>
            <w:rStyle w:val="Hyperlink"/>
          </w:rPr>
          <w:t>https://doi.org/10.4090/juee.2020.v14n1.087097</w:t>
        </w:r>
      </w:hyperlink>
    </w:p>
    <w:p w14:paraId="24569E9C" w14:textId="77777777" w:rsidR="00515382" w:rsidRDefault="00515382" w:rsidP="00515382">
      <w:pPr>
        <w:pStyle w:val="isselectedend"/>
        <w:ind w:left="540" w:hanging="540"/>
        <w:jc w:val="both"/>
      </w:pPr>
      <w:proofErr w:type="spellStart"/>
      <w:r>
        <w:t>Adibeli</w:t>
      </w:r>
      <w:proofErr w:type="spellEnd"/>
      <w:r>
        <w:t xml:space="preserve">, S. A., &amp; Szpytko, J. (2024). Effectiveness of electric mass transit buses as a means of public transportation, Lagos case study. </w:t>
      </w:r>
      <w:r>
        <w:rPr>
          <w:rStyle w:val="Emphasis"/>
        </w:rPr>
        <w:t xml:space="preserve">Journal of </w:t>
      </w:r>
      <w:proofErr w:type="spellStart"/>
      <w:r>
        <w:rPr>
          <w:rStyle w:val="Emphasis"/>
        </w:rPr>
        <w:t>KONBiN</w:t>
      </w:r>
      <w:proofErr w:type="spellEnd"/>
      <w:r>
        <w:rPr>
          <w:rStyle w:val="Emphasis"/>
        </w:rPr>
        <w:t>, 54</w:t>
      </w:r>
      <w:r>
        <w:t xml:space="preserve">(2), 93–106. </w:t>
      </w:r>
      <w:hyperlink r:id="rId12" w:history="1">
        <w:r>
          <w:rPr>
            <w:rStyle w:val="Hyperlink"/>
          </w:rPr>
          <w:t>https://doi.org/10.5604/01.3001.0054.6487</w:t>
        </w:r>
      </w:hyperlink>
    </w:p>
    <w:p w14:paraId="2A0F8936" w14:textId="77777777" w:rsidR="00515382" w:rsidRDefault="00515382" w:rsidP="00515382">
      <w:pPr>
        <w:pStyle w:val="isselectedend"/>
        <w:ind w:left="540" w:hanging="540"/>
        <w:jc w:val="both"/>
      </w:pPr>
      <w:r>
        <w:lastRenderedPageBreak/>
        <w:t xml:space="preserve">Aklilu, A., &amp; Necha, T. (2018). Analysis of the spatial accessibility of Addis Ababa’s light rail transit: The case of East–West corridor. </w:t>
      </w:r>
      <w:r>
        <w:rPr>
          <w:rStyle w:val="Emphasis"/>
        </w:rPr>
        <w:t>Urban Rail Transit, 4</w:t>
      </w:r>
      <w:r>
        <w:t xml:space="preserve">(1), 35–48. </w:t>
      </w:r>
      <w:hyperlink r:id="rId13" w:history="1">
        <w:r>
          <w:rPr>
            <w:rStyle w:val="Hyperlink"/>
          </w:rPr>
          <w:t>https://doi.org/10.1007/s40864-018-0076-6</w:t>
        </w:r>
      </w:hyperlink>
    </w:p>
    <w:p w14:paraId="3ECCA6BC" w14:textId="77777777" w:rsidR="00515382" w:rsidRDefault="00515382" w:rsidP="00515382">
      <w:pPr>
        <w:pStyle w:val="isselectedend"/>
        <w:ind w:left="540" w:hanging="540"/>
        <w:jc w:val="both"/>
      </w:pPr>
      <w:r>
        <w:t xml:space="preserve">Bhat, T. H., &amp; Farzaneh, H. (2022). Quantifying the multiple environmental, health, and economic benefits from the electrification of the Delhi public transport bus fleet, estimating a district-wise near roadway avoided PM2.5 exposure. </w:t>
      </w:r>
      <w:r>
        <w:rPr>
          <w:rStyle w:val="Emphasis"/>
        </w:rPr>
        <w:t>Journal of Environmental Management, 321</w:t>
      </w:r>
      <w:r>
        <w:t xml:space="preserve">, 116027. </w:t>
      </w:r>
      <w:hyperlink r:id="rId14" w:history="1">
        <w:r>
          <w:rPr>
            <w:rStyle w:val="Hyperlink"/>
          </w:rPr>
          <w:t>https://doi.org/10.1016/j.jenvman.2022.116027</w:t>
        </w:r>
      </w:hyperlink>
    </w:p>
    <w:p w14:paraId="4C254719" w14:textId="77777777" w:rsidR="00515382" w:rsidRDefault="00515382" w:rsidP="00515382">
      <w:pPr>
        <w:pStyle w:val="isselectedend"/>
        <w:ind w:left="540" w:hanging="540"/>
        <w:jc w:val="both"/>
      </w:pPr>
      <w:r>
        <w:t xml:space="preserve">Creswell, J. W. (2014). </w:t>
      </w:r>
      <w:r>
        <w:rPr>
          <w:rStyle w:val="Emphasis"/>
        </w:rPr>
        <w:t xml:space="preserve">Research design: Qualitative, quantitative, and mixed methods </w:t>
      </w:r>
      <w:proofErr w:type="gramStart"/>
      <w:r>
        <w:rPr>
          <w:rStyle w:val="Emphasis"/>
        </w:rPr>
        <w:t>approaches</w:t>
      </w:r>
      <w:proofErr w:type="gramEnd"/>
      <w:r>
        <w:t xml:space="preserve"> (4th ed.). SAGE Publications. </w:t>
      </w:r>
      <w:hyperlink r:id="rId15" w:history="1">
        <w:r>
          <w:rPr>
            <w:rStyle w:val="Hyperlink"/>
          </w:rPr>
          <w:t>https://study.sagepub.com/creswellrd4e</w:t>
        </w:r>
      </w:hyperlink>
    </w:p>
    <w:p w14:paraId="4D256AE4" w14:textId="77777777" w:rsidR="00515382" w:rsidRDefault="00515382" w:rsidP="00515382">
      <w:pPr>
        <w:pStyle w:val="isselectedend"/>
        <w:ind w:left="540" w:hanging="540"/>
        <w:jc w:val="both"/>
      </w:pPr>
      <w:r>
        <w:t xml:space="preserve">Deyas, G. T., &amp; </w:t>
      </w:r>
      <w:proofErr w:type="spellStart"/>
      <w:r>
        <w:t>Woldeamanuel</w:t>
      </w:r>
      <w:proofErr w:type="spellEnd"/>
      <w:r>
        <w:t xml:space="preserve">, M. G. (2020). Social and economic impacts of public transportation on adjacent communities: The case of the Addis Ababa light rail transit. </w:t>
      </w:r>
      <w:r>
        <w:rPr>
          <w:rStyle w:val="Emphasis"/>
        </w:rPr>
        <w:t>Research in Transportation Economics, 84</w:t>
      </w:r>
      <w:r>
        <w:t xml:space="preserve">, 100970. </w:t>
      </w:r>
      <w:hyperlink r:id="rId16" w:history="1">
        <w:r>
          <w:rPr>
            <w:rStyle w:val="Hyperlink"/>
          </w:rPr>
          <w:t>https://doi.org/10.1016/j.retrec.2020.100970</w:t>
        </w:r>
      </w:hyperlink>
    </w:p>
    <w:p w14:paraId="2F827A61" w14:textId="77777777" w:rsidR="00515382" w:rsidRDefault="00515382" w:rsidP="00515382">
      <w:pPr>
        <w:pStyle w:val="isselectedend"/>
        <w:ind w:left="540" w:hanging="540"/>
        <w:jc w:val="both"/>
      </w:pPr>
      <w:r>
        <w:t xml:space="preserve">Galuszka, J., Martin, E., Nkurunziza, A., Achieng’ Oginga, J., </w:t>
      </w:r>
      <w:proofErr w:type="spellStart"/>
      <w:r>
        <w:t>Senyagwa</w:t>
      </w:r>
      <w:proofErr w:type="spellEnd"/>
      <w:r>
        <w:t xml:space="preserve">, J., Teko, E., &amp; Lah, O. (2021). East Africa’s policy and stakeholder integration of informal operators in electric mobility transitions—Kigali, Nairobi, Kisumu and Dar es Salaam. </w:t>
      </w:r>
      <w:r>
        <w:rPr>
          <w:rStyle w:val="Emphasis"/>
        </w:rPr>
        <w:t>Sustainability, 13</w:t>
      </w:r>
      <w:r>
        <w:t xml:space="preserve">(4), 1703. </w:t>
      </w:r>
      <w:hyperlink r:id="rId17" w:history="1">
        <w:r>
          <w:rPr>
            <w:rStyle w:val="Hyperlink"/>
          </w:rPr>
          <w:t>https://doi.org/10.3390/su13041703</w:t>
        </w:r>
      </w:hyperlink>
    </w:p>
    <w:p w14:paraId="3B9DB501" w14:textId="77777777" w:rsidR="00515382" w:rsidRDefault="00515382" w:rsidP="00515382">
      <w:pPr>
        <w:pStyle w:val="isselectedend"/>
        <w:ind w:left="540" w:hanging="540"/>
        <w:jc w:val="both"/>
      </w:pPr>
      <w:r>
        <w:t xml:space="preserve">Geels, F. W. (2002). Technological transitions as evolutionary reconfiguration processes: A multi-level perspective and a case-study. </w:t>
      </w:r>
      <w:r>
        <w:rPr>
          <w:rStyle w:val="Emphasis"/>
        </w:rPr>
        <w:t>Research Policy, 31</w:t>
      </w:r>
      <w:r>
        <w:t xml:space="preserve">(8–9), 1257–1274. </w:t>
      </w:r>
      <w:hyperlink r:id="rId18" w:history="1">
        <w:r>
          <w:rPr>
            <w:rStyle w:val="Hyperlink"/>
          </w:rPr>
          <w:t>https://doi.org/10.1016/S0048-7333(02)00062-8</w:t>
        </w:r>
      </w:hyperlink>
    </w:p>
    <w:p w14:paraId="2C35B211" w14:textId="77777777" w:rsidR="00515382" w:rsidRDefault="00515382" w:rsidP="00515382">
      <w:pPr>
        <w:pStyle w:val="isselectedend"/>
        <w:ind w:left="540" w:hanging="540"/>
        <w:jc w:val="both"/>
      </w:pPr>
      <w:r>
        <w:t xml:space="preserve">Geels, F. W. (2012). A socio-technical analysis of low-carbon transitions: Introducing the multi-level perspective into transport studies. </w:t>
      </w:r>
      <w:r>
        <w:rPr>
          <w:rStyle w:val="Emphasis"/>
        </w:rPr>
        <w:t>Journal of Transport Geography, 24</w:t>
      </w:r>
      <w:r>
        <w:t xml:space="preserve">, 471–482. </w:t>
      </w:r>
      <w:hyperlink r:id="rId19" w:history="1">
        <w:r>
          <w:rPr>
            <w:rStyle w:val="Hyperlink"/>
          </w:rPr>
          <w:t>https://doi.org/10.1016/j.jtrangeo.2012.01.021</w:t>
        </w:r>
      </w:hyperlink>
    </w:p>
    <w:p w14:paraId="22FD13B0" w14:textId="77777777" w:rsidR="00E073FA" w:rsidRDefault="00000000">
      <w:pPr>
        <w:pStyle w:val="isselectedend"/>
        <w:ind w:left="540" w:hanging="540"/>
        <w:jc w:val="both"/>
      </w:pPr>
      <w:r>
        <w:rPr>
          <w:highlight w:val="yellow"/>
        </w:rPr>
        <w:t xml:space="preserve">International Energy Agency. (2024). </w:t>
      </w:r>
      <w:r>
        <w:rPr>
          <w:rStyle w:val="Emphasis"/>
          <w:highlight w:val="yellow"/>
        </w:rPr>
        <w:t>Global EV outlook 2024: Moving towards increased affordability</w:t>
      </w:r>
      <w:r>
        <w:rPr>
          <w:highlight w:val="yellow"/>
        </w:rPr>
        <w:t xml:space="preserve">. </w:t>
      </w:r>
      <w:hyperlink r:id="rId20" w:history="1">
        <w:r w:rsidR="00E073FA">
          <w:rPr>
            <w:rStyle w:val="Hyperlink"/>
            <w:highlight w:val="yellow"/>
          </w:rPr>
          <w:t>https://www.iea.org/reports/global-ev-outlook-2024</w:t>
        </w:r>
      </w:hyperlink>
    </w:p>
    <w:p w14:paraId="61E914C9" w14:textId="77777777" w:rsidR="00E073FA" w:rsidRDefault="00000000">
      <w:pPr>
        <w:pStyle w:val="isselectedend"/>
        <w:ind w:left="540" w:hanging="540"/>
        <w:jc w:val="both"/>
      </w:pPr>
      <w:r>
        <w:rPr>
          <w:highlight w:val="yellow"/>
        </w:rPr>
        <w:t xml:space="preserve">International Energy Agency. (2025). </w:t>
      </w:r>
      <w:r>
        <w:rPr>
          <w:rStyle w:val="Emphasis"/>
          <w:highlight w:val="yellow"/>
        </w:rPr>
        <w:t>Global EV outlook 2025: Expanding sales in diverse markets</w:t>
      </w:r>
      <w:r>
        <w:rPr>
          <w:highlight w:val="yellow"/>
        </w:rPr>
        <w:t xml:space="preserve">. </w:t>
      </w:r>
      <w:hyperlink r:id="rId21" w:history="1">
        <w:r w:rsidR="00E073FA">
          <w:rPr>
            <w:rStyle w:val="Hyperlink"/>
            <w:highlight w:val="yellow"/>
          </w:rPr>
          <w:t>https://www.iea.org/reports/global-ev-outlook-2025</w:t>
        </w:r>
      </w:hyperlink>
    </w:p>
    <w:p w14:paraId="45CF58A8" w14:textId="77777777" w:rsidR="00E073FA" w:rsidRDefault="00000000">
      <w:pPr>
        <w:pStyle w:val="isselectedend"/>
        <w:ind w:left="540" w:hanging="540"/>
        <w:jc w:val="both"/>
      </w:pPr>
      <w:r>
        <w:rPr>
          <w:highlight w:val="yellow"/>
        </w:rPr>
        <w:t xml:space="preserve">International Renewable Energy Agency. (2019). </w:t>
      </w:r>
      <w:r>
        <w:rPr>
          <w:rStyle w:val="Emphasis"/>
          <w:highlight w:val="yellow"/>
        </w:rPr>
        <w:t>Innovation outlook: Smart charging for electric vehicles</w:t>
      </w:r>
      <w:r>
        <w:rPr>
          <w:highlight w:val="yellow"/>
        </w:rPr>
        <w:t xml:space="preserve">. </w:t>
      </w:r>
      <w:hyperlink r:id="rId22" w:history="1">
        <w:r w:rsidR="00E073FA">
          <w:rPr>
            <w:rStyle w:val="Hyperlink"/>
            <w:highlight w:val="yellow"/>
          </w:rPr>
          <w:t>https://www.irena.org/publications/2019/May/Innovation-Outlook-Smart-Charging</w:t>
        </w:r>
      </w:hyperlink>
    </w:p>
    <w:p w14:paraId="3E89059D" w14:textId="77777777" w:rsidR="00515382" w:rsidRDefault="00515382" w:rsidP="00515382">
      <w:pPr>
        <w:pStyle w:val="isselectedend"/>
        <w:ind w:left="540" w:hanging="540"/>
        <w:jc w:val="both"/>
      </w:pPr>
      <w:r>
        <w:t xml:space="preserve">Jenkins, K., McCauley, D., Heffron, R., Stephan, H., &amp; Rehner, R. (2016). Energy justice: A conceptual review. </w:t>
      </w:r>
      <w:r>
        <w:rPr>
          <w:rStyle w:val="Emphasis"/>
        </w:rPr>
        <w:t>Energy Research &amp; Social Science, 11</w:t>
      </w:r>
      <w:r>
        <w:t xml:space="preserve">, 174–182. </w:t>
      </w:r>
      <w:hyperlink r:id="rId23" w:history="1">
        <w:r>
          <w:rPr>
            <w:rStyle w:val="Hyperlink"/>
          </w:rPr>
          <w:t>https://doi.org/10.1016/j.erss.2015.10.004</w:t>
        </w:r>
      </w:hyperlink>
    </w:p>
    <w:p w14:paraId="5BB1871F" w14:textId="77777777" w:rsidR="00515382" w:rsidRDefault="00515382" w:rsidP="00515382">
      <w:pPr>
        <w:pStyle w:val="isselectedend"/>
        <w:ind w:left="540" w:hanging="540"/>
        <w:jc w:val="both"/>
      </w:pPr>
      <w:r w:rsidRPr="00515382">
        <w:rPr>
          <w:lang w:val="nl-BE"/>
        </w:rPr>
        <w:t xml:space="preserve">Kakar, I. S., Peden, M., &amp; Jagnoor, J. (2021). </w:t>
      </w:r>
      <w:r>
        <w:t xml:space="preserve">Intersectionality based policy analysis: Equity in mobility in India. </w:t>
      </w:r>
      <w:r>
        <w:rPr>
          <w:rStyle w:val="Emphasis"/>
        </w:rPr>
        <w:t>Transport Policy, 101</w:t>
      </w:r>
      <w:r>
        <w:t xml:space="preserve">, 14–22. </w:t>
      </w:r>
      <w:hyperlink r:id="rId24" w:history="1">
        <w:r>
          <w:rPr>
            <w:rStyle w:val="Hyperlink"/>
          </w:rPr>
          <w:t>https://doi.org/10.1016/j.tranpol.2020.11.010</w:t>
        </w:r>
      </w:hyperlink>
    </w:p>
    <w:p w14:paraId="4499A034" w14:textId="77777777" w:rsidR="00515382" w:rsidRDefault="00515382" w:rsidP="00515382">
      <w:pPr>
        <w:pStyle w:val="isselectedend"/>
        <w:ind w:left="540" w:hanging="540"/>
        <w:jc w:val="both"/>
      </w:pPr>
      <w:r>
        <w:t xml:space="preserve">Lin, Y., Zhang, K., Shen, Z.-J. M., &amp; Miao, L. (2019). Charging network planning for electric bus cities: A case study of Shenzhen, China. </w:t>
      </w:r>
      <w:r>
        <w:rPr>
          <w:rStyle w:val="Emphasis"/>
        </w:rPr>
        <w:t>Sustainability, 11</w:t>
      </w:r>
      <w:r>
        <w:t xml:space="preserve">(17), 4713. </w:t>
      </w:r>
      <w:hyperlink r:id="rId25" w:history="1">
        <w:r>
          <w:rPr>
            <w:rStyle w:val="Hyperlink"/>
          </w:rPr>
          <w:t>https://doi.org/10.3390/su11174713</w:t>
        </w:r>
      </w:hyperlink>
    </w:p>
    <w:p w14:paraId="54A3D2F7" w14:textId="77777777" w:rsidR="00E073FA" w:rsidRDefault="00000000">
      <w:pPr>
        <w:pStyle w:val="isselectedend"/>
        <w:ind w:left="540" w:hanging="540"/>
        <w:jc w:val="both"/>
      </w:pPr>
      <w:r>
        <w:rPr>
          <w:highlight w:val="yellow"/>
        </w:rPr>
        <w:lastRenderedPageBreak/>
        <w:t xml:space="preserve">Lowans, C., Furszyfer Del Rio, D., Sovacool, B. K., Rooney, D., &amp; Foley, A. M. (2021). What is the state of the art in energy and transport poverty metrics? A critical and comprehensive review. </w:t>
      </w:r>
      <w:r>
        <w:rPr>
          <w:rStyle w:val="Emphasis"/>
          <w:highlight w:val="yellow"/>
        </w:rPr>
        <w:t>Energy Economics, 101</w:t>
      </w:r>
      <w:r>
        <w:rPr>
          <w:highlight w:val="yellow"/>
        </w:rPr>
        <w:t xml:space="preserve">, 105360. </w:t>
      </w:r>
      <w:hyperlink r:id="rId26" w:history="1">
        <w:r w:rsidR="00E073FA">
          <w:rPr>
            <w:rStyle w:val="Hyperlink"/>
            <w:highlight w:val="yellow"/>
          </w:rPr>
          <w:t>https://doi.org/10.1016/j.eneco.2021.105360</w:t>
        </w:r>
      </w:hyperlink>
    </w:p>
    <w:p w14:paraId="2BE13309" w14:textId="77777777" w:rsidR="00515382" w:rsidRDefault="00515382" w:rsidP="00515382">
      <w:pPr>
        <w:pStyle w:val="isselectedend"/>
        <w:ind w:left="540" w:hanging="540"/>
        <w:jc w:val="both"/>
      </w:pPr>
      <w:r>
        <w:t xml:space="preserve">Lucas, K. (2012). Transport and social exclusion: Where are we now? </w:t>
      </w:r>
      <w:r>
        <w:rPr>
          <w:rStyle w:val="Emphasis"/>
        </w:rPr>
        <w:t>Transport Policy, 20</w:t>
      </w:r>
      <w:r>
        <w:t xml:space="preserve">, 105–113. </w:t>
      </w:r>
      <w:hyperlink r:id="rId27" w:history="1">
        <w:r>
          <w:rPr>
            <w:rStyle w:val="Hyperlink"/>
          </w:rPr>
          <w:t>https://doi.org/10.1016/j.tranpol.2012.01.013</w:t>
        </w:r>
      </w:hyperlink>
    </w:p>
    <w:p w14:paraId="4BD6B1C7" w14:textId="77777777" w:rsidR="00515382" w:rsidRDefault="00515382" w:rsidP="00515382">
      <w:pPr>
        <w:pStyle w:val="isselectedend"/>
        <w:ind w:left="540" w:hanging="540"/>
        <w:jc w:val="both"/>
      </w:pPr>
      <w:r>
        <w:t xml:space="preserve">Mao, F., Li, Z., &amp; Zhang, K. (2020). Carbon dioxide emissions estimation of conventional diesel buses electrification: A </w:t>
      </w:r>
      <w:r>
        <w:rPr>
          <w:highlight w:val="yellow"/>
        </w:rPr>
        <w:t>well-to-wheel</w:t>
      </w:r>
      <w:r>
        <w:t xml:space="preserve"> analysis in Shenzhen, China. </w:t>
      </w:r>
      <w:r>
        <w:rPr>
          <w:rStyle w:val="Emphasis"/>
        </w:rPr>
        <w:t>Journal of Cleaner Production, 277</w:t>
      </w:r>
      <w:r>
        <w:t xml:space="preserve">, 123048. </w:t>
      </w:r>
      <w:hyperlink r:id="rId28" w:history="1">
        <w:r>
          <w:rPr>
            <w:rStyle w:val="Hyperlink"/>
          </w:rPr>
          <w:t>https://doi.org/10.1016/j.jclepro.2020.123048</w:t>
        </w:r>
      </w:hyperlink>
    </w:p>
    <w:p w14:paraId="066F00A1" w14:textId="77777777" w:rsidR="00515382" w:rsidRDefault="00515382" w:rsidP="00515382">
      <w:pPr>
        <w:pStyle w:val="isselectedend"/>
        <w:ind w:left="540" w:hanging="540"/>
        <w:jc w:val="both"/>
      </w:pPr>
      <w:r w:rsidRPr="00515382">
        <w:rPr>
          <w:lang w:val="nl-BE"/>
        </w:rPr>
        <w:t xml:space="preserve">Obsie, A., Woldeamanuel, M., &amp; Woldetensae, B. (2020). </w:t>
      </w:r>
      <w:r>
        <w:t xml:space="preserve">Service quality of Addis Ababa light rail transit: Passengers’ views and perspectives. </w:t>
      </w:r>
      <w:r>
        <w:rPr>
          <w:rStyle w:val="Emphasis"/>
        </w:rPr>
        <w:t>Urban Rail Transit, 6</w:t>
      </w:r>
      <w:r>
        <w:t xml:space="preserve">(4), 231–243. </w:t>
      </w:r>
      <w:hyperlink r:id="rId29" w:history="1">
        <w:r>
          <w:rPr>
            <w:rStyle w:val="Hyperlink"/>
          </w:rPr>
          <w:t>https://doi.org/10.1007/s40864-020-00135-2</w:t>
        </w:r>
      </w:hyperlink>
    </w:p>
    <w:p w14:paraId="6B77D217" w14:textId="77777777" w:rsidR="00515382" w:rsidRDefault="00515382" w:rsidP="00515382">
      <w:pPr>
        <w:pStyle w:val="isselectedend"/>
        <w:ind w:left="540" w:hanging="540"/>
        <w:jc w:val="both"/>
      </w:pPr>
      <w:r>
        <w:t xml:space="preserve">Orji, I. J. (2024). Adopting electric bus for improving efficiency in the local public transport sector: Analysis of facilitating conditions and their nonlinear relationships. </w:t>
      </w:r>
      <w:r>
        <w:rPr>
          <w:rStyle w:val="Emphasis"/>
        </w:rPr>
        <w:t>Transportation Research Part A: Policy and Practice, 180</w:t>
      </w:r>
      <w:r>
        <w:t xml:space="preserve">, 103967. </w:t>
      </w:r>
      <w:hyperlink r:id="rId30" w:history="1">
        <w:r>
          <w:rPr>
            <w:rStyle w:val="Hyperlink"/>
          </w:rPr>
          <w:t>https://doi.org/10.1016/j.tra.2024.103967</w:t>
        </w:r>
      </w:hyperlink>
    </w:p>
    <w:p w14:paraId="6EC39FA2" w14:textId="77777777" w:rsidR="00515382" w:rsidRDefault="00515382" w:rsidP="00515382">
      <w:pPr>
        <w:pStyle w:val="isselectedend"/>
        <w:ind w:left="540" w:hanging="540"/>
        <w:jc w:val="both"/>
      </w:pPr>
      <w:r w:rsidRPr="00515382">
        <w:rPr>
          <w:lang w:val="nl-BE"/>
        </w:rPr>
        <w:t xml:space="preserve">Pereira, R. H. M., Schwanen, T., &amp; Banister, D. (2017). </w:t>
      </w:r>
      <w:r>
        <w:t xml:space="preserve">Distributive justice and equity in transportation. </w:t>
      </w:r>
      <w:r>
        <w:rPr>
          <w:rStyle w:val="Emphasis"/>
        </w:rPr>
        <w:t>Transport Reviews, 37</w:t>
      </w:r>
      <w:r>
        <w:t xml:space="preserve">(2), 170–191. </w:t>
      </w:r>
      <w:hyperlink r:id="rId31" w:history="1">
        <w:r>
          <w:rPr>
            <w:rStyle w:val="Hyperlink"/>
          </w:rPr>
          <w:t>https://doi.org/10.1080/01441647.2016.1257660</w:t>
        </w:r>
      </w:hyperlink>
    </w:p>
    <w:p w14:paraId="61CFFD9D" w14:textId="77777777" w:rsidR="00515382" w:rsidRDefault="00515382" w:rsidP="00515382">
      <w:pPr>
        <w:pStyle w:val="isselectedend"/>
        <w:ind w:left="540" w:hanging="540"/>
        <w:jc w:val="both"/>
      </w:pPr>
      <w:r>
        <w:t xml:space="preserve">Rodrigues, A. L. P., &amp; Seixas, S. R. C. (2022). Battery-electric buses and their implementation barriers: Analysis and prospects for sustainability. </w:t>
      </w:r>
      <w:r>
        <w:rPr>
          <w:rStyle w:val="Emphasis"/>
        </w:rPr>
        <w:t>Sustainable Energy Technologies and Assessments, 51</w:t>
      </w:r>
      <w:r>
        <w:t xml:space="preserve">, 101896. </w:t>
      </w:r>
      <w:hyperlink r:id="rId32" w:history="1">
        <w:r>
          <w:rPr>
            <w:rStyle w:val="Hyperlink"/>
          </w:rPr>
          <w:t>https://doi.org/10.1016/j.seta.2021.101896</w:t>
        </w:r>
      </w:hyperlink>
    </w:p>
    <w:p w14:paraId="0341624E" w14:textId="77777777" w:rsidR="00515382" w:rsidRDefault="00515382" w:rsidP="00515382">
      <w:pPr>
        <w:pStyle w:val="isselectedend"/>
        <w:ind w:left="540" w:hanging="540"/>
        <w:jc w:val="both"/>
      </w:pPr>
      <w:r w:rsidRPr="00515382">
        <w:rPr>
          <w:lang w:val="nl-BE"/>
        </w:rPr>
        <w:t xml:space="preserve">Roy, S., Bailey, A., &amp; van Noorloos, F. (2024). </w:t>
      </w:r>
      <w:r>
        <w:t xml:space="preserve">Understanding the barriers affecting women’s mobility in the first- and last-mile stretches in low- and middle-income countries: A systematic review. </w:t>
      </w:r>
      <w:r>
        <w:rPr>
          <w:rStyle w:val="Emphasis"/>
        </w:rPr>
        <w:t>Journal of Transport Geography, 121</w:t>
      </w:r>
      <w:r>
        <w:t xml:space="preserve">, 104036. </w:t>
      </w:r>
      <w:hyperlink r:id="rId33" w:history="1">
        <w:r>
          <w:rPr>
            <w:rStyle w:val="Hyperlink"/>
          </w:rPr>
          <w:t>https://doi.org/10.1016/j.jtrangeo.2024.104036</w:t>
        </w:r>
      </w:hyperlink>
    </w:p>
    <w:p w14:paraId="7E64FDE2" w14:textId="77777777" w:rsidR="00515382" w:rsidRDefault="00515382" w:rsidP="00515382">
      <w:pPr>
        <w:pStyle w:val="isselectedend"/>
        <w:ind w:left="540" w:hanging="540"/>
        <w:jc w:val="both"/>
      </w:pPr>
      <w:r>
        <w:t xml:space="preserve">Sadrani, M., Mirqasemi, R., </w:t>
      </w:r>
      <w:proofErr w:type="spellStart"/>
      <w:r>
        <w:t>Tirachini</w:t>
      </w:r>
      <w:proofErr w:type="spellEnd"/>
      <w:r>
        <w:t xml:space="preserve">, A., &amp; Antoniou, C. (2024). Barriers to electrification of bus systems: A fuzzy multi-criteria analysis in developed and developing countries. </w:t>
      </w:r>
      <w:r>
        <w:rPr>
          <w:rStyle w:val="Emphasis"/>
        </w:rPr>
        <w:t>Energy Conversion and Management, 314</w:t>
      </w:r>
      <w:r>
        <w:t xml:space="preserve">, 118700. </w:t>
      </w:r>
      <w:hyperlink r:id="rId34" w:history="1">
        <w:r>
          <w:rPr>
            <w:rStyle w:val="Hyperlink"/>
          </w:rPr>
          <w:t>https://doi.org/10.1016/j.enconman.2024.118700</w:t>
        </w:r>
      </w:hyperlink>
    </w:p>
    <w:p w14:paraId="036CC61D" w14:textId="77777777" w:rsidR="00515382" w:rsidRDefault="00515382" w:rsidP="00515382">
      <w:pPr>
        <w:pStyle w:val="isselectedend"/>
        <w:ind w:left="540" w:hanging="540"/>
        <w:jc w:val="both"/>
      </w:pPr>
      <w:r>
        <w:t xml:space="preserve">Schwanen, T. (2021). Achieving just transitions to low-carbon urban mobility. </w:t>
      </w:r>
      <w:r>
        <w:rPr>
          <w:rStyle w:val="Emphasis"/>
        </w:rPr>
        <w:t>Nature Energy, 6</w:t>
      </w:r>
      <w:r>
        <w:t xml:space="preserve">(7), 685–687. </w:t>
      </w:r>
      <w:hyperlink r:id="rId35" w:history="1">
        <w:r>
          <w:rPr>
            <w:rStyle w:val="Hyperlink"/>
          </w:rPr>
          <w:t>https://doi.org/10.1038/s41560-021-00856-z</w:t>
        </w:r>
      </w:hyperlink>
    </w:p>
    <w:p w14:paraId="7EF8E614" w14:textId="77777777" w:rsidR="00515382" w:rsidRDefault="00515382" w:rsidP="00515382">
      <w:pPr>
        <w:pStyle w:val="isselectedend"/>
        <w:ind w:left="540" w:hanging="540"/>
        <w:jc w:val="both"/>
      </w:pPr>
      <w:r>
        <w:t xml:space="preserve">Shivam, U., Jakhar, S. K., &amp; Kohar, A. (2026). Policy initiatives and socio-economic impact of sustainable transportation: A case study of electric buses in India. </w:t>
      </w:r>
      <w:proofErr w:type="spellStart"/>
      <w:r>
        <w:rPr>
          <w:rStyle w:val="Emphasis"/>
        </w:rPr>
        <w:t>Technovation</w:t>
      </w:r>
      <w:proofErr w:type="spellEnd"/>
      <w:r>
        <w:rPr>
          <w:rStyle w:val="Emphasis"/>
        </w:rPr>
        <w:t>, 153</w:t>
      </w:r>
      <w:r>
        <w:t xml:space="preserve">, 103509. </w:t>
      </w:r>
      <w:hyperlink r:id="rId36" w:history="1">
        <w:r>
          <w:rPr>
            <w:rStyle w:val="Hyperlink"/>
          </w:rPr>
          <w:t>https://doi.org/10.1016/j.technovation.2026.103509</w:t>
        </w:r>
      </w:hyperlink>
    </w:p>
    <w:p w14:paraId="2D9F792A" w14:textId="77777777" w:rsidR="00515382" w:rsidRDefault="00515382" w:rsidP="00515382">
      <w:pPr>
        <w:pStyle w:val="isselectedend"/>
        <w:ind w:left="540" w:hanging="540"/>
        <w:jc w:val="both"/>
      </w:pPr>
      <w:r>
        <w:t xml:space="preserve">Sil, A., Chowdhury, S., &amp; Thoreau, R. (2023). Moving towards an inclusive public transport system for women in the South and Southeast Asian region. </w:t>
      </w:r>
      <w:r>
        <w:rPr>
          <w:rStyle w:val="Emphasis"/>
        </w:rPr>
        <w:t>Transport Reviews, 43</w:t>
      </w:r>
      <w:r>
        <w:t xml:space="preserve">(6), 1144–1164. </w:t>
      </w:r>
      <w:hyperlink r:id="rId37" w:history="1">
        <w:r>
          <w:rPr>
            <w:rStyle w:val="Hyperlink"/>
          </w:rPr>
          <w:t>https://doi.org/10.1080/01441647.2023.2200983</w:t>
        </w:r>
      </w:hyperlink>
    </w:p>
    <w:p w14:paraId="59F80950" w14:textId="77777777" w:rsidR="00515382" w:rsidRDefault="00515382" w:rsidP="00515382">
      <w:pPr>
        <w:pStyle w:val="isselectedend"/>
        <w:ind w:left="540" w:hanging="540"/>
        <w:jc w:val="both"/>
      </w:pPr>
      <w:proofErr w:type="spellStart"/>
      <w:r>
        <w:t>Sovacool</w:t>
      </w:r>
      <w:proofErr w:type="spellEnd"/>
      <w:r>
        <w:t xml:space="preserve">, B. K., Daniels, C., &amp; </w:t>
      </w:r>
      <w:proofErr w:type="spellStart"/>
      <w:r>
        <w:t>AbdulRafiu</w:t>
      </w:r>
      <w:proofErr w:type="spellEnd"/>
      <w:r>
        <w:t xml:space="preserve">, A. (2022). Transitioning to electrified, automated and shared mobility in an African context: A comparative review of Johannesburg, Kigali, Lagos and </w:t>
      </w:r>
      <w:r>
        <w:lastRenderedPageBreak/>
        <w:t xml:space="preserve">Nairobi. </w:t>
      </w:r>
      <w:r>
        <w:rPr>
          <w:rStyle w:val="Emphasis"/>
        </w:rPr>
        <w:t>Journal of Transport Geography, 98</w:t>
      </w:r>
      <w:r>
        <w:t xml:space="preserve">, 103256. </w:t>
      </w:r>
      <w:hyperlink r:id="rId38" w:history="1">
        <w:r>
          <w:rPr>
            <w:rStyle w:val="Hyperlink"/>
          </w:rPr>
          <w:t>https://doi.org/10.1016/j.jtrangeo.2021.103256</w:t>
        </w:r>
      </w:hyperlink>
    </w:p>
    <w:p w14:paraId="383E18AB" w14:textId="77777777" w:rsidR="00515382" w:rsidRDefault="00515382" w:rsidP="00515382">
      <w:pPr>
        <w:pStyle w:val="isselectedend"/>
        <w:ind w:left="540" w:hanging="540"/>
        <w:jc w:val="both"/>
      </w:pPr>
      <w:proofErr w:type="spellStart"/>
      <w:r>
        <w:t>Verlinghieri</w:t>
      </w:r>
      <w:proofErr w:type="spellEnd"/>
      <w:r>
        <w:t xml:space="preserve">, E., &amp; </w:t>
      </w:r>
      <w:proofErr w:type="spellStart"/>
      <w:r>
        <w:t>Schwanen</w:t>
      </w:r>
      <w:proofErr w:type="spellEnd"/>
      <w:r>
        <w:t xml:space="preserve">, T. (2020). Transport and mobility justice: Evolving discussions. </w:t>
      </w:r>
      <w:r>
        <w:rPr>
          <w:rStyle w:val="Emphasis"/>
        </w:rPr>
        <w:t>Journal of Transport Geography, 87</w:t>
      </w:r>
      <w:r>
        <w:t xml:space="preserve">, 102798. </w:t>
      </w:r>
      <w:hyperlink r:id="rId39" w:history="1">
        <w:r>
          <w:rPr>
            <w:rStyle w:val="Hyperlink"/>
          </w:rPr>
          <w:t>https://doi.org/10.1016/j.jtrangeo.2020.102798</w:t>
        </w:r>
      </w:hyperlink>
    </w:p>
    <w:p w14:paraId="41453974" w14:textId="77777777" w:rsidR="00E073FA" w:rsidRDefault="00000000">
      <w:pPr>
        <w:pStyle w:val="isselectedend"/>
        <w:ind w:left="540" w:hanging="540"/>
        <w:jc w:val="both"/>
      </w:pPr>
      <w:r>
        <w:rPr>
          <w:highlight w:val="yellow"/>
        </w:rPr>
        <w:t xml:space="preserve">World Resources Institute. (2023). </w:t>
      </w:r>
      <w:r>
        <w:rPr>
          <w:rStyle w:val="Emphasis"/>
          <w:highlight w:val="yellow"/>
        </w:rPr>
        <w:t>2023 annual report: Mobility and Accessibility Program</w:t>
      </w:r>
      <w:r>
        <w:rPr>
          <w:highlight w:val="yellow"/>
        </w:rPr>
        <w:t xml:space="preserve">. </w:t>
      </w:r>
      <w:hyperlink r:id="rId40" w:history="1">
        <w:r w:rsidR="00E073FA">
          <w:rPr>
            <w:rStyle w:val="Hyperlink"/>
            <w:highlight w:val="yellow"/>
          </w:rPr>
          <w:t>https://www.wri.org/initiatives/mobility-and-accessibility-program</w:t>
        </w:r>
      </w:hyperlink>
    </w:p>
    <w:p w14:paraId="17B9EF1C" w14:textId="77777777" w:rsidR="00515382" w:rsidRDefault="00515382" w:rsidP="00515382">
      <w:pPr>
        <w:pStyle w:val="NormalWeb"/>
        <w:ind w:left="540" w:hanging="540"/>
        <w:jc w:val="both"/>
      </w:pPr>
      <w:r>
        <w:t xml:space="preserve">Yin, R. K. (2018). </w:t>
      </w:r>
      <w:r>
        <w:rPr>
          <w:rStyle w:val="Emphasis"/>
        </w:rPr>
        <w:t>Case study research and applications: Design and methods</w:t>
      </w:r>
      <w:r>
        <w:t xml:space="preserve"> (6th ed.). SAGE Publications. </w:t>
      </w:r>
      <w:hyperlink r:id="rId41" w:history="1">
        <w:r>
          <w:rPr>
            <w:rStyle w:val="Hyperlink"/>
          </w:rPr>
          <w:t>https://study.sagepub.com/yin6e</w:t>
        </w:r>
      </w:hyperlink>
    </w:p>
    <w:p w14:paraId="5316C216" w14:textId="77777777" w:rsidR="00C565DC" w:rsidRDefault="00C565DC" w:rsidP="00515382"/>
    <w:sectPr w:rsidR="00C565DC">
      <w:footerReference w:type="default" r:id="rId42"/>
      <w:pgSz w:w="12240" w:h="15840"/>
      <w:pgMar w:top="1037" w:right="1123" w:bottom="1037" w:left="1123"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75E99" w14:textId="77777777" w:rsidR="00962B34" w:rsidRDefault="00962B34">
      <w:pPr>
        <w:spacing w:line="240" w:lineRule="auto"/>
      </w:pPr>
      <w:r>
        <w:separator/>
      </w:r>
    </w:p>
  </w:endnote>
  <w:endnote w:type="continuationSeparator" w:id="0">
    <w:p w14:paraId="5A1B606E" w14:textId="77777777" w:rsidR="00962B34" w:rsidRDefault="00962B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67B3" w14:textId="77777777" w:rsidR="00C565DC" w:rsidRDefault="00000000">
    <w:pPr>
      <w:pStyle w:val="Foote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4A9A" w14:textId="77777777" w:rsidR="00962B34" w:rsidRDefault="00962B34">
      <w:pPr>
        <w:spacing w:after="0"/>
      </w:pPr>
      <w:r>
        <w:separator/>
      </w:r>
    </w:p>
  </w:footnote>
  <w:footnote w:type="continuationSeparator" w:id="0">
    <w:p w14:paraId="2C182F04" w14:textId="77777777" w:rsidR="00962B34" w:rsidRDefault="00962B3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857495541">
    <w:abstractNumId w:val="5"/>
  </w:num>
  <w:num w:numId="2" w16cid:durableId="1009673861">
    <w:abstractNumId w:val="3"/>
  </w:num>
  <w:num w:numId="3" w16cid:durableId="1367218489">
    <w:abstractNumId w:val="2"/>
  </w:num>
  <w:num w:numId="4" w16cid:durableId="1773040445">
    <w:abstractNumId w:val="4"/>
  </w:num>
  <w:num w:numId="5" w16cid:durableId="15734797">
    <w:abstractNumId w:val="1"/>
  </w:num>
  <w:num w:numId="6" w16cid:durableId="24379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D26"/>
    <w:rsid w:val="0006063C"/>
    <w:rsid w:val="00077806"/>
    <w:rsid w:val="0015074B"/>
    <w:rsid w:val="00223208"/>
    <w:rsid w:val="0029639D"/>
    <w:rsid w:val="00316FC8"/>
    <w:rsid w:val="00326F90"/>
    <w:rsid w:val="003447C7"/>
    <w:rsid w:val="00396249"/>
    <w:rsid w:val="004617CE"/>
    <w:rsid w:val="00515382"/>
    <w:rsid w:val="005E177C"/>
    <w:rsid w:val="0079097B"/>
    <w:rsid w:val="007D1303"/>
    <w:rsid w:val="00897B99"/>
    <w:rsid w:val="008A6FBF"/>
    <w:rsid w:val="008D6AF0"/>
    <w:rsid w:val="00962B34"/>
    <w:rsid w:val="00AA1D8D"/>
    <w:rsid w:val="00B47730"/>
    <w:rsid w:val="00C46333"/>
    <w:rsid w:val="00C565DC"/>
    <w:rsid w:val="00CB0664"/>
    <w:rsid w:val="00E073FA"/>
    <w:rsid w:val="00E55460"/>
    <w:rsid w:val="00F04431"/>
    <w:rsid w:val="00F518DC"/>
    <w:rsid w:val="00F84A2D"/>
    <w:rsid w:val="00FC693F"/>
    <w:rsid w:val="237F6A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777E9B"/>
  <w14:defaultImageDpi w14:val="300"/>
  <w15:docId w15:val="{52B13FFC-2A92-4D15-BD93-522003DD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qFormat="1"/>
    <w:lsdException w:name="List Number" w:unhideWhenUsed="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qFormat="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jc w:val="both"/>
    </w:pPr>
    <w:rPr>
      <w:rFonts w:ascii="Times New Roman" w:hAnsi="Times New Roman"/>
      <w:sz w:val="22"/>
      <w:szCs w:val="22"/>
      <w:lang w:val="en-US" w:eastAsia="en-US"/>
    </w:rPr>
  </w:style>
  <w:style w:type="paragraph" w:styleId="Heading1">
    <w:name w:val="heading 1"/>
    <w:basedOn w:val="Normal"/>
    <w:next w:val="Normal"/>
    <w:link w:val="Heading1Char"/>
    <w:uiPriority w:val="9"/>
    <w:qFormat/>
    <w:pPr>
      <w:keepNext/>
      <w:keepLines/>
      <w:spacing w:before="200"/>
      <w:outlineLvl w:val="0"/>
    </w:pPr>
    <w:rPr>
      <w:rFonts w:asciiTheme="majorHAnsi" w:eastAsiaTheme="majorEastAsia" w:hAnsiTheme="majorHAnsi" w:cstheme="majorBidi"/>
      <w:b/>
      <w:bCs/>
      <w:color w:val="000000"/>
      <w:sz w:val="25"/>
      <w:szCs w:val="28"/>
    </w:rPr>
  </w:style>
  <w:style w:type="paragraph" w:styleId="Heading2">
    <w:name w:val="heading 2"/>
    <w:basedOn w:val="Normal"/>
    <w:next w:val="Normal"/>
    <w:link w:val="Heading2Char"/>
    <w:uiPriority w:val="9"/>
    <w:unhideWhenUsed/>
    <w:qFormat/>
    <w:pPr>
      <w:keepNext/>
      <w:keepLines/>
      <w:spacing w:before="160" w:after="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pPr>
      <w:keepNext/>
      <w:keepLines/>
      <w:spacing w:before="120" w:after="4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CaptionJournal">
    <w:name w:val="CaptionJournal"/>
    <w:pPr>
      <w:keepNext/>
      <w:spacing w:before="80" w:after="60" w:line="276" w:lineRule="auto"/>
      <w:jc w:val="center"/>
    </w:pPr>
    <w:rPr>
      <w:rFonts w:ascii="Times New Roman" w:hAnsi="Times New Roman"/>
      <w:b/>
      <w:sz w:val="19"/>
      <w:szCs w:val="22"/>
      <w:lang w:val="en-US" w:eastAsia="en-US"/>
    </w:rPr>
  </w:style>
  <w:style w:type="paragraph" w:customStyle="1" w:styleId="TableNote">
    <w:name w:val="TableNote"/>
    <w:pPr>
      <w:spacing w:before="40" w:after="100" w:line="276" w:lineRule="auto"/>
    </w:pPr>
    <w:rPr>
      <w:rFonts w:ascii="Times New Roman" w:hAnsi="Times New Roman"/>
      <w:i/>
      <w:sz w:val="18"/>
      <w:szCs w:val="22"/>
      <w:lang w:val="en-US" w:eastAsia="en-US"/>
    </w:rPr>
  </w:style>
  <w:style w:type="paragraph" w:customStyle="1" w:styleId="isselectedend">
    <w:name w:val="isselectedend"/>
    <w:basedOn w:val="Normal"/>
    <w:rsid w:val="00515382"/>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semiHidden/>
    <w:unhideWhenUsed/>
    <w:rsid w:val="00515382"/>
    <w:rPr>
      <w:color w:val="0000FF"/>
      <w:u w:val="single"/>
    </w:rPr>
  </w:style>
  <w:style w:type="paragraph" w:styleId="NormalWeb">
    <w:name w:val="Normal (Web)"/>
    <w:basedOn w:val="Normal"/>
    <w:uiPriority w:val="99"/>
    <w:semiHidden/>
    <w:unhideWhenUsed/>
    <w:rsid w:val="00515382"/>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s40864-018-0076-6?utm_source=chatgpt.com" TargetMode="External"/><Relationship Id="rId18" Type="http://schemas.openxmlformats.org/officeDocument/2006/relationships/hyperlink" Target="https://doi.org/10.1016/S0048-7333(02)00062-8?utm_source=chatgpt.com" TargetMode="External"/><Relationship Id="rId26" Type="http://schemas.openxmlformats.org/officeDocument/2006/relationships/hyperlink" Target="https://doi.org/10.1016/j.eneco.2021.105360" TargetMode="External"/><Relationship Id="rId39" Type="http://schemas.openxmlformats.org/officeDocument/2006/relationships/hyperlink" Target="https://doi.org/10.1016/j.jtrangeo.2020.102798?utm_source=chatgpt.com" TargetMode="External"/><Relationship Id="rId21" Type="http://schemas.openxmlformats.org/officeDocument/2006/relationships/hyperlink" Target="https://www.iea.org/reports/global-ev-outlook-2025" TargetMode="External"/><Relationship Id="rId34" Type="http://schemas.openxmlformats.org/officeDocument/2006/relationships/hyperlink" Target="https://doi.org/10.1016/j.enconman.2024.118700?utm_source=chatgpt.co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retrec.2020.100970?utm_source=chatgpt.com" TargetMode="External"/><Relationship Id="rId20" Type="http://schemas.openxmlformats.org/officeDocument/2006/relationships/hyperlink" Target="https://www.iea.org/reports/global-ev-outlook-2024" TargetMode="External"/><Relationship Id="rId29" Type="http://schemas.openxmlformats.org/officeDocument/2006/relationships/hyperlink" Target="https://doi.org/10.1007/s40864-020-00135-2?utm_source=chatgpt.com" TargetMode="External"/><Relationship Id="rId41" Type="http://schemas.openxmlformats.org/officeDocument/2006/relationships/hyperlink" Target="https://study.sagepub.com/yin6e?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090/juee.2020.v14n1.087097?utm_source=chatgpt.com" TargetMode="External"/><Relationship Id="rId24" Type="http://schemas.openxmlformats.org/officeDocument/2006/relationships/hyperlink" Target="https://doi.org/10.1016/j.tranpol.2020.11.010?utm_source=chatgpt.com" TargetMode="External"/><Relationship Id="rId32" Type="http://schemas.openxmlformats.org/officeDocument/2006/relationships/hyperlink" Target="https://doi.org/10.1016/j.seta.2021.101896?utm_source=chatgpt.com" TargetMode="External"/><Relationship Id="rId37" Type="http://schemas.openxmlformats.org/officeDocument/2006/relationships/hyperlink" Target="https://doi.org/10.1080/01441647.2023.2200983?utm_source=chatgpt.com" TargetMode="External"/><Relationship Id="rId40" Type="http://schemas.openxmlformats.org/officeDocument/2006/relationships/hyperlink" Target="https://www.wri.org/initiatives/mobility-and-accessibility-program" TargetMode="External"/><Relationship Id="rId5" Type="http://schemas.openxmlformats.org/officeDocument/2006/relationships/webSettings" Target="webSettings.xml"/><Relationship Id="rId15" Type="http://schemas.openxmlformats.org/officeDocument/2006/relationships/hyperlink" Target="https://study.sagepub.com/creswellrd4e?utm_source=chatgpt.com" TargetMode="External"/><Relationship Id="rId23" Type="http://schemas.openxmlformats.org/officeDocument/2006/relationships/hyperlink" Target="https://doi.org/10.1016/j.erss.2015.10.004?utm_source=chatgpt.com" TargetMode="External"/><Relationship Id="rId28" Type="http://schemas.openxmlformats.org/officeDocument/2006/relationships/hyperlink" Target="https://doi.org/10.1016/j.jclepro.2020.123048?utm_source=chatgpt.com" TargetMode="External"/><Relationship Id="rId36" Type="http://schemas.openxmlformats.org/officeDocument/2006/relationships/hyperlink" Target="https://doi.org/10.1016/j.technovation.2026.103509?utm_source=chatgpt.com" TargetMode="External"/><Relationship Id="rId10" Type="http://schemas.openxmlformats.org/officeDocument/2006/relationships/image" Target="media/image3.png"/><Relationship Id="rId19" Type="http://schemas.openxmlformats.org/officeDocument/2006/relationships/hyperlink" Target="https://doi.org/10.1016/j.jtrangeo.2012.01.021?utm_source=chatgpt.com" TargetMode="External"/><Relationship Id="rId31" Type="http://schemas.openxmlformats.org/officeDocument/2006/relationships/hyperlink" Target="https://doi.org/10.1080/01441647.2016.1257660?utm_source=chatgpt.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j.jenvman.2022.116027?utm_source=chatgpt.com" TargetMode="External"/><Relationship Id="rId22" Type="http://schemas.openxmlformats.org/officeDocument/2006/relationships/hyperlink" Target="https://www.irena.org/publications/2019/May/Innovation-Outlook-Smart-Charging" TargetMode="External"/><Relationship Id="rId27" Type="http://schemas.openxmlformats.org/officeDocument/2006/relationships/hyperlink" Target="https://doi.org/10.1016/j.tranpol.2012.01.013?utm_source=chatgpt.com" TargetMode="External"/><Relationship Id="rId30" Type="http://schemas.openxmlformats.org/officeDocument/2006/relationships/hyperlink" Target="https://doi.org/10.1016/j.tra.2024.103967?utm_source=chatgpt.com" TargetMode="External"/><Relationship Id="rId35" Type="http://schemas.openxmlformats.org/officeDocument/2006/relationships/hyperlink" Target="https://doi.org/10.1038/s41560-021-00856-z?utm_source=chatgpt.com"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5604/01.3001.0054.6487?utm_source=chatgpt.com" TargetMode="External"/><Relationship Id="rId17" Type="http://schemas.openxmlformats.org/officeDocument/2006/relationships/hyperlink" Target="https://doi.org/10.3390/su13041703?utm_source=chatgpt.com" TargetMode="External"/><Relationship Id="rId25" Type="http://schemas.openxmlformats.org/officeDocument/2006/relationships/hyperlink" Target="https://doi.org/10.3390/su11174713?utm_source=chatgpt.com" TargetMode="External"/><Relationship Id="rId33" Type="http://schemas.openxmlformats.org/officeDocument/2006/relationships/hyperlink" Target="https://doi.org/10.1016/j.jtrangeo.2024.104036?utm_source=chatgpt.com" TargetMode="External"/><Relationship Id="rId38" Type="http://schemas.openxmlformats.org/officeDocument/2006/relationships/hyperlink" Target="https://doi.org/10.1016/j.jtrangeo.2021.103256?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10582</Words>
  <Characters>60324</Characters>
  <Application>Microsoft Office Word</Application>
  <DocSecurity>0</DocSecurity>
  <Lines>502</Lines>
  <Paragraphs>141</Paragraphs>
  <ScaleCrop>false</ScaleCrop>
  <Company/>
  <LinksUpToDate>false</LinksUpToDate>
  <CharactersWithSpaces>70765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Editor-1183</cp:lastModifiedBy>
  <cp:revision>9</cp:revision>
  <dcterms:created xsi:type="dcterms:W3CDTF">2013-12-23T23:15:00Z</dcterms:created>
  <dcterms:modified xsi:type="dcterms:W3CDTF">2026-09-16T08:48:00Z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eyJoZGlkIjoiNDhlNjhkZTIyZjNmYWEyNzIwNGYwYWY2MTdiYTIyYTkiLCJ1c2VySWQiOiIyNzY2NTg2Mjk0ODQ0In0=</vt:lpwstr>
  </property>
  <property fmtid="{D5CDD505-2E9C-101B-9397-08002B2CF9AE}" pid="3" name="KSOProductBuildVer">
    <vt:lpwstr>1033-12.1.0.28485</vt:lpwstr>
  </property>
  <property fmtid="{D5CDD505-2E9C-101B-9397-08002B2CF9AE}" pid="4" name="ICV">
    <vt:lpwstr>F1E5248FA43B48369F183677C7DEDAF8_13</vt:lpwstr>
  </property>
</Properties>
</file>