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09F1" w14:textId="6FBD31CB" w:rsidR="00D67712" w:rsidRPr="002E339E" w:rsidRDefault="00D67712" w:rsidP="00D67712">
      <w:pPr>
        <w:jc w:val="center"/>
        <w:rPr>
          <w:rFonts w:ascii="Times New Roman" w:hAnsi="Times New Roman" w:cs="Times New Roman"/>
          <w:b/>
          <w:bCs/>
          <w:sz w:val="24"/>
          <w:szCs w:val="24"/>
        </w:rPr>
      </w:pPr>
      <w:r w:rsidRPr="002E339E">
        <w:rPr>
          <w:rFonts w:ascii="Times New Roman" w:hAnsi="Times New Roman" w:cs="Times New Roman"/>
          <w:b/>
          <w:bCs/>
          <w:sz w:val="24"/>
          <w:szCs w:val="24"/>
        </w:rPr>
        <w:t>Asymmetric Causality between Economic Policy Uncertainty and Macroeconomic Performance in Nigeria: Evidence from a Nonlinear Causality Framework</w:t>
      </w:r>
    </w:p>
    <w:p w14:paraId="3AA917C0" w14:textId="77777777" w:rsidR="00DB657B" w:rsidRDefault="00DB657B" w:rsidP="00D67712">
      <w:pPr>
        <w:rPr>
          <w:rFonts w:ascii="Times New Roman" w:hAnsi="Times New Roman" w:cs="Times New Roman"/>
          <w:i/>
          <w:sz w:val="24"/>
          <w:szCs w:val="24"/>
        </w:rPr>
      </w:pPr>
    </w:p>
    <w:p w14:paraId="0400F93F" w14:textId="77777777" w:rsidR="00DB657B" w:rsidRDefault="00DB657B" w:rsidP="00D67712">
      <w:pPr>
        <w:rPr>
          <w:rFonts w:ascii="Times New Roman" w:hAnsi="Times New Roman" w:cs="Times New Roman"/>
          <w:i/>
          <w:sz w:val="24"/>
          <w:szCs w:val="24"/>
        </w:rPr>
      </w:pPr>
    </w:p>
    <w:p w14:paraId="346686DB" w14:textId="77777777" w:rsidR="00D67712" w:rsidRPr="00D67712" w:rsidRDefault="00D67712" w:rsidP="00D67712">
      <w:pPr>
        <w:rPr>
          <w:rFonts w:ascii="Times New Roman" w:hAnsi="Times New Roman" w:cs="Times New Roman"/>
          <w:i/>
          <w:sz w:val="24"/>
          <w:szCs w:val="24"/>
        </w:rPr>
      </w:pPr>
      <w:r w:rsidRPr="00D67712">
        <w:rPr>
          <w:rFonts w:ascii="Times New Roman" w:hAnsi="Times New Roman" w:cs="Times New Roman"/>
          <w:i/>
          <w:sz w:val="24"/>
          <w:szCs w:val="24"/>
        </w:rPr>
        <w:t>Abstract</w:t>
      </w:r>
    </w:p>
    <w:p w14:paraId="51DA0333" w14:textId="77777777" w:rsidR="002E339E" w:rsidRDefault="002E339E" w:rsidP="002E339E">
      <w:pPr>
        <w:pStyle w:val="NormalWeb"/>
        <w:jc w:val="both"/>
      </w:pPr>
      <w:r>
        <w:t xml:space="preserve">The study examines whether causal relationships between economic policy uncertainty (EPU) and macroeconomic performance in Nigeria differ across positive and negative shocks. Monthly data are </w:t>
      </w:r>
      <w:proofErr w:type="spellStart"/>
      <w:r>
        <w:t>analysed</w:t>
      </w:r>
      <w:proofErr w:type="spellEnd"/>
      <w:r>
        <w:t xml:space="preserve"> using the Toda–Yamamoto causality test, Hatemi-J asymmetric causality test with bootstrap inference, </w:t>
      </w:r>
      <w:proofErr w:type="spellStart"/>
      <w:r>
        <w:t>Zivot</w:t>
      </w:r>
      <w:proofErr w:type="spellEnd"/>
      <w:r>
        <w:t>–Andrews structural-break test, and Diks–Panchenko nonlinear causality test. The descriptive evidence indicates non-normal and asymmetric distributions, while the structural-break analysis identifies an endogenous break in EPU in February 2020. The asymmetric causality results show a significant unidirectional effect from negative GDP growth shocks to positive EPU shocks (Wald statistic = 47.210; bootstrap p-value = 0.002). The corresponding reverse asymmetric channel is not significant (Wald statistic = 4.081; bootstrap p-value = 0.244). The Toda–Yamamoto results similarly indicate unidirectional causality from GDP growth to EPU (Wald statistic = 25.033; p &lt; 0.001), whereas causality from EPU to GDP growth is statistically insignificant (Wald statistic = 4.386; p = 0.356). No significant causal relationships at the 5% level are found between EPU and the exchange rate, inflation, interest rate, or unemployment rate. The Diks–Panchenko test also provides no evidence of unconditional nonlinear causality. Overall, the findings indicate that policy uncertainty responds more strongly to adverse growth conditions than it predicts broader macroeconomic performance in Nigeria, highlighting the importance of policy credibility, consistency, and coordination during economic downturns.</w:t>
      </w:r>
    </w:p>
    <w:p w14:paraId="110F74E7" w14:textId="491BFD87" w:rsidR="00D67712" w:rsidRPr="00383BDA" w:rsidRDefault="00D67712" w:rsidP="00D67712">
      <w:pPr>
        <w:pStyle w:val="NormalWeb"/>
        <w:rPr>
          <w:i/>
        </w:rPr>
      </w:pPr>
      <w:r w:rsidRPr="00383BDA">
        <w:rPr>
          <w:rStyle w:val="Strong"/>
          <w:i/>
        </w:rPr>
        <w:t>Keywords:</w:t>
      </w:r>
      <w:r w:rsidRPr="00383BDA">
        <w:rPr>
          <w:i/>
        </w:rPr>
        <w:t xml:space="preserve"> Economic policy uncertainty; asymmetric causality; GDP growth; macroeconomic   </w:t>
      </w:r>
      <w:r w:rsidRPr="00383BDA">
        <w:rPr>
          <w:i/>
        </w:rPr>
        <w:tab/>
        <w:t>performance; Hatemi-J test</w:t>
      </w:r>
    </w:p>
    <w:p w14:paraId="19048056" w14:textId="77777777" w:rsidR="00D67712" w:rsidRDefault="00D67712" w:rsidP="00D67712">
      <w:pPr>
        <w:pStyle w:val="NormalWeb"/>
        <w:numPr>
          <w:ilvl w:val="0"/>
          <w:numId w:val="1"/>
        </w:numPr>
        <w:jc w:val="both"/>
      </w:pPr>
      <w:r>
        <w:t xml:space="preserve">Introduction </w:t>
      </w:r>
    </w:p>
    <w:p w14:paraId="5CBC227B" w14:textId="77777777" w:rsidR="00D67712" w:rsidRDefault="00D67712" w:rsidP="00D67712">
      <w:pPr>
        <w:pStyle w:val="NormalWeb"/>
        <w:jc w:val="both"/>
      </w:pPr>
      <w:r>
        <w:rPr>
          <w:highlight w:val="yellow"/>
        </w:rPr>
        <w:t>M</w:t>
      </w:r>
      <w:r>
        <w:t>acroeconomic</w:t>
      </w:r>
      <w:r>
        <w:rPr>
          <w:highlight w:val="yellow"/>
        </w:rPr>
        <w:t xml:space="preserve"> re</w:t>
      </w:r>
      <w:r>
        <w:t>s</w:t>
      </w:r>
      <w:r>
        <w:rPr>
          <w:highlight w:val="yellow"/>
        </w:rPr>
        <w:t>earch</w:t>
      </w:r>
      <w:r>
        <w:t xml:space="preserve"> has</w:t>
      </w:r>
      <w:r>
        <w:rPr>
          <w:highlight w:val="yellow"/>
        </w:rPr>
        <w:t xml:space="preserve"> extensively</w:t>
      </w:r>
      <w:r>
        <w:t xml:space="preserve"> examined</w:t>
      </w:r>
      <w:r>
        <w:rPr>
          <w:highlight w:val="yellow"/>
        </w:rPr>
        <w:t xml:space="preserve"> policy</w:t>
      </w:r>
      <w:r>
        <w:t xml:space="preserve"> uncertainty because i</w:t>
      </w:r>
      <w:r>
        <w:rPr>
          <w:highlight w:val="yellow"/>
        </w:rPr>
        <w:t xml:space="preserve">t </w:t>
      </w:r>
      <w:r>
        <w:t>ca</w:t>
      </w:r>
      <w:r>
        <w:rPr>
          <w:highlight w:val="yellow"/>
        </w:rPr>
        <w:t>n</w:t>
      </w:r>
      <w:r>
        <w:t xml:space="preserve"> i</w:t>
      </w:r>
      <w:r>
        <w:rPr>
          <w:highlight w:val="yellow"/>
        </w:rPr>
        <w:t>nf</w:t>
      </w:r>
      <w:r>
        <w:t>l</w:t>
      </w:r>
      <w:r>
        <w:rPr>
          <w:highlight w:val="yellow"/>
        </w:rPr>
        <w:t>uence the dec</w:t>
      </w:r>
      <w:r>
        <w:t>i</w:t>
      </w:r>
      <w:r>
        <w:rPr>
          <w:highlight w:val="yellow"/>
        </w:rPr>
        <w:t>s</w:t>
      </w:r>
      <w:r>
        <w:t xml:space="preserve">ions </w:t>
      </w:r>
      <w:r>
        <w:rPr>
          <w:highlight w:val="yellow"/>
        </w:rPr>
        <w:t>o</w:t>
      </w:r>
      <w:r>
        <w:t>f government</w:t>
      </w:r>
      <w:r>
        <w:rPr>
          <w:highlight w:val="yellow"/>
        </w:rPr>
        <w:t>s</w:t>
      </w:r>
      <w:r>
        <w:t>, household</w:t>
      </w:r>
      <w:r>
        <w:rPr>
          <w:highlight w:val="yellow"/>
        </w:rPr>
        <w:t>s</w:t>
      </w:r>
      <w:r>
        <w:t>, firm</w:t>
      </w:r>
      <w:r>
        <w:rPr>
          <w:highlight w:val="yellow"/>
        </w:rPr>
        <w:t>s</w:t>
      </w:r>
      <w:r>
        <w:t>, investors</w:t>
      </w:r>
      <w:r>
        <w:rPr>
          <w:highlight w:val="yellow"/>
        </w:rPr>
        <w:t>,</w:t>
      </w:r>
      <w:r>
        <w:t xml:space="preserve"> and policy</w:t>
      </w:r>
      <w:r>
        <w:rPr>
          <w:highlight w:val="yellow"/>
        </w:rPr>
        <w:t>m</w:t>
      </w:r>
      <w:r>
        <w:t xml:space="preserve">akers. Baker </w:t>
      </w:r>
      <w:r>
        <w:rPr>
          <w:highlight w:val="yellow"/>
        </w:rPr>
        <w:t>et</w:t>
      </w:r>
      <w:r>
        <w:t xml:space="preserve"> a</w:t>
      </w:r>
      <w:r>
        <w:rPr>
          <w:highlight w:val="yellow"/>
        </w:rPr>
        <w:t>l.</w:t>
      </w:r>
      <w:r>
        <w:t xml:space="preserve"> (2016)</w:t>
      </w:r>
      <w:r>
        <w:rPr>
          <w:highlight w:val="yellow"/>
        </w:rPr>
        <w:t xml:space="preserve"> found that</w:t>
      </w:r>
      <w:r>
        <w:t xml:space="preserve"> high policy uncertaint</w:t>
      </w:r>
      <w:r>
        <w:rPr>
          <w:highlight w:val="yellow"/>
        </w:rPr>
        <w:t>y adversel</w:t>
      </w:r>
      <w:r>
        <w:t>y affects investment, employment</w:t>
      </w:r>
      <w:r>
        <w:rPr>
          <w:highlight w:val="yellow"/>
        </w:rPr>
        <w:t>,</w:t>
      </w:r>
      <w:r>
        <w:t xml:space="preserve"> and output. Fiscal, monetary, exchange</w:t>
      </w:r>
      <w:r>
        <w:rPr>
          <w:highlight w:val="yellow"/>
        </w:rPr>
        <w:t>-</w:t>
      </w:r>
      <w:r>
        <w:t>rate, trade</w:t>
      </w:r>
      <w:r>
        <w:rPr>
          <w:highlight w:val="yellow"/>
        </w:rPr>
        <w:t>,</w:t>
      </w:r>
      <w:r>
        <w:t xml:space="preserve"> and regulato</w:t>
      </w:r>
      <w:r>
        <w:rPr>
          <w:highlight w:val="yellow"/>
        </w:rPr>
        <w:t>ry</w:t>
      </w:r>
      <w:r>
        <w:t xml:space="preserve"> polic</w:t>
      </w:r>
      <w:r>
        <w:rPr>
          <w:highlight w:val="yellow"/>
        </w:rPr>
        <w:t>ies</w:t>
      </w:r>
      <w:r>
        <w:t xml:space="preserve"> can t</w:t>
      </w:r>
      <w:r>
        <w:rPr>
          <w:highlight w:val="yellow"/>
        </w:rPr>
        <w:t>h</w:t>
      </w:r>
      <w:r>
        <w:t>er</w:t>
      </w:r>
      <w:r>
        <w:rPr>
          <w:highlight w:val="yellow"/>
        </w:rPr>
        <w:t xml:space="preserve">efore </w:t>
      </w:r>
      <w:r>
        <w:t>in</w:t>
      </w:r>
      <w:r>
        <w:rPr>
          <w:highlight w:val="yellow"/>
        </w:rPr>
        <w:t>flu</w:t>
      </w:r>
      <w:r>
        <w:t>e</w:t>
      </w:r>
      <w:r>
        <w:rPr>
          <w:highlight w:val="yellow"/>
        </w:rPr>
        <w:t>n</w:t>
      </w:r>
      <w:r>
        <w:t>c</w:t>
      </w:r>
      <w:r>
        <w:rPr>
          <w:highlight w:val="yellow"/>
        </w:rPr>
        <w:t>e</w:t>
      </w:r>
      <w:r>
        <w:t xml:space="preserve"> economic performance </w:t>
      </w:r>
      <w:r>
        <w:rPr>
          <w:highlight w:val="yellow"/>
        </w:rPr>
        <w:t xml:space="preserve">in countries </w:t>
      </w:r>
      <w:r>
        <w:t>such as Nigeria. A</w:t>
      </w:r>
      <w:r>
        <w:rPr>
          <w:highlight w:val="yellow"/>
        </w:rPr>
        <w:t xml:space="preserve"> daily </w:t>
      </w:r>
      <w:r>
        <w:t>n</w:t>
      </w:r>
      <w:r>
        <w:rPr>
          <w:highlight w:val="yellow"/>
        </w:rPr>
        <w:t>ews-based</w:t>
      </w:r>
      <w:r>
        <w:t xml:space="preserve"> EPU index </w:t>
      </w:r>
      <w:r>
        <w:rPr>
          <w:highlight w:val="yellow"/>
        </w:rPr>
        <w:t xml:space="preserve">has been developed </w:t>
      </w:r>
      <w:r>
        <w:t>for Nigeria and found to be suitable for measuring policy uncertainty (Salisu et al.</w:t>
      </w:r>
      <w:r>
        <w:rPr>
          <w:highlight w:val="yellow"/>
        </w:rPr>
        <w:t>,</w:t>
      </w:r>
      <w:r>
        <w:t xml:space="preserve"> 2024). </w:t>
      </w:r>
      <w:r>
        <w:rPr>
          <w:highlight w:val="yellow"/>
        </w:rPr>
        <w:t>Mor</w:t>
      </w:r>
      <w:r>
        <w:t>e recently</w:t>
      </w:r>
      <w:r>
        <w:rPr>
          <w:highlight w:val="yellow"/>
        </w:rPr>
        <w:t>,</w:t>
      </w:r>
      <w:r>
        <w:t xml:space="preserve"> Nigeria’s </w:t>
      </w:r>
      <w:r>
        <w:rPr>
          <w:highlight w:val="yellow"/>
        </w:rPr>
        <w:t>macro</w:t>
      </w:r>
      <w:r>
        <w:t>economic performance has been a</w:t>
      </w:r>
      <w:r>
        <w:rPr>
          <w:highlight w:val="yellow"/>
        </w:rPr>
        <w:t>ffect</w:t>
      </w:r>
      <w:r>
        <w:t>ed by p</w:t>
      </w:r>
      <w:r>
        <w:rPr>
          <w:highlight w:val="yellow"/>
        </w:rPr>
        <w:t>e</w:t>
      </w:r>
      <w:r>
        <w:t>rs</w:t>
      </w:r>
      <w:r>
        <w:rPr>
          <w:highlight w:val="yellow"/>
        </w:rPr>
        <w:t>i</w:t>
      </w:r>
      <w:r>
        <w:t>st</w:t>
      </w:r>
      <w:r>
        <w:rPr>
          <w:highlight w:val="yellow"/>
        </w:rPr>
        <w:t>e</w:t>
      </w:r>
      <w:r>
        <w:t>n</w:t>
      </w:r>
      <w:r>
        <w:rPr>
          <w:highlight w:val="yellow"/>
        </w:rPr>
        <w:t>t</w:t>
      </w:r>
      <w:r>
        <w:t xml:space="preserve"> inflation, exchange</w:t>
      </w:r>
      <w:r>
        <w:rPr>
          <w:highlight w:val="yellow"/>
        </w:rPr>
        <w:t>-</w:t>
      </w:r>
      <w:r>
        <w:t>rate depreciation, slow output growth, high unemployment</w:t>
      </w:r>
      <w:r>
        <w:rPr>
          <w:highlight w:val="yellow"/>
        </w:rPr>
        <w:t>,</w:t>
      </w:r>
      <w:r>
        <w:t xml:space="preserve"> and </w:t>
      </w:r>
      <w:r>
        <w:rPr>
          <w:highlight w:val="yellow"/>
        </w:rPr>
        <w:t>w</w:t>
      </w:r>
      <w:r>
        <w:t>e</w:t>
      </w:r>
      <w:r>
        <w:rPr>
          <w:highlight w:val="yellow"/>
        </w:rPr>
        <w:t>ak</w:t>
      </w:r>
      <w:r>
        <w:t xml:space="preserve"> investment</w:t>
      </w:r>
      <w:r>
        <w:rPr>
          <w:highlight w:val="yellow"/>
        </w:rPr>
        <w:t>.</w:t>
      </w:r>
      <w:r>
        <w:t xml:space="preserve"> </w:t>
      </w:r>
      <w:r>
        <w:rPr>
          <w:highlight w:val="yellow"/>
        </w:rPr>
        <w:t>A</w:t>
      </w:r>
      <w:r>
        <w:t>t th</w:t>
      </w:r>
      <w:r>
        <w:rPr>
          <w:highlight w:val="yellow"/>
        </w:rPr>
        <w:t>e same t</w:t>
      </w:r>
      <w:r>
        <w:t>i</w:t>
      </w:r>
      <w:r>
        <w:rPr>
          <w:highlight w:val="yellow"/>
        </w:rPr>
        <w:t>me, the</w:t>
      </w:r>
      <w:r>
        <w:t xml:space="preserve"> country </w:t>
      </w:r>
      <w:r>
        <w:rPr>
          <w:highlight w:val="yellow"/>
        </w:rPr>
        <w:t>ha</w:t>
      </w:r>
      <w:r>
        <w:t>s i</w:t>
      </w:r>
      <w:r>
        <w:rPr>
          <w:highlight w:val="yellow"/>
        </w:rPr>
        <w:t>mpl</w:t>
      </w:r>
      <w:r>
        <w:t>e</w:t>
      </w:r>
      <w:r>
        <w:rPr>
          <w:highlight w:val="yellow"/>
        </w:rPr>
        <w:t>m</w:t>
      </w:r>
      <w:r>
        <w:t>ent</w:t>
      </w:r>
      <w:r>
        <w:rPr>
          <w:highlight w:val="yellow"/>
        </w:rPr>
        <w:t>ed</w:t>
      </w:r>
      <w:r>
        <w:t xml:space="preserve"> major policy reforms</w:t>
      </w:r>
      <w:r>
        <w:rPr>
          <w:highlight w:val="yellow"/>
        </w:rPr>
        <w:t>,</w:t>
      </w:r>
      <w:r>
        <w:t xml:space="preserve"> </w:t>
      </w:r>
      <w:r>
        <w:rPr>
          <w:highlight w:val="yellow"/>
        </w:rPr>
        <w:t>including</w:t>
      </w:r>
      <w:r>
        <w:t xml:space="preserve"> </w:t>
      </w:r>
      <w:r>
        <w:rPr>
          <w:highlight w:val="yellow"/>
        </w:rPr>
        <w:t>fuel-</w:t>
      </w:r>
      <w:r>
        <w:t>subsidy re</w:t>
      </w:r>
      <w:r>
        <w:rPr>
          <w:highlight w:val="yellow"/>
        </w:rPr>
        <w:t>for</w:t>
      </w:r>
      <w:r>
        <w:t>m, exchange</w:t>
      </w:r>
      <w:r>
        <w:rPr>
          <w:highlight w:val="yellow"/>
        </w:rPr>
        <w:t>-</w:t>
      </w:r>
      <w:r>
        <w:t xml:space="preserve">rate reform, </w:t>
      </w:r>
      <w:r>
        <w:rPr>
          <w:highlight w:val="yellow"/>
        </w:rPr>
        <w:t>cha</w:t>
      </w:r>
      <w:r>
        <w:t>n</w:t>
      </w:r>
      <w:r>
        <w:rPr>
          <w:highlight w:val="yellow"/>
        </w:rPr>
        <w:t xml:space="preserve">ges </w:t>
      </w:r>
      <w:r>
        <w:t>to</w:t>
      </w:r>
      <w:r>
        <w:rPr>
          <w:highlight w:val="yellow"/>
        </w:rPr>
        <w:t xml:space="preserve"> </w:t>
      </w:r>
      <w:r>
        <w:t>t</w:t>
      </w:r>
      <w:r>
        <w:rPr>
          <w:highlight w:val="yellow"/>
        </w:rPr>
        <w:t>h</w:t>
      </w:r>
      <w:r>
        <w:t>e monetary policy framework</w:t>
      </w:r>
      <w:r>
        <w:rPr>
          <w:highlight w:val="yellow"/>
        </w:rPr>
        <w:t>,</w:t>
      </w:r>
      <w:r>
        <w:t xml:space="preserve"> and revenue</w:t>
      </w:r>
      <w:r>
        <w:rPr>
          <w:highlight w:val="yellow"/>
        </w:rPr>
        <w:t>-</w:t>
      </w:r>
      <w:proofErr w:type="spellStart"/>
      <w:r>
        <w:t>mobilisation</w:t>
      </w:r>
      <w:proofErr w:type="spellEnd"/>
      <w:r>
        <w:t xml:space="preserve"> </w:t>
      </w:r>
      <w:r>
        <w:rPr>
          <w:highlight w:val="yellow"/>
        </w:rPr>
        <w:t>measu</w:t>
      </w:r>
      <w:r>
        <w:t>r</w:t>
      </w:r>
      <w:r>
        <w:rPr>
          <w:highlight w:val="yellow"/>
        </w:rPr>
        <w:t>es, all of wh</w:t>
      </w:r>
      <w:r>
        <w:t>i</w:t>
      </w:r>
      <w:r>
        <w:rPr>
          <w:highlight w:val="yellow"/>
        </w:rPr>
        <w:t>ch ha</w:t>
      </w:r>
      <w:r>
        <w:t>ve i</w:t>
      </w:r>
      <w:r>
        <w:rPr>
          <w:highlight w:val="yellow"/>
        </w:rPr>
        <w:t>nv</w:t>
      </w:r>
      <w:r>
        <w:t>o</w:t>
      </w:r>
      <w:r>
        <w:rPr>
          <w:highlight w:val="yellow"/>
        </w:rPr>
        <w:t>lv</w:t>
      </w:r>
      <w:r>
        <w:t>e</w:t>
      </w:r>
      <w:r>
        <w:rPr>
          <w:highlight w:val="yellow"/>
        </w:rPr>
        <w:t>d</w:t>
      </w:r>
      <w:r>
        <w:t xml:space="preserve"> short-run adjustment </w:t>
      </w:r>
      <w:r>
        <w:rPr>
          <w:highlight w:val="yellow"/>
        </w:rPr>
        <w:t>pre</w:t>
      </w:r>
      <w:r>
        <w:t>ss</w:t>
      </w:r>
      <w:r>
        <w:rPr>
          <w:highlight w:val="yellow"/>
        </w:rPr>
        <w:t>ure</w:t>
      </w:r>
      <w:r>
        <w:t>s on prices, exchange rates, investment, employment</w:t>
      </w:r>
      <w:r>
        <w:rPr>
          <w:highlight w:val="yellow"/>
        </w:rPr>
        <w:t>,</w:t>
      </w:r>
      <w:r>
        <w:t xml:space="preserve"> </w:t>
      </w:r>
      <w:r>
        <w:rPr>
          <w:highlight w:val="yellow"/>
        </w:rPr>
        <w:t>a</w:t>
      </w:r>
      <w:r>
        <w:t>nd household welfare (</w:t>
      </w:r>
      <w:r>
        <w:rPr>
          <w:highlight w:val="yellow"/>
        </w:rPr>
        <w:t xml:space="preserve">International Monetary Fund [IMF], 2024; </w:t>
      </w:r>
      <w:r>
        <w:t>World Bank, 2024). Recent evidence indicates that exchange-rate volatility can affect productivity in Nigeria, underscoring the relevance of exchange-rate instability when assessing macroeconomic performance (</w:t>
      </w:r>
      <w:proofErr w:type="spellStart"/>
      <w:r>
        <w:t>Orisdare</w:t>
      </w:r>
      <w:proofErr w:type="spellEnd"/>
      <w:r>
        <w:t xml:space="preserve"> &amp; </w:t>
      </w:r>
      <w:proofErr w:type="spellStart"/>
      <w:r>
        <w:t>Olofin</w:t>
      </w:r>
      <w:proofErr w:type="spellEnd"/>
      <w:r>
        <w:t xml:space="preserve">, 2024). Evidence from Nigerian firms further suggests that </w:t>
      </w:r>
      <w:r>
        <w:lastRenderedPageBreak/>
        <w:t xml:space="preserve">domestic economic policy uncertainty can weaken firm stability, while interactions with oil-price movements may intensify </w:t>
      </w:r>
      <w:r w:rsidRPr="002E339E">
        <w:t xml:space="preserve">adverse effects (Oyadeyi, 2025). </w:t>
      </w:r>
      <w:r w:rsidRPr="002E339E">
        <w:rPr>
          <w:highlight w:val="yellow"/>
        </w:rPr>
        <w:t>Nigerian macroeconomic forecasting evidence also documents structural instability associated with shocks and policy changes, supporting the use of models that allow relationships to vary over time (</w:t>
      </w:r>
      <w:proofErr w:type="spellStart"/>
      <w:r w:rsidRPr="002E339E">
        <w:rPr>
          <w:highlight w:val="yellow"/>
        </w:rPr>
        <w:t>Osolo</w:t>
      </w:r>
      <w:proofErr w:type="spellEnd"/>
      <w:r w:rsidRPr="002E339E">
        <w:rPr>
          <w:highlight w:val="yellow"/>
        </w:rPr>
        <w:t xml:space="preserve"> et al., 2026). More broadly, mixed-frequency evidence indicates that the relationship between economic policy uncertainty and GDP growth can vary across growth conditions and display asymmetric effects at extreme quantiles (Wang et al., 2025).</w:t>
      </w:r>
      <w:r w:rsidRPr="002E339E">
        <w:t xml:space="preserve"> </w:t>
      </w:r>
      <w:r w:rsidRPr="002E339E">
        <w:rPr>
          <w:highlight w:val="yellow"/>
        </w:rPr>
        <w:t>Existing Nig</w:t>
      </w:r>
      <w:r w:rsidRPr="002E339E">
        <w:t>e</w:t>
      </w:r>
      <w:r w:rsidRPr="002E339E">
        <w:rPr>
          <w:highlight w:val="yellow"/>
        </w:rPr>
        <w:t>rian</w:t>
      </w:r>
      <w:r w:rsidRPr="002E339E">
        <w:t xml:space="preserve"> s</w:t>
      </w:r>
      <w:r w:rsidRPr="002E339E">
        <w:rPr>
          <w:highlight w:val="yellow"/>
        </w:rPr>
        <w:t>tudi</w:t>
      </w:r>
      <w:r w:rsidRPr="002E339E">
        <w:t>es ha</w:t>
      </w:r>
      <w:r w:rsidRPr="002E339E">
        <w:rPr>
          <w:highlight w:val="yellow"/>
        </w:rPr>
        <w:t>ve</w:t>
      </w:r>
      <w:r w:rsidRPr="002E339E">
        <w:t xml:space="preserve"> linked economic policy uncertainty </w:t>
      </w:r>
      <w:r w:rsidRPr="002E339E">
        <w:rPr>
          <w:highlight w:val="yellow"/>
        </w:rPr>
        <w:t>to</w:t>
      </w:r>
      <w:r w:rsidRPr="002E339E">
        <w:t xml:space="preserve"> investment, employment, </w:t>
      </w:r>
      <w:r w:rsidRPr="002E339E">
        <w:rPr>
          <w:highlight w:val="yellow"/>
        </w:rPr>
        <w:t>foreign direct investment</w:t>
      </w:r>
      <w:r w:rsidRPr="002E339E">
        <w:t>, and economic growth. However, the</w:t>
      </w:r>
      <w:r w:rsidRPr="002E339E">
        <w:rPr>
          <w:highlight w:val="yellow"/>
        </w:rPr>
        <w:t>y</w:t>
      </w:r>
      <w:r w:rsidRPr="002E339E">
        <w:t xml:space="preserve"> </w:t>
      </w:r>
      <w:r w:rsidRPr="002E339E">
        <w:rPr>
          <w:highlight w:val="yellow"/>
        </w:rPr>
        <w:t>hav</w:t>
      </w:r>
      <w:r w:rsidRPr="002E339E">
        <w:t>e</w:t>
      </w:r>
      <w:r w:rsidRPr="002E339E">
        <w:rPr>
          <w:highlight w:val="yellow"/>
        </w:rPr>
        <w:t xml:space="preserve"> not </w:t>
      </w:r>
      <w:r w:rsidRPr="002E339E">
        <w:t>s</w:t>
      </w:r>
      <w:r w:rsidRPr="002E339E">
        <w:rPr>
          <w:highlight w:val="yellow"/>
        </w:rPr>
        <w:t>u</w:t>
      </w:r>
      <w:r w:rsidRPr="002E339E">
        <w:t>fficient</w:t>
      </w:r>
      <w:r w:rsidRPr="002E339E">
        <w:rPr>
          <w:highlight w:val="yellow"/>
        </w:rPr>
        <w:t>ly established whether causal relationship</w:t>
      </w:r>
      <w:r w:rsidRPr="002E339E">
        <w:t xml:space="preserve">s </w:t>
      </w:r>
      <w:r w:rsidRPr="002E339E">
        <w:rPr>
          <w:highlight w:val="yellow"/>
        </w:rPr>
        <w:t>d</w:t>
      </w:r>
      <w:r w:rsidRPr="002E339E">
        <w:t>i</w:t>
      </w:r>
      <w:r w:rsidRPr="002E339E">
        <w:rPr>
          <w:highlight w:val="yellow"/>
        </w:rPr>
        <w:t>ff</w:t>
      </w:r>
      <w:r w:rsidRPr="002E339E">
        <w:t>er</w:t>
      </w:r>
      <w:r w:rsidRPr="002E339E">
        <w:rPr>
          <w:highlight w:val="yellow"/>
        </w:rPr>
        <w:t xml:space="preserve"> between</w:t>
      </w:r>
      <w:r w:rsidRPr="002E339E">
        <w:t xml:space="preserve"> positive and negative shocks</w:t>
      </w:r>
      <w:r w:rsidRPr="002E339E">
        <w:rPr>
          <w:highlight w:val="yellow"/>
        </w:rPr>
        <w:t xml:space="preserve"> or</w:t>
      </w:r>
      <w:r w:rsidRPr="002E339E">
        <w:t xml:space="preserve"> whe</w:t>
      </w:r>
      <w:r w:rsidRPr="002E339E">
        <w:rPr>
          <w:highlight w:val="yellow"/>
        </w:rPr>
        <w:t>ther</w:t>
      </w:r>
      <w:r w:rsidRPr="002E339E">
        <w:t xml:space="preserve"> variations </w:t>
      </w:r>
      <w:r w:rsidRPr="002E339E">
        <w:rPr>
          <w:highlight w:val="yellow"/>
        </w:rPr>
        <w:t>in macr</w:t>
      </w:r>
      <w:r w:rsidRPr="002E339E">
        <w:t>oeconom</w:t>
      </w:r>
      <w:r w:rsidRPr="002E339E">
        <w:rPr>
          <w:highlight w:val="yellow"/>
        </w:rPr>
        <w:t>ic</w:t>
      </w:r>
      <w:r w:rsidRPr="002E339E">
        <w:t xml:space="preserve"> performance </w:t>
      </w:r>
      <w:r w:rsidRPr="002E339E">
        <w:rPr>
          <w:highlight w:val="yellow"/>
        </w:rPr>
        <w:t>exer</w:t>
      </w:r>
      <w:r w:rsidRPr="002E339E">
        <w:t xml:space="preserve">t asymmetric </w:t>
      </w:r>
      <w:r w:rsidRPr="002E339E">
        <w:rPr>
          <w:highlight w:val="yellow"/>
        </w:rPr>
        <w:t>e</w:t>
      </w:r>
      <w:r w:rsidRPr="002E339E">
        <w:t>f</w:t>
      </w:r>
      <w:r w:rsidRPr="002E339E">
        <w:rPr>
          <w:highlight w:val="yellow"/>
        </w:rPr>
        <w:t>f</w:t>
      </w:r>
      <w:r w:rsidRPr="002E339E">
        <w:t>ec</w:t>
      </w:r>
      <w:r w:rsidRPr="002E339E">
        <w:rPr>
          <w:highlight w:val="yellow"/>
        </w:rPr>
        <w:t>t</w:t>
      </w:r>
      <w:r w:rsidRPr="002E339E">
        <w:t xml:space="preserve">s on </w:t>
      </w:r>
      <w:r w:rsidRPr="002E339E">
        <w:rPr>
          <w:highlight w:val="yellow"/>
        </w:rPr>
        <w:t>EPU. Ac</w:t>
      </w:r>
      <w:r w:rsidRPr="002E339E">
        <w:t>cor</w:t>
      </w:r>
      <w:r w:rsidRPr="002E339E">
        <w:rPr>
          <w:highlight w:val="yellow"/>
        </w:rPr>
        <w:t>d</w:t>
      </w:r>
      <w:r w:rsidRPr="002E339E">
        <w:t>in</w:t>
      </w:r>
      <w:r w:rsidRPr="002E339E">
        <w:rPr>
          <w:highlight w:val="yellow"/>
        </w:rPr>
        <w:t>gl</w:t>
      </w:r>
      <w:r w:rsidRPr="002E339E">
        <w:t>y, this study test</w:t>
      </w:r>
      <w:r w:rsidRPr="002E339E">
        <w:rPr>
          <w:highlight w:val="yellow"/>
        </w:rPr>
        <w:t>s</w:t>
      </w:r>
      <w:r w:rsidRPr="002E339E">
        <w:t xml:space="preserve"> whether positive and negative </w:t>
      </w:r>
      <w:r w:rsidRPr="002E339E">
        <w:rPr>
          <w:highlight w:val="yellow"/>
        </w:rPr>
        <w:t>EPU sho</w:t>
      </w:r>
      <w:r w:rsidRPr="002E339E">
        <w:t>c</w:t>
      </w:r>
      <w:r w:rsidRPr="002E339E">
        <w:rPr>
          <w:highlight w:val="yellow"/>
        </w:rPr>
        <w:t>k</w:t>
      </w:r>
      <w:r w:rsidRPr="002E339E">
        <w:t>s have asymmetric causal effect</w:t>
      </w:r>
      <w:r w:rsidRPr="002E339E">
        <w:rPr>
          <w:highlight w:val="yellow"/>
        </w:rPr>
        <w:t>s</w:t>
      </w:r>
      <w:r w:rsidRPr="002E339E">
        <w:t xml:space="preserve"> on</w:t>
      </w:r>
      <w:r>
        <w:t xml:space="preserve"> </w:t>
      </w:r>
      <w:r>
        <w:rPr>
          <w:highlight w:val="yellow"/>
        </w:rPr>
        <w:t>Nigeria’s macro</w:t>
      </w:r>
      <w:r>
        <w:t>economic p</w:t>
      </w:r>
      <w:r>
        <w:rPr>
          <w:highlight w:val="yellow"/>
        </w:rPr>
        <w:t>erf</w:t>
      </w:r>
      <w:r>
        <w:t>o</w:t>
      </w:r>
      <w:r>
        <w:rPr>
          <w:highlight w:val="yellow"/>
        </w:rPr>
        <w:t>rma</w:t>
      </w:r>
      <w:r>
        <w:t>nce</w:t>
      </w:r>
      <w:r>
        <w:rPr>
          <w:highlight w:val="yellow"/>
        </w:rPr>
        <w:t xml:space="preserve"> and whethe</w:t>
      </w:r>
      <w:r>
        <w:t>r</w:t>
      </w:r>
      <w:r>
        <w:rPr>
          <w:highlight w:val="yellow"/>
        </w:rPr>
        <w:t xml:space="preserve"> v</w:t>
      </w:r>
      <w:r>
        <w:t>a</w:t>
      </w:r>
      <w:r>
        <w:rPr>
          <w:highlight w:val="yellow"/>
        </w:rPr>
        <w:t>r</w:t>
      </w:r>
      <w:r>
        <w:t>iation</w:t>
      </w:r>
      <w:r>
        <w:rPr>
          <w:highlight w:val="yellow"/>
        </w:rPr>
        <w:t>s</w:t>
      </w:r>
      <w:r>
        <w:t xml:space="preserve"> </w:t>
      </w:r>
      <w:r>
        <w:rPr>
          <w:highlight w:val="yellow"/>
        </w:rPr>
        <w:t>in macroeconomic perform</w:t>
      </w:r>
      <w:r>
        <w:t>an</w:t>
      </w:r>
      <w:r>
        <w:rPr>
          <w:highlight w:val="yellow"/>
        </w:rPr>
        <w:t>c</w:t>
      </w:r>
      <w:r>
        <w:t xml:space="preserve">e have </w:t>
      </w:r>
      <w:r>
        <w:rPr>
          <w:highlight w:val="yellow"/>
        </w:rPr>
        <w:t>asymme</w:t>
      </w:r>
      <w:r>
        <w:t>t</w:t>
      </w:r>
      <w:r>
        <w:rPr>
          <w:highlight w:val="yellow"/>
        </w:rPr>
        <w:t>ric</w:t>
      </w:r>
      <w:r>
        <w:t xml:space="preserve"> </w:t>
      </w:r>
      <w:r>
        <w:rPr>
          <w:highlight w:val="yellow"/>
        </w:rPr>
        <w:t>caus</w:t>
      </w:r>
      <w:r>
        <w:t xml:space="preserve">al </w:t>
      </w:r>
      <w:r>
        <w:rPr>
          <w:highlight w:val="yellow"/>
        </w:rPr>
        <w:t>effec</w:t>
      </w:r>
      <w:r>
        <w:t>t</w:t>
      </w:r>
      <w:r>
        <w:rPr>
          <w:highlight w:val="yellow"/>
        </w:rPr>
        <w:t>s</w:t>
      </w:r>
      <w:r>
        <w:t xml:space="preserve"> on </w:t>
      </w:r>
      <w:r>
        <w:rPr>
          <w:highlight w:val="yellow"/>
        </w:rPr>
        <w:t>EPU</w:t>
      </w:r>
      <w:r>
        <w:t>.</w:t>
      </w:r>
    </w:p>
    <w:p w14:paraId="3883AE36" w14:textId="77777777" w:rsidR="00DE6FD8" w:rsidRPr="002E339E" w:rsidRDefault="00DE6FD8" w:rsidP="00DE6FD8">
      <w:pPr>
        <w:pStyle w:val="NormalWeb"/>
        <w:numPr>
          <w:ilvl w:val="0"/>
          <w:numId w:val="1"/>
        </w:numPr>
        <w:jc w:val="both"/>
        <w:rPr>
          <w:b/>
          <w:bCs/>
        </w:rPr>
      </w:pPr>
      <w:r w:rsidRPr="002E339E">
        <w:rPr>
          <w:b/>
          <w:bCs/>
        </w:rPr>
        <w:t>Literature review</w:t>
      </w:r>
    </w:p>
    <w:p w14:paraId="2EBF2C2E" w14:textId="77777777" w:rsidR="00DE6FD8" w:rsidRDefault="00DE6FD8" w:rsidP="00DE6FD8">
      <w:pPr>
        <w:pStyle w:val="NormalWeb"/>
        <w:jc w:val="both"/>
      </w:pPr>
      <w:r>
        <w:t>The impact of economic policy uncertainty on fundamental macroeconomic aggregates has re</w:t>
      </w:r>
      <w:r>
        <w:rPr>
          <w:highlight w:val="yellow"/>
        </w:rPr>
        <w:t>ceived</w:t>
      </w:r>
      <w:r>
        <w:t xml:space="preserve"> con</w:t>
      </w:r>
      <w:r>
        <w:rPr>
          <w:highlight w:val="yellow"/>
        </w:rPr>
        <w:t>s</w:t>
      </w:r>
      <w:r>
        <w:t>i</w:t>
      </w:r>
      <w:r>
        <w:rPr>
          <w:highlight w:val="yellow"/>
        </w:rPr>
        <w:t>d</w:t>
      </w:r>
      <w:r>
        <w:t>era</w:t>
      </w:r>
      <w:r>
        <w:rPr>
          <w:highlight w:val="yellow"/>
        </w:rPr>
        <w:t>bl</w:t>
      </w:r>
      <w:r>
        <w:t>e a</w:t>
      </w:r>
      <w:r>
        <w:rPr>
          <w:highlight w:val="yellow"/>
        </w:rPr>
        <w:t>tt</w:t>
      </w:r>
      <w:r>
        <w:t>e</w:t>
      </w:r>
      <w:r>
        <w:rPr>
          <w:highlight w:val="yellow"/>
        </w:rPr>
        <w:t>n</w:t>
      </w:r>
      <w:r>
        <w:t xml:space="preserve">tion </w:t>
      </w:r>
      <w:r>
        <w:rPr>
          <w:highlight w:val="yellow"/>
        </w:rPr>
        <w:t>bec</w:t>
      </w:r>
      <w:r>
        <w:t>a</w:t>
      </w:r>
      <w:r>
        <w:rPr>
          <w:highlight w:val="yellow"/>
        </w:rPr>
        <w:t>u</w:t>
      </w:r>
      <w:r>
        <w:t>se policy uncertainty influences the decisions of households, firms</w:t>
      </w:r>
      <w:r>
        <w:rPr>
          <w:highlight w:val="yellow"/>
        </w:rPr>
        <w:t>,</w:t>
      </w:r>
      <w:r>
        <w:t xml:space="preserve"> investors</w:t>
      </w:r>
      <w:r>
        <w:rPr>
          <w:highlight w:val="yellow"/>
        </w:rPr>
        <w:t>,</w:t>
      </w:r>
      <w:r>
        <w:t xml:space="preserve"> </w:t>
      </w:r>
      <w:r>
        <w:rPr>
          <w:highlight w:val="yellow"/>
        </w:rPr>
        <w:t>a</w:t>
      </w:r>
      <w:r>
        <w:t xml:space="preserve">nd </w:t>
      </w:r>
      <w:r>
        <w:rPr>
          <w:highlight w:val="yellow"/>
        </w:rPr>
        <w:t>other</w:t>
      </w:r>
      <w:r>
        <w:t xml:space="preserve"> econom</w:t>
      </w:r>
      <w:r>
        <w:rPr>
          <w:highlight w:val="yellow"/>
        </w:rPr>
        <w:t>ic agents</w:t>
      </w:r>
      <w:r>
        <w:t xml:space="preserve">. </w:t>
      </w:r>
      <w:r>
        <w:rPr>
          <w:highlight w:val="yellow"/>
        </w:rPr>
        <w:t>The n</w:t>
      </w:r>
      <w:r>
        <w:t>ews-based</w:t>
      </w:r>
      <w:r>
        <w:rPr>
          <w:highlight w:val="yellow"/>
        </w:rPr>
        <w:t xml:space="preserve"> EPU</w:t>
      </w:r>
      <w:r>
        <w:t xml:space="preserve"> indicator </w:t>
      </w:r>
      <w:r>
        <w:rPr>
          <w:highlight w:val="yellow"/>
        </w:rPr>
        <w:t>de</w:t>
      </w:r>
      <w:r>
        <w:t>ve</w:t>
      </w:r>
      <w:r>
        <w:rPr>
          <w:highlight w:val="yellow"/>
        </w:rPr>
        <w:t>loped</w:t>
      </w:r>
      <w:r>
        <w:t xml:space="preserve"> by Baker et al. </w:t>
      </w:r>
      <w:r>
        <w:rPr>
          <w:highlight w:val="yellow"/>
        </w:rPr>
        <w:t>(2016)</w:t>
      </w:r>
      <w:r>
        <w:t xml:space="preserve"> provide</w:t>
      </w:r>
      <w:r>
        <w:rPr>
          <w:highlight w:val="yellow"/>
        </w:rPr>
        <w:t>s</w:t>
      </w:r>
      <w:r>
        <w:t xml:space="preserve"> evidence that </w:t>
      </w:r>
      <w:r>
        <w:rPr>
          <w:highlight w:val="yellow"/>
        </w:rPr>
        <w:t>he</w:t>
      </w:r>
      <w:r>
        <w:t>i</w:t>
      </w:r>
      <w:r>
        <w:rPr>
          <w:highlight w:val="yellow"/>
        </w:rPr>
        <w:t>gh</w:t>
      </w:r>
      <w:r>
        <w:t>t</w:t>
      </w:r>
      <w:r>
        <w:rPr>
          <w:highlight w:val="yellow"/>
        </w:rPr>
        <w:t>ened uncertainty can</w:t>
      </w:r>
      <w:r>
        <w:t xml:space="preserve"> reduce investment and employment </w:t>
      </w:r>
      <w:r>
        <w:rPr>
          <w:highlight w:val="yellow"/>
        </w:rPr>
        <w:t>by enco</w:t>
      </w:r>
      <w:r>
        <w:t>u</w:t>
      </w:r>
      <w:r>
        <w:rPr>
          <w:highlight w:val="yellow"/>
        </w:rPr>
        <w:t>raging firms</w:t>
      </w:r>
      <w:r>
        <w:t xml:space="preserve"> to postpone</w:t>
      </w:r>
      <w:r>
        <w:rPr>
          <w:highlight w:val="yellow"/>
        </w:rPr>
        <w:t xml:space="preserve"> difficult-to-r</w:t>
      </w:r>
      <w:r>
        <w:t>e</w:t>
      </w:r>
      <w:r>
        <w:rPr>
          <w:highlight w:val="yellow"/>
        </w:rPr>
        <w:t>verse</w:t>
      </w:r>
      <w:r>
        <w:t xml:space="preserve"> decisions</w:t>
      </w:r>
      <w:r>
        <w:rPr>
          <w:highlight w:val="yellow"/>
        </w:rPr>
        <w:t>. Studies have also shown</w:t>
      </w:r>
      <w:r>
        <w:t xml:space="preserve"> that </w:t>
      </w:r>
      <w:r>
        <w:rPr>
          <w:highlight w:val="yellow"/>
        </w:rPr>
        <w:t>structur</w:t>
      </w:r>
      <w:r>
        <w:t>a</w:t>
      </w:r>
      <w:r>
        <w:rPr>
          <w:highlight w:val="yellow"/>
        </w:rPr>
        <w:t>l b</w:t>
      </w:r>
      <w:r>
        <w:t>re</w:t>
      </w:r>
      <w:r>
        <w:rPr>
          <w:highlight w:val="yellow"/>
        </w:rPr>
        <w:t>ak</w:t>
      </w:r>
      <w:r>
        <w:t xml:space="preserve">s and </w:t>
      </w:r>
      <w:r>
        <w:rPr>
          <w:highlight w:val="yellow"/>
        </w:rPr>
        <w:t>nonlineari</w:t>
      </w:r>
      <w:r>
        <w:t>t</w:t>
      </w:r>
      <w:r>
        <w:rPr>
          <w:highlight w:val="yellow"/>
        </w:rPr>
        <w:t>ies c</w:t>
      </w:r>
      <w:r>
        <w:t>a</w:t>
      </w:r>
      <w:r>
        <w:rPr>
          <w:highlight w:val="yellow"/>
        </w:rPr>
        <w:t>n affec</w:t>
      </w:r>
      <w:r>
        <w:t xml:space="preserve">t </w:t>
      </w:r>
      <w:r>
        <w:rPr>
          <w:highlight w:val="yellow"/>
        </w:rPr>
        <w:t>c</w:t>
      </w:r>
      <w:r>
        <w:t>a</w:t>
      </w:r>
      <w:r>
        <w:rPr>
          <w:highlight w:val="yellow"/>
        </w:rPr>
        <w:t>u</w:t>
      </w:r>
      <w:r>
        <w:t>sal inf</w:t>
      </w:r>
      <w:r>
        <w:rPr>
          <w:highlight w:val="yellow"/>
        </w:rPr>
        <w:t>er</w:t>
      </w:r>
      <w:r>
        <w:t>ence</w:t>
      </w:r>
      <w:r>
        <w:rPr>
          <w:highlight w:val="yellow"/>
        </w:rPr>
        <w:t xml:space="preserve"> in uncertainty-related models (</w:t>
      </w:r>
      <w:proofErr w:type="spellStart"/>
      <w:r>
        <w:rPr>
          <w:highlight w:val="yellow"/>
        </w:rPr>
        <w:t>Bekiros</w:t>
      </w:r>
      <w:proofErr w:type="spellEnd"/>
      <w:r>
        <w:rPr>
          <w:highlight w:val="yellow"/>
        </w:rPr>
        <w:t xml:space="preserve"> et al., 2016; Hong et al., 2024; Nishiyama et al., 2011)</w:t>
      </w:r>
      <w:r>
        <w:t xml:space="preserve">. </w:t>
      </w:r>
      <w:r>
        <w:rPr>
          <w:highlight w:val="yellow"/>
        </w:rPr>
        <w:t>T</w:t>
      </w:r>
      <w:r>
        <w:t>he development of Nigeria</w:t>
      </w:r>
      <w:r>
        <w:rPr>
          <w:highlight w:val="yellow"/>
        </w:rPr>
        <w:t>-</w:t>
      </w:r>
      <w:r>
        <w:t xml:space="preserve">specific news-based EPU </w:t>
      </w:r>
      <w:r>
        <w:rPr>
          <w:highlight w:val="yellow"/>
        </w:rPr>
        <w:t>indices h</w:t>
      </w:r>
      <w:r>
        <w:t>a</w:t>
      </w:r>
      <w:r>
        <w:rPr>
          <w:highlight w:val="yellow"/>
        </w:rPr>
        <w:t>s</w:t>
      </w:r>
      <w:r>
        <w:t xml:space="preserve"> enable</w:t>
      </w:r>
      <w:r>
        <w:rPr>
          <w:highlight w:val="yellow"/>
        </w:rPr>
        <w:t>d clo</w:t>
      </w:r>
      <w:r>
        <w:t>s</w:t>
      </w:r>
      <w:r>
        <w:rPr>
          <w:highlight w:val="yellow"/>
        </w:rPr>
        <w:t>er</w:t>
      </w:r>
      <w:r>
        <w:t xml:space="preserve"> </w:t>
      </w:r>
      <w:r>
        <w:rPr>
          <w:highlight w:val="yellow"/>
        </w:rPr>
        <w:t>examina</w:t>
      </w:r>
      <w:r>
        <w:t>t</w:t>
      </w:r>
      <w:r>
        <w:rPr>
          <w:highlight w:val="yellow"/>
        </w:rPr>
        <w:t>i</w:t>
      </w:r>
      <w:r>
        <w:t>o</w:t>
      </w:r>
      <w:r>
        <w:rPr>
          <w:highlight w:val="yellow"/>
        </w:rPr>
        <w:t>n</w:t>
      </w:r>
      <w:r>
        <w:t xml:space="preserve"> o</w:t>
      </w:r>
      <w:r>
        <w:rPr>
          <w:highlight w:val="yellow"/>
        </w:rPr>
        <w:t>f</w:t>
      </w:r>
      <w:r>
        <w:t xml:space="preserve"> the relationship between </w:t>
      </w:r>
      <w:r>
        <w:rPr>
          <w:highlight w:val="yellow"/>
        </w:rPr>
        <w:t>pol</w:t>
      </w:r>
      <w:r>
        <w:t>i</w:t>
      </w:r>
      <w:r>
        <w:rPr>
          <w:highlight w:val="yellow"/>
        </w:rPr>
        <w:t>cy unc</w:t>
      </w:r>
      <w:r>
        <w:t>er</w:t>
      </w:r>
      <w:r>
        <w:rPr>
          <w:highlight w:val="yellow"/>
        </w:rPr>
        <w:t>ta</w:t>
      </w:r>
      <w:r>
        <w:t>i</w:t>
      </w:r>
      <w:r>
        <w:rPr>
          <w:highlight w:val="yellow"/>
        </w:rPr>
        <w:t>nty</w:t>
      </w:r>
      <w:r>
        <w:t xml:space="preserve"> and </w:t>
      </w:r>
      <w:r>
        <w:rPr>
          <w:highlight w:val="yellow"/>
        </w:rPr>
        <w:t>domes</w:t>
      </w:r>
      <w:r>
        <w:t>t</w:t>
      </w:r>
      <w:r>
        <w:rPr>
          <w:highlight w:val="yellow"/>
        </w:rPr>
        <w:t>ic</w:t>
      </w:r>
      <w:r>
        <w:t xml:space="preserve"> macroeconomic variables </w:t>
      </w:r>
      <w:r>
        <w:rPr>
          <w:highlight w:val="yellow"/>
        </w:rPr>
        <w:t xml:space="preserve">(Salisu et al., 2024; </w:t>
      </w:r>
      <w:proofErr w:type="spellStart"/>
      <w:r>
        <w:rPr>
          <w:highlight w:val="yellow"/>
        </w:rPr>
        <w:t>Tumala</w:t>
      </w:r>
      <w:proofErr w:type="spellEnd"/>
      <w:r>
        <w:rPr>
          <w:highlight w:val="yellow"/>
        </w:rPr>
        <w:t xml:space="preserve"> et al., 2023). Empir</w:t>
      </w:r>
      <w:r>
        <w:t>ic</w:t>
      </w:r>
      <w:r>
        <w:rPr>
          <w:highlight w:val="yellow"/>
        </w:rPr>
        <w:t>al</w:t>
      </w:r>
      <w:r>
        <w:t xml:space="preserve"> </w:t>
      </w:r>
      <w:r>
        <w:rPr>
          <w:highlight w:val="yellow"/>
        </w:rPr>
        <w:t>ev</w:t>
      </w:r>
      <w:r>
        <w:t>i</w:t>
      </w:r>
      <w:r>
        <w:rPr>
          <w:highlight w:val="yellow"/>
        </w:rPr>
        <w:t>dence for Nigeria</w:t>
      </w:r>
      <w:r>
        <w:t xml:space="preserve"> generally i</w:t>
      </w:r>
      <w:r>
        <w:rPr>
          <w:highlight w:val="yellow"/>
        </w:rPr>
        <w:t>nd</w:t>
      </w:r>
      <w:r>
        <w:t>i</w:t>
      </w:r>
      <w:r>
        <w:rPr>
          <w:highlight w:val="yellow"/>
        </w:rPr>
        <w:t>c</w:t>
      </w:r>
      <w:r>
        <w:t xml:space="preserve">ates </w:t>
      </w:r>
      <w:r>
        <w:rPr>
          <w:highlight w:val="yellow"/>
        </w:rPr>
        <w:t>advers</w:t>
      </w:r>
      <w:r>
        <w:t xml:space="preserve">e </w:t>
      </w:r>
      <w:r>
        <w:rPr>
          <w:highlight w:val="yellow"/>
        </w:rPr>
        <w:t>r</w:t>
      </w:r>
      <w:r>
        <w:t>elation</w:t>
      </w:r>
      <w:r>
        <w:rPr>
          <w:highlight w:val="yellow"/>
        </w:rPr>
        <w:t>ships</w:t>
      </w:r>
      <w:r>
        <w:t xml:space="preserve"> </w:t>
      </w:r>
      <w:r>
        <w:rPr>
          <w:highlight w:val="yellow"/>
        </w:rPr>
        <w:t>between p</w:t>
      </w:r>
      <w:r>
        <w:t>o</w:t>
      </w:r>
      <w:r>
        <w:rPr>
          <w:highlight w:val="yellow"/>
        </w:rPr>
        <w:t>licy</w:t>
      </w:r>
      <w:r>
        <w:t xml:space="preserve"> </w:t>
      </w:r>
      <w:r>
        <w:rPr>
          <w:highlight w:val="yellow"/>
        </w:rPr>
        <w:t>uncer</w:t>
      </w:r>
      <w:r>
        <w:t>tain</w:t>
      </w:r>
      <w:r>
        <w:rPr>
          <w:highlight w:val="yellow"/>
        </w:rPr>
        <w:t>ty</w:t>
      </w:r>
      <w:r>
        <w:t xml:space="preserve"> and ma</w:t>
      </w:r>
      <w:r>
        <w:rPr>
          <w:highlight w:val="yellow"/>
        </w:rPr>
        <w:t>c</w:t>
      </w:r>
      <w:r>
        <w:t>roeconom</w:t>
      </w:r>
      <w:r>
        <w:rPr>
          <w:highlight w:val="yellow"/>
        </w:rPr>
        <w:t>ic</w:t>
      </w:r>
      <w:r>
        <w:t xml:space="preserve"> outcome</w:t>
      </w:r>
      <w:r>
        <w:rPr>
          <w:highlight w:val="yellow"/>
        </w:rPr>
        <w:t>s.</w:t>
      </w:r>
      <w:r>
        <w:t xml:space="preserve"> </w:t>
      </w:r>
      <w:r>
        <w:rPr>
          <w:highlight w:val="yellow"/>
        </w:rPr>
        <w:t>Z</w:t>
      </w:r>
      <w:r>
        <w:t xml:space="preserve">aria </w:t>
      </w:r>
      <w:r>
        <w:rPr>
          <w:highlight w:val="yellow"/>
        </w:rPr>
        <w:t>a</w:t>
      </w:r>
      <w:r>
        <w:t>nd</w:t>
      </w:r>
      <w:r>
        <w:rPr>
          <w:highlight w:val="yellow"/>
        </w:rPr>
        <w:t xml:space="preserve"> </w:t>
      </w:r>
      <w:proofErr w:type="spellStart"/>
      <w:r>
        <w:rPr>
          <w:highlight w:val="yellow"/>
        </w:rPr>
        <w:t>Tuyon</w:t>
      </w:r>
      <w:proofErr w:type="spellEnd"/>
      <w:r>
        <w:rPr>
          <w:highlight w:val="yellow"/>
        </w:rPr>
        <w:t xml:space="preserve"> (2023) found signif</w:t>
      </w:r>
      <w:r>
        <w:t>ica</w:t>
      </w:r>
      <w:r>
        <w:rPr>
          <w:highlight w:val="yellow"/>
        </w:rPr>
        <w:t>nt relationships between policy uncertainty and unemployment, foreign direct investment, and rela</w:t>
      </w:r>
      <w:r>
        <w:t>te</w:t>
      </w:r>
      <w:r>
        <w:rPr>
          <w:highlight w:val="yellow"/>
        </w:rPr>
        <w:t>d</w:t>
      </w:r>
      <w:r>
        <w:t xml:space="preserve"> </w:t>
      </w:r>
      <w:r>
        <w:rPr>
          <w:highlight w:val="yellow"/>
        </w:rPr>
        <w:t>macroeconomic variables, while Bello (2025) repor</w:t>
      </w:r>
      <w:r>
        <w:t>t</w:t>
      </w:r>
      <w:r>
        <w:rPr>
          <w:highlight w:val="yellow"/>
        </w:rPr>
        <w:t>ed an adverse rel</w:t>
      </w:r>
      <w:r>
        <w:t>at</w:t>
      </w:r>
      <w:r>
        <w:rPr>
          <w:highlight w:val="yellow"/>
        </w:rPr>
        <w:t>ionship between</w:t>
      </w:r>
      <w:r>
        <w:t xml:space="preserve"> economic policy uncertainty </w:t>
      </w:r>
      <w:r>
        <w:rPr>
          <w:highlight w:val="yellow"/>
        </w:rPr>
        <w:t>a</w:t>
      </w:r>
      <w:r>
        <w:t>nd output</w:t>
      </w:r>
      <w:r>
        <w:rPr>
          <w:highlight w:val="yellow"/>
        </w:rPr>
        <w:t>.</w:t>
      </w:r>
      <w:r>
        <w:t xml:space="preserve"> </w:t>
      </w:r>
      <w:r>
        <w:rPr>
          <w:highlight w:val="yellow"/>
        </w:rPr>
        <w:t>A</w:t>
      </w:r>
      <w:r>
        <w:t>i</w:t>
      </w:r>
      <w:r>
        <w:rPr>
          <w:highlight w:val="yellow"/>
        </w:rPr>
        <w:t>n</w:t>
      </w:r>
      <w:r>
        <w:t xml:space="preserve">a </w:t>
      </w:r>
      <w:r>
        <w:rPr>
          <w:highlight w:val="yellow"/>
        </w:rPr>
        <w:t>(2025)</w:t>
      </w:r>
      <w:r>
        <w:t xml:space="preserve"> </w:t>
      </w:r>
      <w:r>
        <w:rPr>
          <w:highlight w:val="yellow"/>
        </w:rPr>
        <w:t>f</w:t>
      </w:r>
      <w:r>
        <w:t xml:space="preserve">ound </w:t>
      </w:r>
      <w:r>
        <w:rPr>
          <w:highlight w:val="yellow"/>
        </w:rPr>
        <w:t>asymm</w:t>
      </w:r>
      <w:r>
        <w:t>et</w:t>
      </w:r>
      <w:r>
        <w:rPr>
          <w:highlight w:val="yellow"/>
        </w:rPr>
        <w:t>r</w:t>
      </w:r>
      <w:r>
        <w:t>ic effect</w:t>
      </w:r>
      <w:r>
        <w:rPr>
          <w:highlight w:val="yellow"/>
        </w:rPr>
        <w:t>s</w:t>
      </w:r>
      <w:r>
        <w:t xml:space="preserve"> of economic policy uncertainty </w:t>
      </w:r>
      <w:r>
        <w:rPr>
          <w:highlight w:val="yellow"/>
        </w:rPr>
        <w:t>on</w:t>
      </w:r>
      <w:r>
        <w:t xml:space="preserve"> </w:t>
      </w:r>
      <w:r>
        <w:rPr>
          <w:highlight w:val="yellow"/>
        </w:rPr>
        <w:t>eco</w:t>
      </w:r>
      <w:r>
        <w:t>no</w:t>
      </w:r>
      <w:r>
        <w:rPr>
          <w:highlight w:val="yellow"/>
        </w:rPr>
        <w:t>m</w:t>
      </w:r>
      <w:r>
        <w:t>i</w:t>
      </w:r>
      <w:r>
        <w:rPr>
          <w:highlight w:val="yellow"/>
        </w:rPr>
        <w:t>c g</w:t>
      </w:r>
      <w:r>
        <w:t>r</w:t>
      </w:r>
      <w:r>
        <w:rPr>
          <w:highlight w:val="yellow"/>
        </w:rPr>
        <w:t>ow</w:t>
      </w:r>
      <w:r>
        <w:t>t</w:t>
      </w:r>
      <w:r>
        <w:rPr>
          <w:highlight w:val="yellow"/>
        </w:rPr>
        <w:t>h</w:t>
      </w:r>
      <w:r>
        <w:t xml:space="preserve"> and evidence of nonlinear causality</w:t>
      </w:r>
      <w:r>
        <w:rPr>
          <w:highlight w:val="yellow"/>
        </w:rPr>
        <w:t>,</w:t>
      </w:r>
      <w:r>
        <w:t xml:space="preserve"> </w:t>
      </w:r>
      <w:r>
        <w:rPr>
          <w:highlight w:val="yellow"/>
        </w:rPr>
        <w:t xml:space="preserve">while </w:t>
      </w:r>
      <w:proofErr w:type="spellStart"/>
      <w:r>
        <w:rPr>
          <w:highlight w:val="yellow"/>
        </w:rPr>
        <w:t>G</w:t>
      </w:r>
      <w:r>
        <w:t>o</w:t>
      </w:r>
      <w:r>
        <w:rPr>
          <w:highlight w:val="yellow"/>
        </w:rPr>
        <w:t>shit</w:t>
      </w:r>
      <w:proofErr w:type="spellEnd"/>
      <w:r>
        <w:t xml:space="preserve"> </w:t>
      </w:r>
      <w:r>
        <w:rPr>
          <w:highlight w:val="yellow"/>
        </w:rPr>
        <w:t>e</w:t>
      </w:r>
      <w:r>
        <w:t>t a</w:t>
      </w:r>
      <w:r>
        <w:rPr>
          <w:highlight w:val="yellow"/>
        </w:rPr>
        <w:t>l. (2022) docume</w:t>
      </w:r>
      <w:r>
        <w:t xml:space="preserve">nted </w:t>
      </w:r>
      <w:r>
        <w:rPr>
          <w:highlight w:val="yellow"/>
        </w:rPr>
        <w:t>asymme</w:t>
      </w:r>
      <w:r>
        <w:t>t</w:t>
      </w:r>
      <w:r>
        <w:rPr>
          <w:highlight w:val="yellow"/>
        </w:rPr>
        <w:t>ric effec</w:t>
      </w:r>
      <w:r>
        <w:t>t</w:t>
      </w:r>
      <w:r>
        <w:rPr>
          <w:highlight w:val="yellow"/>
        </w:rPr>
        <w:t>s of</w:t>
      </w:r>
      <w:r>
        <w:t xml:space="preserve"> monetary policy shock</w:t>
      </w:r>
      <w:r>
        <w:rPr>
          <w:highlight w:val="yellow"/>
        </w:rPr>
        <w:t>s</w:t>
      </w:r>
      <w:r>
        <w:t xml:space="preserve"> </w:t>
      </w:r>
      <w:r>
        <w:rPr>
          <w:highlight w:val="yellow"/>
        </w:rPr>
        <w:t>on output growt</w:t>
      </w:r>
      <w:r>
        <w:t>h</w:t>
      </w:r>
      <w:r>
        <w:rPr>
          <w:highlight w:val="yellow"/>
        </w:rPr>
        <w:t xml:space="preserve"> in Nigeri</w:t>
      </w:r>
      <w:r>
        <w:t>a</w:t>
      </w:r>
      <w:r>
        <w:rPr>
          <w:highlight w:val="yellow"/>
        </w:rPr>
        <w:t xml:space="preserve"> u</w:t>
      </w:r>
      <w:r>
        <w:t>s</w:t>
      </w:r>
      <w:r>
        <w:rPr>
          <w:highlight w:val="yellow"/>
        </w:rPr>
        <w:t>ing nonlinear ARDL</w:t>
      </w:r>
      <w:r>
        <w:t xml:space="preserve"> an</w:t>
      </w:r>
      <w:r>
        <w:rPr>
          <w:highlight w:val="yellow"/>
        </w:rPr>
        <w:t>d</w:t>
      </w:r>
      <w:r>
        <w:t xml:space="preserve"> </w:t>
      </w:r>
      <w:r>
        <w:rPr>
          <w:highlight w:val="yellow"/>
        </w:rPr>
        <w:t>H</w:t>
      </w:r>
      <w:r>
        <w:t>at</w:t>
      </w:r>
      <w:r>
        <w:rPr>
          <w:highlight w:val="yellow"/>
        </w:rPr>
        <w:t>em</w:t>
      </w:r>
      <w:r>
        <w:t>i</w:t>
      </w:r>
      <w:r>
        <w:rPr>
          <w:highlight w:val="yellow"/>
        </w:rPr>
        <w:t>-J</w:t>
      </w:r>
      <w:r>
        <w:t xml:space="preserve"> causality test</w:t>
      </w:r>
      <w:r>
        <w:rPr>
          <w:highlight w:val="yellow"/>
        </w:rPr>
        <w:t>s.</w:t>
      </w:r>
      <w:r>
        <w:t xml:space="preserve"> </w:t>
      </w:r>
      <w:r>
        <w:rPr>
          <w:highlight w:val="yellow"/>
        </w:rPr>
        <w:t>Mor</w:t>
      </w:r>
      <w:r>
        <w:t>e</w:t>
      </w:r>
      <w:r>
        <w:rPr>
          <w:highlight w:val="yellow"/>
        </w:rPr>
        <w:t xml:space="preserve"> recen</w:t>
      </w:r>
      <w:r>
        <w:t>t</w:t>
      </w:r>
      <w:r>
        <w:rPr>
          <w:highlight w:val="yellow"/>
        </w:rPr>
        <w:t xml:space="preserve"> ev</w:t>
      </w:r>
      <w:r>
        <w:t xml:space="preserve">idence also </w:t>
      </w:r>
      <w:r>
        <w:rPr>
          <w:highlight w:val="yellow"/>
        </w:rPr>
        <w:t>indica</w:t>
      </w:r>
      <w:r>
        <w:t>tes t</w:t>
      </w:r>
      <w:r>
        <w:rPr>
          <w:highlight w:val="yellow"/>
        </w:rPr>
        <w:t>i</w:t>
      </w:r>
      <w:r>
        <w:t>me</w:t>
      </w:r>
      <w:r>
        <w:rPr>
          <w:highlight w:val="yellow"/>
        </w:rPr>
        <w:t>-v</w:t>
      </w:r>
      <w:r>
        <w:t xml:space="preserve">arying </w:t>
      </w:r>
      <w:r>
        <w:rPr>
          <w:highlight w:val="yellow"/>
        </w:rPr>
        <w:t>c</w:t>
      </w:r>
      <w:r>
        <w:t>o</w:t>
      </w:r>
      <w:r>
        <w:rPr>
          <w:highlight w:val="yellow"/>
        </w:rPr>
        <w:t>nn</w:t>
      </w:r>
      <w:r>
        <w:t>e</w:t>
      </w:r>
      <w:r>
        <w:rPr>
          <w:highlight w:val="yellow"/>
        </w:rPr>
        <w:t>c</w:t>
      </w:r>
      <w:r>
        <w:t>te</w:t>
      </w:r>
      <w:r>
        <w:rPr>
          <w:highlight w:val="yellow"/>
        </w:rPr>
        <w:t>dn</w:t>
      </w:r>
      <w:r>
        <w:t xml:space="preserve">ess between EPU and </w:t>
      </w:r>
      <w:r>
        <w:rPr>
          <w:highlight w:val="yellow"/>
        </w:rPr>
        <w:t>key N</w:t>
      </w:r>
      <w:r>
        <w:t>i</w:t>
      </w:r>
      <w:r>
        <w:rPr>
          <w:highlight w:val="yellow"/>
        </w:rPr>
        <w:t>g</w:t>
      </w:r>
      <w:r>
        <w:t>e</w:t>
      </w:r>
      <w:r>
        <w:rPr>
          <w:highlight w:val="yellow"/>
        </w:rPr>
        <w:t>ri</w:t>
      </w:r>
      <w:r>
        <w:t>a</w:t>
      </w:r>
      <w:r>
        <w:rPr>
          <w:highlight w:val="yellow"/>
        </w:rPr>
        <w:t>n</w:t>
      </w:r>
      <w:r>
        <w:t xml:space="preserve"> macroeconomic </w:t>
      </w:r>
      <w:r>
        <w:rPr>
          <w:highlight w:val="yellow"/>
        </w:rPr>
        <w:t>v</w:t>
      </w:r>
      <w:r>
        <w:t>ar</w:t>
      </w:r>
      <w:r>
        <w:rPr>
          <w:highlight w:val="yellow"/>
        </w:rPr>
        <w:t>iabl</w:t>
      </w:r>
      <w:r>
        <w:t>e</w:t>
      </w:r>
      <w:r>
        <w:rPr>
          <w:highlight w:val="yellow"/>
        </w:rPr>
        <w:t>s (Akin</w:t>
      </w:r>
      <w:r>
        <w:t>t</w:t>
      </w:r>
      <w:r>
        <w:rPr>
          <w:highlight w:val="yellow"/>
        </w:rPr>
        <w:t>und</w:t>
      </w:r>
      <w:r>
        <w:t xml:space="preserve">e </w:t>
      </w:r>
      <w:r>
        <w:rPr>
          <w:highlight w:val="yellow"/>
        </w:rPr>
        <w:t>&amp; Joseph, 2026). At</w:t>
      </w:r>
      <w:r>
        <w:t xml:space="preserve"> the </w:t>
      </w:r>
      <w:r>
        <w:rPr>
          <w:highlight w:val="yellow"/>
        </w:rPr>
        <w:t>intern</w:t>
      </w:r>
      <w:r>
        <w:t xml:space="preserve">ational </w:t>
      </w:r>
      <w:r>
        <w:rPr>
          <w:highlight w:val="yellow"/>
        </w:rPr>
        <w:t xml:space="preserve">level, Gong et </w:t>
      </w:r>
      <w:r>
        <w:t>al</w:t>
      </w:r>
      <w:r>
        <w:rPr>
          <w:highlight w:val="yellow"/>
        </w:rPr>
        <w:t>. (2024) documented nonl</w:t>
      </w:r>
      <w:r>
        <w:t>i</w:t>
      </w:r>
      <w:r>
        <w:rPr>
          <w:highlight w:val="yellow"/>
        </w:rPr>
        <w:t>near dynamics be</w:t>
      </w:r>
      <w:r>
        <w:t>t</w:t>
      </w:r>
      <w:r>
        <w:rPr>
          <w:highlight w:val="yellow"/>
        </w:rPr>
        <w:t>ween</w:t>
      </w:r>
      <w:r>
        <w:t xml:space="preserve"> </w:t>
      </w:r>
      <w:r>
        <w:rPr>
          <w:highlight w:val="yellow"/>
        </w:rPr>
        <w:t>gl</w:t>
      </w:r>
      <w:r>
        <w:t>o</w:t>
      </w:r>
      <w:r>
        <w:rPr>
          <w:highlight w:val="yellow"/>
        </w:rPr>
        <w:t>bal</w:t>
      </w:r>
      <w:r>
        <w:t xml:space="preserve"> economic policy uncertainty</w:t>
      </w:r>
      <w:r>
        <w:rPr>
          <w:highlight w:val="yellow"/>
        </w:rPr>
        <w:t xml:space="preserve"> and crude oil prices</w:t>
      </w:r>
      <w:r>
        <w:t>.</w:t>
      </w:r>
      <w:r>
        <w:rPr>
          <w:highlight w:val="yellow"/>
        </w:rPr>
        <w:t xml:space="preserve"> These findings support the use of methods that can distinguish positive from negative innovations and allow causal relationships to differ by shock direction. Nevertheless, existing studies have not sufficiently examined the directional effects of positive and negative shocks between EPU and several major Nigerian macroeconomic aggregates. The present study therefore evaluates the causal relationships between EPU and five macroeconomic indicators using the Hatemi-J asymmetric causality framework.</w:t>
      </w:r>
    </w:p>
    <w:p w14:paraId="770E9D06" w14:textId="77777777" w:rsidR="00BD3B55" w:rsidRPr="00ED61DF" w:rsidRDefault="00BD3B55" w:rsidP="00BD3B55">
      <w:pPr>
        <w:pStyle w:val="Heading2"/>
        <w:rPr>
          <w:b w:val="0"/>
          <w:sz w:val="24"/>
          <w:szCs w:val="24"/>
        </w:rPr>
      </w:pPr>
      <w:proofErr w:type="gramStart"/>
      <w:r w:rsidRPr="00ED61DF">
        <w:rPr>
          <w:b w:val="0"/>
          <w:sz w:val="24"/>
          <w:szCs w:val="24"/>
        </w:rPr>
        <w:t>3.0  Econometric</w:t>
      </w:r>
      <w:proofErr w:type="gramEnd"/>
      <w:r w:rsidRPr="00ED61DF">
        <w:rPr>
          <w:b w:val="0"/>
          <w:sz w:val="24"/>
          <w:szCs w:val="24"/>
        </w:rPr>
        <w:t xml:space="preserve"> Methodology</w:t>
      </w:r>
    </w:p>
    <w:p w14:paraId="06AAF7DA" w14:textId="77777777" w:rsidR="00BD3B55" w:rsidRPr="00ED61DF" w:rsidRDefault="00BD3B55" w:rsidP="00BD3B55">
      <w:pPr>
        <w:pStyle w:val="Heading3"/>
        <w:rPr>
          <w:b w:val="0"/>
          <w:sz w:val="24"/>
          <w:szCs w:val="24"/>
        </w:rPr>
      </w:pPr>
      <w:r w:rsidRPr="00ED61DF">
        <w:rPr>
          <w:b w:val="0"/>
          <w:sz w:val="24"/>
          <w:szCs w:val="24"/>
        </w:rPr>
        <w:t>3.1 General Model Specification</w:t>
      </w:r>
    </w:p>
    <w:p w14:paraId="67F325A8" w14:textId="77777777" w:rsidR="00BD3B55" w:rsidRDefault="00BD3B55" w:rsidP="00BD3B55">
      <w:pPr>
        <w:pStyle w:val="NormalWeb"/>
        <w:jc w:val="both"/>
      </w:pPr>
      <w:r>
        <w:lastRenderedPageBreak/>
        <w:t>The study examines the causal relationship between Economic Policy Uncertainty (EPU) and macroeconomic performance in Nigeria. Let the vector of variables be defined as</w:t>
      </w:r>
    </w:p>
    <w:p w14:paraId="75F89876" w14:textId="77777777" w:rsidR="00BD3B55" w:rsidRDefault="00BD3B55" w:rsidP="00BD3B55">
      <w:pPr>
        <w:pStyle w:val="NormalWeb"/>
      </w:pPr>
      <w:r>
        <w:tab/>
      </w:r>
      <w:r w:rsidRPr="00ED61DF">
        <w:rPr>
          <w:position w:val="-14"/>
        </w:rPr>
        <w:object w:dxaOrig="4080" w:dyaOrig="499" w14:anchorId="64EB5F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2pt;height:25.25pt" o:ole="">
            <v:imagedata r:id="rId7" o:title=""/>
          </v:shape>
          <o:OLEObject Type="Embed" ProgID="Equation.DSMT4" ShapeID="_x0000_i1025" DrawAspect="Content" ObjectID="_1850374575" r:id="rId8"/>
        </w:object>
      </w:r>
    </w:p>
    <w:p w14:paraId="5CFDDF6D" w14:textId="77777777" w:rsidR="00BD3B55" w:rsidRDefault="00BD3B55" w:rsidP="00BD3B55">
      <w:pPr>
        <w:pStyle w:val="NormalWeb"/>
      </w:pPr>
      <w:r>
        <w:t>For each EPU–macro</w:t>
      </w:r>
      <w:r>
        <w:rPr>
          <w:highlight w:val="yellow"/>
        </w:rPr>
        <w:t>economic</w:t>
      </w:r>
      <w:r>
        <w:t xml:space="preserve"> pair, the general bivariate system is expressed as</w:t>
      </w:r>
    </w:p>
    <w:p w14:paraId="12713C7B" w14:textId="77777777" w:rsidR="00BD3B55" w:rsidRDefault="00BD3B55" w:rsidP="00BD3B55">
      <w:pPr>
        <w:pStyle w:val="NormalWeb"/>
      </w:pPr>
      <w:r>
        <w:tab/>
      </w:r>
      <w:r w:rsidRPr="00274F19">
        <w:rPr>
          <w:position w:val="-32"/>
        </w:rPr>
        <w:object w:dxaOrig="5140" w:dyaOrig="760" w14:anchorId="34BEE9C4">
          <v:shape id="_x0000_i1026" type="#_x0000_t75" style="width:256.85pt;height:38.15pt" o:ole="">
            <v:imagedata r:id="rId9" o:title=""/>
          </v:shape>
          <o:OLEObject Type="Embed" ProgID="Equation.DSMT4" ShapeID="_x0000_i1026" DrawAspect="Content" ObjectID="_1850374576" r:id="rId10"/>
        </w:object>
      </w:r>
    </w:p>
    <w:p w14:paraId="1D29F308" w14:textId="77777777" w:rsidR="00BD3B55" w:rsidRDefault="00BD3B55" w:rsidP="00BD3B55">
      <w:pPr>
        <w:pStyle w:val="NormalWeb"/>
        <w:jc w:val="both"/>
      </w:pPr>
      <w:r>
        <w:rPr>
          <w:highlight w:val="yellow"/>
        </w:rPr>
        <w:t>T</w:t>
      </w:r>
      <w:r>
        <w:t>his pairwise specification</w:t>
      </w:r>
      <w:r>
        <w:rPr>
          <w:highlight w:val="yellow"/>
        </w:rPr>
        <w:t xml:space="preserve"> allows</w:t>
      </w:r>
      <w:r>
        <w:t xml:space="preserve"> the direction of causality between EPU and each macroeconomic indicator </w:t>
      </w:r>
      <w:r>
        <w:rPr>
          <w:highlight w:val="yellow"/>
        </w:rPr>
        <w:t>to</w:t>
      </w:r>
      <w:r>
        <w:t xml:space="preserve"> be tested independently.</w:t>
      </w:r>
    </w:p>
    <w:p w14:paraId="6D5D4428" w14:textId="77777777" w:rsidR="00BD3B55" w:rsidRPr="00274F19" w:rsidRDefault="00BD3B55" w:rsidP="00BD3B55">
      <w:pPr>
        <w:pStyle w:val="Heading3"/>
        <w:rPr>
          <w:b w:val="0"/>
        </w:rPr>
      </w:pPr>
      <w:r w:rsidRPr="00274F19">
        <w:rPr>
          <w:b w:val="0"/>
        </w:rPr>
        <w:t>3.2 Lag-Length Selection</w:t>
      </w:r>
    </w:p>
    <w:p w14:paraId="2E0CB2F6" w14:textId="77777777" w:rsidR="00BD3B55" w:rsidRDefault="00BD3B55" w:rsidP="00BD3B55">
      <w:pPr>
        <w:pStyle w:val="NormalWeb"/>
      </w:pPr>
      <w:r>
        <w:t>The optimal lag length p is selected using the Akaike Information Criterion (AIC), expressed as:</w:t>
      </w:r>
    </w:p>
    <w:p w14:paraId="383A47BB" w14:textId="77777777" w:rsidR="00BD3B55" w:rsidRDefault="00BD3B55" w:rsidP="00BD3B55">
      <w:pPr>
        <w:pStyle w:val="NormalWeb"/>
      </w:pPr>
      <w:r>
        <w:tab/>
      </w:r>
      <w:r w:rsidRPr="00274F19">
        <w:rPr>
          <w:position w:val="-24"/>
        </w:rPr>
        <w:object w:dxaOrig="2540" w:dyaOrig="620" w14:anchorId="1B1AC9BD">
          <v:shape id="_x0000_i1027" type="#_x0000_t75" style="width:127.9pt;height:30.65pt" o:ole="">
            <v:imagedata r:id="rId11" o:title=""/>
          </v:shape>
          <o:OLEObject Type="Embed" ProgID="Equation.DSMT4" ShapeID="_x0000_i1027" DrawAspect="Content" ObjectID="_1850374577" r:id="rId12"/>
        </w:object>
      </w:r>
    </w:p>
    <w:p w14:paraId="2EDEABE6" w14:textId="77777777" w:rsidR="00BD3B55" w:rsidRDefault="00BD3B55" w:rsidP="00BD3B55">
      <w:pPr>
        <w:pStyle w:val="Heading3"/>
      </w:pPr>
      <w:r>
        <w:t xml:space="preserve">3.3 </w:t>
      </w:r>
      <w:r w:rsidRPr="002559BA">
        <w:rPr>
          <w:b w:val="0"/>
        </w:rPr>
        <w:t>Unit-Root and Maximum Integration Order</w:t>
      </w:r>
    </w:p>
    <w:p w14:paraId="2F755DAA" w14:textId="77777777" w:rsidR="00BD3B55" w:rsidRDefault="00BD3B55" w:rsidP="00BD3B55">
      <w:pPr>
        <w:pStyle w:val="NormalWeb"/>
      </w:pPr>
      <w:r>
        <w:t>The order of integration is established using the ADF and KPSS tests. The ADF regression is specified as:</w:t>
      </w:r>
    </w:p>
    <w:p w14:paraId="449704B2" w14:textId="77777777" w:rsidR="00BD3B55" w:rsidRDefault="00BD3B55" w:rsidP="00BD3B55">
      <w:pPr>
        <w:pStyle w:val="NormalWeb"/>
      </w:pPr>
      <w:r>
        <w:tab/>
      </w:r>
      <w:r w:rsidRPr="00274F19">
        <w:rPr>
          <w:position w:val="-28"/>
        </w:rPr>
        <w:object w:dxaOrig="3180" w:dyaOrig="680" w14:anchorId="6DBA20B6">
          <v:shape id="_x0000_i1028" type="#_x0000_t75" style="width:159.05pt;height:33.85pt" o:ole="">
            <v:imagedata r:id="rId13" o:title=""/>
          </v:shape>
          <o:OLEObject Type="Embed" ProgID="Equation.DSMT4" ShapeID="_x0000_i1028" DrawAspect="Content" ObjectID="_1850374578" r:id="rId14"/>
        </w:object>
      </w:r>
    </w:p>
    <w:p w14:paraId="709BF482" w14:textId="77777777" w:rsidR="00BD3B55" w:rsidRPr="002559BA" w:rsidRDefault="00BD3B55" w:rsidP="00BD3B55">
      <w:pPr>
        <w:pStyle w:val="Heading3"/>
        <w:rPr>
          <w:b w:val="0"/>
        </w:rPr>
      </w:pPr>
      <w:r w:rsidRPr="002559BA">
        <w:rPr>
          <w:b w:val="0"/>
        </w:rPr>
        <w:t>3.4 Augmented VAR and Toda–Yamamoto Causality</w:t>
      </w:r>
    </w:p>
    <w:p w14:paraId="2A0002E2" w14:textId="77777777" w:rsidR="00BD3B55" w:rsidRDefault="00BD3B55" w:rsidP="00BD3B55">
      <w:pPr>
        <w:pStyle w:val="NormalWeb"/>
      </w:pPr>
      <w:r>
        <w:t xml:space="preserve">Following the determination of </w:t>
      </w:r>
      <w:r w:rsidRPr="002559BA">
        <w:rPr>
          <w:position w:val="-10"/>
        </w:rPr>
        <w:object w:dxaOrig="240" w:dyaOrig="260" w14:anchorId="1885EA25">
          <v:shape id="_x0000_i1029" type="#_x0000_t75" style="width:12.35pt;height:13.95pt" o:ole="">
            <v:imagedata r:id="rId15" o:title=""/>
          </v:shape>
          <o:OLEObject Type="Embed" ProgID="Equation.DSMT4" ShapeID="_x0000_i1029" DrawAspect="Content" ObjectID="_1850374579" r:id="rId16"/>
        </w:object>
      </w:r>
      <w:r>
        <w:rPr>
          <w:rStyle w:val="mord"/>
        </w:rPr>
        <w:t xml:space="preserve"> </w:t>
      </w:r>
      <w:r>
        <w:t xml:space="preserve">and </w:t>
      </w:r>
      <w:r w:rsidRPr="00EF1822">
        <w:rPr>
          <w:position w:val="-12"/>
        </w:rPr>
        <w:object w:dxaOrig="460" w:dyaOrig="360" w14:anchorId="64744303">
          <v:shape id="_x0000_i1030" type="#_x0000_t75" style="width:22.55pt;height:18.25pt" o:ole="">
            <v:imagedata r:id="rId17" o:title=""/>
          </v:shape>
          <o:OLEObject Type="Embed" ProgID="Equation.DSMT4" ShapeID="_x0000_i1030" DrawAspect="Content" ObjectID="_1850374580" r:id="rId18"/>
        </w:object>
      </w:r>
      <w:r>
        <w:t xml:space="preserve"> the VAR is augmented by </w:t>
      </w:r>
      <w:r w:rsidRPr="00EF1822">
        <w:rPr>
          <w:position w:val="-12"/>
        </w:rPr>
        <w:object w:dxaOrig="460" w:dyaOrig="360" w14:anchorId="5B3BC56C">
          <v:shape id="_x0000_i1031" type="#_x0000_t75" style="width:22.55pt;height:18.25pt" o:ole="">
            <v:imagedata r:id="rId19" o:title=""/>
          </v:shape>
          <o:OLEObject Type="Embed" ProgID="Equation.DSMT4" ShapeID="_x0000_i1031" DrawAspect="Content" ObjectID="_1850374581" r:id="rId20"/>
        </w:object>
      </w:r>
      <w:r>
        <w:rPr>
          <w:rStyle w:val="vlist-s"/>
        </w:rPr>
        <w:t>​</w:t>
      </w:r>
      <w:r>
        <w:t xml:space="preserve"> additional lags:</w:t>
      </w:r>
    </w:p>
    <w:p w14:paraId="5D7B620E" w14:textId="77777777" w:rsidR="00BD3B55" w:rsidRDefault="00BD3B55" w:rsidP="00BD3B55">
      <w:pPr>
        <w:pStyle w:val="NormalWeb"/>
        <w:spacing w:before="0" w:beforeAutospacing="0" w:after="0" w:afterAutospacing="0"/>
      </w:pPr>
      <w:r>
        <w:tab/>
      </w:r>
      <w:r w:rsidRPr="002559BA">
        <w:rPr>
          <w:position w:val="-28"/>
        </w:rPr>
        <w:object w:dxaOrig="2299" w:dyaOrig="700" w14:anchorId="1F119954">
          <v:shape id="_x0000_i1032" type="#_x0000_t75" style="width:113.9pt;height:34.4pt" o:ole="">
            <v:imagedata r:id="rId21" o:title=""/>
          </v:shape>
          <o:OLEObject Type="Embed" ProgID="Equation.DSMT4" ShapeID="_x0000_i1032" DrawAspect="Content" ObjectID="_1850374582" r:id="rId22"/>
        </w:object>
      </w:r>
    </w:p>
    <w:p w14:paraId="616D97A3" w14:textId="77777777" w:rsidR="00BD3B55" w:rsidRDefault="00BD3B55" w:rsidP="00BD3B55">
      <w:pPr>
        <w:pStyle w:val="NormalWeb"/>
        <w:spacing w:before="0" w:beforeAutospacing="0" w:after="0" w:afterAutospacing="0"/>
      </w:pPr>
      <w:r>
        <w:t xml:space="preserve">The Toda–Yamamoto approach tests causality through restrictions on the first </w:t>
      </w:r>
      <w:r w:rsidRPr="002559BA">
        <w:rPr>
          <w:position w:val="-10"/>
        </w:rPr>
        <w:object w:dxaOrig="240" w:dyaOrig="260" w14:anchorId="0133DDDF">
          <v:shape id="_x0000_i1033" type="#_x0000_t75" style="width:12.35pt;height:13.95pt" o:ole="">
            <v:imagedata r:id="rId15" o:title=""/>
          </v:shape>
          <o:OLEObject Type="Embed" ProgID="Equation.DSMT4" ShapeID="_x0000_i1033" DrawAspect="Content" ObjectID="_1850374583" r:id="rId23"/>
        </w:object>
      </w:r>
      <w:r>
        <w:t xml:space="preserve"> lags while retaining the additional </w:t>
      </w:r>
      <w:r w:rsidRPr="00EF1822">
        <w:rPr>
          <w:position w:val="-12"/>
        </w:rPr>
        <w:object w:dxaOrig="460" w:dyaOrig="360" w14:anchorId="3DD369E3">
          <v:shape id="_x0000_i1034" type="#_x0000_t75" style="width:22.55pt;height:18.25pt" o:ole="">
            <v:imagedata r:id="rId17" o:title=""/>
          </v:shape>
          <o:OLEObject Type="Embed" ProgID="Equation.DSMT4" ShapeID="_x0000_i1034" DrawAspect="Content" ObjectID="_1850374584" r:id="rId24"/>
        </w:object>
      </w:r>
      <w:r>
        <w:rPr>
          <w:rStyle w:val="vlist-s"/>
        </w:rPr>
        <w:t>​</w:t>
      </w:r>
      <w:r>
        <w:t xml:space="preserve"> lags in the system</w:t>
      </w:r>
    </w:p>
    <w:p w14:paraId="445F3F47" w14:textId="77777777" w:rsidR="00BD3B55" w:rsidRPr="002559BA" w:rsidRDefault="00BD3B55" w:rsidP="00BD3B55">
      <w:pPr>
        <w:pStyle w:val="Heading3"/>
        <w:rPr>
          <w:b w:val="0"/>
        </w:rPr>
      </w:pPr>
      <w:r w:rsidRPr="002559BA">
        <w:rPr>
          <w:b w:val="0"/>
        </w:rPr>
        <w:t>3.5 Positive and Negative Shock Decomposition</w:t>
      </w:r>
    </w:p>
    <w:p w14:paraId="150B5253" w14:textId="77777777" w:rsidR="00BD3B55" w:rsidRDefault="00BD3B55" w:rsidP="00BD3B55">
      <w:pPr>
        <w:pStyle w:val="NormalWeb"/>
        <w:spacing w:before="0" w:beforeAutospacing="0" w:after="0" w:afterAutospacing="0"/>
      </w:pPr>
      <w:r>
        <w:t xml:space="preserve">To investigate asymmetric causality, each variable is decomposed into positive and negative shocks. For variable </w:t>
      </w:r>
      <w:r w:rsidRPr="002559BA">
        <w:rPr>
          <w:position w:val="-12"/>
        </w:rPr>
        <w:object w:dxaOrig="320" w:dyaOrig="360" w14:anchorId="7291F3F1">
          <v:shape id="_x0000_i1035" type="#_x0000_t75" style="width:16.1pt;height:18.25pt" o:ole="">
            <v:imagedata r:id="rId25" o:title=""/>
          </v:shape>
          <o:OLEObject Type="Embed" ProgID="Equation.DSMT4" ShapeID="_x0000_i1035" DrawAspect="Content" ObjectID="_1850374585" r:id="rId26"/>
        </w:object>
      </w:r>
    </w:p>
    <w:p w14:paraId="6E61F139" w14:textId="77777777" w:rsidR="00BD3B55" w:rsidRDefault="00BD3B55" w:rsidP="00BD3B55">
      <w:pPr>
        <w:pStyle w:val="NormalWeb"/>
        <w:spacing w:before="0" w:beforeAutospacing="0" w:after="0" w:afterAutospacing="0"/>
        <w:ind w:firstLine="720"/>
      </w:pPr>
      <w:r w:rsidRPr="002559BA">
        <w:rPr>
          <w:position w:val="-12"/>
        </w:rPr>
        <w:object w:dxaOrig="1600" w:dyaOrig="380" w14:anchorId="64485EFB">
          <v:shape id="_x0000_i1036" type="#_x0000_t75" style="width:79.5pt;height:18.8pt" o:ole="">
            <v:imagedata r:id="rId27" o:title=""/>
          </v:shape>
          <o:OLEObject Type="Embed" ProgID="Equation.DSMT4" ShapeID="_x0000_i1036" DrawAspect="Content" ObjectID="_1850374586" r:id="rId28"/>
        </w:object>
      </w:r>
    </w:p>
    <w:p w14:paraId="3E7004F4" w14:textId="77777777" w:rsidR="00BD3B55" w:rsidRDefault="00BD3B55" w:rsidP="00BD3B55">
      <w:pPr>
        <w:pStyle w:val="NormalWeb"/>
      </w:pPr>
      <w:r>
        <w:lastRenderedPageBreak/>
        <w:t>The positive and negative innovations are:</w:t>
      </w:r>
    </w:p>
    <w:p w14:paraId="6A7AD82F" w14:textId="77777777" w:rsidR="00BD3B55" w:rsidRDefault="00BD3B55" w:rsidP="00BD3B55">
      <w:pPr>
        <w:pStyle w:val="NormalWeb"/>
      </w:pPr>
      <w:r>
        <w:tab/>
      </w:r>
      <w:r w:rsidRPr="00EF1822">
        <w:rPr>
          <w:position w:val="-14"/>
        </w:rPr>
        <w:object w:dxaOrig="1980" w:dyaOrig="400" w14:anchorId="4770BBE5">
          <v:shape id="_x0000_i1037" type="#_x0000_t75" style="width:99.4pt;height:19.35pt" o:ole="">
            <v:imagedata r:id="rId29" o:title=""/>
          </v:shape>
          <o:OLEObject Type="Embed" ProgID="Equation.DSMT4" ShapeID="_x0000_i1037" DrawAspect="Content" ObjectID="_1850374587" r:id="rId30"/>
        </w:object>
      </w:r>
      <w:r>
        <w:t xml:space="preserve"> and </w:t>
      </w:r>
      <w:r w:rsidRPr="00EF1822">
        <w:rPr>
          <w:position w:val="-14"/>
        </w:rPr>
        <w:object w:dxaOrig="1939" w:dyaOrig="400" w14:anchorId="4AE50B92">
          <v:shape id="_x0000_i1038" type="#_x0000_t75" style="width:95.65pt;height:19.35pt" o:ole="">
            <v:imagedata r:id="rId31" o:title=""/>
          </v:shape>
          <o:OLEObject Type="Embed" ProgID="Equation.DSMT4" ShapeID="_x0000_i1038" DrawAspect="Content" ObjectID="_1850374588" r:id="rId32"/>
        </w:object>
      </w:r>
    </w:p>
    <w:p w14:paraId="05C47139" w14:textId="77777777" w:rsidR="00BD3B55" w:rsidRDefault="00BD3B55" w:rsidP="00BD3B55">
      <w:pPr>
        <w:pStyle w:val="NormalWeb"/>
      </w:pPr>
      <w:r>
        <w:tab/>
        <w:t>Their cumulative components are</w:t>
      </w:r>
    </w:p>
    <w:p w14:paraId="5C384BA2" w14:textId="77777777" w:rsidR="00BD3B55" w:rsidRDefault="00BD3B55" w:rsidP="00BD3B55">
      <w:pPr>
        <w:pStyle w:val="NormalWeb"/>
      </w:pPr>
      <w:r w:rsidRPr="00AA4D8B">
        <w:rPr>
          <w:position w:val="-28"/>
        </w:rPr>
        <w:object w:dxaOrig="2860" w:dyaOrig="680" w14:anchorId="4FF9AF8A">
          <v:shape id="_x0000_i1039" type="#_x0000_t75" style="width:142.95pt;height:33.85pt" o:ole="">
            <v:imagedata r:id="rId33" o:title=""/>
          </v:shape>
          <o:OLEObject Type="Embed" ProgID="Equation.DSMT4" ShapeID="_x0000_i1039" DrawAspect="Content" ObjectID="_1850374589" r:id="rId34"/>
        </w:object>
      </w:r>
    </w:p>
    <w:p w14:paraId="76BA5AF8" w14:textId="77777777" w:rsidR="00BD3B55" w:rsidRDefault="00BD3B55" w:rsidP="00BD3B55">
      <w:pPr>
        <w:pStyle w:val="NormalWeb"/>
      </w:pPr>
      <w:r>
        <w:t xml:space="preserve">Hence </w:t>
      </w:r>
      <w:r w:rsidRPr="00AA4D8B">
        <w:rPr>
          <w:position w:val="-14"/>
        </w:rPr>
        <w:object w:dxaOrig="2079" w:dyaOrig="400" w14:anchorId="38D01042">
          <v:shape id="_x0000_i1040" type="#_x0000_t75" style="width:104.8pt;height:19.35pt" o:ole="">
            <v:imagedata r:id="rId35" o:title=""/>
          </v:shape>
          <o:OLEObject Type="Embed" ProgID="Equation.DSMT4" ShapeID="_x0000_i1040" DrawAspect="Content" ObjectID="_1850374590" r:id="rId36"/>
        </w:object>
      </w:r>
    </w:p>
    <w:p w14:paraId="6640C31E" w14:textId="77777777" w:rsidR="00BD3B55" w:rsidRDefault="00BD3B55" w:rsidP="00BD3B55">
      <w:pPr>
        <w:pStyle w:val="NormalWeb"/>
      </w:pPr>
      <w:r>
        <w:t xml:space="preserve">This decomposition </w:t>
      </w:r>
      <w:r>
        <w:rPr>
          <w:highlight w:val="yellow"/>
        </w:rPr>
        <w:t>allow</w:t>
      </w:r>
      <w:r>
        <w:t>s positive and negative movements in EPU and each macroeconomic variable to be examined separately.</w:t>
      </w:r>
    </w:p>
    <w:p w14:paraId="5D8A4CCF" w14:textId="77777777" w:rsidR="00BD3B55" w:rsidRPr="00BB206F" w:rsidRDefault="00BD3B55" w:rsidP="00BD3B55">
      <w:pPr>
        <w:pStyle w:val="Heading3"/>
        <w:rPr>
          <w:b w:val="0"/>
        </w:rPr>
      </w:pPr>
      <w:r w:rsidRPr="00BB206F">
        <w:rPr>
          <w:b w:val="0"/>
        </w:rPr>
        <w:t>3.6 Hatemi-J Asymmetric Causality Model</w:t>
      </w:r>
    </w:p>
    <w:p w14:paraId="1DB18528" w14:textId="77777777" w:rsidR="00BD3B55" w:rsidRDefault="00BD3B55" w:rsidP="00BD3B55">
      <w:pPr>
        <w:pStyle w:val="NormalWeb"/>
      </w:pPr>
      <w:r>
        <w:t>The asymmetric VAR is specified as:</w:t>
      </w:r>
    </w:p>
    <w:p w14:paraId="3E4E0ED9" w14:textId="77777777" w:rsidR="00BD3B55" w:rsidRDefault="00BD3B55" w:rsidP="00BD3B55">
      <w:pPr>
        <w:pStyle w:val="NormalWeb"/>
      </w:pPr>
      <w:r>
        <w:tab/>
      </w:r>
      <w:r w:rsidRPr="002559BA">
        <w:rPr>
          <w:position w:val="-28"/>
        </w:rPr>
        <w:object w:dxaOrig="2380" w:dyaOrig="680" w14:anchorId="210C86A0">
          <v:shape id="_x0000_i1041" type="#_x0000_t75" style="width:118.75pt;height:33.85pt" o:ole="">
            <v:imagedata r:id="rId37" o:title=""/>
          </v:shape>
          <o:OLEObject Type="Embed" ProgID="Equation.DSMT4" ShapeID="_x0000_i1041" DrawAspect="Content" ObjectID="_1850374591" r:id="rId38"/>
        </w:object>
      </w:r>
    </w:p>
    <w:p w14:paraId="539C60F7" w14:textId="77777777" w:rsidR="00BD3B55" w:rsidRDefault="00BD3B55" w:rsidP="00BD3B55">
      <w:pPr>
        <w:pStyle w:val="NormalWeb"/>
      </w:pPr>
      <w:r>
        <w:t xml:space="preserve">Where </w:t>
      </w:r>
      <w:r w:rsidRPr="000D33C6">
        <w:rPr>
          <w:position w:val="-34"/>
        </w:rPr>
        <w:object w:dxaOrig="1420" w:dyaOrig="800" w14:anchorId="78956903">
          <v:shape id="_x0000_i1042" type="#_x0000_t75" style="width:70.95pt;height:40.85pt" o:ole="">
            <v:imagedata r:id="rId39" o:title=""/>
          </v:shape>
          <o:OLEObject Type="Embed" ProgID="Equation.DSMT4" ShapeID="_x0000_i1042" DrawAspect="Content" ObjectID="_1850374592" r:id="rId40"/>
        </w:object>
      </w:r>
    </w:p>
    <w:p w14:paraId="3140BE2C" w14:textId="77777777" w:rsidR="00BD3B55" w:rsidRDefault="00BD3B55" w:rsidP="00BD3B55">
      <w:pPr>
        <w:pStyle w:val="NormalWeb"/>
      </w:pPr>
      <w:r>
        <w:t>Four asymmetric causal channels are examined:</w:t>
      </w:r>
    </w:p>
    <w:p w14:paraId="1BCC5AAE" w14:textId="77777777" w:rsidR="00BD3B55" w:rsidRDefault="00BD3B55" w:rsidP="00BD3B55">
      <w:pPr>
        <w:pStyle w:val="NormalWeb"/>
      </w:pPr>
      <w:r>
        <w:tab/>
      </w:r>
      <w:r w:rsidRPr="000D33C6">
        <w:rPr>
          <w:position w:val="-32"/>
        </w:rPr>
        <w:object w:dxaOrig="2760" w:dyaOrig="760" w14:anchorId="16EA7D78">
          <v:shape id="_x0000_i1043" type="#_x0000_t75" style="width:139.15pt;height:38.15pt" o:ole="">
            <v:imagedata r:id="rId41" o:title=""/>
          </v:shape>
          <o:OLEObject Type="Embed" ProgID="Equation.DSMT4" ShapeID="_x0000_i1043" DrawAspect="Content" ObjectID="_1850374593" r:id="rId42"/>
        </w:object>
      </w:r>
    </w:p>
    <w:p w14:paraId="09BF7DA3" w14:textId="77777777" w:rsidR="00BD3B55" w:rsidRDefault="00BD3B55" w:rsidP="00BD3B55">
      <w:pPr>
        <w:pStyle w:val="NormalWeb"/>
        <w:jc w:val="both"/>
      </w:pPr>
      <w:r>
        <w:t xml:space="preserve">The reverse directions are </w:t>
      </w:r>
      <w:r>
        <w:rPr>
          <w:highlight w:val="yellow"/>
        </w:rPr>
        <w:t xml:space="preserve">tested </w:t>
      </w:r>
      <w:r>
        <w:t>similarly. For example, the</w:t>
      </w:r>
      <w:r>
        <w:rPr>
          <w:highlight w:val="yellow"/>
        </w:rPr>
        <w:t xml:space="preserve"> relevant</w:t>
      </w:r>
      <w:r>
        <w:t xml:space="preserve"> hypothesis examines whether adverse economic growth shocks cause increases in policy uncertainty.</w:t>
      </w:r>
    </w:p>
    <w:p w14:paraId="12438114" w14:textId="77777777" w:rsidR="00BD3B55" w:rsidRDefault="00BD3B55" w:rsidP="00BD3B55">
      <w:pPr>
        <w:pStyle w:val="NormalWeb"/>
      </w:pPr>
      <w:r>
        <w:tab/>
      </w:r>
      <w:r w:rsidRPr="00BA4940">
        <w:rPr>
          <w:position w:val="-14"/>
        </w:rPr>
        <w:object w:dxaOrig="1620" w:dyaOrig="400" w14:anchorId="3CDC354B">
          <v:shape id="_x0000_i1044" type="#_x0000_t75" style="width:80.05pt;height:19.35pt" o:ole="">
            <v:imagedata r:id="rId43" o:title=""/>
          </v:shape>
          <o:OLEObject Type="Embed" ProgID="Equation.DSMT4" ShapeID="_x0000_i1044" DrawAspect="Content" ObjectID="_1850374594" r:id="rId44"/>
        </w:object>
      </w:r>
    </w:p>
    <w:p w14:paraId="42BB8BD8" w14:textId="77777777" w:rsidR="00BD3B55" w:rsidRPr="00BA4940" w:rsidRDefault="00BD3B55" w:rsidP="00BD3B55">
      <w:pPr>
        <w:pStyle w:val="Heading3"/>
        <w:rPr>
          <w:b w:val="0"/>
        </w:rPr>
      </w:pPr>
      <w:r w:rsidRPr="00BA4940">
        <w:rPr>
          <w:b w:val="0"/>
        </w:rPr>
        <w:t>3.7 Bootstrap Modified Wald Test</w:t>
      </w:r>
    </w:p>
    <w:p w14:paraId="2FF0C46C" w14:textId="77777777" w:rsidR="00BD3B55" w:rsidRDefault="00BD3B55" w:rsidP="00BD3B55">
      <w:pPr>
        <w:pStyle w:val="NormalWeb"/>
        <w:jc w:val="both"/>
      </w:pPr>
      <w:r>
        <w:t xml:space="preserve">Because the finite-sample distribution of the asymmetric Wald statistic may </w:t>
      </w:r>
      <w:r>
        <w:rPr>
          <w:highlight w:val="yellow"/>
        </w:rPr>
        <w:t>differ fr</w:t>
      </w:r>
      <w:r>
        <w:t>om its asymptotic distribution, bootstrap inference is employed. The bootstrap p-value is:</w:t>
      </w:r>
    </w:p>
    <w:p w14:paraId="42AC2CBD" w14:textId="77777777" w:rsidR="00BD3B55" w:rsidRDefault="00BD3B55" w:rsidP="00BD3B55">
      <w:pPr>
        <w:pStyle w:val="NormalWeb"/>
        <w:jc w:val="both"/>
      </w:pPr>
      <w:r>
        <w:tab/>
      </w:r>
      <w:r w:rsidRPr="00BA4940">
        <w:rPr>
          <w:position w:val="-30"/>
        </w:rPr>
        <w:object w:dxaOrig="3080" w:dyaOrig="720" w14:anchorId="66F549C6">
          <v:shape id="_x0000_i1045" type="#_x0000_t75" style="width:153.15pt;height:36.55pt" o:ole="">
            <v:imagedata r:id="rId45" o:title=""/>
          </v:shape>
          <o:OLEObject Type="Embed" ProgID="Equation.DSMT4" ShapeID="_x0000_i1045" DrawAspect="Content" ObjectID="_1850374595" r:id="rId46"/>
        </w:object>
      </w:r>
    </w:p>
    <w:p w14:paraId="623D2FC4" w14:textId="77777777" w:rsidR="00BD3B55" w:rsidRDefault="00BD3B55" w:rsidP="00BD3B55">
      <w:pPr>
        <w:pStyle w:val="NormalWeb"/>
        <w:jc w:val="both"/>
      </w:pPr>
      <w:r>
        <w:lastRenderedPageBreak/>
        <w:t xml:space="preserve">where </w:t>
      </w:r>
      <w:r w:rsidRPr="00EF1822">
        <w:rPr>
          <w:position w:val="-4"/>
        </w:rPr>
        <w:object w:dxaOrig="240" w:dyaOrig="260" w14:anchorId="6B1C0E5D">
          <v:shape id="_x0000_i1046" type="#_x0000_t75" style="width:12.35pt;height:13.95pt" o:ole="">
            <v:imagedata r:id="rId47" o:title=""/>
          </v:shape>
          <o:OLEObject Type="Embed" ProgID="Equation.DSMT4" ShapeID="_x0000_i1046" DrawAspect="Content" ObjectID="_1850374596" r:id="rId48"/>
        </w:object>
      </w:r>
      <w:r>
        <w:t xml:space="preserve"> is the number of bootstrap replications. The null hypothesis is rejected when </w:t>
      </w:r>
      <w:r w:rsidRPr="00EF1822">
        <w:rPr>
          <w:position w:val="-4"/>
        </w:rPr>
        <w:object w:dxaOrig="800" w:dyaOrig="260" w14:anchorId="2E5FF308">
          <v:shape id="_x0000_i1047" type="#_x0000_t75" style="width:40.85pt;height:13.95pt" o:ole="">
            <v:imagedata r:id="rId49" o:title=""/>
          </v:shape>
          <o:OLEObject Type="Embed" ProgID="Equation.DSMT4" ShapeID="_x0000_i1047" DrawAspect="Content" ObjectID="_1850374597" r:id="rId50"/>
        </w:object>
      </w:r>
    </w:p>
    <w:p w14:paraId="605E5BA0" w14:textId="77777777" w:rsidR="00BD3B55" w:rsidRPr="00BA4940" w:rsidRDefault="00BD3B55" w:rsidP="00BD3B55">
      <w:pPr>
        <w:pStyle w:val="Heading3"/>
        <w:rPr>
          <w:b w:val="0"/>
        </w:rPr>
      </w:pPr>
      <w:r w:rsidRPr="00BA4940">
        <w:rPr>
          <w:b w:val="0"/>
        </w:rPr>
        <w:t>3.8 Diks–Panchenko Nonlinear Causality</w:t>
      </w:r>
    </w:p>
    <w:p w14:paraId="1EEDF8C5" w14:textId="77777777" w:rsidR="00BD3B55" w:rsidRDefault="00BD3B55" w:rsidP="00BD3B55">
      <w:pPr>
        <w:pStyle w:val="NormalWeb"/>
      </w:pPr>
      <w:r>
        <w:t>The Diks–Panchenko test is employed as a nonlinear robustness check. Its hypotheses are:</w:t>
      </w:r>
    </w:p>
    <w:p w14:paraId="2A6D69C5" w14:textId="77777777" w:rsidR="00BD3B55" w:rsidRDefault="00BD3B55" w:rsidP="00BD3B55">
      <w:pPr>
        <w:pStyle w:val="NormalWeb"/>
      </w:pPr>
      <w:r>
        <w:tab/>
      </w:r>
      <w:r w:rsidRPr="009A4D05">
        <w:rPr>
          <w:position w:val="-12"/>
        </w:rPr>
        <w:object w:dxaOrig="1880" w:dyaOrig="360" w14:anchorId="31FB4D74">
          <v:shape id="_x0000_i1048" type="#_x0000_t75" style="width:94.05pt;height:18.25pt" o:ole="">
            <v:imagedata r:id="rId51" o:title=""/>
          </v:shape>
          <o:OLEObject Type="Embed" ProgID="Equation.DSMT4" ShapeID="_x0000_i1048" DrawAspect="Content" ObjectID="_1850374598" r:id="rId52"/>
        </w:object>
      </w:r>
    </w:p>
    <w:p w14:paraId="427F79FE" w14:textId="77777777" w:rsidR="00BD3B55" w:rsidRDefault="00BD3B55" w:rsidP="00BD3B55">
      <w:pPr>
        <w:pStyle w:val="NormalWeb"/>
      </w:pPr>
      <w:r>
        <w:tab/>
      </w:r>
      <w:r>
        <w:tab/>
      </w:r>
      <w:r w:rsidRPr="00EF1822">
        <w:rPr>
          <w:position w:val="-12"/>
        </w:rPr>
        <w:object w:dxaOrig="1060" w:dyaOrig="360" w14:anchorId="10D722ED">
          <v:shape id="_x0000_i1049" type="#_x0000_t75" style="width:53.2pt;height:18.25pt" o:ole="">
            <v:imagedata r:id="rId53" o:title=""/>
          </v:shape>
          <o:OLEObject Type="Embed" ProgID="Equation.DSMT4" ShapeID="_x0000_i1049" DrawAspect="Content" ObjectID="_1850374599" r:id="rId54"/>
        </w:object>
      </w:r>
    </w:p>
    <w:p w14:paraId="2F77CD6E" w14:textId="77777777" w:rsidR="00BD3B55" w:rsidRDefault="00BD3B55" w:rsidP="00BD3B55">
      <w:pPr>
        <w:pStyle w:val="NormalWeb"/>
      </w:pPr>
      <w:r>
        <w:t xml:space="preserve">The </w:t>
      </w:r>
      <w:proofErr w:type="spellStart"/>
      <w:r>
        <w:t>standardi</w:t>
      </w:r>
      <w:r>
        <w:rPr>
          <w:highlight w:val="yellow"/>
        </w:rPr>
        <w:t>s</w:t>
      </w:r>
      <w:r>
        <w:t>ed</w:t>
      </w:r>
      <w:proofErr w:type="spellEnd"/>
      <w:r>
        <w:t xml:space="preserve"> statistic is:</w:t>
      </w:r>
    </w:p>
    <w:p w14:paraId="2210CBBB" w14:textId="77777777" w:rsidR="00BD3B55" w:rsidRDefault="00BD3B55" w:rsidP="00BD3B55">
      <w:pPr>
        <w:pStyle w:val="NormalWeb"/>
      </w:pPr>
      <w:r>
        <w:tab/>
      </w:r>
      <w:r>
        <w:tab/>
      </w:r>
      <w:r w:rsidRPr="00EF1822">
        <w:rPr>
          <w:position w:val="-32"/>
        </w:rPr>
        <w:object w:dxaOrig="1420" w:dyaOrig="760" w14:anchorId="28639206">
          <v:shape id="_x0000_i1050" type="#_x0000_t75" style="width:70.95pt;height:38.15pt" o:ole="">
            <v:imagedata r:id="rId55" o:title=""/>
          </v:shape>
          <o:OLEObject Type="Embed" ProgID="Equation.DSMT4" ShapeID="_x0000_i1050" DrawAspect="Content" ObjectID="_1850374600" r:id="rId56"/>
        </w:object>
      </w:r>
    </w:p>
    <w:p w14:paraId="79648572" w14:textId="77777777" w:rsidR="00BD3B55" w:rsidRDefault="00BD3B55" w:rsidP="00BD3B5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Data analysis and interpretation of results</w:t>
      </w:r>
    </w:p>
    <w:p w14:paraId="20604F51" w14:textId="77777777" w:rsidR="00BD3B55" w:rsidRDefault="00BD3B55" w:rsidP="00BD3B55">
      <w:pPr>
        <w:pStyle w:val="NormalWeb"/>
      </w:pPr>
      <w:r>
        <w:t>4.1 Descriptive statistics and graphical analysis.</w:t>
      </w:r>
    </w:p>
    <w:p w14:paraId="29CF954B" w14:textId="77777777" w:rsidR="00BD3B55" w:rsidRPr="00F031D3" w:rsidRDefault="00BD3B55" w:rsidP="00BD3B55">
      <w:pPr>
        <w:pStyle w:val="NormalWeb"/>
        <w:jc w:val="center"/>
        <w:rPr>
          <w:sz w:val="20"/>
          <w:szCs w:val="20"/>
        </w:rPr>
      </w:pPr>
      <w:r w:rsidRPr="00F031D3">
        <w:rPr>
          <w:sz w:val="20"/>
          <w:szCs w:val="20"/>
        </w:rPr>
        <w:t>Table 1 Descriptive statistics and graphical analysis.</w:t>
      </w:r>
    </w:p>
    <w:tbl>
      <w:tblPr>
        <w:tblStyle w:val="TableGrid"/>
        <w:tblW w:w="9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
        <w:gridCol w:w="1007"/>
        <w:gridCol w:w="1008"/>
        <w:gridCol w:w="1041"/>
        <w:gridCol w:w="1113"/>
        <w:gridCol w:w="1034"/>
        <w:gridCol w:w="896"/>
        <w:gridCol w:w="1262"/>
        <w:gridCol w:w="1260"/>
      </w:tblGrid>
      <w:tr w:rsidR="00BD3B55" w14:paraId="4B4DF884" w14:textId="77777777" w:rsidTr="00B43039">
        <w:tc>
          <w:tcPr>
            <w:tcW w:w="914" w:type="dxa"/>
          </w:tcPr>
          <w:p w14:paraId="1B9F20E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007" w:type="dxa"/>
          </w:tcPr>
          <w:p w14:paraId="42BF3DA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Mean</w:t>
            </w:r>
          </w:p>
        </w:tc>
        <w:tc>
          <w:tcPr>
            <w:tcW w:w="1008" w:type="dxa"/>
          </w:tcPr>
          <w:p w14:paraId="3DAC03E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Std. Dev.</w:t>
            </w:r>
          </w:p>
        </w:tc>
        <w:tc>
          <w:tcPr>
            <w:tcW w:w="1041" w:type="dxa"/>
          </w:tcPr>
          <w:p w14:paraId="0B1FB56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Minimum</w:t>
            </w:r>
          </w:p>
        </w:tc>
        <w:tc>
          <w:tcPr>
            <w:tcW w:w="1113" w:type="dxa"/>
          </w:tcPr>
          <w:p w14:paraId="5A7DFDA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Maximum</w:t>
            </w:r>
          </w:p>
        </w:tc>
        <w:tc>
          <w:tcPr>
            <w:tcW w:w="1034" w:type="dxa"/>
          </w:tcPr>
          <w:p w14:paraId="2E78474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Skewness</w:t>
            </w:r>
          </w:p>
        </w:tc>
        <w:tc>
          <w:tcPr>
            <w:tcW w:w="896" w:type="dxa"/>
          </w:tcPr>
          <w:p w14:paraId="575372A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Kurtosis</w:t>
            </w:r>
          </w:p>
        </w:tc>
        <w:tc>
          <w:tcPr>
            <w:tcW w:w="1262" w:type="dxa"/>
          </w:tcPr>
          <w:p w14:paraId="3762D7F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Jarque-Bera</w:t>
            </w:r>
          </w:p>
        </w:tc>
        <w:tc>
          <w:tcPr>
            <w:tcW w:w="1260" w:type="dxa"/>
          </w:tcPr>
          <w:p w14:paraId="66043AB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JB p-value</w:t>
            </w:r>
          </w:p>
        </w:tc>
      </w:tr>
      <w:tr w:rsidR="00BD3B55" w14:paraId="1BB7B19A" w14:textId="77777777" w:rsidTr="00B43039">
        <w:tc>
          <w:tcPr>
            <w:tcW w:w="914" w:type="dxa"/>
          </w:tcPr>
          <w:p w14:paraId="0943BEF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007" w:type="dxa"/>
          </w:tcPr>
          <w:p w14:paraId="0701C98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94.8344</w:t>
            </w:r>
          </w:p>
        </w:tc>
        <w:tc>
          <w:tcPr>
            <w:tcW w:w="1008" w:type="dxa"/>
          </w:tcPr>
          <w:p w14:paraId="6A9BD6B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28.1379</w:t>
            </w:r>
          </w:p>
        </w:tc>
        <w:tc>
          <w:tcPr>
            <w:tcW w:w="1041" w:type="dxa"/>
          </w:tcPr>
          <w:p w14:paraId="7789128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51.448</w:t>
            </w:r>
          </w:p>
        </w:tc>
        <w:tc>
          <w:tcPr>
            <w:tcW w:w="1113" w:type="dxa"/>
          </w:tcPr>
          <w:p w14:paraId="6099B6E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200.1801</w:t>
            </w:r>
          </w:p>
        </w:tc>
        <w:tc>
          <w:tcPr>
            <w:tcW w:w="1034" w:type="dxa"/>
          </w:tcPr>
          <w:p w14:paraId="040A127D"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1.2112</w:t>
            </w:r>
          </w:p>
        </w:tc>
        <w:tc>
          <w:tcPr>
            <w:tcW w:w="896" w:type="dxa"/>
          </w:tcPr>
          <w:p w14:paraId="1173E7B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4.8145</w:t>
            </w:r>
          </w:p>
        </w:tc>
        <w:tc>
          <w:tcPr>
            <w:tcW w:w="1262" w:type="dxa"/>
          </w:tcPr>
          <w:p w14:paraId="268DABC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40.0785</w:t>
            </w:r>
          </w:p>
        </w:tc>
        <w:tc>
          <w:tcPr>
            <w:tcW w:w="1260" w:type="dxa"/>
          </w:tcPr>
          <w:p w14:paraId="2402D52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66ADAD98" w14:textId="77777777" w:rsidTr="00B43039">
        <w:tc>
          <w:tcPr>
            <w:tcW w:w="914" w:type="dxa"/>
          </w:tcPr>
          <w:p w14:paraId="71252D85" w14:textId="77777777" w:rsidR="00BD3B55" w:rsidRPr="00F031D3" w:rsidRDefault="00BD3B55"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t>GDPgr</w:t>
            </w:r>
            <w:proofErr w:type="spellEnd"/>
          </w:p>
        </w:tc>
        <w:tc>
          <w:tcPr>
            <w:tcW w:w="1007" w:type="dxa"/>
          </w:tcPr>
          <w:p w14:paraId="3A50399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1.1968</w:t>
            </w:r>
          </w:p>
        </w:tc>
        <w:tc>
          <w:tcPr>
            <w:tcW w:w="1008" w:type="dxa"/>
          </w:tcPr>
          <w:p w14:paraId="32BDE31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3.2413</w:t>
            </w:r>
          </w:p>
        </w:tc>
        <w:tc>
          <w:tcPr>
            <w:tcW w:w="1041" w:type="dxa"/>
          </w:tcPr>
          <w:p w14:paraId="39BED58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-7.0421</w:t>
            </w:r>
          </w:p>
        </w:tc>
        <w:tc>
          <w:tcPr>
            <w:tcW w:w="1113" w:type="dxa"/>
          </w:tcPr>
          <w:p w14:paraId="6911AD5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4.905</w:t>
            </w:r>
          </w:p>
        </w:tc>
        <w:tc>
          <w:tcPr>
            <w:tcW w:w="1034" w:type="dxa"/>
          </w:tcPr>
          <w:p w14:paraId="66350AD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-1.3089</w:t>
            </w:r>
          </w:p>
        </w:tc>
        <w:tc>
          <w:tcPr>
            <w:tcW w:w="896" w:type="dxa"/>
          </w:tcPr>
          <w:p w14:paraId="1BEE11E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3.8614</w:t>
            </w:r>
          </w:p>
        </w:tc>
        <w:tc>
          <w:tcPr>
            <w:tcW w:w="1262" w:type="dxa"/>
          </w:tcPr>
          <w:p w14:paraId="1731BA6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33.2287</w:t>
            </w:r>
          </w:p>
        </w:tc>
        <w:tc>
          <w:tcPr>
            <w:tcW w:w="1260" w:type="dxa"/>
          </w:tcPr>
          <w:p w14:paraId="69C932C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16DF4C76" w14:textId="77777777" w:rsidTr="00B43039">
        <w:tc>
          <w:tcPr>
            <w:tcW w:w="914" w:type="dxa"/>
          </w:tcPr>
          <w:p w14:paraId="2FE98DFD"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007" w:type="dxa"/>
          </w:tcPr>
          <w:p w14:paraId="2DF900B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4.5565</w:t>
            </w:r>
          </w:p>
        </w:tc>
        <w:tc>
          <w:tcPr>
            <w:tcW w:w="1008" w:type="dxa"/>
          </w:tcPr>
          <w:p w14:paraId="449D7C9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0.9373</w:t>
            </w:r>
          </w:p>
        </w:tc>
        <w:tc>
          <w:tcPr>
            <w:tcW w:w="1041" w:type="dxa"/>
          </w:tcPr>
          <w:p w14:paraId="68C0ABD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2.938</w:t>
            </w:r>
          </w:p>
        </w:tc>
        <w:tc>
          <w:tcPr>
            <w:tcW w:w="1113" w:type="dxa"/>
          </w:tcPr>
          <w:p w14:paraId="428CC61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5.756</w:t>
            </w:r>
          </w:p>
        </w:tc>
        <w:tc>
          <w:tcPr>
            <w:tcW w:w="1034" w:type="dxa"/>
          </w:tcPr>
          <w:p w14:paraId="2D987E0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-0.5637</w:t>
            </w:r>
          </w:p>
        </w:tc>
        <w:tc>
          <w:tcPr>
            <w:tcW w:w="896" w:type="dxa"/>
          </w:tcPr>
          <w:p w14:paraId="4E26CCC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1.9682</w:t>
            </w:r>
          </w:p>
        </w:tc>
        <w:tc>
          <w:tcPr>
            <w:tcW w:w="1262" w:type="dxa"/>
          </w:tcPr>
          <w:p w14:paraId="418B7F2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10.2176</w:t>
            </w:r>
          </w:p>
        </w:tc>
        <w:tc>
          <w:tcPr>
            <w:tcW w:w="1260" w:type="dxa"/>
          </w:tcPr>
          <w:p w14:paraId="1F9AF61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w:t>
            </w:r>
          </w:p>
        </w:tc>
      </w:tr>
      <w:tr w:rsidR="00BD3B55" w14:paraId="43C65CD1" w14:textId="77777777" w:rsidTr="00B43039">
        <w:tc>
          <w:tcPr>
            <w:tcW w:w="914" w:type="dxa"/>
          </w:tcPr>
          <w:p w14:paraId="0F8513A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007" w:type="dxa"/>
          </w:tcPr>
          <w:p w14:paraId="7F4EA2E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18.18</w:t>
            </w:r>
          </w:p>
        </w:tc>
        <w:tc>
          <w:tcPr>
            <w:tcW w:w="1008" w:type="dxa"/>
          </w:tcPr>
          <w:p w14:paraId="06CCB0E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6.7959</w:t>
            </w:r>
          </w:p>
        </w:tc>
        <w:tc>
          <w:tcPr>
            <w:tcW w:w="1041" w:type="dxa"/>
          </w:tcPr>
          <w:p w14:paraId="75ABECF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11.1611</w:t>
            </w:r>
          </w:p>
        </w:tc>
        <w:tc>
          <w:tcPr>
            <w:tcW w:w="1113" w:type="dxa"/>
          </w:tcPr>
          <w:p w14:paraId="5FAF293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37.987</w:t>
            </w:r>
          </w:p>
        </w:tc>
        <w:tc>
          <w:tcPr>
            <w:tcW w:w="1034" w:type="dxa"/>
          </w:tcPr>
          <w:p w14:paraId="5DCCAFC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1.2763</w:t>
            </w:r>
          </w:p>
        </w:tc>
        <w:tc>
          <w:tcPr>
            <w:tcW w:w="896" w:type="dxa"/>
          </w:tcPr>
          <w:p w14:paraId="1080DAE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3.8336</w:t>
            </w:r>
          </w:p>
        </w:tc>
        <w:tc>
          <w:tcPr>
            <w:tcW w:w="1262" w:type="dxa"/>
          </w:tcPr>
          <w:p w14:paraId="3A5AE02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31.547</w:t>
            </w:r>
          </w:p>
        </w:tc>
        <w:tc>
          <w:tcPr>
            <w:tcW w:w="1260" w:type="dxa"/>
          </w:tcPr>
          <w:p w14:paraId="4B562B4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4536629D" w14:textId="77777777" w:rsidTr="00B43039">
        <w:tc>
          <w:tcPr>
            <w:tcW w:w="914" w:type="dxa"/>
          </w:tcPr>
          <w:p w14:paraId="2BE38F9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007" w:type="dxa"/>
          </w:tcPr>
          <w:p w14:paraId="5408B9F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457.2425</w:t>
            </w:r>
          </w:p>
        </w:tc>
        <w:tc>
          <w:tcPr>
            <w:tcW w:w="1008" w:type="dxa"/>
          </w:tcPr>
          <w:p w14:paraId="6DD353A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302.9296</w:t>
            </w:r>
          </w:p>
        </w:tc>
        <w:tc>
          <w:tcPr>
            <w:tcW w:w="1041" w:type="dxa"/>
          </w:tcPr>
          <w:p w14:paraId="5F3E2C5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214.294</w:t>
            </w:r>
          </w:p>
        </w:tc>
        <w:tc>
          <w:tcPr>
            <w:tcW w:w="1113" w:type="dxa"/>
          </w:tcPr>
          <w:p w14:paraId="6F375E9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1704.5919</w:t>
            </w:r>
          </w:p>
        </w:tc>
        <w:tc>
          <w:tcPr>
            <w:tcW w:w="1034" w:type="dxa"/>
          </w:tcPr>
          <w:p w14:paraId="3A33C88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2.5182</w:t>
            </w:r>
          </w:p>
        </w:tc>
        <w:tc>
          <w:tcPr>
            <w:tcW w:w="896" w:type="dxa"/>
          </w:tcPr>
          <w:p w14:paraId="6FA0B39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8.7887</w:t>
            </w:r>
          </w:p>
        </w:tc>
        <w:tc>
          <w:tcPr>
            <w:tcW w:w="1262" w:type="dxa"/>
          </w:tcPr>
          <w:p w14:paraId="03168BD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257.5734</w:t>
            </w:r>
          </w:p>
        </w:tc>
        <w:tc>
          <w:tcPr>
            <w:tcW w:w="1260" w:type="dxa"/>
          </w:tcPr>
          <w:p w14:paraId="12FE6A0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198711D2" w14:textId="77777777" w:rsidTr="00B43039">
        <w:tc>
          <w:tcPr>
            <w:tcW w:w="914" w:type="dxa"/>
          </w:tcPr>
          <w:p w14:paraId="52720A3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007" w:type="dxa"/>
          </w:tcPr>
          <w:p w14:paraId="7BFF7A8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7.3573</w:t>
            </w:r>
          </w:p>
        </w:tc>
        <w:tc>
          <w:tcPr>
            <w:tcW w:w="1008" w:type="dxa"/>
          </w:tcPr>
          <w:p w14:paraId="130CB256"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1.1942</w:t>
            </w:r>
          </w:p>
        </w:tc>
        <w:tc>
          <w:tcPr>
            <w:tcW w:w="1041" w:type="dxa"/>
          </w:tcPr>
          <w:p w14:paraId="69225BB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5.958</w:t>
            </w:r>
          </w:p>
        </w:tc>
        <w:tc>
          <w:tcPr>
            <w:tcW w:w="1113" w:type="dxa"/>
          </w:tcPr>
          <w:p w14:paraId="662475F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10.172</w:t>
            </w:r>
          </w:p>
        </w:tc>
        <w:tc>
          <w:tcPr>
            <w:tcW w:w="1034" w:type="dxa"/>
          </w:tcPr>
          <w:p w14:paraId="1FCE1DF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0.6236</w:t>
            </w:r>
          </w:p>
        </w:tc>
        <w:tc>
          <w:tcPr>
            <w:tcW w:w="896" w:type="dxa"/>
          </w:tcPr>
          <w:p w14:paraId="4161083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2.119</w:t>
            </w:r>
          </w:p>
        </w:tc>
        <w:tc>
          <w:tcPr>
            <w:tcW w:w="1262" w:type="dxa"/>
          </w:tcPr>
          <w:p w14:paraId="428409C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10.2012</w:t>
            </w:r>
          </w:p>
        </w:tc>
        <w:tc>
          <w:tcPr>
            <w:tcW w:w="1260" w:type="dxa"/>
          </w:tcPr>
          <w:p w14:paraId="5E7715A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0.0061</w:t>
            </w:r>
          </w:p>
        </w:tc>
      </w:tr>
    </w:tbl>
    <w:p w14:paraId="6DC370D0" w14:textId="77777777" w:rsidR="00BD3B55" w:rsidRPr="007A50C1" w:rsidRDefault="00BD3B55" w:rsidP="00BD3B55">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DCBDF5C" w14:textId="77777777" w:rsidR="00A13E6D" w:rsidRDefault="00A13E6D" w:rsidP="00A13E6D">
      <w:pPr>
        <w:pStyle w:val="pdq2pgselectionanchorcontainer"/>
        <w:jc w:val="both"/>
      </w:pPr>
      <w:r>
        <w:t>The descriptive statistics i</w:t>
      </w:r>
      <w:r>
        <w:rPr>
          <w:highlight w:val="yellow"/>
        </w:rPr>
        <w:t>n</w:t>
      </w:r>
      <w:r>
        <w:t>dica</w:t>
      </w:r>
      <w:r>
        <w:rPr>
          <w:highlight w:val="yellow"/>
        </w:rPr>
        <w:t>te substa</w:t>
      </w:r>
      <w:r>
        <w:t>nt</w:t>
      </w:r>
      <w:r>
        <w:rPr>
          <w:highlight w:val="yellow"/>
        </w:rPr>
        <w:t>ial</w:t>
      </w:r>
      <w:r>
        <w:t xml:space="preserve"> heterogeneity and non-normality in the distributions of the variables. EPU, inflation, and the exchange rate are right-skewed, whereas GDP growth and unemployment are left-skewed. </w:t>
      </w:r>
      <w:r>
        <w:rPr>
          <w:highlight w:val="yellow"/>
        </w:rPr>
        <w:t>E</w:t>
      </w:r>
      <w:r>
        <w:t xml:space="preserve">xtreme observations </w:t>
      </w:r>
      <w:r>
        <w:rPr>
          <w:highlight w:val="yellow"/>
        </w:rPr>
        <w:t>are</w:t>
      </w:r>
      <w:r>
        <w:t xml:space="preserve"> most pronounced for the exchange rate, for which both skewness and kurtosis are markedly high. The high Jarque–Bera statistics for all six variables indicate </w:t>
      </w:r>
      <w:r>
        <w:rPr>
          <w:highlight w:val="yellow"/>
        </w:rPr>
        <w:t>rejec</w:t>
      </w:r>
      <w:r>
        <w:t>t</w:t>
      </w:r>
      <w:r>
        <w:rPr>
          <w:highlight w:val="yellow"/>
        </w:rPr>
        <w:t>ion of</w:t>
      </w:r>
      <w:r>
        <w:t xml:space="preserve"> the</w:t>
      </w:r>
      <w:r>
        <w:rPr>
          <w:highlight w:val="yellow"/>
        </w:rPr>
        <w:t xml:space="preserve"> normality</w:t>
      </w:r>
      <w:r>
        <w:t xml:space="preserve"> assumption. Th</w:t>
      </w:r>
      <w:r>
        <w:rPr>
          <w:highlight w:val="yellow"/>
        </w:rPr>
        <w:t>ese d</w:t>
      </w:r>
      <w:r>
        <w:t>i</w:t>
      </w:r>
      <w:r>
        <w:rPr>
          <w:highlight w:val="yellow"/>
        </w:rPr>
        <w:t>stributional feature</w:t>
      </w:r>
      <w:r>
        <w:t>s suggest that asymmetry, extreme fluctuations, and nonlinear dynamics in Nigeria’s macroeconomic environment warrant the use of nonlinear and asymmetric causality tests rather than reli</w:t>
      </w:r>
      <w:r>
        <w:rPr>
          <w:highlight w:val="yellow"/>
        </w:rPr>
        <w:t>a</w:t>
      </w:r>
      <w:r>
        <w:t>n</w:t>
      </w:r>
      <w:r>
        <w:rPr>
          <w:highlight w:val="yellow"/>
        </w:rPr>
        <w:t>ce</w:t>
      </w:r>
      <w:r>
        <w:t xml:space="preserve"> solely on tests th</w:t>
      </w:r>
      <w:r>
        <w:rPr>
          <w:highlight w:val="yellow"/>
        </w:rPr>
        <w:t>at</w:t>
      </w:r>
      <w:r>
        <w:t xml:space="preserve"> assum</w:t>
      </w:r>
      <w:r>
        <w:rPr>
          <w:highlight w:val="yellow"/>
        </w:rPr>
        <w:t>e</w:t>
      </w:r>
      <w:r>
        <w:t xml:space="preserve"> symmetric causality.</w:t>
      </w:r>
    </w:p>
    <w:p w14:paraId="1144B9BF" w14:textId="77777777" w:rsidR="00A13E6D" w:rsidRDefault="00A13E6D" w:rsidP="00A13E6D">
      <w:pPr>
        <w:pStyle w:val="NormalWeb"/>
      </w:pPr>
      <w:r w:rsidRPr="00F031D3">
        <w:rPr>
          <w:rStyle w:val="Strong"/>
        </w:rPr>
        <w:t xml:space="preserve">4.2 </w:t>
      </w:r>
      <w:r w:rsidRPr="00F031D3">
        <w:t xml:space="preserve">Test </w:t>
      </w:r>
      <w:r>
        <w:t xml:space="preserve">for stationarity using ADF </w:t>
      </w:r>
      <w:r w:rsidRPr="00F031D3">
        <w:t>and KPSS.</w:t>
      </w:r>
    </w:p>
    <w:p w14:paraId="14968877" w14:textId="77777777" w:rsidR="00A13E6D" w:rsidRDefault="00A13E6D" w:rsidP="00A13E6D">
      <w:pPr>
        <w:pStyle w:val="NormalWeb"/>
        <w:jc w:val="center"/>
        <w:rPr>
          <w:sz w:val="20"/>
          <w:szCs w:val="20"/>
        </w:rPr>
      </w:pPr>
      <w:r w:rsidRPr="00F031D3">
        <w:rPr>
          <w:sz w:val="20"/>
          <w:szCs w:val="20"/>
        </w:rPr>
        <w:t xml:space="preserve">Table </w:t>
      </w:r>
      <w:r w:rsidRPr="00F031D3">
        <w:rPr>
          <w:rStyle w:val="Strong"/>
          <w:sz w:val="20"/>
          <w:szCs w:val="20"/>
        </w:rPr>
        <w:t xml:space="preserve">2 </w:t>
      </w:r>
      <w:r w:rsidRPr="00F031D3">
        <w:rPr>
          <w:sz w:val="20"/>
          <w:szCs w:val="20"/>
        </w:rPr>
        <w:t>Test for stationarity using ADF, PP, and KPSS.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61"/>
        <w:gridCol w:w="1440"/>
        <w:gridCol w:w="1440"/>
        <w:gridCol w:w="1440"/>
        <w:gridCol w:w="1440"/>
      </w:tblGrid>
      <w:tr w:rsidR="00A13E6D" w14:paraId="30D4C44A" w14:textId="77777777" w:rsidTr="00B43039">
        <w:tc>
          <w:tcPr>
            <w:tcW w:w="1440" w:type="dxa"/>
          </w:tcPr>
          <w:p w14:paraId="6DFDF9E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461" w:type="dxa"/>
          </w:tcPr>
          <w:p w14:paraId="4369B18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Transformation</w:t>
            </w:r>
          </w:p>
        </w:tc>
        <w:tc>
          <w:tcPr>
            <w:tcW w:w="1440" w:type="dxa"/>
          </w:tcPr>
          <w:p w14:paraId="48CC0C9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Statistic</w:t>
            </w:r>
          </w:p>
        </w:tc>
        <w:tc>
          <w:tcPr>
            <w:tcW w:w="1440" w:type="dxa"/>
          </w:tcPr>
          <w:p w14:paraId="570CBFF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p-value</w:t>
            </w:r>
          </w:p>
        </w:tc>
        <w:tc>
          <w:tcPr>
            <w:tcW w:w="1440" w:type="dxa"/>
          </w:tcPr>
          <w:p w14:paraId="1F2C89B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Statistic</w:t>
            </w:r>
          </w:p>
        </w:tc>
        <w:tc>
          <w:tcPr>
            <w:tcW w:w="1440" w:type="dxa"/>
          </w:tcPr>
          <w:p w14:paraId="0AAD2E4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p-value</w:t>
            </w:r>
          </w:p>
        </w:tc>
      </w:tr>
      <w:tr w:rsidR="00A13E6D" w14:paraId="3AFF7B55" w14:textId="77777777" w:rsidTr="00B43039">
        <w:tc>
          <w:tcPr>
            <w:tcW w:w="1440" w:type="dxa"/>
          </w:tcPr>
          <w:p w14:paraId="6D7B1FB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277C078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5C3A408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-4.6877</w:t>
            </w:r>
          </w:p>
        </w:tc>
        <w:tc>
          <w:tcPr>
            <w:tcW w:w="1440" w:type="dxa"/>
          </w:tcPr>
          <w:p w14:paraId="41CA5D8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0.0001</w:t>
            </w:r>
          </w:p>
        </w:tc>
        <w:tc>
          <w:tcPr>
            <w:tcW w:w="1440" w:type="dxa"/>
          </w:tcPr>
          <w:p w14:paraId="0B71C4E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0.3973</w:t>
            </w:r>
          </w:p>
        </w:tc>
        <w:tc>
          <w:tcPr>
            <w:tcW w:w="1440" w:type="dxa"/>
          </w:tcPr>
          <w:p w14:paraId="269B9DB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0.0783</w:t>
            </w:r>
          </w:p>
        </w:tc>
      </w:tr>
      <w:tr w:rsidR="00A13E6D" w14:paraId="6FA72EB3" w14:textId="77777777" w:rsidTr="00B43039">
        <w:tc>
          <w:tcPr>
            <w:tcW w:w="1440" w:type="dxa"/>
          </w:tcPr>
          <w:p w14:paraId="762B48A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758E907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7949442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-10.2422</w:t>
            </w:r>
          </w:p>
        </w:tc>
        <w:tc>
          <w:tcPr>
            <w:tcW w:w="1440" w:type="dxa"/>
          </w:tcPr>
          <w:p w14:paraId="0AC8700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w:t>
            </w:r>
          </w:p>
        </w:tc>
        <w:tc>
          <w:tcPr>
            <w:tcW w:w="1440" w:type="dxa"/>
          </w:tcPr>
          <w:p w14:paraId="467F5B2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c>
          <w:tcPr>
            <w:tcW w:w="1440" w:type="dxa"/>
          </w:tcPr>
          <w:p w14:paraId="1ED86BA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4102C823" w14:textId="77777777" w:rsidTr="00B43039">
        <w:tc>
          <w:tcPr>
            <w:tcW w:w="1440" w:type="dxa"/>
          </w:tcPr>
          <w:p w14:paraId="7BB76FFA" w14:textId="77777777" w:rsidR="00A13E6D" w:rsidRPr="00F031D3" w:rsidRDefault="00A13E6D"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t>GDPgr</w:t>
            </w:r>
            <w:proofErr w:type="spellEnd"/>
          </w:p>
        </w:tc>
        <w:tc>
          <w:tcPr>
            <w:tcW w:w="1461" w:type="dxa"/>
          </w:tcPr>
          <w:p w14:paraId="474FB9D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589935D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-1.2633</w:t>
            </w:r>
          </w:p>
        </w:tc>
        <w:tc>
          <w:tcPr>
            <w:tcW w:w="1440" w:type="dxa"/>
          </w:tcPr>
          <w:p w14:paraId="08B4211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0.6458</w:t>
            </w:r>
          </w:p>
        </w:tc>
        <w:tc>
          <w:tcPr>
            <w:tcW w:w="1440" w:type="dxa"/>
          </w:tcPr>
          <w:p w14:paraId="01659BD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0.4105</w:t>
            </w:r>
          </w:p>
        </w:tc>
        <w:tc>
          <w:tcPr>
            <w:tcW w:w="1440" w:type="dxa"/>
          </w:tcPr>
          <w:p w14:paraId="3217401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0.0726</w:t>
            </w:r>
          </w:p>
        </w:tc>
      </w:tr>
      <w:tr w:rsidR="00A13E6D" w14:paraId="3EB64E57" w14:textId="77777777" w:rsidTr="00B43039">
        <w:tc>
          <w:tcPr>
            <w:tcW w:w="1440" w:type="dxa"/>
          </w:tcPr>
          <w:p w14:paraId="22C4CFE1" w14:textId="77777777" w:rsidR="00A13E6D" w:rsidRPr="00F031D3" w:rsidRDefault="00A13E6D"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lastRenderedPageBreak/>
              <w:t>GDPgr</w:t>
            </w:r>
            <w:proofErr w:type="spellEnd"/>
          </w:p>
        </w:tc>
        <w:tc>
          <w:tcPr>
            <w:tcW w:w="1461" w:type="dxa"/>
          </w:tcPr>
          <w:p w14:paraId="7367AEC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6BA8B91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-3.554</w:t>
            </w:r>
          </w:p>
        </w:tc>
        <w:tc>
          <w:tcPr>
            <w:tcW w:w="1440" w:type="dxa"/>
          </w:tcPr>
          <w:p w14:paraId="42D0CAF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0.0067</w:t>
            </w:r>
          </w:p>
        </w:tc>
        <w:tc>
          <w:tcPr>
            <w:tcW w:w="1440" w:type="dxa"/>
          </w:tcPr>
          <w:p w14:paraId="5F07676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0.0866</w:t>
            </w:r>
          </w:p>
        </w:tc>
        <w:tc>
          <w:tcPr>
            <w:tcW w:w="1440" w:type="dxa"/>
          </w:tcPr>
          <w:p w14:paraId="3A17D0E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5895B332" w14:textId="77777777" w:rsidTr="00B43039">
        <w:tc>
          <w:tcPr>
            <w:tcW w:w="1440" w:type="dxa"/>
          </w:tcPr>
          <w:p w14:paraId="72E8355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5152833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6580117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-1.6956</w:t>
            </w:r>
          </w:p>
        </w:tc>
        <w:tc>
          <w:tcPr>
            <w:tcW w:w="1440" w:type="dxa"/>
          </w:tcPr>
          <w:p w14:paraId="7D2B0F8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0.4334</w:t>
            </w:r>
          </w:p>
        </w:tc>
        <w:tc>
          <w:tcPr>
            <w:tcW w:w="1440" w:type="dxa"/>
          </w:tcPr>
          <w:p w14:paraId="7800375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0.7709</w:t>
            </w:r>
          </w:p>
        </w:tc>
        <w:tc>
          <w:tcPr>
            <w:tcW w:w="1440" w:type="dxa"/>
          </w:tcPr>
          <w:p w14:paraId="3B58CBF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75894BE8" w14:textId="77777777" w:rsidTr="00B43039">
        <w:tc>
          <w:tcPr>
            <w:tcW w:w="1440" w:type="dxa"/>
          </w:tcPr>
          <w:p w14:paraId="020877A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19E3307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3BC7F7B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-2.1821</w:t>
            </w:r>
          </w:p>
        </w:tc>
        <w:tc>
          <w:tcPr>
            <w:tcW w:w="1440" w:type="dxa"/>
          </w:tcPr>
          <w:p w14:paraId="0176085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0.2128</w:t>
            </w:r>
          </w:p>
        </w:tc>
        <w:tc>
          <w:tcPr>
            <w:tcW w:w="1440" w:type="dxa"/>
          </w:tcPr>
          <w:p w14:paraId="282A863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0.638</w:t>
            </w:r>
          </w:p>
        </w:tc>
        <w:tc>
          <w:tcPr>
            <w:tcW w:w="1440" w:type="dxa"/>
          </w:tcPr>
          <w:p w14:paraId="026B9D9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0.0192</w:t>
            </w:r>
          </w:p>
        </w:tc>
      </w:tr>
      <w:tr w:rsidR="00A13E6D" w14:paraId="7D012464" w14:textId="77777777" w:rsidTr="00B43039">
        <w:tc>
          <w:tcPr>
            <w:tcW w:w="1440" w:type="dxa"/>
          </w:tcPr>
          <w:p w14:paraId="2F32059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2D0E812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207D673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1.3964</w:t>
            </w:r>
          </w:p>
        </w:tc>
        <w:tc>
          <w:tcPr>
            <w:tcW w:w="1440" w:type="dxa"/>
          </w:tcPr>
          <w:p w14:paraId="05EDB61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0.9971</w:t>
            </w:r>
          </w:p>
        </w:tc>
        <w:tc>
          <w:tcPr>
            <w:tcW w:w="1440" w:type="dxa"/>
          </w:tcPr>
          <w:p w14:paraId="0B6EAB8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1.0776</w:t>
            </w:r>
          </w:p>
        </w:tc>
        <w:tc>
          <w:tcPr>
            <w:tcW w:w="1440" w:type="dxa"/>
          </w:tcPr>
          <w:p w14:paraId="2FB63AF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51BFC7C" w14:textId="77777777" w:rsidTr="00B43039">
        <w:tc>
          <w:tcPr>
            <w:tcW w:w="1440" w:type="dxa"/>
          </w:tcPr>
          <w:p w14:paraId="2FDE0A8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74470D7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64DDB84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-0.8047</w:t>
            </w:r>
          </w:p>
        </w:tc>
        <w:tc>
          <w:tcPr>
            <w:tcW w:w="1440" w:type="dxa"/>
          </w:tcPr>
          <w:p w14:paraId="28F3281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0.8177</w:t>
            </w:r>
          </w:p>
        </w:tc>
        <w:tc>
          <w:tcPr>
            <w:tcW w:w="1440" w:type="dxa"/>
          </w:tcPr>
          <w:p w14:paraId="1355482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1.2396</w:t>
            </w:r>
          </w:p>
        </w:tc>
        <w:tc>
          <w:tcPr>
            <w:tcW w:w="1440" w:type="dxa"/>
          </w:tcPr>
          <w:p w14:paraId="49BDE58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3C387B49" w14:textId="77777777" w:rsidTr="00B43039">
        <w:tc>
          <w:tcPr>
            <w:tcW w:w="1440" w:type="dxa"/>
          </w:tcPr>
          <w:p w14:paraId="6DB1E59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5CC24CD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250BA74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3.6026</w:t>
            </w:r>
          </w:p>
        </w:tc>
        <w:tc>
          <w:tcPr>
            <w:tcW w:w="1440" w:type="dxa"/>
          </w:tcPr>
          <w:p w14:paraId="4B1E403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w:t>
            </w:r>
          </w:p>
        </w:tc>
        <w:tc>
          <w:tcPr>
            <w:tcW w:w="1440" w:type="dxa"/>
          </w:tcPr>
          <w:p w14:paraId="62915E0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1.1065</w:t>
            </w:r>
          </w:p>
        </w:tc>
        <w:tc>
          <w:tcPr>
            <w:tcW w:w="1440" w:type="dxa"/>
          </w:tcPr>
          <w:p w14:paraId="7DD0542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3C9AD5B" w14:textId="77777777" w:rsidTr="00B43039">
        <w:tc>
          <w:tcPr>
            <w:tcW w:w="1440" w:type="dxa"/>
          </w:tcPr>
          <w:p w14:paraId="5DDE7EC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3BB186C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248C8A3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2.1989</w:t>
            </w:r>
          </w:p>
        </w:tc>
        <w:tc>
          <w:tcPr>
            <w:tcW w:w="1440" w:type="dxa"/>
          </w:tcPr>
          <w:p w14:paraId="3EA008F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0.9989</w:t>
            </w:r>
          </w:p>
        </w:tc>
        <w:tc>
          <w:tcPr>
            <w:tcW w:w="1440" w:type="dxa"/>
          </w:tcPr>
          <w:p w14:paraId="1C85F96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0.9189</w:t>
            </w:r>
          </w:p>
        </w:tc>
        <w:tc>
          <w:tcPr>
            <w:tcW w:w="1440" w:type="dxa"/>
          </w:tcPr>
          <w:p w14:paraId="5ABCB07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081CADF4" w14:textId="77777777" w:rsidTr="00B43039">
        <w:tc>
          <w:tcPr>
            <w:tcW w:w="1440" w:type="dxa"/>
          </w:tcPr>
          <w:p w14:paraId="3B0C286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5C7758B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6993B8D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-1.5734</w:t>
            </w:r>
          </w:p>
        </w:tc>
        <w:tc>
          <w:tcPr>
            <w:tcW w:w="1440" w:type="dxa"/>
          </w:tcPr>
          <w:p w14:paraId="63266E0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0.4969</w:t>
            </w:r>
          </w:p>
        </w:tc>
        <w:tc>
          <w:tcPr>
            <w:tcW w:w="1440" w:type="dxa"/>
          </w:tcPr>
          <w:p w14:paraId="5457507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0.9552</w:t>
            </w:r>
          </w:p>
        </w:tc>
        <w:tc>
          <w:tcPr>
            <w:tcW w:w="1440" w:type="dxa"/>
          </w:tcPr>
          <w:p w14:paraId="34B7BEB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AE53524" w14:textId="77777777" w:rsidTr="00B43039">
        <w:tc>
          <w:tcPr>
            <w:tcW w:w="1440" w:type="dxa"/>
          </w:tcPr>
          <w:p w14:paraId="4F4A2EF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6BF7FAC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235D016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-2.8245</w:t>
            </w:r>
          </w:p>
        </w:tc>
        <w:tc>
          <w:tcPr>
            <w:tcW w:w="1440" w:type="dxa"/>
          </w:tcPr>
          <w:p w14:paraId="420BCD8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0.0549</w:t>
            </w:r>
          </w:p>
        </w:tc>
        <w:tc>
          <w:tcPr>
            <w:tcW w:w="1440" w:type="dxa"/>
          </w:tcPr>
          <w:p w14:paraId="59D83FE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0.1545</w:t>
            </w:r>
          </w:p>
        </w:tc>
        <w:tc>
          <w:tcPr>
            <w:tcW w:w="1440" w:type="dxa"/>
          </w:tcPr>
          <w:p w14:paraId="58178F6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bl>
    <w:p w14:paraId="66346DEF"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46A4B16" w14:textId="77777777" w:rsidR="00A13E6D" w:rsidRPr="00DC5D4B"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ADF and KPSS tests </w:t>
      </w:r>
      <w:r>
        <w:rPr>
          <w:rFonts w:ascii="Times New Roman" w:eastAsia="Times New Roman" w:hAnsi="Times New Roman" w:cs="Times New Roman"/>
          <w:sz w:val="24"/>
          <w:szCs w:val="24"/>
          <w:highlight w:val="yellow"/>
        </w:rPr>
        <w:t>yi</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ld mixed</w:t>
      </w:r>
      <w:r>
        <w:rPr>
          <w:rFonts w:ascii="Times New Roman" w:eastAsia="Times New Roman" w:hAnsi="Times New Roman" w:cs="Times New Roman"/>
          <w:sz w:val="24"/>
          <w:szCs w:val="24"/>
        </w:rPr>
        <w:t xml:space="preserve"> results regarding the stationarity of the variables. EPU is stationary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level</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highlight w:val="yellow"/>
        </w:rPr>
        <w:t>bec</w:t>
      </w:r>
      <w:r>
        <w:rPr>
          <w:rFonts w:ascii="Times New Roman" w:eastAsia="Times New Roman" w:hAnsi="Times New Roman" w:cs="Times New Roman"/>
          <w:sz w:val="24"/>
          <w:szCs w:val="24"/>
        </w:rPr>
        <w:t>a</w:t>
      </w:r>
      <w:r>
        <w:rPr>
          <w:rFonts w:ascii="Times New Roman" w:eastAsia="Times New Roman" w:hAnsi="Times New Roman" w:cs="Times New Roman"/>
          <w:sz w:val="24"/>
          <w:szCs w:val="24"/>
          <w:highlight w:val="yellow"/>
        </w:rPr>
        <w:t>u</w:t>
      </w:r>
      <w:r>
        <w:rPr>
          <w:rFonts w:ascii="Times New Roman" w:eastAsia="Times New Roman" w:hAnsi="Times New Roman" w:cs="Times New Roman"/>
          <w:sz w:val="24"/>
          <w:szCs w:val="24"/>
        </w:rPr>
        <w:t>s</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 xml:space="preserve"> the ADF test rejects the null hypothesis of a unit root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4.6877; p-value = 0.0001), while the KPSS test does not reject the null hypothesis of stationarity (0.3973; p-value = 0.0783). GDP growth (</w:t>
      </w:r>
      <w:proofErr w:type="spellStart"/>
      <w:r>
        <w:rPr>
          <w:rFonts w:ascii="Times New Roman" w:eastAsia="Times New Roman" w:hAnsi="Times New Roman" w:cs="Times New Roman"/>
          <w:sz w:val="24"/>
          <w:szCs w:val="24"/>
        </w:rPr>
        <w:t>GDPgr</w:t>
      </w:r>
      <w:proofErr w:type="spellEnd"/>
      <w:r>
        <w:rPr>
          <w:rFonts w:ascii="Times New Roman" w:eastAsia="Times New Roman" w:hAnsi="Times New Roman" w:cs="Times New Roman"/>
          <w:sz w:val="24"/>
          <w:szCs w:val="24"/>
        </w:rPr>
        <w:t xml:space="preserve">) is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1), as the ADF test does not reject the unit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root</w:t>
      </w:r>
      <w:r>
        <w:rPr>
          <w:rFonts w:ascii="Times New Roman" w:eastAsia="Times New Roman" w:hAnsi="Times New Roman" w:cs="Times New Roman"/>
          <w:sz w:val="24"/>
          <w:szCs w:val="24"/>
          <w:highlight w:val="yellow"/>
        </w:rPr>
        <w:t xml:space="preserve"> null</w:t>
      </w:r>
      <w:r>
        <w:rPr>
          <w:rFonts w:ascii="Times New Roman" w:eastAsia="Times New Roman" w:hAnsi="Times New Roman" w:cs="Times New Roman"/>
          <w:sz w:val="24"/>
          <w:szCs w:val="24"/>
        </w:rPr>
        <w:t xml:space="preserve"> at level (p-value = 0.6458) but rejects it after first differencing (p-value = 0.0067), consistent with the KPSS results. </w:t>
      </w:r>
      <w:r>
        <w:rPr>
          <w:rFonts w:ascii="Times New Roman" w:eastAsia="Times New Roman" w:hAnsi="Times New Roman" w:cs="Times New Roman"/>
          <w:sz w:val="24"/>
          <w:szCs w:val="24"/>
          <w:highlight w:val="yellow"/>
        </w:rPr>
        <w:t>By co</w:t>
      </w:r>
      <w:r>
        <w:rPr>
          <w:rFonts w:ascii="Times New Roman" w:eastAsia="Times New Roman" w:hAnsi="Times New Roman" w:cs="Times New Roman"/>
          <w:sz w:val="24"/>
          <w:szCs w:val="24"/>
        </w:rPr>
        <w:t>nt</w:t>
      </w:r>
      <w:r>
        <w:rPr>
          <w:rFonts w:ascii="Times New Roman" w:eastAsia="Times New Roman" w:hAnsi="Times New Roman" w:cs="Times New Roman"/>
          <w:sz w:val="24"/>
          <w:szCs w:val="24"/>
          <w:highlight w:val="yellow"/>
        </w:rPr>
        <w:t>ras</w:t>
      </w:r>
      <w:r>
        <w:rPr>
          <w:rFonts w:ascii="Times New Roman" w:eastAsia="Times New Roman" w:hAnsi="Times New Roman" w:cs="Times New Roman"/>
          <w:sz w:val="24"/>
          <w:szCs w:val="24"/>
        </w:rPr>
        <w:t xml:space="preserve">t, UEMR, INFR, and EXR are non-stationary at level and do not </w:t>
      </w:r>
      <w:r>
        <w:rPr>
          <w:rFonts w:ascii="Times New Roman" w:eastAsia="Times New Roman" w:hAnsi="Times New Roman" w:cs="Times New Roman"/>
          <w:sz w:val="24"/>
          <w:szCs w:val="24"/>
          <w:highlight w:val="yellow"/>
        </w:rPr>
        <w:t>prov</w:t>
      </w:r>
      <w:r>
        <w:rPr>
          <w:rFonts w:ascii="Times New Roman" w:eastAsia="Times New Roman" w:hAnsi="Times New Roman" w:cs="Times New Roman"/>
          <w:sz w:val="24"/>
          <w:szCs w:val="24"/>
        </w:rPr>
        <w:t>i</w:t>
      </w:r>
      <w:r>
        <w:rPr>
          <w:rFonts w:ascii="Times New Roman" w:eastAsia="Times New Roman" w:hAnsi="Times New Roman" w:cs="Times New Roman"/>
          <w:sz w:val="24"/>
          <w:szCs w:val="24"/>
          <w:highlight w:val="yellow"/>
        </w:rPr>
        <w:t>d</w:t>
      </w:r>
      <w:r>
        <w:rPr>
          <w:rFonts w:ascii="Times New Roman" w:eastAsia="Times New Roman" w:hAnsi="Times New Roman" w:cs="Times New Roman"/>
          <w:sz w:val="24"/>
          <w:szCs w:val="24"/>
        </w:rPr>
        <w:t xml:space="preserve">e reliable evidence of stationarity after first differencing. This may </w:t>
      </w:r>
      <w:r>
        <w:rPr>
          <w:rFonts w:ascii="Times New Roman" w:eastAsia="Times New Roman" w:hAnsi="Times New Roman" w:cs="Times New Roman"/>
          <w:sz w:val="24"/>
          <w:szCs w:val="24"/>
          <w:highlight w:val="yellow"/>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f</w:t>
      </w:r>
      <w:r>
        <w:rPr>
          <w:rFonts w:ascii="Times New Roman" w:eastAsia="Times New Roman" w:hAnsi="Times New Roman" w:cs="Times New Roman"/>
          <w:sz w:val="24"/>
          <w:szCs w:val="24"/>
        </w:rPr>
        <w:t>le</w:t>
      </w:r>
      <w:r>
        <w:rPr>
          <w:rFonts w:ascii="Times New Roman" w:eastAsia="Times New Roman" w:hAnsi="Times New Roman" w:cs="Times New Roman"/>
          <w:sz w:val="24"/>
          <w:szCs w:val="24"/>
          <w:highlight w:val="yellow"/>
        </w:rPr>
        <w:t>c</w:t>
      </w:r>
      <w:r>
        <w:rPr>
          <w:rFonts w:ascii="Times New Roman" w:eastAsia="Times New Roman" w:hAnsi="Times New Roman" w:cs="Times New Roman"/>
          <w:sz w:val="24"/>
          <w:szCs w:val="24"/>
        </w:rPr>
        <w:t>t structural breaks or nonlinear persistence. INTR is</w:t>
      </w:r>
      <w:r>
        <w:rPr>
          <w:rFonts w:ascii="Times New Roman" w:eastAsia="Times New Roman" w:hAnsi="Times New Roman" w:cs="Times New Roman"/>
          <w:sz w:val="24"/>
          <w:szCs w:val="24"/>
          <w:highlight w:val="yellow"/>
        </w:rPr>
        <w:t xml:space="preserve"> also</w:t>
      </w:r>
      <w:r>
        <w:rPr>
          <w:rFonts w:ascii="Times New Roman" w:eastAsia="Times New Roman" w:hAnsi="Times New Roman" w:cs="Times New Roman"/>
          <w:sz w:val="24"/>
          <w:szCs w:val="24"/>
        </w:rPr>
        <w:t xml:space="preserve"> non-stationary at level but </w:t>
      </w:r>
      <w:r>
        <w:rPr>
          <w:rFonts w:ascii="Times New Roman" w:eastAsia="Times New Roman" w:hAnsi="Times New Roman" w:cs="Times New Roman"/>
          <w:sz w:val="24"/>
          <w:szCs w:val="24"/>
          <w:highlight w:val="yellow"/>
        </w:rPr>
        <w:t>app</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ar</w:t>
      </w:r>
      <w:r>
        <w:rPr>
          <w:rFonts w:ascii="Times New Roman" w:eastAsia="Times New Roman" w:hAnsi="Times New Roman" w:cs="Times New Roman"/>
          <w:sz w:val="24"/>
          <w:szCs w:val="24"/>
        </w:rPr>
        <w:t>s stationary after first differencing, although the ADF evide</w:t>
      </w:r>
      <w:r>
        <w:rPr>
          <w:rFonts w:ascii="Times New Roman" w:eastAsia="Times New Roman" w:hAnsi="Times New Roman" w:cs="Times New Roman"/>
          <w:sz w:val="24"/>
          <w:szCs w:val="24"/>
          <w:highlight w:val="yellow"/>
        </w:rPr>
        <w:t>nce i</w:t>
      </w:r>
      <w:r>
        <w:rPr>
          <w:rFonts w:ascii="Times New Roman" w:eastAsia="Times New Roman" w:hAnsi="Times New Roman" w:cs="Times New Roman"/>
          <w:sz w:val="24"/>
          <w:szCs w:val="24"/>
        </w:rPr>
        <w:t>s relatively weak at the 10% significance level (p-value = 0.0549). Overall, the variables exhibit different integration</w:t>
      </w:r>
      <w:r>
        <w:rPr>
          <w:rFonts w:ascii="Times New Roman" w:eastAsia="Times New Roman" w:hAnsi="Times New Roman" w:cs="Times New Roman"/>
          <w:sz w:val="24"/>
          <w:szCs w:val="24"/>
          <w:highlight w:val="yellow"/>
        </w:rPr>
        <w:t xml:space="preserve"> properties</w:t>
      </w:r>
      <w:r>
        <w:rPr>
          <w:rFonts w:ascii="Times New Roman" w:eastAsia="Times New Roman" w:hAnsi="Times New Roman" w:cs="Times New Roman"/>
          <w:sz w:val="24"/>
          <w:szCs w:val="24"/>
        </w:rPr>
        <w:t xml:space="preserve">: EPU is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0), </w:t>
      </w:r>
      <w:proofErr w:type="spellStart"/>
      <w:r>
        <w:rPr>
          <w:rFonts w:ascii="Times New Roman" w:eastAsia="Times New Roman" w:hAnsi="Times New Roman" w:cs="Times New Roman"/>
          <w:sz w:val="24"/>
          <w:szCs w:val="24"/>
        </w:rPr>
        <w:t>GDPgr</w:t>
      </w:r>
      <w:proofErr w:type="spellEnd"/>
      <w:r>
        <w:rPr>
          <w:rFonts w:ascii="Times New Roman" w:eastAsia="Times New Roman" w:hAnsi="Times New Roman" w:cs="Times New Roman"/>
          <w:sz w:val="24"/>
          <w:szCs w:val="24"/>
        </w:rPr>
        <w:t xml:space="preserve"> and INTR a</w:t>
      </w:r>
      <w:r>
        <w:rPr>
          <w:rFonts w:ascii="Times New Roman" w:eastAsia="Times New Roman" w:hAnsi="Times New Roman" w:cs="Times New Roman"/>
          <w:sz w:val="24"/>
          <w:szCs w:val="24"/>
          <w:highlight w:val="yellow"/>
        </w:rPr>
        <w:t>ppea</w:t>
      </w:r>
      <w:r>
        <w:rPr>
          <w:rFonts w:ascii="Times New Roman" w:eastAsia="Times New Roman" w:hAnsi="Times New Roman" w:cs="Times New Roman"/>
          <w:sz w:val="24"/>
          <w:szCs w:val="24"/>
        </w:rPr>
        <w:t>r</w:t>
      </w:r>
      <w:r>
        <w:rPr>
          <w:rFonts w:ascii="Times New Roman" w:eastAsia="Times New Roman" w:hAnsi="Times New Roman" w:cs="Times New Roman"/>
          <w:sz w:val="24"/>
          <w:szCs w:val="24"/>
          <w:highlight w:val="yellow"/>
        </w:rPr>
        <w:t xml:space="preserve"> to b</w:t>
      </w:r>
      <w:r>
        <w:rPr>
          <w:rFonts w:ascii="Times New Roman" w:eastAsia="Times New Roman" w:hAnsi="Times New Roman" w:cs="Times New Roman"/>
          <w:sz w:val="24"/>
          <w:szCs w:val="24"/>
        </w:rPr>
        <w:t xml:space="preserve">e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1), whereas UEMR, INFR, and EXR require further examination. </w:t>
      </w:r>
      <w:r>
        <w:rPr>
          <w:rFonts w:ascii="Times New Roman" w:eastAsia="Times New Roman" w:hAnsi="Times New Roman" w:cs="Times New Roman"/>
          <w:sz w:val="24"/>
          <w:szCs w:val="24"/>
          <w:highlight w:val="yellow"/>
        </w:rPr>
        <w:t>It is t</w:t>
      </w:r>
      <w:r>
        <w:rPr>
          <w:rFonts w:ascii="Times New Roman" w:eastAsia="Times New Roman" w:hAnsi="Times New Roman" w:cs="Times New Roman"/>
          <w:sz w:val="24"/>
          <w:szCs w:val="24"/>
        </w:rPr>
        <w:t>herefore a</w:t>
      </w:r>
      <w:r>
        <w:rPr>
          <w:rFonts w:ascii="Times New Roman" w:eastAsia="Times New Roman" w:hAnsi="Times New Roman" w:cs="Times New Roman"/>
          <w:sz w:val="24"/>
          <w:szCs w:val="24"/>
          <w:highlight w:val="yellow"/>
        </w:rPr>
        <w:t>ppropr</w:t>
      </w:r>
      <w:r>
        <w:rPr>
          <w:rFonts w:ascii="Times New Roman" w:eastAsia="Times New Roman" w:hAnsi="Times New Roman" w:cs="Times New Roman"/>
          <w:sz w:val="24"/>
          <w:szCs w:val="24"/>
        </w:rPr>
        <w:t>ia</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e to account for structural breaks and apply additional unit-root tests before conducting the Hatemi-J asymmetric causality tests.</w:t>
      </w:r>
    </w:p>
    <w:p w14:paraId="63A98F7E" w14:textId="78A75A6C" w:rsidR="005F2F5B" w:rsidRDefault="00A13E6D" w:rsidP="00A13E6D">
      <w:pPr>
        <w:spacing w:before="100" w:beforeAutospacing="1" w:after="100" w:afterAutospacing="1" w:line="240" w:lineRule="auto"/>
        <w:outlineLvl w:val="2"/>
      </w:pPr>
      <w:r w:rsidRPr="005B26E0">
        <w:rPr>
          <w:rStyle w:val="Strong"/>
          <w:highlight w:val="cyan"/>
        </w:rPr>
        <w:t>4.3</w:t>
      </w:r>
      <w:r w:rsidRPr="005B26E0">
        <w:rPr>
          <w:highlight w:val="cyan"/>
        </w:rPr>
        <w:t>.</w:t>
      </w:r>
      <w:r w:rsidR="005F2F5B" w:rsidRPr="005B26E0">
        <w:rPr>
          <w:highlight w:val="cyan"/>
        </w:rPr>
        <w:t xml:space="preserve"> </w:t>
      </w:r>
      <w:proofErr w:type="spellStart"/>
      <w:r w:rsidR="005F2F5B" w:rsidRPr="005B26E0">
        <w:rPr>
          <w:highlight w:val="cyan"/>
        </w:rPr>
        <w:t>Zivot</w:t>
      </w:r>
      <w:proofErr w:type="spellEnd"/>
      <w:r w:rsidR="005F2F5B" w:rsidRPr="005B26E0">
        <w:rPr>
          <w:highlight w:val="cyan"/>
        </w:rPr>
        <w:t>–Andrews Structural-Break Unit-Root Test</w:t>
      </w:r>
    </w:p>
    <w:p w14:paraId="7CCF359F" w14:textId="1A5901DF" w:rsidR="00A13E6D" w:rsidRPr="007A50C1"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t xml:space="preserve"> </w:t>
      </w:r>
      <w:r w:rsidRPr="009E1123">
        <w:rPr>
          <w:rFonts w:ascii="Times New Roman" w:eastAsia="Times New Roman" w:hAnsi="Times New Roman" w:cs="Times New Roman"/>
          <w:bCs/>
          <w:sz w:val="24"/>
          <w:szCs w:val="24"/>
        </w:rPr>
        <w:t xml:space="preserve">Table 3: </w:t>
      </w:r>
      <w:proofErr w:type="spellStart"/>
      <w:r w:rsidRPr="009E1123">
        <w:rPr>
          <w:rFonts w:ascii="Times New Roman" w:eastAsia="Times New Roman" w:hAnsi="Times New Roman" w:cs="Times New Roman"/>
          <w:bCs/>
          <w:sz w:val="24"/>
          <w:szCs w:val="24"/>
        </w:rPr>
        <w:t>Zivot</w:t>
      </w:r>
      <w:proofErr w:type="spellEnd"/>
      <w:r w:rsidRPr="009E1123">
        <w:rPr>
          <w:rFonts w:ascii="Times New Roman" w:eastAsia="Times New Roman" w:hAnsi="Times New Roman" w:cs="Times New Roman"/>
          <w:bCs/>
          <w:sz w:val="24"/>
          <w:szCs w:val="24"/>
        </w:rPr>
        <w:t>–Andrews Structural-Break Unit-Root Test</w:t>
      </w:r>
    </w:p>
    <w:tbl>
      <w:tblPr>
        <w:tblStyle w:val="TableGrid"/>
        <w:tblW w:w="7920" w:type="dxa"/>
        <w:tblInd w:w="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019"/>
        <w:gridCol w:w="927"/>
        <w:gridCol w:w="1073"/>
        <w:gridCol w:w="1073"/>
        <w:gridCol w:w="1192"/>
        <w:gridCol w:w="1011"/>
      </w:tblGrid>
      <w:tr w:rsidR="00A13E6D" w14:paraId="5B3E107C" w14:textId="77777777" w:rsidTr="00B43039">
        <w:tc>
          <w:tcPr>
            <w:tcW w:w="961" w:type="dxa"/>
            <w:vAlign w:val="center"/>
          </w:tcPr>
          <w:p w14:paraId="34492287" w14:textId="77777777" w:rsidR="00A13E6D" w:rsidRPr="009E1123" w:rsidRDefault="00A13E6D" w:rsidP="00B43039">
            <w:pPr>
              <w:jc w:val="center"/>
              <w:rPr>
                <w:rFonts w:ascii="Times New Roman" w:eastAsia="Times New Roman" w:hAnsi="Times New Roman" w:cs="Times New Roman"/>
                <w:bCs/>
                <w:sz w:val="20"/>
                <w:szCs w:val="20"/>
              </w:rPr>
            </w:pPr>
            <w:r>
              <w:rPr>
                <w:rFonts w:ascii="Times New Roman" w:eastAsia="Times New Roman" w:hAnsi="Times New Roman" w:cs="Times New Roman"/>
                <w:b/>
                <w:bCs/>
                <w:sz w:val="27"/>
                <w:szCs w:val="27"/>
              </w:rPr>
              <w:tab/>
            </w:r>
            <w:r w:rsidRPr="009E1123">
              <w:rPr>
                <w:rFonts w:ascii="Times New Roman" w:eastAsia="Times New Roman" w:hAnsi="Times New Roman" w:cs="Times New Roman"/>
                <w:bCs/>
                <w:sz w:val="20"/>
                <w:szCs w:val="20"/>
              </w:rPr>
              <w:t>Variable</w:t>
            </w:r>
          </w:p>
        </w:tc>
        <w:tc>
          <w:tcPr>
            <w:tcW w:w="1090" w:type="dxa"/>
            <w:vAlign w:val="center"/>
          </w:tcPr>
          <w:p w14:paraId="74BE61FE"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ZA statistic</w:t>
            </w:r>
          </w:p>
        </w:tc>
        <w:tc>
          <w:tcPr>
            <w:tcW w:w="1009" w:type="dxa"/>
            <w:vAlign w:val="center"/>
          </w:tcPr>
          <w:p w14:paraId="46C23C04"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p-value</w:t>
            </w:r>
          </w:p>
        </w:tc>
        <w:tc>
          <w:tcPr>
            <w:tcW w:w="1170" w:type="dxa"/>
            <w:vAlign w:val="center"/>
          </w:tcPr>
          <w:p w14:paraId="24855147"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 critical value</w:t>
            </w:r>
          </w:p>
        </w:tc>
        <w:tc>
          <w:tcPr>
            <w:tcW w:w="1170" w:type="dxa"/>
            <w:vAlign w:val="center"/>
          </w:tcPr>
          <w:p w14:paraId="298BD2E2"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5% critical value</w:t>
            </w:r>
          </w:p>
        </w:tc>
        <w:tc>
          <w:tcPr>
            <w:tcW w:w="1350" w:type="dxa"/>
            <w:vAlign w:val="center"/>
          </w:tcPr>
          <w:p w14:paraId="7425E384"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10% critical value</w:t>
            </w:r>
          </w:p>
        </w:tc>
        <w:tc>
          <w:tcPr>
            <w:tcW w:w="1170" w:type="dxa"/>
            <w:vAlign w:val="center"/>
          </w:tcPr>
          <w:p w14:paraId="6C9640BA"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Break date</w:t>
            </w:r>
          </w:p>
        </w:tc>
      </w:tr>
      <w:tr w:rsidR="00A13E6D" w14:paraId="392F8455" w14:textId="77777777" w:rsidTr="00B43039">
        <w:tc>
          <w:tcPr>
            <w:tcW w:w="961" w:type="dxa"/>
            <w:vAlign w:val="center"/>
          </w:tcPr>
          <w:p w14:paraId="770B5B0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
        </w:tc>
        <w:tc>
          <w:tcPr>
            <w:tcW w:w="1090" w:type="dxa"/>
            <w:vAlign w:val="center"/>
          </w:tcPr>
          <w:p w14:paraId="09B12B84"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−6.5522</w:t>
            </w:r>
          </w:p>
        </w:tc>
        <w:tc>
          <w:tcPr>
            <w:tcW w:w="1009" w:type="dxa"/>
            <w:vAlign w:val="center"/>
          </w:tcPr>
          <w:p w14:paraId="6CDF0B24"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0.0010</w:t>
            </w:r>
          </w:p>
        </w:tc>
        <w:tc>
          <w:tcPr>
            <w:tcW w:w="1170" w:type="dxa"/>
            <w:vAlign w:val="center"/>
          </w:tcPr>
          <w:p w14:paraId="43BB5A0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57921B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30E862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2F3C5903"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2020-02</w:t>
            </w:r>
          </w:p>
        </w:tc>
      </w:tr>
      <w:tr w:rsidR="00A13E6D" w14:paraId="2CD45EC7" w14:textId="77777777" w:rsidTr="00B43039">
        <w:tc>
          <w:tcPr>
            <w:tcW w:w="961" w:type="dxa"/>
            <w:vAlign w:val="center"/>
          </w:tcPr>
          <w:p w14:paraId="6EF48C37" w14:textId="77777777" w:rsidR="00A13E6D" w:rsidRPr="009E1123" w:rsidRDefault="00A13E6D" w:rsidP="00B43039">
            <w:pPr>
              <w:rPr>
                <w:rFonts w:ascii="Times New Roman" w:eastAsia="Times New Roman" w:hAnsi="Times New Roman" w:cs="Times New Roman"/>
                <w:sz w:val="20"/>
                <w:szCs w:val="20"/>
              </w:rPr>
            </w:pPr>
            <w:proofErr w:type="spellStart"/>
            <w:r w:rsidRPr="009E1123">
              <w:rPr>
                <w:rFonts w:ascii="Times New Roman" w:eastAsia="Times New Roman" w:hAnsi="Times New Roman" w:cs="Times New Roman"/>
                <w:sz w:val="20"/>
                <w:szCs w:val="20"/>
              </w:rPr>
              <w:t>GDPgr</w:t>
            </w:r>
            <w:proofErr w:type="spellEnd"/>
          </w:p>
        </w:tc>
        <w:tc>
          <w:tcPr>
            <w:tcW w:w="1090" w:type="dxa"/>
            <w:vAlign w:val="center"/>
          </w:tcPr>
          <w:p w14:paraId="36B403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−3.8257</w:t>
            </w:r>
          </w:p>
        </w:tc>
        <w:tc>
          <w:tcPr>
            <w:tcW w:w="1009" w:type="dxa"/>
            <w:vAlign w:val="center"/>
          </w:tcPr>
          <w:p w14:paraId="3307954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0.6193</w:t>
            </w:r>
          </w:p>
        </w:tc>
        <w:tc>
          <w:tcPr>
            <w:tcW w:w="1170" w:type="dxa"/>
            <w:vAlign w:val="center"/>
          </w:tcPr>
          <w:p w14:paraId="44F7B4F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6DE73E1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B455BE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0EE2C60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2021-12</w:t>
            </w:r>
          </w:p>
        </w:tc>
      </w:tr>
      <w:tr w:rsidR="00A13E6D" w14:paraId="54C5FAA5" w14:textId="77777777" w:rsidTr="00B43039">
        <w:tc>
          <w:tcPr>
            <w:tcW w:w="961" w:type="dxa"/>
            <w:vAlign w:val="center"/>
          </w:tcPr>
          <w:p w14:paraId="6A44B66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w:t>
            </w:r>
          </w:p>
        </w:tc>
        <w:tc>
          <w:tcPr>
            <w:tcW w:w="1090" w:type="dxa"/>
            <w:vAlign w:val="center"/>
          </w:tcPr>
          <w:p w14:paraId="6916A3D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−3.3500</w:t>
            </w:r>
          </w:p>
        </w:tc>
        <w:tc>
          <w:tcPr>
            <w:tcW w:w="1009" w:type="dxa"/>
            <w:vAlign w:val="center"/>
          </w:tcPr>
          <w:p w14:paraId="2499980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0.8754</w:t>
            </w:r>
          </w:p>
        </w:tc>
        <w:tc>
          <w:tcPr>
            <w:tcW w:w="1170" w:type="dxa"/>
            <w:vAlign w:val="center"/>
          </w:tcPr>
          <w:p w14:paraId="3369FB3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3D843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AB2C3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56F3746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2019-04</w:t>
            </w:r>
          </w:p>
        </w:tc>
      </w:tr>
      <w:tr w:rsidR="00A13E6D" w14:paraId="61181E70" w14:textId="77777777" w:rsidTr="00B43039">
        <w:tc>
          <w:tcPr>
            <w:tcW w:w="961" w:type="dxa"/>
            <w:vAlign w:val="center"/>
          </w:tcPr>
          <w:p w14:paraId="4A2D7A9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w:t>
            </w:r>
          </w:p>
        </w:tc>
        <w:tc>
          <w:tcPr>
            <w:tcW w:w="1090" w:type="dxa"/>
            <w:vAlign w:val="center"/>
          </w:tcPr>
          <w:p w14:paraId="4DC5976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−1.4407</w:t>
            </w:r>
          </w:p>
        </w:tc>
        <w:tc>
          <w:tcPr>
            <w:tcW w:w="1009" w:type="dxa"/>
            <w:vAlign w:val="center"/>
          </w:tcPr>
          <w:p w14:paraId="304D1C8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0.9990</w:t>
            </w:r>
          </w:p>
        </w:tc>
        <w:tc>
          <w:tcPr>
            <w:tcW w:w="1170" w:type="dxa"/>
            <w:vAlign w:val="center"/>
          </w:tcPr>
          <w:p w14:paraId="194B90E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301BF9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751EB72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366523B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2022-01</w:t>
            </w:r>
          </w:p>
        </w:tc>
      </w:tr>
      <w:tr w:rsidR="00A13E6D" w14:paraId="15E316C2" w14:textId="77777777" w:rsidTr="00B43039">
        <w:tc>
          <w:tcPr>
            <w:tcW w:w="961" w:type="dxa"/>
            <w:vAlign w:val="center"/>
          </w:tcPr>
          <w:p w14:paraId="75548B4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w:t>
            </w:r>
          </w:p>
        </w:tc>
        <w:tc>
          <w:tcPr>
            <w:tcW w:w="1090" w:type="dxa"/>
            <w:vAlign w:val="center"/>
          </w:tcPr>
          <w:p w14:paraId="4770CF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−4.2901</w:t>
            </w:r>
          </w:p>
        </w:tc>
        <w:tc>
          <w:tcPr>
            <w:tcW w:w="1009" w:type="dxa"/>
            <w:vAlign w:val="center"/>
          </w:tcPr>
          <w:p w14:paraId="4DE5B7E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0.3202</w:t>
            </w:r>
          </w:p>
        </w:tc>
        <w:tc>
          <w:tcPr>
            <w:tcW w:w="1170" w:type="dxa"/>
            <w:vAlign w:val="center"/>
          </w:tcPr>
          <w:p w14:paraId="00CCD59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4D2BA07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DB779B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22C5B5F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2023-03</w:t>
            </w:r>
          </w:p>
        </w:tc>
      </w:tr>
      <w:tr w:rsidR="00A13E6D" w14:paraId="38BA55BE" w14:textId="77777777" w:rsidTr="00B43039">
        <w:tc>
          <w:tcPr>
            <w:tcW w:w="961" w:type="dxa"/>
            <w:vAlign w:val="center"/>
          </w:tcPr>
          <w:p w14:paraId="43ECC94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w:t>
            </w:r>
          </w:p>
        </w:tc>
        <w:tc>
          <w:tcPr>
            <w:tcW w:w="1090" w:type="dxa"/>
            <w:vAlign w:val="center"/>
          </w:tcPr>
          <w:p w14:paraId="6DF2502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−3.6979</w:t>
            </w:r>
          </w:p>
        </w:tc>
        <w:tc>
          <w:tcPr>
            <w:tcW w:w="1009" w:type="dxa"/>
            <w:vAlign w:val="center"/>
          </w:tcPr>
          <w:p w14:paraId="03F8E9B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0.7000</w:t>
            </w:r>
          </w:p>
        </w:tc>
        <w:tc>
          <w:tcPr>
            <w:tcW w:w="1170" w:type="dxa"/>
            <w:vAlign w:val="center"/>
          </w:tcPr>
          <w:p w14:paraId="7F29EDC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69330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7A91C6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0DB375C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2020-01</w:t>
            </w:r>
          </w:p>
        </w:tc>
      </w:tr>
    </w:tbl>
    <w:p w14:paraId="5F783CED"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22C64750" w14:textId="77777777" w:rsidR="00A13E6D" w:rsidRDefault="00A13E6D" w:rsidP="00A13E6D">
      <w:pPr>
        <w:pStyle w:val="NormalWeb"/>
        <w:jc w:val="both"/>
      </w:pPr>
      <w:r>
        <w:t xml:space="preserve">The </w:t>
      </w:r>
      <w:proofErr w:type="spellStart"/>
      <w:r>
        <w:t>Zivot</w:t>
      </w:r>
      <w:proofErr w:type="spellEnd"/>
      <w:r>
        <w:t>–Andrews results i</w:t>
      </w:r>
      <w:r>
        <w:rPr>
          <w:highlight w:val="yellow"/>
        </w:rPr>
        <w:t>n</w:t>
      </w:r>
      <w:r>
        <w:t>d</w:t>
      </w:r>
      <w:r>
        <w:rPr>
          <w:highlight w:val="yellow"/>
        </w:rPr>
        <w:t>icat</w:t>
      </w:r>
      <w:r>
        <w:t xml:space="preserve">e </w:t>
      </w:r>
      <w:r>
        <w:rPr>
          <w:highlight w:val="yellow"/>
        </w:rPr>
        <w:t>substant</w:t>
      </w:r>
      <w:r>
        <w:t>ia</w:t>
      </w:r>
      <w:r>
        <w:rPr>
          <w:highlight w:val="yellow"/>
        </w:rPr>
        <w:t>l</w:t>
      </w:r>
      <w:r>
        <w:t xml:space="preserve"> structural instability in the Nigerian macroeconomic time series. </w:t>
      </w:r>
      <w:r>
        <w:rPr>
          <w:highlight w:val="yellow"/>
        </w:rPr>
        <w:t>EPU rema</w:t>
      </w:r>
      <w:r>
        <w:t>i</w:t>
      </w:r>
      <w:r>
        <w:rPr>
          <w:highlight w:val="yellow"/>
        </w:rPr>
        <w:t xml:space="preserve">ns </w:t>
      </w:r>
      <w:r>
        <w:t>st</w:t>
      </w:r>
      <w:r>
        <w:rPr>
          <w:highlight w:val="yellow"/>
        </w:rPr>
        <w:t>ationary</w:t>
      </w:r>
      <w:r>
        <w:t xml:space="preserve"> </w:t>
      </w:r>
      <w:r>
        <w:rPr>
          <w:highlight w:val="yellow"/>
        </w:rPr>
        <w:t>in l</w:t>
      </w:r>
      <w:r>
        <w:t>eve</w:t>
      </w:r>
      <w:r>
        <w:rPr>
          <w:highlight w:val="yellow"/>
        </w:rPr>
        <w:t>ls</w:t>
      </w:r>
      <w:r>
        <w:t xml:space="preserve"> after accounting for an endogenous structural break, with a ZA statistic of −6.5522, a p-value of 0.0010, and an estimated break in February 2020, </w:t>
      </w:r>
      <w:r>
        <w:rPr>
          <w:highlight w:val="yellow"/>
        </w:rPr>
        <w:t xml:space="preserve">which </w:t>
      </w:r>
      <w:r>
        <w:t>closely coincid</w:t>
      </w:r>
      <w:r>
        <w:rPr>
          <w:highlight w:val="yellow"/>
        </w:rPr>
        <w:t>es</w:t>
      </w:r>
      <w:r>
        <w:t xml:space="preserve"> with the emergence of the COVID-19 shock and the associated </w:t>
      </w:r>
      <w:r>
        <w:rPr>
          <w:highlight w:val="yellow"/>
        </w:rPr>
        <w:t>inc</w:t>
      </w:r>
      <w:r>
        <w:t>r</w:t>
      </w:r>
      <w:r>
        <w:rPr>
          <w:highlight w:val="yellow"/>
        </w:rPr>
        <w:t>ea</w:t>
      </w:r>
      <w:r>
        <w:t xml:space="preserve">se in economic policy uncertainty. </w:t>
      </w:r>
      <w:r>
        <w:rPr>
          <w:highlight w:val="yellow"/>
        </w:rPr>
        <w:t xml:space="preserve">By </w:t>
      </w:r>
      <w:r>
        <w:t>con</w:t>
      </w:r>
      <w:r>
        <w:rPr>
          <w:highlight w:val="yellow"/>
        </w:rPr>
        <w:t>tr</w:t>
      </w:r>
      <w:r>
        <w:t>ast</w:t>
      </w:r>
      <w:r>
        <w:rPr>
          <w:highlight w:val="yellow"/>
        </w:rPr>
        <w:t>,</w:t>
      </w:r>
      <w:r>
        <w:t xml:space="preserve"> the unit-root </w:t>
      </w:r>
      <w:r>
        <w:rPr>
          <w:highlight w:val="yellow"/>
        </w:rPr>
        <w:t>null cann</w:t>
      </w:r>
      <w:r>
        <w:t>ot</w:t>
      </w:r>
      <w:r>
        <w:rPr>
          <w:highlight w:val="yellow"/>
        </w:rPr>
        <w:t xml:space="preserve"> b</w:t>
      </w:r>
      <w:r>
        <w:t>e</w:t>
      </w:r>
      <w:r>
        <w:rPr>
          <w:highlight w:val="yellow"/>
        </w:rPr>
        <w:t xml:space="preserve"> rejected</w:t>
      </w:r>
      <w:r>
        <w:t xml:space="preserve"> for</w:t>
      </w:r>
      <w:r>
        <w:rPr>
          <w:highlight w:val="yellow"/>
        </w:rPr>
        <w:t xml:space="preserve"> GDP growth,</w:t>
      </w:r>
      <w:r>
        <w:t xml:space="preserve"> unemployment, inflation, the exchange rate, or the interest rate after controlling for endogenous breaks </w:t>
      </w:r>
      <w:r>
        <w:rPr>
          <w:highlight w:val="yellow"/>
        </w:rPr>
        <w:t>bec</w:t>
      </w:r>
      <w:r>
        <w:t>a</w:t>
      </w:r>
      <w:r>
        <w:rPr>
          <w:highlight w:val="yellow"/>
        </w:rPr>
        <w:t>u</w:t>
      </w:r>
      <w:r>
        <w:t>s</w:t>
      </w:r>
      <w:r>
        <w:rPr>
          <w:highlight w:val="yellow"/>
        </w:rPr>
        <w:t>e</w:t>
      </w:r>
      <w:r>
        <w:t xml:space="preserve"> their ZA statistics are less negative than the </w:t>
      </w:r>
      <w:r>
        <w:rPr>
          <w:highlight w:val="yellow"/>
        </w:rPr>
        <w:t>5%</w:t>
      </w:r>
      <w:r>
        <w:t xml:space="preserve"> critical value. The identified break dates are December 2021 for GDP growth, April 2019 for unemployment, January 2022 for inflation, March 2023 for the exchange rate, and January 2020 for the interest rate. </w:t>
      </w:r>
      <w:r>
        <w:rPr>
          <w:highlight w:val="yellow"/>
        </w:rPr>
        <w:t>Th</w:t>
      </w:r>
      <w:r>
        <w:t>u</w:t>
      </w:r>
      <w:r>
        <w:rPr>
          <w:highlight w:val="yellow"/>
        </w:rPr>
        <w:t>s,</w:t>
      </w:r>
      <w:r>
        <w:t xml:space="preserve"> allowing for</w:t>
      </w:r>
      <w:r>
        <w:rPr>
          <w:highlight w:val="yellow"/>
        </w:rPr>
        <w:t xml:space="preserve"> an</w:t>
      </w:r>
      <w:r>
        <w:t xml:space="preserve"> endogenous structural break does not eliminate evidence </w:t>
      </w:r>
      <w:r>
        <w:lastRenderedPageBreak/>
        <w:t xml:space="preserve">of non-stationarity in most of the Nigerian macroeconomic variables. These findings support the use of causality methods that do not require all series to have the same order of integration. Specifically, the Toda–Yamamoto and Hatemi-J </w:t>
      </w:r>
      <w:r>
        <w:rPr>
          <w:highlight w:val="yellow"/>
        </w:rPr>
        <w:t>approac</w:t>
      </w:r>
      <w:r>
        <w:t xml:space="preserve">hes </w:t>
      </w:r>
      <w:r>
        <w:rPr>
          <w:highlight w:val="yellow"/>
        </w:rPr>
        <w:t>permit</w:t>
      </w:r>
      <w:r>
        <w:t xml:space="preserve"> causality to be examined in levels without imposing strong prior assumptions about the integration order of each time series</w:t>
      </w:r>
      <w:r>
        <w:rPr>
          <w:highlight w:val="yellow"/>
        </w:rPr>
        <w:t>.</w:t>
      </w:r>
    </w:p>
    <w:p w14:paraId="2BAA7B2A" w14:textId="77777777" w:rsidR="00A13E6D" w:rsidRDefault="00A13E6D" w:rsidP="00A13E6D">
      <w:pPr>
        <w:pStyle w:val="NormalWeb"/>
      </w:pPr>
      <w:r>
        <w:t>4.4 Positive and negative partial-sum decomposition.</w:t>
      </w:r>
    </w:p>
    <w:p w14:paraId="4643CF74" w14:textId="77777777" w:rsidR="00A13E6D" w:rsidRDefault="00A13E6D" w:rsidP="00A13E6D">
      <w:pPr>
        <w:spacing w:after="120"/>
        <w:jc w:val="both"/>
        <w:rPr>
          <w:rFonts w:ascii="Times New Roman" w:hAnsi="Times New Roman" w:cs="Times New Roman"/>
          <w:sz w:val="24"/>
          <w:szCs w:val="24"/>
        </w:rPr>
      </w:pPr>
      <w:r w:rsidRPr="0099393D">
        <w:rPr>
          <w:rFonts w:ascii="Times New Roman" w:hAnsi="Times New Roman" w:cs="Times New Roman"/>
          <w:sz w:val="24"/>
          <w:szCs w:val="24"/>
        </w:rPr>
        <w:t xml:space="preserve">Following Hatemi-J (2012), each monthly series is decomposed into positive and negative innovations. For a variable Y, the innovation is </w:t>
      </w:r>
      <w:r w:rsidRPr="0099393D">
        <w:rPr>
          <w:rFonts w:ascii="Times New Roman" w:hAnsi="Times New Roman" w:cs="Times New Roman"/>
          <w:position w:val="-12"/>
          <w:sz w:val="24"/>
          <w:szCs w:val="24"/>
        </w:rPr>
        <w:object w:dxaOrig="1320" w:dyaOrig="360" w14:anchorId="0EE5C54D">
          <v:shape id="_x0000_i1051" type="#_x0000_t75" style="width:65.55pt;height:18.25pt" o:ole="">
            <v:imagedata r:id="rId57" o:title=""/>
          </v:shape>
          <o:OLEObject Type="Embed" ProgID="Equation.DSMT4" ShapeID="_x0000_i1051" DrawAspect="Content" ObjectID="_1850374601" r:id="rId58"/>
        </w:object>
      </w:r>
      <w:r w:rsidRPr="0099393D">
        <w:rPr>
          <w:rFonts w:ascii="Times New Roman" w:hAnsi="Times New Roman" w:cs="Times New Roman"/>
          <w:sz w:val="24"/>
          <w:szCs w:val="24"/>
        </w:rPr>
        <w:t xml:space="preserve">, while the positive and negative components are </w:t>
      </w:r>
      <w:r w:rsidRPr="0099393D">
        <w:rPr>
          <w:rFonts w:ascii="Times New Roman" w:hAnsi="Times New Roman" w:cs="Times New Roman"/>
          <w:position w:val="-14"/>
          <w:sz w:val="24"/>
          <w:szCs w:val="24"/>
        </w:rPr>
        <w:object w:dxaOrig="1920" w:dyaOrig="400" w14:anchorId="1FCEDBA3">
          <v:shape id="_x0000_i1052" type="#_x0000_t75" style="width:95.1pt;height:19.35pt" o:ole="">
            <v:imagedata r:id="rId59" o:title=""/>
          </v:shape>
          <o:OLEObject Type="Embed" ProgID="Equation.DSMT4" ShapeID="_x0000_i1052" DrawAspect="Content" ObjectID="_1850374602" r:id="rId60"/>
        </w:object>
      </w:r>
      <w:r w:rsidRPr="0099393D">
        <w:rPr>
          <w:rFonts w:ascii="Times New Roman" w:hAnsi="Times New Roman" w:cs="Times New Roman"/>
          <w:sz w:val="24"/>
          <w:szCs w:val="24"/>
        </w:rPr>
        <w:t xml:space="preserve"> and </w:t>
      </w:r>
      <w:r w:rsidRPr="0099393D">
        <w:rPr>
          <w:rFonts w:ascii="Times New Roman" w:hAnsi="Times New Roman" w:cs="Times New Roman"/>
          <w:position w:val="-14"/>
          <w:sz w:val="24"/>
          <w:szCs w:val="24"/>
        </w:rPr>
        <w:object w:dxaOrig="1880" w:dyaOrig="400" w14:anchorId="5DCCCCB0">
          <v:shape id="_x0000_i1053" type="#_x0000_t75" style="width:94.05pt;height:19.35pt" o:ole="">
            <v:imagedata r:id="rId61" o:title=""/>
          </v:shape>
          <o:OLEObject Type="Embed" ProgID="Equation.DSMT4" ShapeID="_x0000_i1053" DrawAspect="Content" ObjectID="_1850374603" r:id="rId62"/>
        </w:object>
      </w:r>
      <w:r w:rsidRPr="0099393D">
        <w:rPr>
          <w:rFonts w:ascii="Times New Roman" w:hAnsi="Times New Roman" w:cs="Times New Roman"/>
          <w:sz w:val="24"/>
          <w:szCs w:val="24"/>
        </w:rPr>
        <w:t xml:space="preserve">. The cumulative partial sums are </w:t>
      </w:r>
      <w:r w:rsidRPr="0099393D">
        <w:rPr>
          <w:rFonts w:ascii="Times New Roman" w:hAnsi="Times New Roman" w:cs="Times New Roman"/>
          <w:position w:val="-14"/>
          <w:sz w:val="24"/>
          <w:szCs w:val="24"/>
        </w:rPr>
        <w:object w:dxaOrig="1400" w:dyaOrig="400" w14:anchorId="14D558ED">
          <v:shape id="_x0000_i1054" type="#_x0000_t75" style="width:69.3pt;height:19.35pt" o:ole="">
            <v:imagedata r:id="rId63" o:title=""/>
          </v:shape>
          <o:OLEObject Type="Embed" ProgID="Equation.DSMT4" ShapeID="_x0000_i1054" DrawAspect="Content" ObjectID="_1850374604" r:id="rId64"/>
        </w:object>
      </w:r>
      <w:r w:rsidRPr="0099393D">
        <w:rPr>
          <w:rFonts w:ascii="Times New Roman" w:hAnsi="Times New Roman" w:cs="Times New Roman"/>
          <w:sz w:val="24"/>
          <w:szCs w:val="24"/>
        </w:rPr>
        <w:t xml:space="preserve">and </w:t>
      </w:r>
      <w:r w:rsidRPr="0099393D">
        <w:rPr>
          <w:rFonts w:ascii="Times New Roman" w:hAnsi="Times New Roman" w:cs="Times New Roman"/>
          <w:position w:val="-14"/>
          <w:sz w:val="24"/>
          <w:szCs w:val="24"/>
        </w:rPr>
        <w:object w:dxaOrig="1400" w:dyaOrig="400" w14:anchorId="57C13F88">
          <v:shape id="_x0000_i1055" type="#_x0000_t75" style="width:69.3pt;height:19.35pt" o:ole="">
            <v:imagedata r:id="rId65" o:title=""/>
          </v:shape>
          <o:OLEObject Type="Embed" ProgID="Equation.DSMT4" ShapeID="_x0000_i1055" DrawAspect="Content" ObjectID="_1850374605" r:id="rId66"/>
        </w:object>
      </w:r>
      <w:r w:rsidRPr="0099393D">
        <w:rPr>
          <w:rFonts w:ascii="Times New Roman" w:hAnsi="Times New Roman" w:cs="Times New Roman"/>
          <w:sz w:val="24"/>
          <w:szCs w:val="24"/>
        </w:rPr>
        <w:t>. The resulting components allow positive-to-positive, negative-to-negative and cross-sign causal transmission to be tested separately.</w:t>
      </w:r>
    </w:p>
    <w:p w14:paraId="327A5CC6" w14:textId="4744E243" w:rsidR="00A13E6D" w:rsidRDefault="00A13E6D" w:rsidP="00A13E6D">
      <w:pPr>
        <w:pStyle w:val="ListBullet"/>
        <w:numPr>
          <w:ilvl w:val="0"/>
          <w:numId w:val="0"/>
        </w:numPr>
        <w:jc w:val="center"/>
      </w:pPr>
      <w:r w:rsidRPr="008F3BD7">
        <w:rPr>
          <w:sz w:val="20"/>
          <w:szCs w:val="20"/>
        </w:rPr>
        <w:t>Table 4:  Positive and negative partial-sum decomposition</w:t>
      </w:r>
      <w: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440"/>
        <w:gridCol w:w="1440"/>
        <w:gridCol w:w="1515"/>
        <w:gridCol w:w="1365"/>
        <w:gridCol w:w="1440"/>
      </w:tblGrid>
      <w:tr w:rsidR="00A13E6D" w14:paraId="36D998D5" w14:textId="77777777" w:rsidTr="00B43039">
        <w:trPr>
          <w:jc w:val="center"/>
        </w:trPr>
        <w:tc>
          <w:tcPr>
            <w:tcW w:w="910" w:type="dxa"/>
            <w:vAlign w:val="center"/>
          </w:tcPr>
          <w:p w14:paraId="1B45E44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Variable</w:t>
            </w:r>
          </w:p>
        </w:tc>
        <w:tc>
          <w:tcPr>
            <w:tcW w:w="1440" w:type="dxa"/>
            <w:vAlign w:val="center"/>
          </w:tcPr>
          <w:p w14:paraId="63537B84"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positive partial sum</w:t>
            </w:r>
          </w:p>
        </w:tc>
        <w:tc>
          <w:tcPr>
            <w:tcW w:w="1440" w:type="dxa"/>
            <w:vAlign w:val="center"/>
          </w:tcPr>
          <w:p w14:paraId="14B65D3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negative partial sum</w:t>
            </w:r>
          </w:p>
        </w:tc>
        <w:tc>
          <w:tcPr>
            <w:tcW w:w="1515" w:type="dxa"/>
            <w:vAlign w:val="center"/>
          </w:tcPr>
          <w:p w14:paraId="332377F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Net cumulative change</w:t>
            </w:r>
          </w:p>
        </w:tc>
        <w:tc>
          <w:tcPr>
            <w:tcW w:w="1365" w:type="dxa"/>
            <w:vAlign w:val="center"/>
          </w:tcPr>
          <w:p w14:paraId="72BD851C" w14:textId="77777777" w:rsidR="00A13E6D" w:rsidRPr="00C04CED" w:rsidRDefault="00A13E6D" w:rsidP="00B43039">
            <w:pPr>
              <w:rPr>
                <w:rFonts w:ascii="Times New Roman" w:hAnsi="Times New Roman" w:cs="Times New Roman"/>
                <w:sz w:val="20"/>
                <w:szCs w:val="20"/>
              </w:rPr>
            </w:pPr>
            <w:proofErr w:type="spellStart"/>
            <w:r>
              <w:rPr>
                <w:rFonts w:ascii="Times New Roman" w:hAnsi="Times New Roman" w:cs="Times New Roman"/>
                <w:sz w:val="20"/>
                <w:szCs w:val="20"/>
              </w:rPr>
              <w:t>Maximu</w:t>
            </w:r>
            <w:proofErr w:type="spellEnd"/>
            <w:r w:rsidRPr="00C04CED">
              <w:rPr>
                <w:rFonts w:ascii="Times New Roman" w:eastAsiaTheme="minorHAnsi" w:hAnsi="Times New Roman" w:cs="Times New Roman"/>
                <w:position w:val="-12"/>
                <w:sz w:val="20"/>
                <w:szCs w:val="20"/>
              </w:rPr>
              <w:object w:dxaOrig="320" w:dyaOrig="380" w14:anchorId="2BAF3088">
                <v:shape id="_x0000_i1056" type="#_x0000_t75" style="width:16.1pt;height:18.8pt" o:ole="">
                  <v:imagedata r:id="rId67" o:title=""/>
                </v:shape>
                <o:OLEObject Type="Embed" ProgID="Equation.DSMT4" ShapeID="_x0000_i1056" DrawAspect="Content" ObjectID="_1850374606" r:id="rId68"/>
              </w:object>
            </w:r>
            <w:r w:rsidRPr="00C04CED">
              <w:rPr>
                <w:rFonts w:ascii="Times New Roman" w:hAnsi="Times New Roman" w:cs="Times New Roman"/>
                <w:sz w:val="20"/>
                <w:szCs w:val="20"/>
              </w:rPr>
              <w:t xml:space="preserve"> </w:t>
            </w:r>
          </w:p>
        </w:tc>
        <w:tc>
          <w:tcPr>
            <w:tcW w:w="1440" w:type="dxa"/>
            <w:vAlign w:val="center"/>
          </w:tcPr>
          <w:p w14:paraId="6BA8693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 xml:space="preserve">Minimum </w:t>
            </w:r>
            <w:r w:rsidRPr="00C04CED">
              <w:rPr>
                <w:rFonts w:ascii="Times New Roman" w:eastAsiaTheme="minorHAnsi" w:hAnsi="Times New Roman" w:cs="Times New Roman"/>
                <w:position w:val="-12"/>
                <w:sz w:val="20"/>
                <w:szCs w:val="20"/>
              </w:rPr>
              <w:object w:dxaOrig="320" w:dyaOrig="380" w14:anchorId="7AE58900">
                <v:shape id="_x0000_i1057" type="#_x0000_t75" style="width:16.1pt;height:18.8pt" o:ole="">
                  <v:imagedata r:id="rId69" o:title=""/>
                </v:shape>
                <o:OLEObject Type="Embed" ProgID="Equation.DSMT4" ShapeID="_x0000_i1057" DrawAspect="Content" ObjectID="_1850374607" r:id="rId70"/>
              </w:object>
            </w:r>
          </w:p>
        </w:tc>
      </w:tr>
      <w:tr w:rsidR="00A13E6D" w14:paraId="78CD365B" w14:textId="77777777" w:rsidTr="00B43039">
        <w:trPr>
          <w:jc w:val="center"/>
        </w:trPr>
        <w:tc>
          <w:tcPr>
            <w:tcW w:w="910" w:type="dxa"/>
            <w:vAlign w:val="center"/>
          </w:tcPr>
          <w:p w14:paraId="54C8F73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EPU</w:t>
            </w:r>
          </w:p>
        </w:tc>
        <w:tc>
          <w:tcPr>
            <w:tcW w:w="1440" w:type="dxa"/>
            <w:vAlign w:val="center"/>
          </w:tcPr>
          <w:p w14:paraId="3CC1295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595C9E9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c>
          <w:tcPr>
            <w:tcW w:w="1515" w:type="dxa"/>
            <w:vAlign w:val="center"/>
          </w:tcPr>
          <w:p w14:paraId="513CDD7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-75.341</w:t>
            </w:r>
          </w:p>
        </w:tc>
        <w:tc>
          <w:tcPr>
            <w:tcW w:w="1365" w:type="dxa"/>
            <w:vAlign w:val="center"/>
          </w:tcPr>
          <w:p w14:paraId="270943E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297E995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r>
      <w:tr w:rsidR="00A13E6D" w14:paraId="6D2221BA" w14:textId="77777777" w:rsidTr="00B43039">
        <w:trPr>
          <w:jc w:val="center"/>
        </w:trPr>
        <w:tc>
          <w:tcPr>
            <w:tcW w:w="910" w:type="dxa"/>
            <w:vAlign w:val="center"/>
          </w:tcPr>
          <w:p w14:paraId="73AB3126" w14:textId="77777777" w:rsidR="00A13E6D" w:rsidRPr="00C04CED" w:rsidRDefault="00A13E6D" w:rsidP="00B43039">
            <w:pPr>
              <w:rPr>
                <w:rFonts w:ascii="Times New Roman" w:hAnsi="Times New Roman" w:cs="Times New Roman"/>
                <w:sz w:val="20"/>
                <w:szCs w:val="20"/>
              </w:rPr>
            </w:pPr>
            <w:proofErr w:type="spellStart"/>
            <w:r w:rsidRPr="00C04CED">
              <w:rPr>
                <w:rFonts w:ascii="Times New Roman" w:hAnsi="Times New Roman" w:cs="Times New Roman"/>
                <w:sz w:val="20"/>
                <w:szCs w:val="20"/>
              </w:rPr>
              <w:t>GDPgr</w:t>
            </w:r>
            <w:proofErr w:type="spellEnd"/>
          </w:p>
        </w:tc>
        <w:tc>
          <w:tcPr>
            <w:tcW w:w="1440" w:type="dxa"/>
            <w:vAlign w:val="center"/>
          </w:tcPr>
          <w:p w14:paraId="098974D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7953530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c>
          <w:tcPr>
            <w:tcW w:w="1515" w:type="dxa"/>
            <w:vAlign w:val="center"/>
          </w:tcPr>
          <w:p w14:paraId="0CA65E3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7.137</w:t>
            </w:r>
          </w:p>
        </w:tc>
        <w:tc>
          <w:tcPr>
            <w:tcW w:w="1365" w:type="dxa"/>
            <w:vAlign w:val="center"/>
          </w:tcPr>
          <w:p w14:paraId="6578151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4ACE731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r>
      <w:tr w:rsidR="00A13E6D" w14:paraId="4E893997" w14:textId="77777777" w:rsidTr="00B43039">
        <w:trPr>
          <w:jc w:val="center"/>
        </w:trPr>
        <w:tc>
          <w:tcPr>
            <w:tcW w:w="910" w:type="dxa"/>
            <w:vAlign w:val="center"/>
          </w:tcPr>
          <w:p w14:paraId="5174DDB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EXR</w:t>
            </w:r>
          </w:p>
        </w:tc>
        <w:tc>
          <w:tcPr>
            <w:tcW w:w="1440" w:type="dxa"/>
            <w:vAlign w:val="center"/>
          </w:tcPr>
          <w:p w14:paraId="0B6BC7E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40E172E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c>
          <w:tcPr>
            <w:tcW w:w="1515" w:type="dxa"/>
            <w:vAlign w:val="center"/>
          </w:tcPr>
          <w:p w14:paraId="24024E1B"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1490.298</w:t>
            </w:r>
          </w:p>
        </w:tc>
        <w:tc>
          <w:tcPr>
            <w:tcW w:w="1365" w:type="dxa"/>
            <w:vAlign w:val="center"/>
          </w:tcPr>
          <w:p w14:paraId="077B262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1A732618"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r>
      <w:tr w:rsidR="00A13E6D" w14:paraId="0888B751" w14:textId="77777777" w:rsidTr="00B43039">
        <w:trPr>
          <w:jc w:val="center"/>
        </w:trPr>
        <w:tc>
          <w:tcPr>
            <w:tcW w:w="910" w:type="dxa"/>
            <w:vAlign w:val="center"/>
          </w:tcPr>
          <w:p w14:paraId="01732BA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INFR</w:t>
            </w:r>
          </w:p>
        </w:tc>
        <w:tc>
          <w:tcPr>
            <w:tcW w:w="1440" w:type="dxa"/>
            <w:vAlign w:val="center"/>
          </w:tcPr>
          <w:p w14:paraId="3A5E585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506F138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c>
          <w:tcPr>
            <w:tcW w:w="1515" w:type="dxa"/>
            <w:vAlign w:val="center"/>
          </w:tcPr>
          <w:p w14:paraId="504D5A9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22.898</w:t>
            </w:r>
          </w:p>
        </w:tc>
        <w:tc>
          <w:tcPr>
            <w:tcW w:w="1365" w:type="dxa"/>
            <w:vAlign w:val="center"/>
          </w:tcPr>
          <w:p w14:paraId="42993B4E"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0B85011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r>
      <w:tr w:rsidR="00A13E6D" w14:paraId="164A26FB" w14:textId="77777777" w:rsidTr="00B43039">
        <w:trPr>
          <w:jc w:val="center"/>
        </w:trPr>
        <w:tc>
          <w:tcPr>
            <w:tcW w:w="910" w:type="dxa"/>
            <w:vAlign w:val="center"/>
          </w:tcPr>
          <w:p w14:paraId="7FED429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INTR</w:t>
            </w:r>
          </w:p>
        </w:tc>
        <w:tc>
          <w:tcPr>
            <w:tcW w:w="1440" w:type="dxa"/>
            <w:vAlign w:val="center"/>
          </w:tcPr>
          <w:p w14:paraId="4C2176F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3ADE04B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c>
          <w:tcPr>
            <w:tcW w:w="1515" w:type="dxa"/>
            <w:vAlign w:val="center"/>
          </w:tcPr>
          <w:p w14:paraId="7267237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-4.214</w:t>
            </w:r>
          </w:p>
        </w:tc>
        <w:tc>
          <w:tcPr>
            <w:tcW w:w="1365" w:type="dxa"/>
            <w:vAlign w:val="center"/>
          </w:tcPr>
          <w:p w14:paraId="79C951C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3B53BB6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r>
    </w:tbl>
    <w:p w14:paraId="35C6319E"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F6A4A5A" w14:textId="77777777" w:rsidR="00A13E6D" w:rsidRDefault="00A13E6D" w:rsidP="00A13E6D">
      <w:pPr>
        <w:pStyle w:val="pdq2pgselectionanchorcontainer"/>
        <w:jc w:val="both"/>
      </w:pPr>
      <w:r>
        <w:t xml:space="preserve">As proposed by Hatemi-J (2012), the positive and negative partial sums indicate structural asymmetry in the cumulative effects of shocks across Nigeria’s macroeconomic indicators. For EPU, cumulative negative shocks (910.078) exceeded cumulative positive shocks (834.737), resulting in a net decrease of 75.341. </w:t>
      </w:r>
      <w:r>
        <w:rPr>
          <w:highlight w:val="yellow"/>
        </w:rPr>
        <w:t>By</w:t>
      </w:r>
      <w:r>
        <w:t xml:space="preserve"> contrast, GDP growth recorded a net positive effect of 7.137 </w:t>
      </w:r>
      <w:r>
        <w:rPr>
          <w:highlight w:val="yellow"/>
        </w:rPr>
        <w:t>bec</w:t>
      </w:r>
      <w:r>
        <w:t>a</w:t>
      </w:r>
      <w:r>
        <w:rPr>
          <w:highlight w:val="yellow"/>
        </w:rPr>
        <w:t>u</w:t>
      </w:r>
      <w:r>
        <w:t>se cumulative positive shocks (19.108) e</w:t>
      </w:r>
      <w:r>
        <w:rPr>
          <w:highlight w:val="yellow"/>
        </w:rPr>
        <w:t>xce</w:t>
      </w:r>
      <w:r>
        <w:t>ede</w:t>
      </w:r>
      <w:r>
        <w:rPr>
          <w:highlight w:val="yellow"/>
        </w:rPr>
        <w:t>d</w:t>
      </w:r>
      <w:r>
        <w:t xml:space="preserve"> negative shocks (11.971).</w:t>
      </w:r>
      <w:r>
        <w:rPr>
          <w:highlight w:val="yellow"/>
        </w:rPr>
        <w:t xml:space="preserve"> </w:t>
      </w:r>
      <w:r>
        <w:t xml:space="preserve">The disparity is most pronounced </w:t>
      </w:r>
      <w:r>
        <w:rPr>
          <w:highlight w:val="yellow"/>
        </w:rPr>
        <w:t>for</w:t>
      </w:r>
      <w:r>
        <w:t xml:space="preserve"> the exchange rate, where cumulative positive innovations (1,591.537) substantially exceeded cumulative negative shocks (101.239), implying a net positive effect of 1,490.298. Similarly, inflation recorded cumulative positive shocks of 29.624 compared with cumulative negative shocks of 6.726, resulting in a net positive effect of 22.898.</w:t>
      </w:r>
      <w:r>
        <w:rPr>
          <w:highlight w:val="yellow"/>
        </w:rPr>
        <w:t xml:space="preserve"> </w:t>
      </w:r>
      <w:r>
        <w:t xml:space="preserve">Conversely, the interest rate recorded a net negative effect of −4.214, with cumulative positive shocks of 3.086 compared with cumulative negative shocks of 7.300. These directional differences provide evidence of asymmetric </w:t>
      </w:r>
      <w:proofErr w:type="spellStart"/>
      <w:r>
        <w:t>behaviour</w:t>
      </w:r>
      <w:proofErr w:type="spellEnd"/>
      <w:r>
        <w:t xml:space="preserve"> among Nigeria’s macroeconomic indicators </w:t>
      </w:r>
      <w:r>
        <w:rPr>
          <w:highlight w:val="yellow"/>
        </w:rPr>
        <w:t>and</w:t>
      </w:r>
      <w:r>
        <w:t xml:space="preserve"> support the application of </w:t>
      </w:r>
      <w:r>
        <w:rPr>
          <w:highlight w:val="yellow"/>
        </w:rPr>
        <w:t xml:space="preserve">the </w:t>
      </w:r>
      <w:r>
        <w:t>Hatemi-J</w:t>
      </w:r>
      <w:r>
        <w:rPr>
          <w:highlight w:val="yellow"/>
        </w:rPr>
        <w:t xml:space="preserve"> a</w:t>
      </w:r>
      <w:r>
        <w:t>s</w:t>
      </w:r>
      <w:r>
        <w:rPr>
          <w:highlight w:val="yellow"/>
        </w:rPr>
        <w:t>ymmetr</w:t>
      </w:r>
      <w:r>
        <w:t>i</w:t>
      </w:r>
      <w:r>
        <w:rPr>
          <w:highlight w:val="yellow"/>
        </w:rPr>
        <w:t>c</w:t>
      </w:r>
      <w:r>
        <w:t xml:space="preserve"> causality test</w:t>
      </w:r>
      <w:r>
        <w:rPr>
          <w:highlight w:val="yellow"/>
        </w:rPr>
        <w:t>.</w:t>
      </w:r>
    </w:p>
    <w:p w14:paraId="7BB30AE6" w14:textId="77777777" w:rsidR="00A13E6D" w:rsidRDefault="00A13E6D" w:rsidP="00A13E6D">
      <w:pPr>
        <w:pStyle w:val="ListBullet"/>
        <w:numPr>
          <w:ilvl w:val="1"/>
          <w:numId w:val="4"/>
        </w:numPr>
      </w:pPr>
      <w:r>
        <w:t>Lag-order and augmented VAR specification.</w:t>
      </w:r>
    </w:p>
    <w:p w14:paraId="1EB62034" w14:textId="77777777" w:rsidR="00A13E6D" w:rsidRPr="005C12C3" w:rsidRDefault="00A13E6D" w:rsidP="00A13E6D">
      <w:pPr>
        <w:spacing w:after="120"/>
        <w:jc w:val="center"/>
        <w:rPr>
          <w:rFonts w:ascii="Times New Roman" w:hAnsi="Times New Roman" w:cs="Times New Roman"/>
          <w:sz w:val="20"/>
          <w:szCs w:val="20"/>
        </w:rPr>
      </w:pPr>
      <w:r w:rsidRPr="005C12C3">
        <w:rPr>
          <w:rFonts w:ascii="Times New Roman" w:hAnsi="Times New Roman" w:cs="Times New Roman"/>
          <w:sz w:val="20"/>
          <w:szCs w:val="20"/>
        </w:rPr>
        <w:t>Table 5: Lag-order and augmented VAR specification.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610"/>
        <w:gridCol w:w="2700"/>
      </w:tblGrid>
      <w:tr w:rsidR="00A13E6D" w14:paraId="7DF10E17" w14:textId="77777777" w:rsidTr="00B43039">
        <w:trPr>
          <w:jc w:val="center"/>
        </w:trPr>
        <w:tc>
          <w:tcPr>
            <w:tcW w:w="1805" w:type="dxa"/>
            <w:vAlign w:val="center"/>
          </w:tcPr>
          <w:p w14:paraId="4BFE2E1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EPU–macro pair</w:t>
            </w:r>
          </w:p>
        </w:tc>
        <w:tc>
          <w:tcPr>
            <w:tcW w:w="1610" w:type="dxa"/>
            <w:vAlign w:val="center"/>
          </w:tcPr>
          <w:p w14:paraId="713B72A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AIC-selected </w:t>
            </w:r>
            <w:r w:rsidRPr="00022A15">
              <w:rPr>
                <w:rFonts w:ascii="Times New Roman" w:eastAsiaTheme="minorHAnsi" w:hAnsi="Times New Roman" w:cs="Times New Roman"/>
                <w:position w:val="-10"/>
                <w:sz w:val="20"/>
                <w:szCs w:val="20"/>
              </w:rPr>
              <w:object w:dxaOrig="240" w:dyaOrig="260" w14:anchorId="52C5BCA9">
                <v:shape id="_x0000_i1058" type="#_x0000_t75" style="width:12.35pt;height:13.95pt" o:ole="">
                  <v:imagedata r:id="rId71" o:title=""/>
                </v:shape>
                <o:OLEObject Type="Embed" ProgID="Equation.DSMT4" ShapeID="_x0000_i1058" DrawAspect="Content" ObjectID="_1850374608" r:id="rId72"/>
              </w:object>
            </w:r>
          </w:p>
        </w:tc>
        <w:tc>
          <w:tcPr>
            <w:tcW w:w="2700" w:type="dxa"/>
            <w:vAlign w:val="center"/>
          </w:tcPr>
          <w:p w14:paraId="10AAA7B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Augmented VAR </w:t>
            </w:r>
            <w:r w:rsidRPr="00022A15">
              <w:rPr>
                <w:rFonts w:eastAsiaTheme="minorHAnsi"/>
                <w:position w:val="-10"/>
              </w:rPr>
              <w:object w:dxaOrig="400" w:dyaOrig="279" w14:anchorId="06E37C62">
                <v:shape id="_x0000_i1059" type="#_x0000_t75" style="width:19.35pt;height:13.95pt" o:ole="">
                  <v:imagedata r:id="rId73" o:title=""/>
                </v:shape>
                <o:OLEObject Type="Embed" ProgID="Equation.DSMT4" ShapeID="_x0000_i1059" DrawAspect="Content" ObjectID="_1850374609" r:id="rId74"/>
              </w:object>
            </w:r>
            <w:proofErr w:type="spellStart"/>
            <w:r w:rsidRPr="00022A15">
              <w:rPr>
                <w:rFonts w:ascii="Times New Roman" w:hAnsi="Times New Roman" w:cs="Times New Roman"/>
                <w:sz w:val="20"/>
                <w:szCs w:val="20"/>
              </w:rPr>
              <w:t>dmax</w:t>
            </w:r>
            <w:proofErr w:type="spellEnd"/>
          </w:p>
        </w:tc>
      </w:tr>
      <w:tr w:rsidR="00A13E6D" w14:paraId="3431321F" w14:textId="77777777" w:rsidTr="00B43039">
        <w:trPr>
          <w:jc w:val="center"/>
        </w:trPr>
        <w:tc>
          <w:tcPr>
            <w:tcW w:w="1805" w:type="dxa"/>
            <w:vAlign w:val="center"/>
          </w:tcPr>
          <w:p w14:paraId="23B676CD" w14:textId="77777777" w:rsidR="00A13E6D" w:rsidRPr="00022A15" w:rsidRDefault="00A13E6D" w:rsidP="00B43039">
            <w:pPr>
              <w:rPr>
                <w:rFonts w:ascii="Times New Roman" w:hAnsi="Times New Roman" w:cs="Times New Roman"/>
                <w:sz w:val="20"/>
                <w:szCs w:val="20"/>
              </w:rPr>
            </w:pPr>
            <w:proofErr w:type="spellStart"/>
            <w:r w:rsidRPr="00022A15">
              <w:rPr>
                <w:rFonts w:ascii="Times New Roman" w:hAnsi="Times New Roman" w:cs="Times New Roman"/>
                <w:sz w:val="20"/>
                <w:szCs w:val="20"/>
              </w:rPr>
              <w:t>GDPgr</w:t>
            </w:r>
            <w:proofErr w:type="spellEnd"/>
          </w:p>
        </w:tc>
        <w:tc>
          <w:tcPr>
            <w:tcW w:w="1610" w:type="dxa"/>
            <w:vAlign w:val="center"/>
          </w:tcPr>
          <w:p w14:paraId="29F8666C"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397E0FC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4333EBAB" w14:textId="77777777" w:rsidTr="00B43039">
        <w:trPr>
          <w:jc w:val="center"/>
        </w:trPr>
        <w:tc>
          <w:tcPr>
            <w:tcW w:w="1805" w:type="dxa"/>
            <w:vAlign w:val="center"/>
          </w:tcPr>
          <w:p w14:paraId="5E5C9265"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EXR</w:t>
            </w:r>
          </w:p>
        </w:tc>
        <w:tc>
          <w:tcPr>
            <w:tcW w:w="1610" w:type="dxa"/>
            <w:vAlign w:val="center"/>
          </w:tcPr>
          <w:p w14:paraId="2069234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2</w:t>
            </w:r>
          </w:p>
        </w:tc>
        <w:tc>
          <w:tcPr>
            <w:tcW w:w="2700" w:type="dxa"/>
            <w:vAlign w:val="center"/>
          </w:tcPr>
          <w:p w14:paraId="7C7C2F6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r>
      <w:tr w:rsidR="00A13E6D" w14:paraId="1277B70B" w14:textId="77777777" w:rsidTr="00B43039">
        <w:trPr>
          <w:jc w:val="center"/>
        </w:trPr>
        <w:tc>
          <w:tcPr>
            <w:tcW w:w="1805" w:type="dxa"/>
            <w:vAlign w:val="center"/>
          </w:tcPr>
          <w:p w14:paraId="39E4EA32"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INFR</w:t>
            </w:r>
          </w:p>
        </w:tc>
        <w:tc>
          <w:tcPr>
            <w:tcW w:w="1610" w:type="dxa"/>
            <w:vAlign w:val="center"/>
          </w:tcPr>
          <w:p w14:paraId="1DF9494C"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c>
          <w:tcPr>
            <w:tcW w:w="2700" w:type="dxa"/>
            <w:vAlign w:val="center"/>
          </w:tcPr>
          <w:p w14:paraId="7F7DA6DF"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r>
      <w:tr w:rsidR="00A13E6D" w14:paraId="1057E062" w14:textId="77777777" w:rsidTr="00B43039">
        <w:trPr>
          <w:jc w:val="center"/>
        </w:trPr>
        <w:tc>
          <w:tcPr>
            <w:tcW w:w="1805" w:type="dxa"/>
            <w:vAlign w:val="center"/>
          </w:tcPr>
          <w:p w14:paraId="15B5E88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INTR</w:t>
            </w:r>
          </w:p>
        </w:tc>
        <w:tc>
          <w:tcPr>
            <w:tcW w:w="1610" w:type="dxa"/>
            <w:vAlign w:val="center"/>
          </w:tcPr>
          <w:p w14:paraId="7EA754F7"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74738F9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7A42214B" w14:textId="77777777" w:rsidTr="00B43039">
        <w:trPr>
          <w:jc w:val="center"/>
        </w:trPr>
        <w:tc>
          <w:tcPr>
            <w:tcW w:w="1805" w:type="dxa"/>
            <w:vAlign w:val="center"/>
          </w:tcPr>
          <w:p w14:paraId="1647CB5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UEMR</w:t>
            </w:r>
          </w:p>
        </w:tc>
        <w:tc>
          <w:tcPr>
            <w:tcW w:w="1610" w:type="dxa"/>
            <w:vAlign w:val="center"/>
          </w:tcPr>
          <w:p w14:paraId="5B4FD9B6"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215FFB8D"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bl>
    <w:p w14:paraId="5604289D"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896FE4D" w14:textId="77777777" w:rsidR="00A13E6D" w:rsidRDefault="00A13E6D" w:rsidP="00A13E6D">
      <w:pPr>
        <w:pStyle w:val="pdq2pgselectionanchorcontainer"/>
      </w:pPr>
      <w:r>
        <w:lastRenderedPageBreak/>
        <w:t xml:space="preserve">The lag-order selection in the modified VAR differs across </w:t>
      </w:r>
      <w:r>
        <w:rPr>
          <w:highlight w:val="yellow"/>
        </w:rPr>
        <w:t>th</w:t>
      </w:r>
      <w:r>
        <w:t>e EPU–macroeconomic variable pair</w:t>
      </w:r>
      <w:r>
        <w:rPr>
          <w:highlight w:val="yellow"/>
        </w:rPr>
        <w:t>s</w:t>
      </w:r>
      <w:r>
        <w:t xml:space="preserve">. Four lags are selected for </w:t>
      </w:r>
      <w:proofErr w:type="spellStart"/>
      <w:r>
        <w:t>GDPgr</w:t>
      </w:r>
      <w:proofErr w:type="spellEnd"/>
      <w:r>
        <w:t xml:space="preserve">, INTR, and UEMR, while two and three lags are selected for EXR and INFR, respectively. </w:t>
      </w:r>
      <w:r>
        <w:rPr>
          <w:highlight w:val="yellow"/>
        </w:rPr>
        <w:t>Unde</w:t>
      </w:r>
      <w:r>
        <w:t xml:space="preserve">r the Toda–Yamamoto approach, </w:t>
      </w:r>
      <w:r>
        <w:rPr>
          <w:highlight w:val="yellow"/>
        </w:rPr>
        <w:t>o</w:t>
      </w:r>
      <w:r>
        <w:t>n</w:t>
      </w:r>
      <w:r>
        <w:rPr>
          <w:highlight w:val="yellow"/>
        </w:rPr>
        <w:t>e</w:t>
      </w:r>
      <w:r>
        <w:t xml:space="preserve"> additional lag corresponding to the maximum order of integration, </w:t>
      </w:r>
      <w:proofErr w:type="spellStart"/>
      <w:r>
        <w:t>dmax</w:t>
      </w:r>
      <w:proofErr w:type="spellEnd"/>
      <w:r>
        <w:rPr>
          <w:rStyle w:val="vlist-s"/>
          <w:highlight w:val="yellow"/>
        </w:rPr>
        <w:t xml:space="preserve"> </w:t>
      </w:r>
      <w:r>
        <w:rPr>
          <w:rStyle w:val="mrel"/>
        </w:rPr>
        <w:t>=</w:t>
      </w:r>
      <w:r>
        <w:rPr>
          <w:rStyle w:val="mord"/>
          <w:highlight w:val="yellow"/>
        </w:rPr>
        <w:t xml:space="preserve"> </w:t>
      </w:r>
      <w:r>
        <w:rPr>
          <w:rStyle w:val="mord"/>
        </w:rPr>
        <w:t>1</w:t>
      </w:r>
      <w:r>
        <w:t>, is added to each selected lag order. Accordingly, the modified VAR orders are five lags for EPU–</w:t>
      </w:r>
      <w:proofErr w:type="spellStart"/>
      <w:r>
        <w:t>GDPgr</w:t>
      </w:r>
      <w:proofErr w:type="spellEnd"/>
      <w:r>
        <w:t>, three lags for EPU–EXR, four lags for EPU–INFR, five lags for EPU–INTR, and five lags for EPU–UEMR. The VAR models a</w:t>
      </w:r>
      <w:r>
        <w:rPr>
          <w:highlight w:val="yellow"/>
        </w:rPr>
        <w:t>re therefo</w:t>
      </w:r>
      <w:r>
        <w:t>re estimated with a maximum lag order equal to the sum of the selected lag length and the maximum order of integration, (</w:t>
      </w:r>
      <w:proofErr w:type="spellStart"/>
      <w:r>
        <w:t>dmax</w:t>
      </w:r>
      <w:proofErr w:type="spellEnd"/>
      <w:r>
        <w:rPr>
          <w:rStyle w:val="vlist-s"/>
          <w:highlight w:val="yellow"/>
        </w:rPr>
        <w:t xml:space="preserve"> </w:t>
      </w:r>
      <w:r>
        <w:rPr>
          <w:rStyle w:val="mbin"/>
        </w:rPr>
        <w:t>+</w:t>
      </w:r>
      <w:r>
        <w:rPr>
          <w:rStyle w:val="mord"/>
          <w:highlight w:val="yellow"/>
        </w:rPr>
        <w:t xml:space="preserve"> </w:t>
      </w:r>
      <w:r>
        <w:rPr>
          <w:rStyle w:val="mord"/>
        </w:rPr>
        <w:t>k</w:t>
      </w:r>
      <w:r>
        <w:rPr>
          <w:rStyle w:val="mclose"/>
        </w:rPr>
        <w:t>)</w:t>
      </w:r>
      <w:r>
        <w:t>.</w:t>
      </w:r>
    </w:p>
    <w:p w14:paraId="53A6C60F" w14:textId="77777777" w:rsidR="00A13E6D" w:rsidRPr="00670A98" w:rsidRDefault="00A13E6D" w:rsidP="00A13E6D">
      <w:pPr>
        <w:pStyle w:val="ListBullet"/>
        <w:numPr>
          <w:ilvl w:val="1"/>
          <w:numId w:val="4"/>
        </w:numPr>
        <w:rPr>
          <w:sz w:val="24"/>
          <w:szCs w:val="24"/>
        </w:rPr>
      </w:pPr>
      <w:r w:rsidRPr="00670A98">
        <w:rPr>
          <w:sz w:val="24"/>
          <w:szCs w:val="24"/>
        </w:rPr>
        <w:t xml:space="preserve"> Modified Wald Asymmetric Causality Tests and Bootstrap Inference</w:t>
      </w:r>
    </w:p>
    <w:p w14:paraId="4009117B" w14:textId="77777777" w:rsidR="00A13E6D" w:rsidRDefault="00A13E6D" w:rsidP="00A13E6D">
      <w:pPr>
        <w:pStyle w:val="NormalWeb"/>
        <w:jc w:val="both"/>
      </w:pPr>
      <w:r>
        <w:t xml:space="preserve">The </w:t>
      </w:r>
      <w:r>
        <w:rPr>
          <w:highlight w:val="yellow"/>
        </w:rPr>
        <w:t>mo</w:t>
      </w:r>
      <w:r>
        <w:t>d</w:t>
      </w:r>
      <w:r>
        <w:rPr>
          <w:highlight w:val="yellow"/>
        </w:rPr>
        <w:t>ifi</w:t>
      </w:r>
      <w:r>
        <w:t xml:space="preserve">ed Wald statistic is </w:t>
      </w:r>
      <w:r>
        <w:rPr>
          <w:highlight w:val="yellow"/>
        </w:rPr>
        <w:t>us</w:t>
      </w:r>
      <w:r>
        <w:t>ed to test the hypothesis that the coefficients on the first p lags of the causal partial-sum variable are jointly zero. Small month</w:t>
      </w:r>
      <w:r>
        <w:rPr>
          <w:highlight w:val="yellow"/>
        </w:rPr>
        <w:t>ly</w:t>
      </w:r>
      <w:r>
        <w:t xml:space="preserve"> samples and non-normality mean that the asymptotic chi-square approximation </w:t>
      </w:r>
      <w:r>
        <w:rPr>
          <w:highlight w:val="yellow"/>
        </w:rPr>
        <w:t>may</w:t>
      </w:r>
      <w:r>
        <w:t xml:space="preserve"> </w:t>
      </w:r>
      <w:r>
        <w:rPr>
          <w:highlight w:val="yellow"/>
        </w:rPr>
        <w:t>b</w:t>
      </w:r>
      <w:r>
        <w:t>e bias</w:t>
      </w:r>
      <w:r>
        <w:rPr>
          <w:highlight w:val="yellow"/>
        </w:rPr>
        <w:t>ed;</w:t>
      </w:r>
      <w:r>
        <w:t xml:space="preserve"> </w:t>
      </w:r>
      <w:r>
        <w:rPr>
          <w:highlight w:val="yellow"/>
        </w:rPr>
        <w:t>theref</w:t>
      </w:r>
      <w:r>
        <w:t>o</w:t>
      </w:r>
      <w:r>
        <w:rPr>
          <w:highlight w:val="yellow"/>
        </w:rPr>
        <w:t>re,</w:t>
      </w:r>
      <w:r>
        <w:t xml:space="preserve"> statistical inference is based on residual</w:t>
      </w:r>
      <w:r>
        <w:rPr>
          <w:highlight w:val="yellow"/>
        </w:rPr>
        <w:t>-</w:t>
      </w:r>
      <w:r>
        <w:t xml:space="preserve">bootstrap p-values. The null </w:t>
      </w:r>
      <w:r>
        <w:rPr>
          <w:highlight w:val="yellow"/>
        </w:rPr>
        <w:t xml:space="preserve">hypothesis </w:t>
      </w:r>
      <w:r>
        <w:t xml:space="preserve">is rejected at the 5% level </w:t>
      </w:r>
      <w:r>
        <w:rPr>
          <w:highlight w:val="yellow"/>
        </w:rPr>
        <w:t>when</w:t>
      </w:r>
      <w:r>
        <w:t xml:space="preserve"> the bootstrap p-value is </w:t>
      </w:r>
      <w:r>
        <w:rPr>
          <w:highlight w:val="yellow"/>
        </w:rPr>
        <w:t>0.0</w:t>
      </w:r>
      <w:r>
        <w:t>5 or lower.</w:t>
      </w:r>
    </w:p>
    <w:p w14:paraId="240EAFC7" w14:textId="260945D7" w:rsidR="009E4FCC" w:rsidRPr="005B26E0" w:rsidRDefault="009E4FCC" w:rsidP="00A13E6D">
      <w:pPr>
        <w:pStyle w:val="ListBullet"/>
        <w:numPr>
          <w:ilvl w:val="1"/>
          <w:numId w:val="5"/>
        </w:numPr>
        <w:rPr>
          <w:sz w:val="24"/>
          <w:szCs w:val="24"/>
          <w:highlight w:val="cyan"/>
        </w:rPr>
      </w:pPr>
      <w:r w:rsidRPr="005B26E0">
        <w:rPr>
          <w:sz w:val="24"/>
          <w:szCs w:val="24"/>
          <w:highlight w:val="cyan"/>
        </w:rPr>
        <w:t>Modified Wald Asymmetric Causality Tests and Bootstrap Inference</w:t>
      </w:r>
    </w:p>
    <w:p w14:paraId="5909C9B5" w14:textId="77777777" w:rsidR="009E4FCC" w:rsidRPr="009E4FCC" w:rsidRDefault="009E4FCC" w:rsidP="009E4FCC">
      <w:pPr>
        <w:pStyle w:val="ListBullet"/>
        <w:numPr>
          <w:ilvl w:val="0"/>
          <w:numId w:val="0"/>
        </w:numPr>
        <w:ind w:left="360"/>
        <w:rPr>
          <w:sz w:val="24"/>
          <w:szCs w:val="24"/>
        </w:rPr>
      </w:pPr>
    </w:p>
    <w:p w14:paraId="36F061F8" w14:textId="627A1EC3" w:rsidR="00A13E6D" w:rsidRPr="00670A98" w:rsidRDefault="00A13E6D" w:rsidP="009E4FCC">
      <w:pPr>
        <w:pStyle w:val="ListBullet"/>
        <w:numPr>
          <w:ilvl w:val="0"/>
          <w:numId w:val="0"/>
        </w:numPr>
        <w:ind w:left="360"/>
        <w:rPr>
          <w:sz w:val="24"/>
          <w:szCs w:val="24"/>
        </w:rPr>
      </w:pPr>
      <w:r>
        <w:t>Table</w:t>
      </w:r>
      <w:r w:rsidR="009E4FCC">
        <w:t xml:space="preserve"> </w:t>
      </w:r>
      <w:proofErr w:type="gramStart"/>
      <w:r w:rsidR="009E4FCC">
        <w:t>6 :</w:t>
      </w:r>
      <w:proofErr w:type="gramEnd"/>
      <w:r>
        <w:t xml:space="preserve"> </w:t>
      </w:r>
      <w:r w:rsidRPr="00670A98">
        <w:rPr>
          <w:sz w:val="24"/>
          <w:szCs w:val="24"/>
        </w:rPr>
        <w:t>Modified Wald Asymmetric Causality Tests and Bootstrap Inference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231"/>
        <w:gridCol w:w="1233"/>
        <w:gridCol w:w="1233"/>
        <w:gridCol w:w="1233"/>
        <w:gridCol w:w="1233"/>
      </w:tblGrid>
      <w:tr w:rsidR="00A13E6D" w14:paraId="41F5BE57" w14:textId="77777777" w:rsidTr="00B43039">
        <w:trPr>
          <w:jc w:val="center"/>
        </w:trPr>
        <w:tc>
          <w:tcPr>
            <w:tcW w:w="1234" w:type="dxa"/>
            <w:vAlign w:val="center"/>
          </w:tcPr>
          <w:p w14:paraId="3EEB29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Variable</w:t>
            </w:r>
          </w:p>
        </w:tc>
        <w:tc>
          <w:tcPr>
            <w:tcW w:w="1231" w:type="dxa"/>
            <w:vAlign w:val="center"/>
          </w:tcPr>
          <w:p w14:paraId="5E94CB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p</w:t>
            </w:r>
          </w:p>
        </w:tc>
        <w:tc>
          <w:tcPr>
            <w:tcW w:w="1233" w:type="dxa"/>
            <w:vAlign w:val="center"/>
          </w:tcPr>
          <w:p w14:paraId="0D54724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Cause component</w:t>
            </w:r>
          </w:p>
        </w:tc>
        <w:tc>
          <w:tcPr>
            <w:tcW w:w="1233" w:type="dxa"/>
            <w:vAlign w:val="center"/>
          </w:tcPr>
          <w:p w14:paraId="7BB197C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Effect component</w:t>
            </w:r>
          </w:p>
        </w:tc>
        <w:tc>
          <w:tcPr>
            <w:tcW w:w="1233" w:type="dxa"/>
            <w:vAlign w:val="center"/>
          </w:tcPr>
          <w:p w14:paraId="6718F3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Modified Wald</w:t>
            </w:r>
          </w:p>
        </w:tc>
        <w:tc>
          <w:tcPr>
            <w:tcW w:w="1233" w:type="dxa"/>
            <w:vAlign w:val="center"/>
          </w:tcPr>
          <w:p w14:paraId="43417A1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Bootstrap p-value</w:t>
            </w:r>
          </w:p>
        </w:tc>
      </w:tr>
      <w:tr w:rsidR="00A13E6D" w14:paraId="732F3D63" w14:textId="77777777" w:rsidTr="00B43039">
        <w:trPr>
          <w:jc w:val="center"/>
        </w:trPr>
        <w:tc>
          <w:tcPr>
            <w:tcW w:w="1234" w:type="dxa"/>
            <w:vAlign w:val="center"/>
          </w:tcPr>
          <w:p w14:paraId="0B93DE5C"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42C61F3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5A8C99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7497CD0"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5946402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1.027</w:t>
            </w:r>
          </w:p>
        </w:tc>
        <w:tc>
          <w:tcPr>
            <w:tcW w:w="1233" w:type="dxa"/>
            <w:vAlign w:val="center"/>
          </w:tcPr>
          <w:p w14:paraId="77181D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0.846</w:t>
            </w:r>
          </w:p>
        </w:tc>
      </w:tr>
      <w:tr w:rsidR="00A13E6D" w14:paraId="60A6E501" w14:textId="77777777" w:rsidTr="00B43039">
        <w:trPr>
          <w:jc w:val="center"/>
        </w:trPr>
        <w:tc>
          <w:tcPr>
            <w:tcW w:w="1234" w:type="dxa"/>
            <w:vAlign w:val="center"/>
          </w:tcPr>
          <w:p w14:paraId="7652F32D"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6747FB0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F775613"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302DF8C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EAD0C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0.670</w:t>
            </w:r>
          </w:p>
        </w:tc>
        <w:tc>
          <w:tcPr>
            <w:tcW w:w="1233" w:type="dxa"/>
            <w:vAlign w:val="center"/>
          </w:tcPr>
          <w:p w14:paraId="7FD31A5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689C0550" w14:textId="77777777" w:rsidTr="00B43039">
        <w:trPr>
          <w:jc w:val="center"/>
        </w:trPr>
        <w:tc>
          <w:tcPr>
            <w:tcW w:w="1234" w:type="dxa"/>
            <w:vAlign w:val="center"/>
          </w:tcPr>
          <w:p w14:paraId="7DAC505E"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569433C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E92A55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ADEE5B6"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441F33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6.317</w:t>
            </w:r>
          </w:p>
        </w:tc>
        <w:tc>
          <w:tcPr>
            <w:tcW w:w="1233" w:type="dxa"/>
            <w:vAlign w:val="center"/>
          </w:tcPr>
          <w:p w14:paraId="7C050BA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0.206</w:t>
            </w:r>
          </w:p>
        </w:tc>
      </w:tr>
      <w:tr w:rsidR="00A13E6D" w14:paraId="138D6127" w14:textId="77777777" w:rsidTr="00B43039">
        <w:trPr>
          <w:jc w:val="center"/>
        </w:trPr>
        <w:tc>
          <w:tcPr>
            <w:tcW w:w="1234" w:type="dxa"/>
            <w:vAlign w:val="center"/>
          </w:tcPr>
          <w:p w14:paraId="4484C892"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350F62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A374493"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254E93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27E202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4.064</w:t>
            </w:r>
          </w:p>
        </w:tc>
        <w:tc>
          <w:tcPr>
            <w:tcW w:w="1233" w:type="dxa"/>
            <w:vAlign w:val="center"/>
          </w:tcPr>
          <w:p w14:paraId="4BA4FD1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0.365</w:t>
            </w:r>
          </w:p>
        </w:tc>
      </w:tr>
      <w:tr w:rsidR="00A13E6D" w14:paraId="2ABB5C20" w14:textId="77777777" w:rsidTr="00B43039">
        <w:trPr>
          <w:jc w:val="center"/>
        </w:trPr>
        <w:tc>
          <w:tcPr>
            <w:tcW w:w="1234" w:type="dxa"/>
            <w:vAlign w:val="center"/>
          </w:tcPr>
          <w:p w14:paraId="31D4BED4"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49A9A48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C1AB7C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8080442"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66984B1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4.081</w:t>
            </w:r>
          </w:p>
        </w:tc>
        <w:tc>
          <w:tcPr>
            <w:tcW w:w="1233" w:type="dxa"/>
            <w:vAlign w:val="center"/>
          </w:tcPr>
          <w:p w14:paraId="7B84A50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0.244</w:t>
            </w:r>
          </w:p>
        </w:tc>
      </w:tr>
      <w:tr w:rsidR="00A13E6D" w14:paraId="65811AFC" w14:textId="77777777" w:rsidTr="00B43039">
        <w:trPr>
          <w:jc w:val="center"/>
        </w:trPr>
        <w:tc>
          <w:tcPr>
            <w:tcW w:w="1234" w:type="dxa"/>
            <w:vAlign w:val="center"/>
          </w:tcPr>
          <w:p w14:paraId="70CA1129"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130154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51076E5"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53AE09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6BCE82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47.210</w:t>
            </w:r>
          </w:p>
        </w:tc>
        <w:tc>
          <w:tcPr>
            <w:tcW w:w="1233" w:type="dxa"/>
            <w:vAlign w:val="center"/>
          </w:tcPr>
          <w:p w14:paraId="282318F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0.002</w:t>
            </w:r>
          </w:p>
        </w:tc>
      </w:tr>
      <w:tr w:rsidR="00A13E6D" w14:paraId="259229EE" w14:textId="77777777" w:rsidTr="00B43039">
        <w:trPr>
          <w:jc w:val="center"/>
        </w:trPr>
        <w:tc>
          <w:tcPr>
            <w:tcW w:w="1234" w:type="dxa"/>
            <w:vAlign w:val="center"/>
          </w:tcPr>
          <w:p w14:paraId="24F5274A"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6BF1116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A34ABB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1ACD137"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0DE3123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2.278</w:t>
            </w:r>
          </w:p>
        </w:tc>
        <w:tc>
          <w:tcPr>
            <w:tcW w:w="1233" w:type="dxa"/>
            <w:vAlign w:val="center"/>
          </w:tcPr>
          <w:p w14:paraId="5B3F46F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0.685</w:t>
            </w:r>
          </w:p>
        </w:tc>
      </w:tr>
      <w:tr w:rsidR="00A13E6D" w14:paraId="18C703C8" w14:textId="77777777" w:rsidTr="00B43039">
        <w:trPr>
          <w:jc w:val="center"/>
        </w:trPr>
        <w:tc>
          <w:tcPr>
            <w:tcW w:w="1234" w:type="dxa"/>
            <w:vAlign w:val="center"/>
          </w:tcPr>
          <w:p w14:paraId="735F4BC7"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29EAF39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5901A69"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7452023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92BCA2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8.529</w:t>
            </w:r>
          </w:p>
        </w:tc>
        <w:tc>
          <w:tcPr>
            <w:tcW w:w="1233" w:type="dxa"/>
            <w:vAlign w:val="center"/>
          </w:tcPr>
          <w:p w14:paraId="6FF8043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0.144</w:t>
            </w:r>
          </w:p>
        </w:tc>
      </w:tr>
      <w:tr w:rsidR="00A13E6D" w14:paraId="22B435BA" w14:textId="77777777" w:rsidTr="00B43039">
        <w:trPr>
          <w:jc w:val="center"/>
        </w:trPr>
        <w:tc>
          <w:tcPr>
            <w:tcW w:w="1234" w:type="dxa"/>
            <w:vAlign w:val="center"/>
          </w:tcPr>
          <w:p w14:paraId="25E8D9E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70FC99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5A19B5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3D0D8F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3E20EB8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0.762</w:t>
            </w:r>
          </w:p>
        </w:tc>
        <w:tc>
          <w:tcPr>
            <w:tcW w:w="1233" w:type="dxa"/>
            <w:vAlign w:val="center"/>
          </w:tcPr>
          <w:p w14:paraId="0FF770E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0.645</w:t>
            </w:r>
          </w:p>
        </w:tc>
      </w:tr>
      <w:tr w:rsidR="00A13E6D" w14:paraId="5C861043" w14:textId="77777777" w:rsidTr="00B43039">
        <w:trPr>
          <w:jc w:val="center"/>
        </w:trPr>
        <w:tc>
          <w:tcPr>
            <w:tcW w:w="1234" w:type="dxa"/>
            <w:vAlign w:val="center"/>
          </w:tcPr>
          <w:p w14:paraId="767DDD2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59B52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42AF5C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C8DF89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D85E38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0.221</w:t>
            </w:r>
          </w:p>
        </w:tc>
        <w:tc>
          <w:tcPr>
            <w:tcW w:w="1233" w:type="dxa"/>
            <w:vAlign w:val="center"/>
          </w:tcPr>
          <w:p w14:paraId="2475F6B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0.854</w:t>
            </w:r>
          </w:p>
        </w:tc>
      </w:tr>
      <w:tr w:rsidR="00A13E6D" w14:paraId="67B23614" w14:textId="77777777" w:rsidTr="00B43039">
        <w:trPr>
          <w:jc w:val="center"/>
        </w:trPr>
        <w:tc>
          <w:tcPr>
            <w:tcW w:w="1234" w:type="dxa"/>
            <w:vAlign w:val="center"/>
          </w:tcPr>
          <w:p w14:paraId="1E2AAF0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6688C3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7B9708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01F128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315DDC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4.239</w:t>
            </w:r>
          </w:p>
        </w:tc>
        <w:tc>
          <w:tcPr>
            <w:tcW w:w="1233" w:type="dxa"/>
            <w:vAlign w:val="center"/>
          </w:tcPr>
          <w:p w14:paraId="48EA830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4620C40B" w14:textId="77777777" w:rsidTr="00B43039">
        <w:trPr>
          <w:jc w:val="center"/>
        </w:trPr>
        <w:tc>
          <w:tcPr>
            <w:tcW w:w="1234" w:type="dxa"/>
            <w:vAlign w:val="center"/>
          </w:tcPr>
          <w:p w14:paraId="3AD18B7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3E0F54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382F825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1A7DE4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0073D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1.725</w:t>
            </w:r>
          </w:p>
        </w:tc>
        <w:tc>
          <w:tcPr>
            <w:tcW w:w="1233" w:type="dxa"/>
            <w:vAlign w:val="center"/>
          </w:tcPr>
          <w:p w14:paraId="60C0238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0.403</w:t>
            </w:r>
          </w:p>
        </w:tc>
      </w:tr>
      <w:tr w:rsidR="00A13E6D" w14:paraId="2EE4ADA2" w14:textId="77777777" w:rsidTr="00B43039">
        <w:trPr>
          <w:jc w:val="center"/>
        </w:trPr>
        <w:tc>
          <w:tcPr>
            <w:tcW w:w="1234" w:type="dxa"/>
            <w:vAlign w:val="center"/>
          </w:tcPr>
          <w:p w14:paraId="720DC27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4E9713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AA866A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976E63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3169B1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0.354</w:t>
            </w:r>
          </w:p>
        </w:tc>
        <w:tc>
          <w:tcPr>
            <w:tcW w:w="1233" w:type="dxa"/>
            <w:vAlign w:val="center"/>
          </w:tcPr>
          <w:p w14:paraId="3EC1E11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0.764</w:t>
            </w:r>
          </w:p>
        </w:tc>
      </w:tr>
      <w:tr w:rsidR="00A13E6D" w14:paraId="2EBCEC7A" w14:textId="77777777" w:rsidTr="00B43039">
        <w:trPr>
          <w:jc w:val="center"/>
        </w:trPr>
        <w:tc>
          <w:tcPr>
            <w:tcW w:w="1234" w:type="dxa"/>
            <w:vAlign w:val="center"/>
          </w:tcPr>
          <w:p w14:paraId="15E5F2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31A338B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DC4A1C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B7FE1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3FED0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0.524</w:t>
            </w:r>
          </w:p>
        </w:tc>
        <w:tc>
          <w:tcPr>
            <w:tcW w:w="1233" w:type="dxa"/>
            <w:vAlign w:val="center"/>
          </w:tcPr>
          <w:p w14:paraId="7196516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0.629</w:t>
            </w:r>
          </w:p>
        </w:tc>
      </w:tr>
      <w:tr w:rsidR="00A13E6D" w14:paraId="4801ED36" w14:textId="77777777" w:rsidTr="00B43039">
        <w:trPr>
          <w:jc w:val="center"/>
        </w:trPr>
        <w:tc>
          <w:tcPr>
            <w:tcW w:w="1234" w:type="dxa"/>
            <w:vAlign w:val="center"/>
          </w:tcPr>
          <w:p w14:paraId="20C8D01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2E334E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71707C9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369B44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093603C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1.445</w:t>
            </w:r>
          </w:p>
        </w:tc>
        <w:tc>
          <w:tcPr>
            <w:tcW w:w="1233" w:type="dxa"/>
            <w:vAlign w:val="center"/>
          </w:tcPr>
          <w:p w14:paraId="783C9A8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0.481</w:t>
            </w:r>
          </w:p>
        </w:tc>
      </w:tr>
      <w:tr w:rsidR="00A13E6D" w14:paraId="03778998" w14:textId="77777777" w:rsidTr="00B43039">
        <w:trPr>
          <w:jc w:val="center"/>
        </w:trPr>
        <w:tc>
          <w:tcPr>
            <w:tcW w:w="1234" w:type="dxa"/>
            <w:vAlign w:val="center"/>
          </w:tcPr>
          <w:p w14:paraId="0CF610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6DC321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87A673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6AD647B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9898A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1.071</w:t>
            </w:r>
          </w:p>
        </w:tc>
        <w:tc>
          <w:tcPr>
            <w:tcW w:w="1233" w:type="dxa"/>
            <w:vAlign w:val="center"/>
          </w:tcPr>
          <w:p w14:paraId="6C7FF2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0.585</w:t>
            </w:r>
          </w:p>
        </w:tc>
      </w:tr>
      <w:tr w:rsidR="00A13E6D" w14:paraId="61E42D33" w14:textId="77777777" w:rsidTr="00B43039">
        <w:trPr>
          <w:jc w:val="center"/>
        </w:trPr>
        <w:tc>
          <w:tcPr>
            <w:tcW w:w="1234" w:type="dxa"/>
            <w:vAlign w:val="center"/>
          </w:tcPr>
          <w:p w14:paraId="1BE63DE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AE1647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3D70C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BFE054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B1D9C0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1.453</w:t>
            </w:r>
          </w:p>
        </w:tc>
        <w:tc>
          <w:tcPr>
            <w:tcW w:w="1233" w:type="dxa"/>
            <w:vAlign w:val="center"/>
          </w:tcPr>
          <w:p w14:paraId="69F7C8E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0.579</w:t>
            </w:r>
          </w:p>
        </w:tc>
      </w:tr>
      <w:tr w:rsidR="00A13E6D" w14:paraId="4B8FADCD" w14:textId="77777777" w:rsidTr="00B43039">
        <w:trPr>
          <w:jc w:val="center"/>
        </w:trPr>
        <w:tc>
          <w:tcPr>
            <w:tcW w:w="1234" w:type="dxa"/>
            <w:vAlign w:val="center"/>
          </w:tcPr>
          <w:p w14:paraId="09A6D6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070250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4949038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11198CF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C42A72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0.699</w:t>
            </w:r>
          </w:p>
        </w:tc>
        <w:tc>
          <w:tcPr>
            <w:tcW w:w="1233" w:type="dxa"/>
            <w:vAlign w:val="center"/>
          </w:tcPr>
          <w:p w14:paraId="4413ED9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0.794</w:t>
            </w:r>
          </w:p>
        </w:tc>
      </w:tr>
      <w:tr w:rsidR="00A13E6D" w14:paraId="54C0687E" w14:textId="77777777" w:rsidTr="00B43039">
        <w:trPr>
          <w:jc w:val="center"/>
        </w:trPr>
        <w:tc>
          <w:tcPr>
            <w:tcW w:w="1234" w:type="dxa"/>
            <w:vAlign w:val="center"/>
          </w:tcPr>
          <w:p w14:paraId="620B5E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93243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4866B9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7E6F14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1C3678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2.770</w:t>
            </w:r>
          </w:p>
        </w:tc>
        <w:tc>
          <w:tcPr>
            <w:tcW w:w="1233" w:type="dxa"/>
            <w:vAlign w:val="center"/>
          </w:tcPr>
          <w:p w14:paraId="20681A2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0.447</w:t>
            </w:r>
          </w:p>
        </w:tc>
      </w:tr>
      <w:tr w:rsidR="00A13E6D" w14:paraId="706ADA86" w14:textId="77777777" w:rsidTr="00B43039">
        <w:trPr>
          <w:jc w:val="center"/>
        </w:trPr>
        <w:tc>
          <w:tcPr>
            <w:tcW w:w="1234" w:type="dxa"/>
            <w:vAlign w:val="center"/>
          </w:tcPr>
          <w:p w14:paraId="74757C3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5A2A5C8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262BD90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7B3251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46C0D3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6.520</w:t>
            </w:r>
          </w:p>
        </w:tc>
        <w:tc>
          <w:tcPr>
            <w:tcW w:w="1233" w:type="dxa"/>
            <w:vAlign w:val="center"/>
          </w:tcPr>
          <w:p w14:paraId="504489E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009BBC1E" w14:textId="77777777" w:rsidTr="00B43039">
        <w:trPr>
          <w:jc w:val="center"/>
        </w:trPr>
        <w:tc>
          <w:tcPr>
            <w:tcW w:w="1234" w:type="dxa"/>
            <w:vAlign w:val="center"/>
          </w:tcPr>
          <w:p w14:paraId="4E4E39B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2A08349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17D7217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32A743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7EB95A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1.527</w:t>
            </w:r>
          </w:p>
        </w:tc>
        <w:tc>
          <w:tcPr>
            <w:tcW w:w="1233" w:type="dxa"/>
            <w:vAlign w:val="center"/>
          </w:tcPr>
          <w:p w14:paraId="27D0641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0.569</w:t>
            </w:r>
          </w:p>
        </w:tc>
      </w:tr>
      <w:tr w:rsidR="00A13E6D" w14:paraId="5436FBC6" w14:textId="77777777" w:rsidTr="00B43039">
        <w:trPr>
          <w:jc w:val="center"/>
        </w:trPr>
        <w:tc>
          <w:tcPr>
            <w:tcW w:w="1234" w:type="dxa"/>
            <w:vAlign w:val="center"/>
          </w:tcPr>
          <w:p w14:paraId="718C798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351E22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02FCE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2523E24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CAB89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1.875</w:t>
            </w:r>
          </w:p>
        </w:tc>
        <w:tc>
          <w:tcPr>
            <w:tcW w:w="1233" w:type="dxa"/>
            <w:vAlign w:val="center"/>
          </w:tcPr>
          <w:p w14:paraId="0BB9066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0.479</w:t>
            </w:r>
          </w:p>
        </w:tc>
      </w:tr>
      <w:tr w:rsidR="00A13E6D" w14:paraId="4CA78C70" w14:textId="77777777" w:rsidTr="00B43039">
        <w:trPr>
          <w:jc w:val="center"/>
        </w:trPr>
        <w:tc>
          <w:tcPr>
            <w:tcW w:w="1234" w:type="dxa"/>
            <w:vAlign w:val="center"/>
          </w:tcPr>
          <w:p w14:paraId="5C65C5C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47613DE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788FD1B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06DC9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4ED71F5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3.179</w:t>
            </w:r>
          </w:p>
        </w:tc>
        <w:tc>
          <w:tcPr>
            <w:tcW w:w="1233" w:type="dxa"/>
            <w:vAlign w:val="center"/>
          </w:tcPr>
          <w:p w14:paraId="2DDB2F0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0.383</w:t>
            </w:r>
          </w:p>
        </w:tc>
      </w:tr>
      <w:tr w:rsidR="00A13E6D" w14:paraId="77EB2424" w14:textId="77777777" w:rsidTr="00B43039">
        <w:trPr>
          <w:jc w:val="center"/>
        </w:trPr>
        <w:tc>
          <w:tcPr>
            <w:tcW w:w="1234" w:type="dxa"/>
            <w:vAlign w:val="center"/>
          </w:tcPr>
          <w:p w14:paraId="52C3725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2F0547C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78A023B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32861B3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DCDCAD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6.689</w:t>
            </w:r>
          </w:p>
        </w:tc>
        <w:tc>
          <w:tcPr>
            <w:tcW w:w="1233" w:type="dxa"/>
            <w:vAlign w:val="center"/>
          </w:tcPr>
          <w:p w14:paraId="3AEB82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0.090</w:t>
            </w:r>
          </w:p>
        </w:tc>
      </w:tr>
      <w:tr w:rsidR="00A13E6D" w14:paraId="53E98585" w14:textId="77777777" w:rsidTr="00B43039">
        <w:trPr>
          <w:jc w:val="center"/>
        </w:trPr>
        <w:tc>
          <w:tcPr>
            <w:tcW w:w="1234" w:type="dxa"/>
            <w:vAlign w:val="center"/>
          </w:tcPr>
          <w:p w14:paraId="12D66D3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4728C5C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23915C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3043D2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4AA787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6.650</w:t>
            </w:r>
          </w:p>
        </w:tc>
        <w:tc>
          <w:tcPr>
            <w:tcW w:w="1233" w:type="dxa"/>
            <w:vAlign w:val="center"/>
          </w:tcPr>
          <w:p w14:paraId="0ADCCE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0.160</w:t>
            </w:r>
          </w:p>
        </w:tc>
      </w:tr>
      <w:tr w:rsidR="00A13E6D" w14:paraId="7CF92BB7" w14:textId="77777777" w:rsidTr="00B43039">
        <w:trPr>
          <w:jc w:val="center"/>
        </w:trPr>
        <w:tc>
          <w:tcPr>
            <w:tcW w:w="1234" w:type="dxa"/>
            <w:vAlign w:val="center"/>
          </w:tcPr>
          <w:p w14:paraId="40B414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5780CD5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352C62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9893C9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0E6F01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0.717</w:t>
            </w:r>
          </w:p>
        </w:tc>
        <w:tc>
          <w:tcPr>
            <w:tcW w:w="1233" w:type="dxa"/>
            <w:vAlign w:val="center"/>
          </w:tcPr>
          <w:p w14:paraId="76963EE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0.820</w:t>
            </w:r>
          </w:p>
        </w:tc>
      </w:tr>
      <w:tr w:rsidR="00A13E6D" w14:paraId="7F76F25B" w14:textId="77777777" w:rsidTr="00B43039">
        <w:trPr>
          <w:jc w:val="center"/>
        </w:trPr>
        <w:tc>
          <w:tcPr>
            <w:tcW w:w="1234" w:type="dxa"/>
            <w:vAlign w:val="center"/>
          </w:tcPr>
          <w:p w14:paraId="7E0F040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211AD7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DCA9B6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0B7831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B2D2C0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7.848</w:t>
            </w:r>
          </w:p>
        </w:tc>
        <w:tc>
          <w:tcPr>
            <w:tcW w:w="1233" w:type="dxa"/>
            <w:vAlign w:val="center"/>
          </w:tcPr>
          <w:p w14:paraId="2EFEC92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713AA356" w14:textId="77777777" w:rsidTr="00B43039">
        <w:trPr>
          <w:jc w:val="center"/>
        </w:trPr>
        <w:tc>
          <w:tcPr>
            <w:tcW w:w="1234" w:type="dxa"/>
            <w:vAlign w:val="center"/>
          </w:tcPr>
          <w:p w14:paraId="113C7CD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588D21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948926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025C65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43716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0.546</w:t>
            </w:r>
          </w:p>
        </w:tc>
        <w:tc>
          <w:tcPr>
            <w:tcW w:w="1233" w:type="dxa"/>
            <w:vAlign w:val="center"/>
          </w:tcPr>
          <w:p w14:paraId="4053FDC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0.962</w:t>
            </w:r>
          </w:p>
        </w:tc>
      </w:tr>
      <w:tr w:rsidR="00A13E6D" w14:paraId="2A473A9E" w14:textId="77777777" w:rsidTr="00B43039">
        <w:trPr>
          <w:jc w:val="center"/>
        </w:trPr>
        <w:tc>
          <w:tcPr>
            <w:tcW w:w="1234" w:type="dxa"/>
            <w:vAlign w:val="center"/>
          </w:tcPr>
          <w:p w14:paraId="71990C5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lastRenderedPageBreak/>
              <w:t>INTR</w:t>
            </w:r>
          </w:p>
        </w:tc>
        <w:tc>
          <w:tcPr>
            <w:tcW w:w="1231" w:type="dxa"/>
            <w:vAlign w:val="center"/>
          </w:tcPr>
          <w:p w14:paraId="177BF1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8EB96E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10833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42AB54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0.563</w:t>
            </w:r>
          </w:p>
        </w:tc>
        <w:tc>
          <w:tcPr>
            <w:tcW w:w="1233" w:type="dxa"/>
            <w:vAlign w:val="center"/>
          </w:tcPr>
          <w:p w14:paraId="41D52DB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0.950</w:t>
            </w:r>
          </w:p>
        </w:tc>
      </w:tr>
      <w:tr w:rsidR="00A13E6D" w14:paraId="12F7FE3F" w14:textId="77777777" w:rsidTr="00B43039">
        <w:trPr>
          <w:jc w:val="center"/>
        </w:trPr>
        <w:tc>
          <w:tcPr>
            <w:tcW w:w="1234" w:type="dxa"/>
            <w:vAlign w:val="center"/>
          </w:tcPr>
          <w:p w14:paraId="09A08C4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6F3241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75FC57A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6CBCAEB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D8769B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0.529</w:t>
            </w:r>
          </w:p>
        </w:tc>
        <w:tc>
          <w:tcPr>
            <w:tcW w:w="1233" w:type="dxa"/>
            <w:vAlign w:val="center"/>
          </w:tcPr>
          <w:p w14:paraId="6EF047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0.946</w:t>
            </w:r>
          </w:p>
        </w:tc>
      </w:tr>
      <w:tr w:rsidR="00A13E6D" w14:paraId="33B508EC" w14:textId="77777777" w:rsidTr="00B43039">
        <w:trPr>
          <w:jc w:val="center"/>
        </w:trPr>
        <w:tc>
          <w:tcPr>
            <w:tcW w:w="1234" w:type="dxa"/>
            <w:vAlign w:val="center"/>
          </w:tcPr>
          <w:p w14:paraId="4EE170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39B7381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4EF1F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48F894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19198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0.912</w:t>
            </w:r>
          </w:p>
        </w:tc>
        <w:tc>
          <w:tcPr>
            <w:tcW w:w="1233" w:type="dxa"/>
            <w:vAlign w:val="center"/>
          </w:tcPr>
          <w:p w14:paraId="3984B8D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546923D1" w14:textId="77777777" w:rsidTr="00B43039">
        <w:trPr>
          <w:jc w:val="center"/>
        </w:trPr>
        <w:tc>
          <w:tcPr>
            <w:tcW w:w="1234" w:type="dxa"/>
            <w:vAlign w:val="center"/>
          </w:tcPr>
          <w:p w14:paraId="43240B4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58D11F1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9A3C5E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4AECCA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9223D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10.764</w:t>
            </w:r>
          </w:p>
        </w:tc>
        <w:tc>
          <w:tcPr>
            <w:tcW w:w="1233" w:type="dxa"/>
            <w:vAlign w:val="center"/>
          </w:tcPr>
          <w:p w14:paraId="31A650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0.080</w:t>
            </w:r>
          </w:p>
        </w:tc>
      </w:tr>
      <w:tr w:rsidR="00A13E6D" w14:paraId="4CB3CF36" w14:textId="77777777" w:rsidTr="00B43039">
        <w:trPr>
          <w:jc w:val="center"/>
        </w:trPr>
        <w:tc>
          <w:tcPr>
            <w:tcW w:w="1234" w:type="dxa"/>
            <w:vAlign w:val="center"/>
          </w:tcPr>
          <w:p w14:paraId="608FF32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0D70CE8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BB0E2D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BFA65D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0218A8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7.083</w:t>
            </w:r>
          </w:p>
        </w:tc>
        <w:tc>
          <w:tcPr>
            <w:tcW w:w="1233" w:type="dxa"/>
            <w:vAlign w:val="center"/>
          </w:tcPr>
          <w:p w14:paraId="41CC10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6C08130E" w14:textId="77777777" w:rsidTr="00B43039">
        <w:trPr>
          <w:jc w:val="center"/>
        </w:trPr>
        <w:tc>
          <w:tcPr>
            <w:tcW w:w="1234" w:type="dxa"/>
            <w:vAlign w:val="center"/>
          </w:tcPr>
          <w:p w14:paraId="292131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97A576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5785A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55347D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9C5160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0.384</w:t>
            </w:r>
          </w:p>
        </w:tc>
        <w:tc>
          <w:tcPr>
            <w:tcW w:w="1233" w:type="dxa"/>
            <w:vAlign w:val="center"/>
          </w:tcPr>
          <w:p w14:paraId="78EB0AB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0.926</w:t>
            </w:r>
          </w:p>
        </w:tc>
      </w:tr>
      <w:tr w:rsidR="00A13E6D" w14:paraId="66E471C2" w14:textId="77777777" w:rsidTr="00B43039">
        <w:trPr>
          <w:jc w:val="center"/>
        </w:trPr>
        <w:tc>
          <w:tcPr>
            <w:tcW w:w="1234" w:type="dxa"/>
            <w:vAlign w:val="center"/>
          </w:tcPr>
          <w:p w14:paraId="0CCFFFF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229C692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57AA14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C8A362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4D4B43D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0.528</w:t>
            </w:r>
          </w:p>
        </w:tc>
        <w:tc>
          <w:tcPr>
            <w:tcW w:w="1233" w:type="dxa"/>
            <w:vAlign w:val="center"/>
          </w:tcPr>
          <w:p w14:paraId="5B765D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0.936</w:t>
            </w:r>
          </w:p>
        </w:tc>
      </w:tr>
      <w:tr w:rsidR="00A13E6D" w14:paraId="50E13C5C" w14:textId="77777777" w:rsidTr="00B43039">
        <w:trPr>
          <w:jc w:val="center"/>
        </w:trPr>
        <w:tc>
          <w:tcPr>
            <w:tcW w:w="1234" w:type="dxa"/>
            <w:vAlign w:val="center"/>
          </w:tcPr>
          <w:p w14:paraId="64ED15F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66F78B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D761C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7380FB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CBFAFA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11.206</w:t>
            </w:r>
          </w:p>
        </w:tc>
        <w:tc>
          <w:tcPr>
            <w:tcW w:w="1233" w:type="dxa"/>
            <w:vAlign w:val="center"/>
          </w:tcPr>
          <w:p w14:paraId="50C2812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0.058</w:t>
            </w:r>
          </w:p>
        </w:tc>
      </w:tr>
      <w:tr w:rsidR="00A13E6D" w14:paraId="129C3712" w14:textId="77777777" w:rsidTr="00B43039">
        <w:trPr>
          <w:jc w:val="center"/>
        </w:trPr>
        <w:tc>
          <w:tcPr>
            <w:tcW w:w="1234" w:type="dxa"/>
            <w:vAlign w:val="center"/>
          </w:tcPr>
          <w:p w14:paraId="6BD5800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89E120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32707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B49AD2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04843F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1.264</w:t>
            </w:r>
          </w:p>
        </w:tc>
        <w:tc>
          <w:tcPr>
            <w:tcW w:w="1233" w:type="dxa"/>
            <w:vAlign w:val="center"/>
          </w:tcPr>
          <w:p w14:paraId="608CBF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0.770</w:t>
            </w:r>
          </w:p>
        </w:tc>
      </w:tr>
      <w:tr w:rsidR="00A13E6D" w14:paraId="2CD05655" w14:textId="77777777" w:rsidTr="00B43039">
        <w:trPr>
          <w:jc w:val="center"/>
        </w:trPr>
        <w:tc>
          <w:tcPr>
            <w:tcW w:w="1234" w:type="dxa"/>
            <w:vAlign w:val="center"/>
          </w:tcPr>
          <w:p w14:paraId="0DF97A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36E2BBE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34F23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7E16660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C54D72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14.747</w:t>
            </w:r>
          </w:p>
        </w:tc>
        <w:tc>
          <w:tcPr>
            <w:tcW w:w="1233" w:type="dxa"/>
            <w:vAlign w:val="center"/>
          </w:tcPr>
          <w:p w14:paraId="1DCF17C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0.062</w:t>
            </w:r>
          </w:p>
        </w:tc>
      </w:tr>
      <w:tr w:rsidR="00A13E6D" w14:paraId="27F01CCA" w14:textId="77777777" w:rsidTr="00B43039">
        <w:trPr>
          <w:jc w:val="center"/>
        </w:trPr>
        <w:tc>
          <w:tcPr>
            <w:tcW w:w="1234" w:type="dxa"/>
            <w:vAlign w:val="center"/>
          </w:tcPr>
          <w:p w14:paraId="4F8CCC5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678776F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2ED159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C620C7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0885C79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1.518</w:t>
            </w:r>
          </w:p>
        </w:tc>
        <w:tc>
          <w:tcPr>
            <w:tcW w:w="1233" w:type="dxa"/>
            <w:vAlign w:val="center"/>
          </w:tcPr>
          <w:p w14:paraId="0F46BDE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0.806</w:t>
            </w:r>
          </w:p>
        </w:tc>
      </w:tr>
      <w:tr w:rsidR="00A13E6D" w14:paraId="237FEE66" w14:textId="77777777" w:rsidTr="00B43039">
        <w:trPr>
          <w:jc w:val="center"/>
        </w:trPr>
        <w:tc>
          <w:tcPr>
            <w:tcW w:w="1234" w:type="dxa"/>
            <w:vAlign w:val="center"/>
          </w:tcPr>
          <w:p w14:paraId="418D2B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5FB792F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08ED4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280848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768E6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5.741</w:t>
            </w:r>
          </w:p>
        </w:tc>
        <w:tc>
          <w:tcPr>
            <w:tcW w:w="1233" w:type="dxa"/>
            <w:vAlign w:val="center"/>
          </w:tcPr>
          <w:p w14:paraId="4E6213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0.250</w:t>
            </w:r>
          </w:p>
        </w:tc>
      </w:tr>
    </w:tbl>
    <w:p w14:paraId="7DE97B25"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1262E36" w14:textId="77777777" w:rsidR="00A13E6D" w:rsidRPr="00670A98"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sidRPr="00670A98">
        <w:rPr>
          <w:rFonts w:ascii="Times New Roman" w:eastAsia="Times New Roman" w:hAnsi="Times New Roman" w:cs="Times New Roman"/>
          <w:sz w:val="24"/>
          <w:szCs w:val="24"/>
        </w:rPr>
        <w:t xml:space="preserve">The modified Wald asymmetric causality results show </w:t>
      </w:r>
      <w:proofErr w:type="gramStart"/>
      <w:r>
        <w:rPr>
          <w:rFonts w:ascii="Times New Roman" w:eastAsia="Times New Roman" w:hAnsi="Times New Roman" w:cs="Times New Roman"/>
          <w:sz w:val="24"/>
          <w:szCs w:val="24"/>
        </w:rPr>
        <w:t xml:space="preserve">a very small </w:t>
      </w:r>
      <w:r w:rsidRPr="005A29D6">
        <w:rPr>
          <w:rFonts w:ascii="Times New Roman" w:eastAsia="Times New Roman" w:hAnsi="Times New Roman" w:cs="Times New Roman"/>
          <w:bCs/>
          <w:sz w:val="24"/>
          <w:szCs w:val="24"/>
        </w:rPr>
        <w:t>evidence</w:t>
      </w:r>
      <w:proofErr w:type="gramEnd"/>
      <w:r w:rsidRPr="005A29D6">
        <w:rPr>
          <w:rFonts w:ascii="Times New Roman" w:eastAsia="Times New Roman" w:hAnsi="Times New Roman" w:cs="Times New Roman"/>
          <w:bCs/>
          <w:sz w:val="24"/>
          <w:szCs w:val="24"/>
        </w:rPr>
        <w:t xml:space="preserve"> of causal relationships</w:t>
      </w:r>
      <w:r w:rsidRPr="00670A98">
        <w:rPr>
          <w:rFonts w:ascii="Times New Roman" w:eastAsia="Times New Roman" w:hAnsi="Times New Roman" w:cs="Times New Roman"/>
          <w:sz w:val="24"/>
          <w:szCs w:val="24"/>
        </w:rPr>
        <w:t xml:space="preserve"> between EPU and the macroeconomic variables when bootstrap p-valu</w:t>
      </w:r>
      <w:r>
        <w:rPr>
          <w:rFonts w:ascii="Times New Roman" w:eastAsia="Times New Roman" w:hAnsi="Times New Roman" w:cs="Times New Roman"/>
          <w:sz w:val="24"/>
          <w:szCs w:val="24"/>
        </w:rPr>
        <w:t xml:space="preserve">es are used. </w:t>
      </w:r>
      <w:r w:rsidRPr="00670A98">
        <w:rPr>
          <w:rFonts w:ascii="Times New Roman" w:eastAsia="Times New Roman" w:hAnsi="Times New Roman" w:cs="Times New Roman"/>
          <w:position w:val="-14"/>
          <w:sz w:val="24"/>
          <w:szCs w:val="24"/>
        </w:rPr>
        <w:object w:dxaOrig="1620" w:dyaOrig="400" w14:anchorId="60277F09">
          <v:shape id="_x0000_i1060" type="#_x0000_t75" style="width:80.05pt;height:19.35pt" o:ole="">
            <v:imagedata r:id="rId75" o:title=""/>
          </v:shape>
          <o:OLEObject Type="Embed" ProgID="Equation.DSMT4" ShapeID="_x0000_i1060" DrawAspect="Content" ObjectID="_1850374610" r:id="rId76"/>
        </w:object>
      </w:r>
      <w:r w:rsidRPr="00670A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the only significant </w:t>
      </w:r>
      <w:proofErr w:type="gramStart"/>
      <w:r>
        <w:rPr>
          <w:rFonts w:ascii="Times New Roman" w:eastAsia="Times New Roman" w:hAnsi="Times New Roman" w:cs="Times New Roman"/>
          <w:sz w:val="24"/>
          <w:szCs w:val="24"/>
        </w:rPr>
        <w:t xml:space="preserve">relationship </w:t>
      </w:r>
      <w:r w:rsidRPr="00670A98">
        <w:rPr>
          <w:rFonts w:ascii="Times New Roman" w:eastAsia="Times New Roman" w:hAnsi="Times New Roman" w:cs="Times New Roman"/>
          <w:sz w:val="24"/>
          <w:szCs w:val="24"/>
        </w:rPr>
        <w:t xml:space="preserve"> with</w:t>
      </w:r>
      <w:proofErr w:type="gramEnd"/>
      <w:r w:rsidRPr="00670A98">
        <w:rPr>
          <w:rFonts w:ascii="Times New Roman" w:eastAsia="Times New Roman" w:hAnsi="Times New Roman" w:cs="Times New Roman"/>
          <w:sz w:val="24"/>
          <w:szCs w:val="24"/>
        </w:rPr>
        <w:t xml:space="preserve"> a Wald statistic of </w:t>
      </w:r>
      <w:r w:rsidRPr="00670A98">
        <w:rPr>
          <w:rFonts w:ascii="Times New Roman" w:eastAsia="Times New Roman" w:hAnsi="Times New Roman" w:cs="Times New Roman"/>
          <w:b/>
          <w:bCs/>
          <w:sz w:val="24"/>
          <w:szCs w:val="24"/>
        </w:rPr>
        <w:t>47.210</w:t>
      </w:r>
      <w:r w:rsidRPr="00670A98">
        <w:rPr>
          <w:rFonts w:ascii="Times New Roman" w:eastAsia="Times New Roman" w:hAnsi="Times New Roman" w:cs="Times New Roman"/>
          <w:sz w:val="24"/>
          <w:szCs w:val="24"/>
        </w:rPr>
        <w:t xml:space="preserve"> and bootstrap </w:t>
      </w:r>
      <w:r w:rsidRPr="005A29D6">
        <w:rPr>
          <w:rFonts w:ascii="Times New Roman" w:eastAsia="Times New Roman" w:hAnsi="Times New Roman" w:cs="Times New Roman"/>
          <w:position w:val="-10"/>
          <w:sz w:val="24"/>
          <w:szCs w:val="24"/>
        </w:rPr>
        <w:object w:dxaOrig="960" w:dyaOrig="320" w14:anchorId="66416864">
          <v:shape id="_x0000_i1061" type="#_x0000_t75" style="width:48.9pt;height:16.1pt" o:ole="">
            <v:imagedata r:id="rId77" o:title=""/>
          </v:shape>
          <o:OLEObject Type="Embed" ProgID="Equation.DSMT4" ShapeID="_x0000_i1061" DrawAspect="Content" ObjectID="_1850374611" r:id="rId78"/>
        </w:object>
      </w:r>
      <w:r w:rsidRPr="00670A98">
        <w:rPr>
          <w:rFonts w:ascii="Times New Roman" w:eastAsia="Times New Roman" w:hAnsi="Times New Roman" w:cs="Times New Roman"/>
          <w:sz w:val="24"/>
          <w:szCs w:val="24"/>
        </w:rPr>
        <w:t xml:space="preserve"> of </w:t>
      </w:r>
      <w:r w:rsidRPr="00670A98">
        <w:rPr>
          <w:rFonts w:ascii="Times New Roman" w:eastAsia="Times New Roman" w:hAnsi="Times New Roman" w:cs="Times New Roman"/>
          <w:b/>
          <w:bCs/>
          <w:sz w:val="24"/>
          <w:szCs w:val="24"/>
        </w:rPr>
        <w:t>0.002</w:t>
      </w:r>
      <w:r w:rsidRPr="00670A98">
        <w:rPr>
          <w:rFonts w:ascii="Times New Roman" w:eastAsia="Times New Roman" w:hAnsi="Times New Roman" w:cs="Times New Roman"/>
          <w:sz w:val="24"/>
          <w:szCs w:val="24"/>
        </w:rPr>
        <w:t xml:space="preserve">, indicating that negative GDP growth shocks significantly cause positive EPU shocks. </w:t>
      </w:r>
      <w:r>
        <w:rPr>
          <w:rFonts w:ascii="Times New Roman" w:eastAsia="Times New Roman" w:hAnsi="Times New Roman" w:cs="Times New Roman"/>
          <w:sz w:val="24"/>
          <w:szCs w:val="24"/>
        </w:rPr>
        <w:t xml:space="preserve">There is also weak evidence for </w:t>
      </w:r>
      <w:r w:rsidRPr="00670A98">
        <w:rPr>
          <w:rFonts w:ascii="Times New Roman" w:eastAsia="Times New Roman" w:hAnsi="Times New Roman" w:cs="Times New Roman"/>
          <w:position w:val="-14"/>
          <w:sz w:val="24"/>
          <w:szCs w:val="24"/>
        </w:rPr>
        <w:object w:dxaOrig="2700" w:dyaOrig="400" w14:anchorId="764EA249">
          <v:shape id="_x0000_i1062" type="#_x0000_t75" style="width:133.8pt;height:19.35pt" o:ole="">
            <v:imagedata r:id="rId79" o:title=""/>
          </v:shape>
          <o:OLEObject Type="Embed" ProgID="Equation.DSMT4" ShapeID="_x0000_i1062" DrawAspect="Content" ObjectID="_1850374612" r:id="rId80"/>
        </w:object>
      </w:r>
      <w:r w:rsidRPr="00670A98">
        <w:rPr>
          <w:rFonts w:ascii="Times New Roman" w:eastAsia="Times New Roman" w:hAnsi="Times New Roman" w:cs="Times New Roman"/>
          <w:sz w:val="24"/>
          <w:szCs w:val="24"/>
        </w:rPr>
        <w:t xml:space="preserve">, while </w:t>
      </w:r>
      <w:r w:rsidRPr="00EF1822">
        <w:rPr>
          <w:position w:val="-14"/>
        </w:rPr>
        <w:object w:dxaOrig="2700" w:dyaOrig="400" w14:anchorId="41B4C22E">
          <v:shape id="_x0000_i1063" type="#_x0000_t75" style="width:133.8pt;height:19.35pt" o:ole="">
            <v:imagedata r:id="rId81" o:title=""/>
          </v:shape>
          <o:OLEObject Type="Embed" ProgID="Equation.DSMT4" ShapeID="_x0000_i1063" DrawAspect="Content" ObjectID="_1850374613" r:id="rId82"/>
        </w:object>
      </w:r>
      <w:r w:rsidRPr="00670A98">
        <w:rPr>
          <w:rFonts w:ascii="Times New Roman" w:eastAsia="Times New Roman" w:hAnsi="Times New Roman" w:cs="Times New Roman"/>
          <w:sz w:val="24"/>
          <w:szCs w:val="24"/>
        </w:rPr>
        <w:t xml:space="preserve"> and </w:t>
      </w:r>
      <w:r w:rsidRPr="00EF1822">
        <w:rPr>
          <w:position w:val="-14"/>
        </w:rPr>
        <w:object w:dxaOrig="2940" w:dyaOrig="400" w14:anchorId="4E8A3BB2">
          <v:shape id="_x0000_i1064" type="#_x0000_t75" style="width:147.2pt;height:19.35pt" o:ole="">
            <v:imagedata r:id="rId83" o:title=""/>
          </v:shape>
          <o:OLEObject Type="Embed" ProgID="Equation.DSMT4" ShapeID="_x0000_i1064" DrawAspect="Content" ObjectID="_1850374614" r:id="rId84"/>
        </w:object>
      </w:r>
      <w:r w:rsidRPr="00670A98">
        <w:rPr>
          <w:rFonts w:ascii="Times New Roman" w:eastAsia="Times New Roman" w:hAnsi="Times New Roman" w:cs="Times New Roman"/>
          <w:sz w:val="24"/>
          <w:szCs w:val="24"/>
        </w:rPr>
        <w:t xml:space="preserve"> are marginal at the 10% level.</w:t>
      </w:r>
      <w:r>
        <w:rPr>
          <w:rFonts w:ascii="Times New Roman" w:eastAsia="Times New Roman" w:hAnsi="Times New Roman" w:cs="Times New Roman"/>
          <w:sz w:val="24"/>
          <w:szCs w:val="24"/>
        </w:rPr>
        <w:t xml:space="preserve"> In general, all</w:t>
      </w:r>
      <w:r w:rsidRPr="00670A98">
        <w:rPr>
          <w:rFonts w:ascii="Times New Roman" w:eastAsia="Times New Roman" w:hAnsi="Times New Roman" w:cs="Times New Roman"/>
          <w:sz w:val="24"/>
          <w:szCs w:val="24"/>
        </w:rPr>
        <w:t xml:space="preserve"> other positive, negative, and cross-sign shock combinations have bootstrap p-values above 0.10 and are therefore stat</w:t>
      </w:r>
      <w:r>
        <w:rPr>
          <w:rFonts w:ascii="Times New Roman" w:eastAsia="Times New Roman" w:hAnsi="Times New Roman" w:cs="Times New Roman"/>
          <w:sz w:val="24"/>
          <w:szCs w:val="24"/>
        </w:rPr>
        <w:t>istically insignificant. broadly</w:t>
      </w:r>
      <w:r w:rsidRPr="00670A98">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results</w:t>
      </w:r>
      <w:r w:rsidRPr="00670A98">
        <w:rPr>
          <w:rFonts w:ascii="Times New Roman" w:eastAsia="Times New Roman" w:hAnsi="Times New Roman" w:cs="Times New Roman"/>
          <w:sz w:val="24"/>
          <w:szCs w:val="24"/>
        </w:rPr>
        <w:t xml:space="preserve"> suggest that </w:t>
      </w:r>
      <w:r w:rsidRPr="005A29D6">
        <w:rPr>
          <w:rFonts w:ascii="Times New Roman" w:eastAsia="Times New Roman" w:hAnsi="Times New Roman" w:cs="Times New Roman"/>
          <w:bCs/>
          <w:sz w:val="24"/>
          <w:szCs w:val="24"/>
        </w:rPr>
        <w:t>asymmetric causality is concentrated mainly in the transmission from adverse GDP growth shocks to increased economic policy uncertainty</w:t>
      </w:r>
      <w:r w:rsidRPr="00670A98">
        <w:rPr>
          <w:rFonts w:ascii="Times New Roman" w:eastAsia="Times New Roman" w:hAnsi="Times New Roman" w:cs="Times New Roman"/>
          <w:sz w:val="24"/>
          <w:szCs w:val="24"/>
        </w:rPr>
        <w:t>, with limited evidence from inflation, interest rates, and unemployment.</w:t>
      </w:r>
    </w:p>
    <w:p w14:paraId="30C77328" w14:textId="77777777" w:rsidR="00A13E6D" w:rsidRDefault="00A13E6D" w:rsidP="00A13E6D">
      <w:pPr>
        <w:pStyle w:val="NormalWeb"/>
        <w:jc w:val="both"/>
        <w:rPr>
          <w:sz w:val="20"/>
          <w:szCs w:val="20"/>
        </w:rPr>
      </w:pPr>
      <w:r>
        <w:t>4.7 Robustness comparison with symmetric and nonlinear causality tests</w:t>
      </w:r>
    </w:p>
    <w:p w14:paraId="6E999F72" w14:textId="77777777" w:rsidR="00A13E6D" w:rsidRPr="00DE2B4E" w:rsidRDefault="00A13E6D" w:rsidP="00A13E6D">
      <w:pPr>
        <w:pStyle w:val="NormalWeb"/>
        <w:jc w:val="both"/>
      </w:pPr>
      <w:r>
        <w:t xml:space="preserve">The comparison below shows how imposing linearity </w:t>
      </w:r>
      <w:r>
        <w:rPr>
          <w:highlight w:val="yellow"/>
        </w:rPr>
        <w:t>m</w:t>
      </w:r>
      <w:r>
        <w:t>a</w:t>
      </w:r>
      <w:r>
        <w:rPr>
          <w:highlight w:val="yellow"/>
        </w:rPr>
        <w:t>y</w:t>
      </w:r>
      <w:r>
        <w:t xml:space="preserve"> obscure the direction of the single relationship</w:t>
      </w:r>
      <w:r>
        <w:rPr>
          <w:highlight w:val="yellow"/>
        </w:rPr>
        <w:t xml:space="preserve"> supported by the asymmetric bootstrap results</w:t>
      </w:r>
      <w:r>
        <w:t>.</w:t>
      </w:r>
    </w:p>
    <w:p w14:paraId="1686BC8F" w14:textId="77777777" w:rsidR="00A13E6D" w:rsidRPr="000C3E21" w:rsidRDefault="00A13E6D" w:rsidP="00A13E6D">
      <w:pPr>
        <w:pStyle w:val="NormalWeb"/>
        <w:jc w:val="both"/>
        <w:rPr>
          <w:sz w:val="20"/>
          <w:szCs w:val="20"/>
        </w:rPr>
      </w:pPr>
      <w:r>
        <w:rPr>
          <w:sz w:val="20"/>
          <w:szCs w:val="20"/>
        </w:rPr>
        <w:tab/>
      </w:r>
      <w:r w:rsidRPr="000C3E21">
        <w:rPr>
          <w:sz w:val="20"/>
          <w:szCs w:val="20"/>
        </w:rPr>
        <w:t>Table 7 Robustness comparison with symmetric and nonlinear causality tests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620"/>
        <w:gridCol w:w="900"/>
        <w:gridCol w:w="1255"/>
      </w:tblGrid>
      <w:tr w:rsidR="00A13E6D" w14:paraId="2E194415" w14:textId="77777777" w:rsidTr="00B43039">
        <w:trPr>
          <w:jc w:val="center"/>
        </w:trPr>
        <w:tc>
          <w:tcPr>
            <w:tcW w:w="1260" w:type="dxa"/>
            <w:vAlign w:val="center"/>
          </w:tcPr>
          <w:p w14:paraId="49FC779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Pair</w:t>
            </w:r>
          </w:p>
        </w:tc>
        <w:tc>
          <w:tcPr>
            <w:tcW w:w="720" w:type="dxa"/>
            <w:vAlign w:val="center"/>
          </w:tcPr>
          <w:p w14:paraId="7585AEAE"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w:t>
            </w:r>
          </w:p>
        </w:tc>
        <w:tc>
          <w:tcPr>
            <w:tcW w:w="1620" w:type="dxa"/>
            <w:vAlign w:val="center"/>
          </w:tcPr>
          <w:p w14:paraId="248B319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Direction</w:t>
            </w:r>
          </w:p>
        </w:tc>
        <w:tc>
          <w:tcPr>
            <w:tcW w:w="900" w:type="dxa"/>
            <w:vAlign w:val="center"/>
          </w:tcPr>
          <w:p w14:paraId="0AFA2262" w14:textId="77777777" w:rsidR="00A13E6D" w:rsidRPr="000C3E21" w:rsidRDefault="00A13E6D" w:rsidP="00B43039">
            <w:pPr>
              <w:rPr>
                <w:rFonts w:ascii="Times New Roman" w:hAnsi="Times New Roman" w:cs="Times New Roman"/>
                <w:sz w:val="20"/>
                <w:szCs w:val="20"/>
              </w:rPr>
            </w:pPr>
            <w:r w:rsidRPr="00EF1822">
              <w:rPr>
                <w:rFonts w:eastAsiaTheme="minorHAnsi"/>
                <w:position w:val="-6"/>
              </w:rPr>
              <w:object w:dxaOrig="580" w:dyaOrig="279" w14:anchorId="28210577">
                <v:shape id="_x0000_i1065" type="#_x0000_t75" style="width:29.55pt;height:13.95pt" o:ole="">
                  <v:imagedata r:id="rId85" o:title=""/>
                </v:shape>
                <o:OLEObject Type="Embed" ProgID="Equation.DSMT4" ShapeID="_x0000_i1065" DrawAspect="Content" ObjectID="_1850374615" r:id="rId86"/>
              </w:object>
            </w:r>
          </w:p>
        </w:tc>
        <w:tc>
          <w:tcPr>
            <w:tcW w:w="1255" w:type="dxa"/>
            <w:vAlign w:val="center"/>
          </w:tcPr>
          <w:p w14:paraId="3905C9BE" w14:textId="77777777" w:rsidR="00A13E6D" w:rsidRPr="000C3E21" w:rsidRDefault="00A13E6D" w:rsidP="00B43039">
            <w:pPr>
              <w:rPr>
                <w:rFonts w:ascii="Times New Roman" w:hAnsi="Times New Roman" w:cs="Times New Roman"/>
                <w:sz w:val="20"/>
                <w:szCs w:val="20"/>
              </w:rPr>
            </w:pPr>
            <w:r w:rsidRPr="000C3E21">
              <w:rPr>
                <w:rFonts w:ascii="Times New Roman" w:eastAsia="Times New Roman" w:hAnsi="Times New Roman" w:cs="Times New Roman"/>
                <w:position w:val="-10"/>
                <w:sz w:val="24"/>
                <w:szCs w:val="24"/>
              </w:rPr>
              <w:object w:dxaOrig="960" w:dyaOrig="320" w14:anchorId="15DB6BFE">
                <v:shape id="_x0000_i1066" type="#_x0000_t75" style="width:48.9pt;height:16.1pt" o:ole="">
                  <v:imagedata r:id="rId87" o:title=""/>
                </v:shape>
                <o:OLEObject Type="Embed" ProgID="Equation.DSMT4" ShapeID="_x0000_i1066" DrawAspect="Content" ObjectID="_1850374616" r:id="rId88"/>
              </w:object>
            </w:r>
          </w:p>
        </w:tc>
      </w:tr>
      <w:tr w:rsidR="00A13E6D" w14:paraId="181B040E" w14:textId="77777777" w:rsidTr="00B43039">
        <w:trPr>
          <w:jc w:val="center"/>
        </w:trPr>
        <w:tc>
          <w:tcPr>
            <w:tcW w:w="1260" w:type="dxa"/>
            <w:vAlign w:val="center"/>
          </w:tcPr>
          <w:p w14:paraId="1A55AD1A"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p>
        </w:tc>
        <w:tc>
          <w:tcPr>
            <w:tcW w:w="720" w:type="dxa"/>
            <w:vAlign w:val="center"/>
          </w:tcPr>
          <w:p w14:paraId="63DE7F4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69C4E56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 xml:space="preserve">EPU → </w:t>
            </w:r>
            <w:proofErr w:type="spellStart"/>
            <w:r w:rsidRPr="000C3E21">
              <w:rPr>
                <w:rFonts w:ascii="Times New Roman" w:hAnsi="Times New Roman" w:cs="Times New Roman"/>
                <w:sz w:val="20"/>
                <w:szCs w:val="20"/>
              </w:rPr>
              <w:t>GDPgr</w:t>
            </w:r>
            <w:proofErr w:type="spellEnd"/>
          </w:p>
        </w:tc>
        <w:tc>
          <w:tcPr>
            <w:tcW w:w="900" w:type="dxa"/>
            <w:vAlign w:val="center"/>
          </w:tcPr>
          <w:p w14:paraId="41A0DBB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4.386</w:t>
            </w:r>
          </w:p>
        </w:tc>
        <w:tc>
          <w:tcPr>
            <w:tcW w:w="1255" w:type="dxa"/>
            <w:vAlign w:val="center"/>
          </w:tcPr>
          <w:p w14:paraId="5319994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0.356</w:t>
            </w:r>
          </w:p>
        </w:tc>
      </w:tr>
      <w:tr w:rsidR="00A13E6D" w14:paraId="6F63BF81" w14:textId="77777777" w:rsidTr="00B43039">
        <w:trPr>
          <w:jc w:val="center"/>
        </w:trPr>
        <w:tc>
          <w:tcPr>
            <w:tcW w:w="1260" w:type="dxa"/>
            <w:vAlign w:val="center"/>
          </w:tcPr>
          <w:p w14:paraId="5F7741D5"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p>
        </w:tc>
        <w:tc>
          <w:tcPr>
            <w:tcW w:w="720" w:type="dxa"/>
            <w:vAlign w:val="center"/>
          </w:tcPr>
          <w:p w14:paraId="7D2583C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233D9614"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r w:rsidRPr="000C3E21">
              <w:rPr>
                <w:rFonts w:ascii="Times New Roman" w:hAnsi="Times New Roman" w:cs="Times New Roman"/>
                <w:sz w:val="20"/>
                <w:szCs w:val="20"/>
              </w:rPr>
              <w:t xml:space="preserve"> → EPU</w:t>
            </w:r>
          </w:p>
        </w:tc>
        <w:tc>
          <w:tcPr>
            <w:tcW w:w="900" w:type="dxa"/>
            <w:vAlign w:val="center"/>
          </w:tcPr>
          <w:p w14:paraId="0CB3520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25.033</w:t>
            </w:r>
          </w:p>
        </w:tc>
        <w:tc>
          <w:tcPr>
            <w:tcW w:w="1255" w:type="dxa"/>
            <w:vAlign w:val="center"/>
          </w:tcPr>
          <w:p w14:paraId="565E014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0.000</w:t>
            </w:r>
          </w:p>
        </w:tc>
      </w:tr>
      <w:tr w:rsidR="00A13E6D" w14:paraId="51094A27" w14:textId="77777777" w:rsidTr="00B43039">
        <w:trPr>
          <w:jc w:val="center"/>
        </w:trPr>
        <w:tc>
          <w:tcPr>
            <w:tcW w:w="1260" w:type="dxa"/>
            <w:vAlign w:val="center"/>
          </w:tcPr>
          <w:p w14:paraId="60B6B95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w:t>
            </w:r>
          </w:p>
        </w:tc>
        <w:tc>
          <w:tcPr>
            <w:tcW w:w="720" w:type="dxa"/>
            <w:vAlign w:val="center"/>
          </w:tcPr>
          <w:p w14:paraId="5CF113A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278BA75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EXR</w:t>
            </w:r>
          </w:p>
        </w:tc>
        <w:tc>
          <w:tcPr>
            <w:tcW w:w="900" w:type="dxa"/>
            <w:vAlign w:val="center"/>
          </w:tcPr>
          <w:p w14:paraId="33A06F6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0.834</w:t>
            </w:r>
          </w:p>
        </w:tc>
        <w:tc>
          <w:tcPr>
            <w:tcW w:w="1255" w:type="dxa"/>
            <w:vAlign w:val="center"/>
          </w:tcPr>
          <w:p w14:paraId="2CDDB8D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0.659</w:t>
            </w:r>
          </w:p>
        </w:tc>
      </w:tr>
      <w:tr w:rsidR="00A13E6D" w14:paraId="0DE09768" w14:textId="77777777" w:rsidTr="00B43039">
        <w:trPr>
          <w:jc w:val="center"/>
        </w:trPr>
        <w:tc>
          <w:tcPr>
            <w:tcW w:w="1260" w:type="dxa"/>
            <w:vAlign w:val="center"/>
          </w:tcPr>
          <w:p w14:paraId="6C6E948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w:t>
            </w:r>
          </w:p>
        </w:tc>
        <w:tc>
          <w:tcPr>
            <w:tcW w:w="720" w:type="dxa"/>
            <w:vAlign w:val="center"/>
          </w:tcPr>
          <w:p w14:paraId="6945017E"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175721C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 → EPU</w:t>
            </w:r>
          </w:p>
        </w:tc>
        <w:tc>
          <w:tcPr>
            <w:tcW w:w="900" w:type="dxa"/>
            <w:vAlign w:val="center"/>
          </w:tcPr>
          <w:p w14:paraId="04B6C0E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0.523</w:t>
            </w:r>
          </w:p>
        </w:tc>
        <w:tc>
          <w:tcPr>
            <w:tcW w:w="1255" w:type="dxa"/>
            <w:vAlign w:val="center"/>
          </w:tcPr>
          <w:p w14:paraId="72143FC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0.770</w:t>
            </w:r>
          </w:p>
        </w:tc>
      </w:tr>
      <w:tr w:rsidR="00A13E6D" w14:paraId="71E6298D" w14:textId="77777777" w:rsidTr="00B43039">
        <w:trPr>
          <w:jc w:val="center"/>
        </w:trPr>
        <w:tc>
          <w:tcPr>
            <w:tcW w:w="1260" w:type="dxa"/>
            <w:vAlign w:val="center"/>
          </w:tcPr>
          <w:p w14:paraId="7C1D350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0788ACA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2155665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INFR</w:t>
            </w:r>
          </w:p>
        </w:tc>
        <w:tc>
          <w:tcPr>
            <w:tcW w:w="900" w:type="dxa"/>
            <w:vAlign w:val="center"/>
          </w:tcPr>
          <w:p w14:paraId="64446E0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3.823</w:t>
            </w:r>
          </w:p>
        </w:tc>
        <w:tc>
          <w:tcPr>
            <w:tcW w:w="1255" w:type="dxa"/>
            <w:vAlign w:val="center"/>
          </w:tcPr>
          <w:p w14:paraId="303EBD0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0.281</w:t>
            </w:r>
          </w:p>
        </w:tc>
      </w:tr>
      <w:tr w:rsidR="00A13E6D" w14:paraId="35C92201" w14:textId="77777777" w:rsidTr="00B43039">
        <w:trPr>
          <w:jc w:val="center"/>
        </w:trPr>
        <w:tc>
          <w:tcPr>
            <w:tcW w:w="1260" w:type="dxa"/>
            <w:vAlign w:val="center"/>
          </w:tcPr>
          <w:p w14:paraId="25D5040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7808597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735DB4D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 → EPU</w:t>
            </w:r>
          </w:p>
        </w:tc>
        <w:tc>
          <w:tcPr>
            <w:tcW w:w="900" w:type="dxa"/>
            <w:vAlign w:val="center"/>
          </w:tcPr>
          <w:p w14:paraId="6CEEE74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5.329</w:t>
            </w:r>
          </w:p>
        </w:tc>
        <w:tc>
          <w:tcPr>
            <w:tcW w:w="1255" w:type="dxa"/>
            <w:vAlign w:val="center"/>
          </w:tcPr>
          <w:p w14:paraId="242B8CE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0.149</w:t>
            </w:r>
          </w:p>
        </w:tc>
      </w:tr>
      <w:tr w:rsidR="00A13E6D" w14:paraId="1350DAA4" w14:textId="77777777" w:rsidTr="00B43039">
        <w:trPr>
          <w:jc w:val="center"/>
        </w:trPr>
        <w:tc>
          <w:tcPr>
            <w:tcW w:w="1260" w:type="dxa"/>
            <w:vAlign w:val="center"/>
          </w:tcPr>
          <w:p w14:paraId="002A610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74D8E2C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3F8167C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INTR</w:t>
            </w:r>
          </w:p>
        </w:tc>
        <w:tc>
          <w:tcPr>
            <w:tcW w:w="900" w:type="dxa"/>
            <w:vAlign w:val="center"/>
          </w:tcPr>
          <w:p w14:paraId="62762F74"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7.207</w:t>
            </w:r>
          </w:p>
        </w:tc>
        <w:tc>
          <w:tcPr>
            <w:tcW w:w="1255" w:type="dxa"/>
            <w:vAlign w:val="center"/>
          </w:tcPr>
          <w:p w14:paraId="6B0754E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0.125</w:t>
            </w:r>
          </w:p>
        </w:tc>
      </w:tr>
      <w:tr w:rsidR="00A13E6D" w14:paraId="05A5BCD5" w14:textId="77777777" w:rsidTr="00B43039">
        <w:trPr>
          <w:jc w:val="center"/>
        </w:trPr>
        <w:tc>
          <w:tcPr>
            <w:tcW w:w="1260" w:type="dxa"/>
            <w:vAlign w:val="center"/>
          </w:tcPr>
          <w:p w14:paraId="1FE08C6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04767E6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50DBA6A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 → EPU</w:t>
            </w:r>
          </w:p>
        </w:tc>
        <w:tc>
          <w:tcPr>
            <w:tcW w:w="900" w:type="dxa"/>
            <w:vAlign w:val="center"/>
          </w:tcPr>
          <w:p w14:paraId="15955D3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4.397</w:t>
            </w:r>
          </w:p>
        </w:tc>
        <w:tc>
          <w:tcPr>
            <w:tcW w:w="1255" w:type="dxa"/>
            <w:vAlign w:val="center"/>
          </w:tcPr>
          <w:p w14:paraId="1E24D25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0.355</w:t>
            </w:r>
          </w:p>
        </w:tc>
      </w:tr>
      <w:tr w:rsidR="00A13E6D" w14:paraId="135FF03B" w14:textId="77777777" w:rsidTr="00B43039">
        <w:trPr>
          <w:jc w:val="center"/>
        </w:trPr>
        <w:tc>
          <w:tcPr>
            <w:tcW w:w="1260" w:type="dxa"/>
            <w:vAlign w:val="center"/>
          </w:tcPr>
          <w:p w14:paraId="4249E27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2781B3B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35D84E1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UEMR</w:t>
            </w:r>
          </w:p>
        </w:tc>
        <w:tc>
          <w:tcPr>
            <w:tcW w:w="900" w:type="dxa"/>
            <w:vAlign w:val="center"/>
          </w:tcPr>
          <w:p w14:paraId="4637D32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0.558</w:t>
            </w:r>
          </w:p>
        </w:tc>
        <w:tc>
          <w:tcPr>
            <w:tcW w:w="1255" w:type="dxa"/>
            <w:vAlign w:val="center"/>
          </w:tcPr>
          <w:p w14:paraId="66ACEF2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0.968</w:t>
            </w:r>
          </w:p>
        </w:tc>
      </w:tr>
      <w:tr w:rsidR="00A13E6D" w14:paraId="5F468235" w14:textId="77777777" w:rsidTr="00B43039">
        <w:trPr>
          <w:jc w:val="center"/>
        </w:trPr>
        <w:tc>
          <w:tcPr>
            <w:tcW w:w="1260" w:type="dxa"/>
            <w:vAlign w:val="center"/>
          </w:tcPr>
          <w:p w14:paraId="628FD65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431E5EF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7F2EB6C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 → EPU</w:t>
            </w:r>
          </w:p>
        </w:tc>
        <w:tc>
          <w:tcPr>
            <w:tcW w:w="900" w:type="dxa"/>
            <w:vAlign w:val="center"/>
          </w:tcPr>
          <w:p w14:paraId="3E27945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8.498</w:t>
            </w:r>
          </w:p>
        </w:tc>
        <w:tc>
          <w:tcPr>
            <w:tcW w:w="1255" w:type="dxa"/>
            <w:vAlign w:val="center"/>
          </w:tcPr>
          <w:p w14:paraId="0F738F2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0.075</w:t>
            </w:r>
          </w:p>
        </w:tc>
      </w:tr>
    </w:tbl>
    <w:p w14:paraId="2EFE2550" w14:textId="77777777" w:rsidR="00A13E6D" w:rsidRPr="007A50C1" w:rsidRDefault="00A13E6D" w:rsidP="00A13E6D">
      <w:pPr>
        <w:spacing w:after="100" w:afterAutospacing="1" w:line="240" w:lineRule="auto"/>
        <w:ind w:left="720"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66EA43C7" w14:textId="77777777" w:rsidR="00A13E6D" w:rsidRDefault="00A13E6D" w:rsidP="00A13E6D">
      <w:pPr>
        <w:pStyle w:val="pdq2pgselectionanchorcontainer"/>
        <w:jc w:val="both"/>
      </w:pPr>
      <w:r>
        <w:t xml:space="preserve">The causality results show that </w:t>
      </w:r>
      <w:proofErr w:type="spellStart"/>
      <w:r>
        <w:t>GDPgr</w:t>
      </w:r>
      <w:proofErr w:type="spellEnd"/>
      <w:r>
        <w:rPr>
          <w:highlight w:val="yellow"/>
        </w:rPr>
        <w:t xml:space="preserve"> significantly predicts EPU</w:t>
      </w:r>
      <w:r>
        <w:t xml:space="preserve"> (Wald statistic = 25.033; p-value &lt; 0.001). In the opposite direction, EPU → </w:t>
      </w:r>
      <w:proofErr w:type="spellStart"/>
      <w:r>
        <w:t>GDPgr</w:t>
      </w:r>
      <w:proofErr w:type="spellEnd"/>
      <w:r>
        <w:t xml:space="preserve"> is no</w:t>
      </w:r>
      <w:r>
        <w:rPr>
          <w:highlight w:val="yellow"/>
        </w:rPr>
        <w:t>t</w:t>
      </w:r>
      <w:r>
        <w:t xml:space="preserve"> statistically significant </w:t>
      </w:r>
      <w:r>
        <w:rPr>
          <w:highlight w:val="yellow"/>
        </w:rPr>
        <w:t xml:space="preserve">(Wald </w:t>
      </w:r>
      <w:r>
        <w:t>st</w:t>
      </w:r>
      <w:r>
        <w:rPr>
          <w:highlight w:val="yellow"/>
        </w:rPr>
        <w:t>atistic</w:t>
      </w:r>
      <w:r>
        <w:t xml:space="preserve"> </w:t>
      </w:r>
      <w:r>
        <w:rPr>
          <w:highlight w:val="yellow"/>
        </w:rPr>
        <w:t xml:space="preserve">= 4.386; </w:t>
      </w:r>
      <w:r>
        <w:t>p = 0.356). Thus, the</w:t>
      </w:r>
      <w:r>
        <w:rPr>
          <w:highlight w:val="yellow"/>
        </w:rPr>
        <w:t xml:space="preserve"> evidenc</w:t>
      </w:r>
      <w:r>
        <w:t xml:space="preserve">e </w:t>
      </w:r>
      <w:r>
        <w:rPr>
          <w:highlight w:val="yellow"/>
        </w:rPr>
        <w:t>su</w:t>
      </w:r>
      <w:r>
        <w:t>pp</w:t>
      </w:r>
      <w:r>
        <w:rPr>
          <w:highlight w:val="yellow"/>
        </w:rPr>
        <w:t>o</w:t>
      </w:r>
      <w:r>
        <w:t>r</w:t>
      </w:r>
      <w:r>
        <w:rPr>
          <w:highlight w:val="yellow"/>
        </w:rPr>
        <w:t>t</w:t>
      </w:r>
      <w:r>
        <w:t xml:space="preserve">s a unidirectional causal relationship from </w:t>
      </w:r>
      <w:proofErr w:type="spellStart"/>
      <w:r>
        <w:t>GDPgr</w:t>
      </w:r>
      <w:proofErr w:type="spellEnd"/>
      <w:r>
        <w:t xml:space="preserve"> to </w:t>
      </w:r>
      <w:r>
        <w:lastRenderedPageBreak/>
        <w:t>EPU.</w:t>
      </w:r>
      <w:r>
        <w:rPr>
          <w:highlight w:val="yellow"/>
        </w:rPr>
        <w:t xml:space="preserve"> </w:t>
      </w:r>
      <w:r>
        <w:t>For the remaining macroeconomic variables, no statistically significant causal relationship with EPU is found at the 5% level</w:t>
      </w:r>
      <w:r>
        <w:rPr>
          <w:highlight w:val="yellow"/>
        </w:rPr>
        <w:t>.</w:t>
      </w:r>
      <w:r>
        <w:t xml:space="preserve"> </w:t>
      </w:r>
      <w:r>
        <w:rPr>
          <w:highlight w:val="yellow"/>
        </w:rPr>
        <w:t>Spec</w:t>
      </w:r>
      <w:r>
        <w:t>ifica</w:t>
      </w:r>
      <w:r>
        <w:rPr>
          <w:highlight w:val="yellow"/>
        </w:rPr>
        <w:t>lly</w:t>
      </w:r>
      <w:r>
        <w:t xml:space="preserve">, EPU </w:t>
      </w:r>
      <w:r>
        <w:rPr>
          <w:highlight w:val="yellow"/>
        </w:rPr>
        <w:t>d</w:t>
      </w:r>
      <w:r>
        <w:t>oes no</w:t>
      </w:r>
      <w:r>
        <w:rPr>
          <w:highlight w:val="yellow"/>
        </w:rPr>
        <w:t>t</w:t>
      </w:r>
      <w:r>
        <w:t xml:space="preserve"> significant</w:t>
      </w:r>
      <w:r>
        <w:rPr>
          <w:highlight w:val="yellow"/>
        </w:rPr>
        <w:t>ly</w:t>
      </w:r>
      <w:r>
        <w:t xml:space="preserve"> caus</w:t>
      </w:r>
      <w:r>
        <w:rPr>
          <w:highlight w:val="yellow"/>
        </w:rPr>
        <w:t>e</w:t>
      </w:r>
      <w:r>
        <w:t xml:space="preserve"> EXR, INFR, INTR, or UEMR, </w:t>
      </w:r>
      <w:r>
        <w:rPr>
          <w:highlight w:val="yellow"/>
        </w:rPr>
        <w:t>and th</w:t>
      </w:r>
      <w:r>
        <w:t>e</w:t>
      </w:r>
      <w:r>
        <w:rPr>
          <w:highlight w:val="yellow"/>
        </w:rPr>
        <w:t xml:space="preserve"> reverse dire</w:t>
      </w:r>
      <w:r>
        <w:t>c</w:t>
      </w:r>
      <w:r>
        <w:rPr>
          <w:highlight w:val="yellow"/>
        </w:rPr>
        <w:t>tions ar</w:t>
      </w:r>
      <w:r>
        <w:t xml:space="preserve">e </w:t>
      </w:r>
      <w:r>
        <w:rPr>
          <w:highlight w:val="yellow"/>
        </w:rPr>
        <w:t>als</w:t>
      </w:r>
      <w:r>
        <w:t>o i</w:t>
      </w:r>
      <w:r>
        <w:rPr>
          <w:highlight w:val="yellow"/>
        </w:rPr>
        <w:t>n</w:t>
      </w:r>
      <w:r>
        <w:t xml:space="preserve">significant at the </w:t>
      </w:r>
      <w:r>
        <w:rPr>
          <w:highlight w:val="yellow"/>
        </w:rPr>
        <w:t>5</w:t>
      </w:r>
      <w:r>
        <w:t xml:space="preserve">% level. </w:t>
      </w:r>
      <w:r>
        <w:rPr>
          <w:highlight w:val="yellow"/>
        </w:rPr>
        <w:t>T</w:t>
      </w:r>
      <w:r>
        <w:t xml:space="preserve">he </w:t>
      </w:r>
      <w:r>
        <w:rPr>
          <w:highlight w:val="yellow"/>
        </w:rPr>
        <w:t>UEMR</w:t>
      </w:r>
      <w:r>
        <w:t xml:space="preserve"> </w:t>
      </w:r>
      <w:r>
        <w:rPr>
          <w:highlight w:val="yellow"/>
        </w:rPr>
        <w:t>→</w:t>
      </w:r>
      <w:r>
        <w:t xml:space="preserve"> </w:t>
      </w:r>
      <w:r>
        <w:rPr>
          <w:highlight w:val="yellow"/>
        </w:rPr>
        <w:t>EPU</w:t>
      </w:r>
      <w:r>
        <w:t xml:space="preserve"> relationship</w:t>
      </w:r>
      <w:r>
        <w:rPr>
          <w:highlight w:val="yellow"/>
        </w:rPr>
        <w:t xml:space="preserve"> i</w:t>
      </w:r>
      <w:r>
        <w:t xml:space="preserve">s </w:t>
      </w:r>
      <w:r>
        <w:rPr>
          <w:highlight w:val="yellow"/>
        </w:rPr>
        <w:t>ma</w:t>
      </w:r>
      <w:r>
        <w:t>r</w:t>
      </w:r>
      <w:r>
        <w:rPr>
          <w:highlight w:val="yellow"/>
        </w:rPr>
        <w:t>ginal</w:t>
      </w:r>
      <w:r>
        <w:t xml:space="preserve"> a</w:t>
      </w:r>
      <w:r>
        <w:rPr>
          <w:highlight w:val="yellow"/>
        </w:rPr>
        <w:t>t</w:t>
      </w:r>
      <w:r>
        <w:t xml:space="preserve"> </w:t>
      </w:r>
      <w:r>
        <w:rPr>
          <w:highlight w:val="yellow"/>
        </w:rPr>
        <w:t>the</w:t>
      </w:r>
      <w:r>
        <w:t xml:space="preserve"> </w:t>
      </w:r>
      <w:r>
        <w:rPr>
          <w:highlight w:val="yellow"/>
        </w:rPr>
        <w:t>10%</w:t>
      </w:r>
      <w:r>
        <w:t xml:space="preserve"> </w:t>
      </w:r>
      <w:r>
        <w:rPr>
          <w:highlight w:val="yellow"/>
        </w:rPr>
        <w:t>level</w:t>
      </w:r>
      <w:r>
        <w:t xml:space="preserve"> </w:t>
      </w:r>
      <w:r>
        <w:rPr>
          <w:highlight w:val="yellow"/>
        </w:rPr>
        <w:t>(W</w:t>
      </w:r>
      <w:r>
        <w:t>al</w:t>
      </w:r>
      <w:r>
        <w:rPr>
          <w:highlight w:val="yellow"/>
        </w:rPr>
        <w:t>d</w:t>
      </w:r>
      <w:r>
        <w:t xml:space="preserve"> statistic</w:t>
      </w:r>
      <w:r>
        <w:rPr>
          <w:highlight w:val="yellow"/>
        </w:rPr>
        <w:t xml:space="preserve"> = 8.498; p = 0.075), but it does not meet the 5%</w:t>
      </w:r>
      <w:r>
        <w:t xml:space="preserve"> significan</w:t>
      </w:r>
      <w:r>
        <w:rPr>
          <w:highlight w:val="yellow"/>
        </w:rPr>
        <w:t>c</w:t>
      </w:r>
      <w:r>
        <w:t xml:space="preserve">e </w:t>
      </w:r>
      <w:r>
        <w:rPr>
          <w:highlight w:val="yellow"/>
        </w:rPr>
        <w:t>crit</w:t>
      </w:r>
      <w:r>
        <w:t>e</w:t>
      </w:r>
      <w:r>
        <w:rPr>
          <w:highlight w:val="yellow"/>
        </w:rPr>
        <w:t>rion.</w:t>
      </w:r>
    </w:p>
    <w:p w14:paraId="04A6B15F" w14:textId="13DC33C2" w:rsidR="009E4FCC" w:rsidRDefault="00A13E6D" w:rsidP="00A13E6D">
      <w:pPr>
        <w:pStyle w:val="NormalWeb"/>
      </w:pPr>
      <w:r>
        <w:t xml:space="preserve">4.8 </w:t>
      </w:r>
      <w:r w:rsidR="009E4FCC" w:rsidRPr="009E4FCC">
        <w:t>Compare the results with conventional Toda-Yamamoto causality and, where necessary, Diks-Panchenko nonlinear causality</w:t>
      </w:r>
    </w:p>
    <w:p w14:paraId="443721B4" w14:textId="7F2D078F" w:rsidR="00A13E6D" w:rsidRDefault="009E4FCC" w:rsidP="00A13E6D">
      <w:pPr>
        <w:pStyle w:val="NormalWeb"/>
      </w:pPr>
      <w:r w:rsidRPr="005B26E0">
        <w:rPr>
          <w:highlight w:val="cyan"/>
        </w:rPr>
        <w:t>Table 8: Toda–Yamamoto and Hatemi-J causality test results for EPU–macro variable pairs.</w:t>
      </w:r>
    </w:p>
    <w:tbl>
      <w:tblPr>
        <w:tblStyle w:val="TableGrid"/>
        <w:tblW w:w="9180" w:type="dxa"/>
        <w:tblInd w:w="3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620"/>
        <w:gridCol w:w="1890"/>
        <w:gridCol w:w="900"/>
        <w:gridCol w:w="1800"/>
        <w:gridCol w:w="1260"/>
      </w:tblGrid>
      <w:tr w:rsidR="00A13E6D" w14:paraId="106685D3" w14:textId="77777777" w:rsidTr="00B43039">
        <w:tc>
          <w:tcPr>
            <w:tcW w:w="1710" w:type="dxa"/>
            <w:vAlign w:val="center"/>
          </w:tcPr>
          <w:p w14:paraId="1214CC43"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EPU–Macro Pair</w:t>
            </w:r>
          </w:p>
        </w:tc>
        <w:tc>
          <w:tcPr>
            <w:tcW w:w="1620" w:type="dxa"/>
            <w:vAlign w:val="center"/>
          </w:tcPr>
          <w:p w14:paraId="42ECDFF6" w14:textId="77777777" w:rsidR="00A13E6D" w:rsidRPr="004B522D" w:rsidRDefault="00A13E6D" w:rsidP="00B43039">
            <w:pP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Direction</w:t>
            </w:r>
          </w:p>
        </w:tc>
        <w:tc>
          <w:tcPr>
            <w:tcW w:w="1890" w:type="dxa"/>
            <w:vAlign w:val="center"/>
          </w:tcPr>
          <w:p w14:paraId="1458ADFF"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Toda–Yamamoto Wald</w:t>
            </w:r>
          </w:p>
        </w:tc>
        <w:tc>
          <w:tcPr>
            <w:tcW w:w="900" w:type="dxa"/>
            <w:vAlign w:val="center"/>
          </w:tcPr>
          <w:p w14:paraId="2917CA02"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TY p-value</w:t>
            </w:r>
          </w:p>
        </w:tc>
        <w:tc>
          <w:tcPr>
            <w:tcW w:w="1800" w:type="dxa"/>
            <w:vAlign w:val="center"/>
          </w:tcPr>
          <w:p w14:paraId="10AD7550"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Hatemi-J Modified Wald</w:t>
            </w:r>
          </w:p>
        </w:tc>
        <w:tc>
          <w:tcPr>
            <w:tcW w:w="1260" w:type="dxa"/>
            <w:vAlign w:val="center"/>
          </w:tcPr>
          <w:p w14:paraId="697A3595"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Bootstrap p-value</w:t>
            </w:r>
          </w:p>
        </w:tc>
      </w:tr>
      <w:tr w:rsidR="00A13E6D" w14:paraId="7042D571" w14:textId="77777777" w:rsidTr="00B43039">
        <w:tc>
          <w:tcPr>
            <w:tcW w:w="1710" w:type="dxa"/>
            <w:vAlign w:val="center"/>
          </w:tcPr>
          <w:p w14:paraId="4828AA5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w:t>
            </w:r>
            <w:proofErr w:type="spellStart"/>
            <w:r w:rsidRPr="004B522D">
              <w:rPr>
                <w:rFonts w:ascii="Times New Roman" w:eastAsia="Times New Roman" w:hAnsi="Times New Roman" w:cs="Times New Roman"/>
                <w:bCs/>
                <w:sz w:val="20"/>
                <w:szCs w:val="20"/>
              </w:rPr>
              <w:t>GDPgr</w:t>
            </w:r>
            <w:proofErr w:type="spellEnd"/>
          </w:p>
        </w:tc>
        <w:tc>
          <w:tcPr>
            <w:tcW w:w="1620" w:type="dxa"/>
            <w:vAlign w:val="center"/>
          </w:tcPr>
          <w:p w14:paraId="5B1AEE3E"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 xml:space="preserve">EPU → </w:t>
            </w:r>
            <w:proofErr w:type="spellStart"/>
            <w:r w:rsidRPr="004B522D">
              <w:rPr>
                <w:rFonts w:ascii="Times New Roman" w:eastAsia="Times New Roman" w:hAnsi="Times New Roman" w:cs="Times New Roman"/>
                <w:sz w:val="20"/>
                <w:szCs w:val="20"/>
              </w:rPr>
              <w:t>GDPgr</w:t>
            </w:r>
            <w:proofErr w:type="spellEnd"/>
          </w:p>
        </w:tc>
        <w:tc>
          <w:tcPr>
            <w:tcW w:w="1890" w:type="dxa"/>
            <w:vAlign w:val="center"/>
          </w:tcPr>
          <w:p w14:paraId="3332B44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4.386</w:t>
            </w:r>
          </w:p>
        </w:tc>
        <w:tc>
          <w:tcPr>
            <w:tcW w:w="900" w:type="dxa"/>
            <w:vAlign w:val="center"/>
          </w:tcPr>
          <w:p w14:paraId="3B3B46B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0.356</w:t>
            </w:r>
          </w:p>
        </w:tc>
        <w:tc>
          <w:tcPr>
            <w:tcW w:w="1800" w:type="dxa"/>
            <w:vAlign w:val="center"/>
          </w:tcPr>
          <w:p w14:paraId="6C14870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A8E4D9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AA6813B" w14:textId="77777777" w:rsidTr="00B43039">
        <w:tc>
          <w:tcPr>
            <w:tcW w:w="1710" w:type="dxa"/>
            <w:vAlign w:val="center"/>
          </w:tcPr>
          <w:p w14:paraId="4F03567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w:t>
            </w:r>
            <w:proofErr w:type="spellStart"/>
            <w:r w:rsidRPr="004B522D">
              <w:rPr>
                <w:rFonts w:ascii="Times New Roman" w:eastAsia="Times New Roman" w:hAnsi="Times New Roman" w:cs="Times New Roman"/>
                <w:bCs/>
                <w:sz w:val="20"/>
                <w:szCs w:val="20"/>
              </w:rPr>
              <w:t>GDPgr</w:t>
            </w:r>
            <w:proofErr w:type="spellEnd"/>
          </w:p>
        </w:tc>
        <w:tc>
          <w:tcPr>
            <w:tcW w:w="1620" w:type="dxa"/>
            <w:vAlign w:val="center"/>
          </w:tcPr>
          <w:p w14:paraId="4E1934B3" w14:textId="77777777" w:rsidR="00A13E6D" w:rsidRPr="004B522D" w:rsidRDefault="00A13E6D" w:rsidP="00B43039">
            <w:pPr>
              <w:rPr>
                <w:rFonts w:ascii="Times New Roman" w:eastAsia="Times New Roman" w:hAnsi="Times New Roman" w:cs="Times New Roman"/>
                <w:sz w:val="20"/>
                <w:szCs w:val="20"/>
              </w:rPr>
            </w:pPr>
            <w:proofErr w:type="spellStart"/>
            <w:r w:rsidRPr="004B522D">
              <w:rPr>
                <w:rFonts w:ascii="Times New Roman" w:eastAsia="Times New Roman" w:hAnsi="Times New Roman" w:cs="Times New Roman"/>
                <w:sz w:val="20"/>
                <w:szCs w:val="20"/>
              </w:rPr>
              <w:t>GDPgr</w:t>
            </w:r>
            <w:proofErr w:type="spellEnd"/>
            <w:r w:rsidRPr="004B522D">
              <w:rPr>
                <w:rFonts w:ascii="Times New Roman" w:eastAsia="Times New Roman" w:hAnsi="Times New Roman" w:cs="Times New Roman"/>
                <w:sz w:val="20"/>
                <w:szCs w:val="20"/>
              </w:rPr>
              <w:t xml:space="preserve"> → EPU</w:t>
            </w:r>
          </w:p>
        </w:tc>
        <w:tc>
          <w:tcPr>
            <w:tcW w:w="1890" w:type="dxa"/>
            <w:vAlign w:val="center"/>
          </w:tcPr>
          <w:p w14:paraId="3807A19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25.033</w:t>
            </w:r>
          </w:p>
        </w:tc>
        <w:tc>
          <w:tcPr>
            <w:tcW w:w="900" w:type="dxa"/>
            <w:vAlign w:val="center"/>
          </w:tcPr>
          <w:p w14:paraId="17CE697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0.000</w:t>
            </w:r>
          </w:p>
        </w:tc>
        <w:tc>
          <w:tcPr>
            <w:tcW w:w="1800" w:type="dxa"/>
            <w:vAlign w:val="center"/>
          </w:tcPr>
          <w:p w14:paraId="64B16EC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47.210</w:t>
            </w:r>
          </w:p>
        </w:tc>
        <w:tc>
          <w:tcPr>
            <w:tcW w:w="1260" w:type="dxa"/>
            <w:vAlign w:val="center"/>
          </w:tcPr>
          <w:p w14:paraId="05F45D2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0.002</w:t>
            </w:r>
          </w:p>
        </w:tc>
      </w:tr>
      <w:tr w:rsidR="00A13E6D" w14:paraId="42A2F330" w14:textId="77777777" w:rsidTr="00B43039">
        <w:tc>
          <w:tcPr>
            <w:tcW w:w="1710" w:type="dxa"/>
            <w:vAlign w:val="center"/>
          </w:tcPr>
          <w:p w14:paraId="30B862A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2CADF05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EXR</w:t>
            </w:r>
          </w:p>
        </w:tc>
        <w:tc>
          <w:tcPr>
            <w:tcW w:w="1890" w:type="dxa"/>
            <w:vAlign w:val="center"/>
          </w:tcPr>
          <w:p w14:paraId="27EB337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0.834</w:t>
            </w:r>
          </w:p>
        </w:tc>
        <w:tc>
          <w:tcPr>
            <w:tcW w:w="900" w:type="dxa"/>
            <w:vAlign w:val="center"/>
          </w:tcPr>
          <w:p w14:paraId="05225CF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0.659</w:t>
            </w:r>
          </w:p>
        </w:tc>
        <w:tc>
          <w:tcPr>
            <w:tcW w:w="1800" w:type="dxa"/>
            <w:vAlign w:val="center"/>
          </w:tcPr>
          <w:p w14:paraId="1254FF1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1CAF84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4A4D7119" w14:textId="77777777" w:rsidTr="00B43039">
        <w:tc>
          <w:tcPr>
            <w:tcW w:w="1710" w:type="dxa"/>
            <w:vAlign w:val="center"/>
          </w:tcPr>
          <w:p w14:paraId="005851E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574AE01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EXR → EPU</w:t>
            </w:r>
          </w:p>
        </w:tc>
        <w:tc>
          <w:tcPr>
            <w:tcW w:w="1890" w:type="dxa"/>
            <w:vAlign w:val="center"/>
          </w:tcPr>
          <w:p w14:paraId="6E84802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0.523</w:t>
            </w:r>
          </w:p>
        </w:tc>
        <w:tc>
          <w:tcPr>
            <w:tcW w:w="900" w:type="dxa"/>
            <w:vAlign w:val="center"/>
          </w:tcPr>
          <w:p w14:paraId="6C35CC5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0.770</w:t>
            </w:r>
          </w:p>
        </w:tc>
        <w:tc>
          <w:tcPr>
            <w:tcW w:w="1800" w:type="dxa"/>
            <w:vAlign w:val="center"/>
          </w:tcPr>
          <w:p w14:paraId="66EDBE0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49A1412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9859E96" w14:textId="77777777" w:rsidTr="00B43039">
        <w:tc>
          <w:tcPr>
            <w:tcW w:w="1710" w:type="dxa"/>
            <w:vAlign w:val="center"/>
          </w:tcPr>
          <w:p w14:paraId="17F8B68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3B8043B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INFR</w:t>
            </w:r>
          </w:p>
        </w:tc>
        <w:tc>
          <w:tcPr>
            <w:tcW w:w="1890" w:type="dxa"/>
            <w:vAlign w:val="center"/>
          </w:tcPr>
          <w:p w14:paraId="42B1E2E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3.823</w:t>
            </w:r>
          </w:p>
        </w:tc>
        <w:tc>
          <w:tcPr>
            <w:tcW w:w="900" w:type="dxa"/>
            <w:vAlign w:val="center"/>
          </w:tcPr>
          <w:p w14:paraId="3D5A663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0.281</w:t>
            </w:r>
          </w:p>
        </w:tc>
        <w:tc>
          <w:tcPr>
            <w:tcW w:w="1800" w:type="dxa"/>
            <w:vAlign w:val="center"/>
          </w:tcPr>
          <w:p w14:paraId="50107C4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237CE5B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40D0F895" w14:textId="77777777" w:rsidTr="00B43039">
        <w:tc>
          <w:tcPr>
            <w:tcW w:w="1710" w:type="dxa"/>
            <w:vAlign w:val="center"/>
          </w:tcPr>
          <w:p w14:paraId="662192B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310584F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INFR → EPU</w:t>
            </w:r>
          </w:p>
        </w:tc>
        <w:tc>
          <w:tcPr>
            <w:tcW w:w="1890" w:type="dxa"/>
            <w:vAlign w:val="center"/>
          </w:tcPr>
          <w:p w14:paraId="3BCACA7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5.329</w:t>
            </w:r>
          </w:p>
        </w:tc>
        <w:tc>
          <w:tcPr>
            <w:tcW w:w="900" w:type="dxa"/>
            <w:vAlign w:val="center"/>
          </w:tcPr>
          <w:p w14:paraId="6DC58BF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0.149</w:t>
            </w:r>
          </w:p>
        </w:tc>
        <w:tc>
          <w:tcPr>
            <w:tcW w:w="1800" w:type="dxa"/>
            <w:vAlign w:val="center"/>
          </w:tcPr>
          <w:p w14:paraId="4E9896E5"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4EE1A05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0.090</w:t>
            </w:r>
            <w:r w:rsidRPr="004B522D">
              <w:rPr>
                <w:rFonts w:ascii="Times New Roman" w:eastAsia="Times New Roman" w:hAnsi="Times New Roman" w:cs="Times New Roman"/>
                <w:sz w:val="20"/>
                <w:szCs w:val="20"/>
              </w:rPr>
              <w:t>*</w:t>
            </w:r>
          </w:p>
        </w:tc>
      </w:tr>
      <w:tr w:rsidR="00A13E6D" w14:paraId="2244B1E9" w14:textId="77777777" w:rsidTr="00B43039">
        <w:tc>
          <w:tcPr>
            <w:tcW w:w="1710" w:type="dxa"/>
            <w:vAlign w:val="center"/>
          </w:tcPr>
          <w:p w14:paraId="2BDD30D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5FA7713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INTR</w:t>
            </w:r>
          </w:p>
        </w:tc>
        <w:tc>
          <w:tcPr>
            <w:tcW w:w="1890" w:type="dxa"/>
            <w:vAlign w:val="center"/>
          </w:tcPr>
          <w:p w14:paraId="35AFEF6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7.207</w:t>
            </w:r>
          </w:p>
        </w:tc>
        <w:tc>
          <w:tcPr>
            <w:tcW w:w="900" w:type="dxa"/>
            <w:vAlign w:val="center"/>
          </w:tcPr>
          <w:p w14:paraId="3981004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0.125</w:t>
            </w:r>
          </w:p>
        </w:tc>
        <w:tc>
          <w:tcPr>
            <w:tcW w:w="1800" w:type="dxa"/>
            <w:vAlign w:val="center"/>
          </w:tcPr>
          <w:p w14:paraId="24F3F81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3E8227F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798C8598" w14:textId="77777777" w:rsidTr="00B43039">
        <w:tc>
          <w:tcPr>
            <w:tcW w:w="1710" w:type="dxa"/>
            <w:vAlign w:val="center"/>
          </w:tcPr>
          <w:p w14:paraId="4069F66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3C1FE26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INTR → EPU</w:t>
            </w:r>
          </w:p>
        </w:tc>
        <w:tc>
          <w:tcPr>
            <w:tcW w:w="1890" w:type="dxa"/>
            <w:vAlign w:val="center"/>
          </w:tcPr>
          <w:p w14:paraId="2E3D80B5"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4.397</w:t>
            </w:r>
          </w:p>
        </w:tc>
        <w:tc>
          <w:tcPr>
            <w:tcW w:w="900" w:type="dxa"/>
            <w:vAlign w:val="center"/>
          </w:tcPr>
          <w:p w14:paraId="087F59D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0.355</w:t>
            </w:r>
          </w:p>
        </w:tc>
        <w:tc>
          <w:tcPr>
            <w:tcW w:w="1800" w:type="dxa"/>
            <w:vAlign w:val="center"/>
          </w:tcPr>
          <w:p w14:paraId="18A5C4B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2A78DB9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0.080</w:t>
            </w:r>
            <w:r w:rsidRPr="004B522D">
              <w:rPr>
                <w:rFonts w:ascii="Times New Roman" w:eastAsia="Times New Roman" w:hAnsi="Times New Roman" w:cs="Times New Roman"/>
                <w:sz w:val="20"/>
                <w:szCs w:val="20"/>
              </w:rPr>
              <w:t>*</w:t>
            </w:r>
          </w:p>
        </w:tc>
      </w:tr>
      <w:tr w:rsidR="00A13E6D" w14:paraId="0EF24A7C" w14:textId="77777777" w:rsidTr="00B43039">
        <w:tc>
          <w:tcPr>
            <w:tcW w:w="1710" w:type="dxa"/>
            <w:vAlign w:val="center"/>
          </w:tcPr>
          <w:p w14:paraId="1EEE075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EPU–UEMR</w:t>
            </w:r>
          </w:p>
        </w:tc>
        <w:tc>
          <w:tcPr>
            <w:tcW w:w="1620" w:type="dxa"/>
            <w:vAlign w:val="center"/>
          </w:tcPr>
          <w:p w14:paraId="2C9C567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UEMR</w:t>
            </w:r>
          </w:p>
        </w:tc>
        <w:tc>
          <w:tcPr>
            <w:tcW w:w="1890" w:type="dxa"/>
            <w:vAlign w:val="center"/>
          </w:tcPr>
          <w:p w14:paraId="04AE067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0.558</w:t>
            </w:r>
          </w:p>
        </w:tc>
        <w:tc>
          <w:tcPr>
            <w:tcW w:w="900" w:type="dxa"/>
            <w:vAlign w:val="center"/>
          </w:tcPr>
          <w:p w14:paraId="233B115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0.968</w:t>
            </w:r>
          </w:p>
        </w:tc>
        <w:tc>
          <w:tcPr>
            <w:tcW w:w="1800" w:type="dxa"/>
            <w:vAlign w:val="center"/>
          </w:tcPr>
          <w:p w14:paraId="2C1632F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AAD21B0"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2EDEF262" w14:textId="77777777" w:rsidTr="00B43039">
        <w:tc>
          <w:tcPr>
            <w:tcW w:w="1710" w:type="dxa"/>
            <w:vAlign w:val="center"/>
          </w:tcPr>
          <w:p w14:paraId="00203FF5" w14:textId="77777777" w:rsidR="00A13E6D" w:rsidRPr="004B522D" w:rsidRDefault="00A13E6D" w:rsidP="00B43039">
            <w:pPr>
              <w:rPr>
                <w:rFonts w:ascii="Times New Roman" w:eastAsia="Times New Roman" w:hAnsi="Times New Roman" w:cs="Times New Roman"/>
                <w:sz w:val="20"/>
                <w:szCs w:val="20"/>
              </w:rPr>
            </w:pPr>
            <w:r w:rsidRPr="00DE2B4E">
              <w:rPr>
                <w:rFonts w:ascii="Times New Roman" w:eastAsia="Times New Roman" w:hAnsi="Times New Roman" w:cs="Times New Roman"/>
                <w:bCs/>
                <w:sz w:val="20"/>
                <w:szCs w:val="20"/>
              </w:rPr>
              <w:t>EPU–UEMR</w:t>
            </w:r>
          </w:p>
        </w:tc>
        <w:tc>
          <w:tcPr>
            <w:tcW w:w="1620" w:type="dxa"/>
            <w:vAlign w:val="center"/>
          </w:tcPr>
          <w:p w14:paraId="7042435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UEMR → EPU</w:t>
            </w:r>
          </w:p>
        </w:tc>
        <w:tc>
          <w:tcPr>
            <w:tcW w:w="1890" w:type="dxa"/>
            <w:vAlign w:val="center"/>
          </w:tcPr>
          <w:p w14:paraId="391F2AD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8.498</w:t>
            </w:r>
          </w:p>
        </w:tc>
        <w:tc>
          <w:tcPr>
            <w:tcW w:w="900" w:type="dxa"/>
            <w:vAlign w:val="center"/>
          </w:tcPr>
          <w:p w14:paraId="7BBA68A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0.075</w:t>
            </w:r>
          </w:p>
        </w:tc>
        <w:tc>
          <w:tcPr>
            <w:tcW w:w="1800" w:type="dxa"/>
            <w:vAlign w:val="center"/>
          </w:tcPr>
          <w:p w14:paraId="394E52A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0CC64F5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0.058</w:t>
            </w:r>
            <w:r w:rsidRPr="004B522D">
              <w:rPr>
                <w:rFonts w:ascii="Times New Roman" w:eastAsia="Times New Roman" w:hAnsi="Times New Roman" w:cs="Times New Roman"/>
                <w:sz w:val="20"/>
                <w:szCs w:val="20"/>
              </w:rPr>
              <w:t>*</w:t>
            </w:r>
          </w:p>
        </w:tc>
      </w:tr>
    </w:tbl>
    <w:p w14:paraId="3A056667"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C365E39" w14:textId="77777777" w:rsidR="00A13E6D" w:rsidRDefault="00A13E6D" w:rsidP="00A13E6D">
      <w:pPr>
        <w:pStyle w:val="pdq2pgselectionanchorcontainer"/>
        <w:jc w:val="both"/>
      </w:pPr>
      <w:r>
        <w:t>The findings suggest that</w:t>
      </w:r>
      <w:r>
        <w:rPr>
          <w:highlight w:val="yellow"/>
        </w:rPr>
        <w:t xml:space="preserve"> GDP growth is</w:t>
      </w:r>
      <w:r>
        <w:t xml:space="preserve"> the only variable with a strong causal </w:t>
      </w:r>
      <w:r>
        <w:rPr>
          <w:highlight w:val="yellow"/>
        </w:rPr>
        <w:t>effe</w:t>
      </w:r>
      <w:r>
        <w:t xml:space="preserve">ct on EPU. The Toda–Yamamoto test </w:t>
      </w:r>
      <w:r>
        <w:rPr>
          <w:highlight w:val="yellow"/>
        </w:rPr>
        <w:t>in</w:t>
      </w:r>
      <w:r>
        <w:t>d</w:t>
      </w:r>
      <w:r>
        <w:rPr>
          <w:highlight w:val="yellow"/>
        </w:rPr>
        <w:t>ic</w:t>
      </w:r>
      <w:r>
        <w:t xml:space="preserve">ates causality from </w:t>
      </w:r>
      <w:proofErr w:type="spellStart"/>
      <w:r>
        <w:t>GDPgr</w:t>
      </w:r>
      <w:proofErr w:type="spellEnd"/>
      <w:r>
        <w:t xml:space="preserve"> → EPU (Wald = 25.033, p &lt; 0.001) but not in the opposite direction (p = 0.356), providing evidence of unidirectional causation. This </w:t>
      </w:r>
      <w:r>
        <w:rPr>
          <w:highlight w:val="yellow"/>
        </w:rPr>
        <w:t xml:space="preserve">result </w:t>
      </w:r>
      <w:r>
        <w:t xml:space="preserve">is supported by the Hatemi-J test, </w:t>
      </w:r>
      <w:r>
        <w:rPr>
          <w:highlight w:val="yellow"/>
        </w:rPr>
        <w:t xml:space="preserve">in </w:t>
      </w:r>
      <w:r>
        <w:t>wh</w:t>
      </w:r>
      <w:r>
        <w:rPr>
          <w:highlight w:val="yellow"/>
        </w:rPr>
        <w:t>i</w:t>
      </w:r>
      <w:r>
        <w:t>c</w:t>
      </w:r>
      <w:r>
        <w:rPr>
          <w:highlight w:val="yellow"/>
        </w:rPr>
        <w:t>h</w:t>
      </w:r>
      <w:r>
        <w:t xml:space="preserve"> </w:t>
      </w:r>
      <w:proofErr w:type="spellStart"/>
      <w:r>
        <w:t>GDPgr</w:t>
      </w:r>
      <w:proofErr w:type="spellEnd"/>
      <w:r>
        <w:t xml:space="preserve">⁻ → EPU⁺ is significant (Wald = 47.210, bootstrap p = 0.002), indicating that negative </w:t>
      </w:r>
      <w:r>
        <w:rPr>
          <w:highlight w:val="yellow"/>
        </w:rPr>
        <w:t xml:space="preserve">growth </w:t>
      </w:r>
      <w:r>
        <w:t>shocks play a stronger role in generating highe</w:t>
      </w:r>
      <w:r>
        <w:rPr>
          <w:highlight w:val="yellow"/>
        </w:rPr>
        <w:t>r</w:t>
      </w:r>
      <w:r>
        <w:t xml:space="preserve"> policy uncertainty. For EXR, INFR, and INTR, the Toda–Yamamoto results do not indicate statistically significant causal relationships</w:t>
      </w:r>
      <w:r>
        <w:rPr>
          <w:highlight w:val="yellow"/>
        </w:rPr>
        <w:t xml:space="preserve"> at the 5% level</w:t>
      </w:r>
      <w:r>
        <w:t xml:space="preserve">. </w:t>
      </w:r>
      <w:r>
        <w:rPr>
          <w:highlight w:val="yellow"/>
        </w:rPr>
        <w:t xml:space="preserve">The asymmetric results </w:t>
      </w:r>
      <w:r>
        <w:t>ne</w:t>
      </w:r>
      <w:r>
        <w:rPr>
          <w:highlight w:val="yellow"/>
        </w:rPr>
        <w:t>ver</w:t>
      </w:r>
      <w:r>
        <w:t xml:space="preserve">theless </w:t>
      </w:r>
      <w:r>
        <w:rPr>
          <w:highlight w:val="yellow"/>
        </w:rPr>
        <w:t>s</w:t>
      </w:r>
      <w:r>
        <w:t>h</w:t>
      </w:r>
      <w:r>
        <w:rPr>
          <w:highlight w:val="yellow"/>
        </w:rPr>
        <w:t>ow ma</w:t>
      </w:r>
      <w:r>
        <w:t>r</w:t>
      </w:r>
      <w:r>
        <w:rPr>
          <w:highlight w:val="yellow"/>
        </w:rPr>
        <w:t>g</w:t>
      </w:r>
      <w:r>
        <w:t>i</w:t>
      </w:r>
      <w:r>
        <w:rPr>
          <w:highlight w:val="yellow"/>
        </w:rPr>
        <w:t>n</w:t>
      </w:r>
      <w:r>
        <w:t>a</w:t>
      </w:r>
      <w:r>
        <w:rPr>
          <w:highlight w:val="yellow"/>
        </w:rPr>
        <w:t>l</w:t>
      </w:r>
      <w:r>
        <w:t xml:space="preserve"> evidence </w:t>
      </w:r>
      <w:r>
        <w:rPr>
          <w:highlight w:val="yellow"/>
        </w:rPr>
        <w:t>at</w:t>
      </w:r>
      <w:r>
        <w:t xml:space="preserve"> </w:t>
      </w:r>
      <w:r>
        <w:rPr>
          <w:highlight w:val="yellow"/>
        </w:rPr>
        <w:t>th</w:t>
      </w:r>
      <w:r>
        <w:t>e</w:t>
      </w:r>
      <w:r>
        <w:rPr>
          <w:highlight w:val="yellow"/>
        </w:rPr>
        <w:t xml:space="preserve"> 10% level</w:t>
      </w:r>
      <w:r>
        <w:t xml:space="preserve"> for INFR⁺ → EPU</w:t>
      </w:r>
      <w:r>
        <w:rPr>
          <w:highlight w:val="yellow"/>
        </w:rPr>
        <w:t>⁻</w:t>
      </w:r>
      <w:r>
        <w:t xml:space="preserve"> (p = 0.090)</w:t>
      </w:r>
      <w:r>
        <w:rPr>
          <w:highlight w:val="yellow"/>
        </w:rPr>
        <w:t>,</w:t>
      </w:r>
      <w:r>
        <w:t xml:space="preserve"> INTR⁺ → EPU</w:t>
      </w:r>
      <w:r>
        <w:rPr>
          <w:highlight w:val="yellow"/>
        </w:rPr>
        <w:t>⁻</w:t>
      </w:r>
      <w:r>
        <w:t xml:space="preserve"> (p = 0.080), </w:t>
      </w:r>
      <w:r>
        <w:rPr>
          <w:highlight w:val="yellow"/>
        </w:rPr>
        <w:t>and</w:t>
      </w:r>
      <w:r>
        <w:t xml:space="preserve"> UEMR</w:t>
      </w:r>
      <w:r>
        <w:rPr>
          <w:highlight w:val="yellow"/>
        </w:rPr>
        <w:t>⁻</w:t>
      </w:r>
      <w:r>
        <w:t xml:space="preserve"> → EPU</w:t>
      </w:r>
      <w:r>
        <w:rPr>
          <w:highlight w:val="yellow"/>
        </w:rPr>
        <w:t>⁻</w:t>
      </w:r>
      <w:r>
        <w:t xml:space="preserve"> (p = 0.058)</w:t>
      </w:r>
      <w:r>
        <w:rPr>
          <w:highlight w:val="yellow"/>
        </w:rPr>
        <w:t>.</w:t>
      </w:r>
      <w:r>
        <w:t xml:space="preserve"> </w:t>
      </w:r>
      <w:r>
        <w:rPr>
          <w:highlight w:val="yellow"/>
        </w:rPr>
        <w:t>Ov</w:t>
      </w:r>
      <w:r>
        <w:t>er</w:t>
      </w:r>
      <w:r>
        <w:rPr>
          <w:highlight w:val="yellow"/>
        </w:rPr>
        <w:t>all,</w:t>
      </w:r>
      <w:r>
        <w:t xml:space="preserve"> the results are broadly consistent across the </w:t>
      </w:r>
      <w:r>
        <w:rPr>
          <w:highlight w:val="yellow"/>
        </w:rPr>
        <w:t>sym</w:t>
      </w:r>
      <w:r>
        <w:t>metric</w:t>
      </w:r>
      <w:r>
        <w:rPr>
          <w:highlight w:val="yellow"/>
        </w:rPr>
        <w:t xml:space="preserve"> </w:t>
      </w:r>
      <w:r>
        <w:t>a</w:t>
      </w:r>
      <w:r>
        <w:rPr>
          <w:highlight w:val="yellow"/>
        </w:rPr>
        <w:t>nd asymmet</w:t>
      </w:r>
      <w:r>
        <w:t>r</w:t>
      </w:r>
      <w:r>
        <w:rPr>
          <w:highlight w:val="yellow"/>
        </w:rPr>
        <w:t>ic approaches</w:t>
      </w:r>
      <w:r>
        <w:t xml:space="preserve"> for GDP growth, wh</w:t>
      </w:r>
      <w:r>
        <w:rPr>
          <w:highlight w:val="yellow"/>
        </w:rPr>
        <w:t>il</w:t>
      </w:r>
      <w:r>
        <w:t xml:space="preserve">e the asymmetric tests reveal </w:t>
      </w:r>
      <w:r>
        <w:rPr>
          <w:highlight w:val="yellow"/>
        </w:rPr>
        <w:t>additional direction-</w:t>
      </w:r>
      <w:r>
        <w:t xml:space="preserve">specific relationships </w:t>
      </w:r>
      <w:r>
        <w:rPr>
          <w:highlight w:val="yellow"/>
        </w:rPr>
        <w:t>that remain only m</w:t>
      </w:r>
      <w:r>
        <w:t>ar</w:t>
      </w:r>
      <w:r>
        <w:rPr>
          <w:highlight w:val="yellow"/>
        </w:rPr>
        <w:t>g</w:t>
      </w:r>
      <w:r>
        <w:t>i</w:t>
      </w:r>
      <w:r>
        <w:rPr>
          <w:highlight w:val="yellow"/>
        </w:rPr>
        <w:t xml:space="preserve">nally </w:t>
      </w:r>
      <w:r>
        <w:t>si</w:t>
      </w:r>
      <w:r>
        <w:rPr>
          <w:highlight w:val="yellow"/>
        </w:rPr>
        <w:t>g</w:t>
      </w:r>
      <w:r>
        <w:t>n</w:t>
      </w:r>
      <w:r>
        <w:rPr>
          <w:highlight w:val="yellow"/>
        </w:rPr>
        <w:t>ificant</w:t>
      </w:r>
      <w:r>
        <w:t xml:space="preserve"> f</w:t>
      </w:r>
      <w:r>
        <w:rPr>
          <w:highlight w:val="yellow"/>
        </w:rPr>
        <w:t>o</w:t>
      </w:r>
      <w:r>
        <w:t>r i</w:t>
      </w:r>
      <w:r>
        <w:rPr>
          <w:highlight w:val="yellow"/>
        </w:rPr>
        <w:t>nfla</w:t>
      </w:r>
      <w:r>
        <w:t>ti</w:t>
      </w:r>
      <w:r>
        <w:rPr>
          <w:highlight w:val="yellow"/>
        </w:rPr>
        <w:t>on, int</w:t>
      </w:r>
      <w:r>
        <w:t>e</w:t>
      </w:r>
      <w:r>
        <w:rPr>
          <w:highlight w:val="yellow"/>
        </w:rPr>
        <w:t>rest rates,</w:t>
      </w:r>
      <w:r>
        <w:t xml:space="preserve"> and </w:t>
      </w:r>
      <w:r>
        <w:rPr>
          <w:highlight w:val="yellow"/>
        </w:rPr>
        <w:t>u</w:t>
      </w:r>
      <w:r>
        <w:t>ne</w:t>
      </w:r>
      <w:r>
        <w:rPr>
          <w:highlight w:val="yellow"/>
        </w:rPr>
        <w:t>mpl</w:t>
      </w:r>
      <w:r>
        <w:t>oy</w:t>
      </w:r>
      <w:r>
        <w:rPr>
          <w:highlight w:val="yellow"/>
        </w:rPr>
        <w:t>m</w:t>
      </w:r>
      <w:r>
        <w:t>ent.</w:t>
      </w:r>
    </w:p>
    <w:p w14:paraId="4CC9A49F"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r>
        <w:rPr>
          <w:rFonts w:ascii="Times New Roman" w:eastAsia="Times New Roman" w:hAnsi="Times New Roman" w:cs="Times New Roman"/>
          <w:b/>
          <w:bCs/>
          <w:sz w:val="27"/>
          <w:szCs w:val="27"/>
        </w:rPr>
        <w:t xml:space="preserve"> </w:t>
      </w:r>
      <w:r w:rsidRPr="009E1123">
        <w:rPr>
          <w:rFonts w:ascii="Times New Roman" w:eastAsia="Times New Roman" w:hAnsi="Times New Roman" w:cs="Times New Roman"/>
          <w:bCs/>
          <w:sz w:val="24"/>
          <w:szCs w:val="24"/>
        </w:rPr>
        <w:t>Diks–Panchenko Nonlinear Causality Test</w:t>
      </w:r>
    </w:p>
    <w:p w14:paraId="6EBD4199" w14:textId="77777777" w:rsidR="00A13E6D" w:rsidRPr="00160F57" w:rsidRDefault="00A13E6D" w:rsidP="00A13E6D">
      <w:pPr>
        <w:spacing w:before="100" w:beforeAutospacing="1" w:after="100" w:afterAutospacing="1" w:line="240" w:lineRule="auto"/>
        <w:outlineLvl w:val="2"/>
        <w:rPr>
          <w:rFonts w:ascii="Times New Roman" w:eastAsia="Times New Roman" w:hAnsi="Times New Roman" w:cs="Times New Roman"/>
          <w:bCs/>
          <w:sz w:val="20"/>
          <w:szCs w:val="20"/>
        </w:rPr>
      </w:pPr>
      <w:r>
        <w:rPr>
          <w:rFonts w:ascii="Times New Roman" w:eastAsia="Times New Roman" w:hAnsi="Times New Roman" w:cs="Times New Roman"/>
          <w:bCs/>
          <w:sz w:val="24"/>
          <w:szCs w:val="24"/>
        </w:rPr>
        <w:tab/>
      </w:r>
      <w:r w:rsidRPr="00160F57">
        <w:rPr>
          <w:rFonts w:ascii="Times New Roman" w:eastAsia="Times New Roman" w:hAnsi="Times New Roman" w:cs="Times New Roman"/>
          <w:bCs/>
          <w:sz w:val="20"/>
          <w:szCs w:val="20"/>
        </w:rPr>
        <w:t>Table 9: Diks–Panchenko Nonlinear Causality Test</w:t>
      </w:r>
    </w:p>
    <w:tbl>
      <w:tblPr>
        <w:tblStyle w:val="TableGrid"/>
        <w:tblW w:w="0" w:type="auto"/>
        <w:tblInd w:w="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10"/>
        <w:gridCol w:w="1170"/>
        <w:gridCol w:w="1260"/>
      </w:tblGrid>
      <w:tr w:rsidR="00A13E6D" w14:paraId="044CB2BF" w14:textId="77777777" w:rsidTr="00B43039">
        <w:tc>
          <w:tcPr>
            <w:tcW w:w="1710" w:type="dxa"/>
            <w:vAlign w:val="center"/>
          </w:tcPr>
          <w:p w14:paraId="6D8A829D"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EPU–Macro pair</w:t>
            </w:r>
          </w:p>
        </w:tc>
        <w:tc>
          <w:tcPr>
            <w:tcW w:w="1710" w:type="dxa"/>
            <w:vAlign w:val="center"/>
          </w:tcPr>
          <w:p w14:paraId="75C1C0EF"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Direction</w:t>
            </w:r>
          </w:p>
        </w:tc>
        <w:tc>
          <w:tcPr>
            <w:tcW w:w="1170" w:type="dxa"/>
            <w:vAlign w:val="center"/>
          </w:tcPr>
          <w:p w14:paraId="2513936D"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DP statistic</w:t>
            </w:r>
          </w:p>
        </w:tc>
        <w:tc>
          <w:tcPr>
            <w:tcW w:w="1260" w:type="dxa"/>
            <w:vAlign w:val="center"/>
          </w:tcPr>
          <w:p w14:paraId="7B0B8726" w14:textId="77777777" w:rsidR="00A13E6D" w:rsidRPr="009E1123" w:rsidRDefault="00A13E6D" w:rsidP="00B43039">
            <w:pPr>
              <w:rPr>
                <w:rFonts w:ascii="Times New Roman" w:eastAsia="Times New Roman" w:hAnsi="Times New Roman" w:cs="Times New Roman"/>
                <w:bCs/>
                <w:sz w:val="20"/>
                <w:szCs w:val="20"/>
              </w:rPr>
            </w:pPr>
            <w:r w:rsidRPr="00E14D6E">
              <w:rPr>
                <w:rFonts w:ascii="Times New Roman" w:eastAsia="Times New Roman" w:hAnsi="Times New Roman" w:cs="Times New Roman"/>
                <w:bCs/>
                <w:position w:val="-10"/>
                <w:sz w:val="20"/>
                <w:szCs w:val="20"/>
              </w:rPr>
              <w:object w:dxaOrig="960" w:dyaOrig="320" w14:anchorId="1DCAA6DF">
                <v:shape id="_x0000_i1067" type="#_x0000_t75" style="width:50.4pt;height:14.4pt" o:ole="">
                  <v:imagedata r:id="rId89" o:title=""/>
                </v:shape>
                <o:OLEObject Type="Embed" ProgID="Equation.DSMT4" ShapeID="_x0000_i1067" DrawAspect="Content" ObjectID="_1850374617" r:id="rId90"/>
              </w:object>
            </w:r>
          </w:p>
        </w:tc>
      </w:tr>
      <w:tr w:rsidR="00A13E6D" w14:paraId="7B184869" w14:textId="77777777" w:rsidTr="00B43039">
        <w:tc>
          <w:tcPr>
            <w:tcW w:w="1710" w:type="dxa"/>
            <w:vAlign w:val="center"/>
          </w:tcPr>
          <w:p w14:paraId="0D71F94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roofErr w:type="spellStart"/>
            <w:r w:rsidRPr="009E1123">
              <w:rPr>
                <w:rFonts w:ascii="Times New Roman" w:eastAsia="Times New Roman" w:hAnsi="Times New Roman" w:cs="Times New Roman"/>
                <w:sz w:val="20"/>
                <w:szCs w:val="20"/>
              </w:rPr>
              <w:t>GDPgr</w:t>
            </w:r>
            <w:proofErr w:type="spellEnd"/>
          </w:p>
        </w:tc>
        <w:tc>
          <w:tcPr>
            <w:tcW w:w="1710" w:type="dxa"/>
            <w:vAlign w:val="center"/>
          </w:tcPr>
          <w:p w14:paraId="6874822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 xml:space="preserve">EPU → </w:t>
            </w:r>
            <w:proofErr w:type="spellStart"/>
            <w:r w:rsidRPr="009E1123">
              <w:rPr>
                <w:rFonts w:ascii="Times New Roman" w:eastAsia="Times New Roman" w:hAnsi="Times New Roman" w:cs="Times New Roman"/>
                <w:sz w:val="20"/>
                <w:szCs w:val="20"/>
              </w:rPr>
              <w:t>GDPgr</w:t>
            </w:r>
            <w:proofErr w:type="spellEnd"/>
          </w:p>
        </w:tc>
        <w:tc>
          <w:tcPr>
            <w:tcW w:w="1170" w:type="dxa"/>
            <w:vAlign w:val="center"/>
          </w:tcPr>
          <w:p w14:paraId="58B264A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0.9251</w:t>
            </w:r>
          </w:p>
        </w:tc>
        <w:tc>
          <w:tcPr>
            <w:tcW w:w="1260" w:type="dxa"/>
            <w:vAlign w:val="center"/>
          </w:tcPr>
          <w:p w14:paraId="4ECBCA2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0.1774</w:t>
            </w:r>
          </w:p>
        </w:tc>
      </w:tr>
      <w:tr w:rsidR="00A13E6D" w14:paraId="60D1C672" w14:textId="77777777" w:rsidTr="00B43039">
        <w:tc>
          <w:tcPr>
            <w:tcW w:w="1710" w:type="dxa"/>
            <w:vAlign w:val="center"/>
          </w:tcPr>
          <w:p w14:paraId="6D9ECE1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roofErr w:type="spellStart"/>
            <w:r w:rsidRPr="009E1123">
              <w:rPr>
                <w:rFonts w:ascii="Times New Roman" w:eastAsia="Times New Roman" w:hAnsi="Times New Roman" w:cs="Times New Roman"/>
                <w:sz w:val="20"/>
                <w:szCs w:val="20"/>
              </w:rPr>
              <w:t>GDPgr</w:t>
            </w:r>
            <w:proofErr w:type="spellEnd"/>
          </w:p>
        </w:tc>
        <w:tc>
          <w:tcPr>
            <w:tcW w:w="1710" w:type="dxa"/>
            <w:vAlign w:val="center"/>
          </w:tcPr>
          <w:p w14:paraId="00554291" w14:textId="77777777" w:rsidR="00A13E6D" w:rsidRPr="009E1123" w:rsidRDefault="00A13E6D" w:rsidP="00B43039">
            <w:pPr>
              <w:rPr>
                <w:rFonts w:ascii="Times New Roman" w:eastAsia="Times New Roman" w:hAnsi="Times New Roman" w:cs="Times New Roman"/>
                <w:sz w:val="20"/>
                <w:szCs w:val="20"/>
              </w:rPr>
            </w:pPr>
            <w:proofErr w:type="spellStart"/>
            <w:r w:rsidRPr="009E1123">
              <w:rPr>
                <w:rFonts w:ascii="Times New Roman" w:eastAsia="Times New Roman" w:hAnsi="Times New Roman" w:cs="Times New Roman"/>
                <w:sz w:val="20"/>
                <w:szCs w:val="20"/>
              </w:rPr>
              <w:t>GDPgr</w:t>
            </w:r>
            <w:proofErr w:type="spellEnd"/>
            <w:r w:rsidRPr="009E1123">
              <w:rPr>
                <w:rFonts w:ascii="Times New Roman" w:eastAsia="Times New Roman" w:hAnsi="Times New Roman" w:cs="Times New Roman"/>
                <w:sz w:val="20"/>
                <w:szCs w:val="20"/>
              </w:rPr>
              <w:t xml:space="preserve"> → EPU</w:t>
            </w:r>
          </w:p>
        </w:tc>
        <w:tc>
          <w:tcPr>
            <w:tcW w:w="1170" w:type="dxa"/>
            <w:vAlign w:val="center"/>
          </w:tcPr>
          <w:p w14:paraId="61E7720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0.8462</w:t>
            </w:r>
          </w:p>
        </w:tc>
        <w:tc>
          <w:tcPr>
            <w:tcW w:w="1260" w:type="dxa"/>
            <w:vAlign w:val="center"/>
          </w:tcPr>
          <w:p w14:paraId="070EE0C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0.1987</w:t>
            </w:r>
          </w:p>
        </w:tc>
      </w:tr>
      <w:tr w:rsidR="00A13E6D" w14:paraId="1E571992" w14:textId="77777777" w:rsidTr="00B43039">
        <w:tc>
          <w:tcPr>
            <w:tcW w:w="1710" w:type="dxa"/>
            <w:vAlign w:val="center"/>
          </w:tcPr>
          <w:p w14:paraId="6AB6FE4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09467F4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EXR</w:t>
            </w:r>
          </w:p>
        </w:tc>
        <w:tc>
          <w:tcPr>
            <w:tcW w:w="1170" w:type="dxa"/>
            <w:vAlign w:val="center"/>
          </w:tcPr>
          <w:p w14:paraId="708CABB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−0.6694</w:t>
            </w:r>
          </w:p>
        </w:tc>
        <w:tc>
          <w:tcPr>
            <w:tcW w:w="1260" w:type="dxa"/>
            <w:vAlign w:val="center"/>
          </w:tcPr>
          <w:p w14:paraId="5FA37F4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0.7484</w:t>
            </w:r>
          </w:p>
        </w:tc>
      </w:tr>
      <w:tr w:rsidR="00A13E6D" w14:paraId="565B75FA" w14:textId="77777777" w:rsidTr="00B43039">
        <w:tc>
          <w:tcPr>
            <w:tcW w:w="1710" w:type="dxa"/>
            <w:vAlign w:val="center"/>
          </w:tcPr>
          <w:p w14:paraId="0E7CA7C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5F3DE19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 → EPU</w:t>
            </w:r>
          </w:p>
        </w:tc>
        <w:tc>
          <w:tcPr>
            <w:tcW w:w="1170" w:type="dxa"/>
            <w:vAlign w:val="center"/>
          </w:tcPr>
          <w:p w14:paraId="6404960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−1.4308</w:t>
            </w:r>
          </w:p>
        </w:tc>
        <w:tc>
          <w:tcPr>
            <w:tcW w:w="1260" w:type="dxa"/>
            <w:vAlign w:val="center"/>
          </w:tcPr>
          <w:p w14:paraId="1EFC768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0.9238</w:t>
            </w:r>
          </w:p>
        </w:tc>
      </w:tr>
      <w:tr w:rsidR="00A13E6D" w14:paraId="5C901B31" w14:textId="77777777" w:rsidTr="00B43039">
        <w:tc>
          <w:tcPr>
            <w:tcW w:w="1710" w:type="dxa"/>
            <w:vAlign w:val="center"/>
          </w:tcPr>
          <w:p w14:paraId="0DC9D15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1271929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INFR</w:t>
            </w:r>
          </w:p>
        </w:tc>
        <w:tc>
          <w:tcPr>
            <w:tcW w:w="1170" w:type="dxa"/>
            <w:vAlign w:val="center"/>
          </w:tcPr>
          <w:p w14:paraId="2A11480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0.3807</w:t>
            </w:r>
          </w:p>
        </w:tc>
        <w:tc>
          <w:tcPr>
            <w:tcW w:w="1260" w:type="dxa"/>
            <w:vAlign w:val="center"/>
          </w:tcPr>
          <w:p w14:paraId="74041B1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0.3517</w:t>
            </w:r>
          </w:p>
        </w:tc>
      </w:tr>
      <w:tr w:rsidR="00A13E6D" w14:paraId="175AB1AA" w14:textId="77777777" w:rsidTr="00B43039">
        <w:tc>
          <w:tcPr>
            <w:tcW w:w="1710" w:type="dxa"/>
            <w:vAlign w:val="center"/>
          </w:tcPr>
          <w:p w14:paraId="1F701EE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2B5EB10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 → EPU</w:t>
            </w:r>
          </w:p>
        </w:tc>
        <w:tc>
          <w:tcPr>
            <w:tcW w:w="1170" w:type="dxa"/>
            <w:vAlign w:val="center"/>
          </w:tcPr>
          <w:p w14:paraId="6AB93D7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−0.2262</w:t>
            </w:r>
          </w:p>
        </w:tc>
        <w:tc>
          <w:tcPr>
            <w:tcW w:w="1260" w:type="dxa"/>
            <w:vAlign w:val="center"/>
          </w:tcPr>
          <w:p w14:paraId="5F77F0B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0.5895</w:t>
            </w:r>
          </w:p>
        </w:tc>
      </w:tr>
      <w:tr w:rsidR="00A13E6D" w14:paraId="251AC333" w14:textId="77777777" w:rsidTr="00B43039">
        <w:tc>
          <w:tcPr>
            <w:tcW w:w="1710" w:type="dxa"/>
            <w:vAlign w:val="center"/>
          </w:tcPr>
          <w:p w14:paraId="0D5E930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EPU–INTR</w:t>
            </w:r>
          </w:p>
        </w:tc>
        <w:tc>
          <w:tcPr>
            <w:tcW w:w="1710" w:type="dxa"/>
            <w:vAlign w:val="center"/>
          </w:tcPr>
          <w:p w14:paraId="003B96A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INTR</w:t>
            </w:r>
          </w:p>
        </w:tc>
        <w:tc>
          <w:tcPr>
            <w:tcW w:w="1170" w:type="dxa"/>
            <w:vAlign w:val="center"/>
          </w:tcPr>
          <w:p w14:paraId="090FBBC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1.2465</w:t>
            </w:r>
          </w:p>
        </w:tc>
        <w:tc>
          <w:tcPr>
            <w:tcW w:w="1260" w:type="dxa"/>
            <w:vAlign w:val="center"/>
          </w:tcPr>
          <w:p w14:paraId="3BA431E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0.1063</w:t>
            </w:r>
          </w:p>
        </w:tc>
      </w:tr>
      <w:tr w:rsidR="00A13E6D" w14:paraId="75C21A3E" w14:textId="77777777" w:rsidTr="00B43039">
        <w:tc>
          <w:tcPr>
            <w:tcW w:w="1710" w:type="dxa"/>
            <w:vAlign w:val="center"/>
          </w:tcPr>
          <w:p w14:paraId="0EBF3BB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lastRenderedPageBreak/>
              <w:t>EPU–INTR</w:t>
            </w:r>
          </w:p>
        </w:tc>
        <w:tc>
          <w:tcPr>
            <w:tcW w:w="1710" w:type="dxa"/>
            <w:vAlign w:val="center"/>
          </w:tcPr>
          <w:p w14:paraId="5963B50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 → EPU</w:t>
            </w:r>
          </w:p>
        </w:tc>
        <w:tc>
          <w:tcPr>
            <w:tcW w:w="1170" w:type="dxa"/>
            <w:vAlign w:val="center"/>
          </w:tcPr>
          <w:p w14:paraId="6125831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−0.0298</w:t>
            </w:r>
          </w:p>
        </w:tc>
        <w:tc>
          <w:tcPr>
            <w:tcW w:w="1260" w:type="dxa"/>
            <w:vAlign w:val="center"/>
          </w:tcPr>
          <w:p w14:paraId="7722311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0.5119</w:t>
            </w:r>
          </w:p>
        </w:tc>
      </w:tr>
      <w:tr w:rsidR="00A13E6D" w14:paraId="3E0ED0A2" w14:textId="77777777" w:rsidTr="00B43039">
        <w:tc>
          <w:tcPr>
            <w:tcW w:w="1710" w:type="dxa"/>
            <w:vAlign w:val="center"/>
          </w:tcPr>
          <w:p w14:paraId="3275A3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65FEE98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UEMR</w:t>
            </w:r>
          </w:p>
        </w:tc>
        <w:tc>
          <w:tcPr>
            <w:tcW w:w="1170" w:type="dxa"/>
            <w:vAlign w:val="center"/>
          </w:tcPr>
          <w:p w14:paraId="7F52762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1.1420</w:t>
            </w:r>
          </w:p>
        </w:tc>
        <w:tc>
          <w:tcPr>
            <w:tcW w:w="1260" w:type="dxa"/>
            <w:vAlign w:val="center"/>
          </w:tcPr>
          <w:p w14:paraId="198C7FC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0.1267</w:t>
            </w:r>
          </w:p>
        </w:tc>
      </w:tr>
      <w:tr w:rsidR="00A13E6D" w14:paraId="4447E99C" w14:textId="77777777" w:rsidTr="00B43039">
        <w:tc>
          <w:tcPr>
            <w:tcW w:w="1710" w:type="dxa"/>
            <w:vAlign w:val="center"/>
          </w:tcPr>
          <w:p w14:paraId="59669A7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503F8E6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 → EPU</w:t>
            </w:r>
          </w:p>
        </w:tc>
        <w:tc>
          <w:tcPr>
            <w:tcW w:w="1170" w:type="dxa"/>
            <w:vAlign w:val="center"/>
          </w:tcPr>
          <w:p w14:paraId="31461B5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−1.5991</w:t>
            </w:r>
          </w:p>
        </w:tc>
        <w:tc>
          <w:tcPr>
            <w:tcW w:w="1260" w:type="dxa"/>
            <w:vAlign w:val="center"/>
          </w:tcPr>
          <w:p w14:paraId="6992EAD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0.9451</w:t>
            </w:r>
          </w:p>
        </w:tc>
      </w:tr>
    </w:tbl>
    <w:p w14:paraId="15D9E5A8"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634C2BA8" w14:textId="77777777" w:rsidR="00A13E6D" w:rsidRPr="001E5D64" w:rsidRDefault="00A13E6D" w:rsidP="00A13E6D">
      <w:pPr>
        <w:pStyle w:val="pdq2pgselectionanchorcontainer"/>
        <w:jc w:val="both"/>
      </w:pPr>
      <w:r>
        <w:t xml:space="preserve">The nonparametric Diks and Panchenko (2006) test statistics for pairwise causality are presented in Table </w:t>
      </w:r>
      <w:r>
        <w:rPr>
          <w:highlight w:val="yellow"/>
        </w:rPr>
        <w:t>9</w:t>
      </w:r>
      <w:r>
        <w:t xml:space="preserve">. </w:t>
      </w:r>
      <w:r>
        <w:rPr>
          <w:highlight w:val="yellow"/>
        </w:rPr>
        <w:t>N</w:t>
      </w:r>
      <w:r>
        <w:t>o significant nonlinear causal relationships are found between EPU and GDP growth, the exchange rate, inflation,</w:t>
      </w:r>
      <w:r>
        <w:rPr>
          <w:highlight w:val="yellow"/>
        </w:rPr>
        <w:t xml:space="preserve"> the</w:t>
      </w:r>
      <w:r>
        <w:t xml:space="preserve"> interest rate, or unemployment. None of the test statistics for the paired vectors is statistically significant at the 5% level </w:t>
      </w:r>
      <w:r>
        <w:rPr>
          <w:highlight w:val="yellow"/>
        </w:rPr>
        <w:t>bec</w:t>
      </w:r>
      <w:r>
        <w:t>a</w:t>
      </w:r>
      <w:r>
        <w:rPr>
          <w:highlight w:val="yellow"/>
        </w:rPr>
        <w:t>u</w:t>
      </w:r>
      <w:r>
        <w:t>s</w:t>
      </w:r>
      <w:r>
        <w:rPr>
          <w:highlight w:val="yellow"/>
        </w:rPr>
        <w:t>e</w:t>
      </w:r>
      <w:r>
        <w:t xml:space="preserve"> the corresponding p-values in both directions exceed 0.05. Accordingly, the null hypothesis of nonlinear independence cannot be rejected for any of the causal links examined. Th</w:t>
      </w:r>
      <w:r>
        <w:rPr>
          <w:highlight w:val="yellow"/>
        </w:rPr>
        <w:t>us</w:t>
      </w:r>
      <w:r>
        <w:t xml:space="preserve">, neither EPU nor the selected macroeconomic variables </w:t>
      </w:r>
      <w:proofErr w:type="gramStart"/>
      <w:r>
        <w:t>exhibits</w:t>
      </w:r>
      <w:proofErr w:type="gramEnd"/>
      <w:r>
        <w:t xml:space="preserve"> significant </w:t>
      </w:r>
      <w:r>
        <w:rPr>
          <w:highlight w:val="yellow"/>
        </w:rPr>
        <w:t xml:space="preserve">unconditional </w:t>
      </w:r>
      <w:r>
        <w:t xml:space="preserve">nonlinear predictive ability for the other </w:t>
      </w:r>
      <w:r>
        <w:rPr>
          <w:highlight w:val="yellow"/>
        </w:rPr>
        <w:t>over</w:t>
      </w:r>
      <w:r>
        <w:t xml:space="preserve"> the estimation period. The Diks–Panchenko test does not distinguish between positive and negative shocks; consequently, opposing innovations may offset one another and mask direction</w:t>
      </w:r>
      <w:r>
        <w:rPr>
          <w:highlight w:val="yellow"/>
        </w:rPr>
        <w:t>-specific</w:t>
      </w:r>
      <w:r>
        <w:t xml:space="preserve"> effects. </w:t>
      </w:r>
      <w:r>
        <w:rPr>
          <w:highlight w:val="yellow"/>
        </w:rPr>
        <w:t>B</w:t>
      </w:r>
      <w:r>
        <w:t>y contrast, the asymmetric approach decomposes variables into positive and negative cumulative partial sums, al</w:t>
      </w:r>
      <w:r>
        <w:rPr>
          <w:highlight w:val="yellow"/>
        </w:rPr>
        <w:t>low</w:t>
      </w:r>
      <w:r>
        <w:t>ing potentially hidden directional effects to be identified.</w:t>
      </w:r>
    </w:p>
    <w:p w14:paraId="7C33ACC3" w14:textId="77777777" w:rsidR="00A13E6D" w:rsidRPr="00390620"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5.0 Summary of Major findings, Conclusions and Policy Recommendations</w:t>
      </w:r>
    </w:p>
    <w:p w14:paraId="6577A1C9"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5.1 Summary of Major findings,</w:t>
      </w:r>
    </w:p>
    <w:p w14:paraId="39867A0E" w14:textId="77777777" w:rsidR="00A13E6D" w:rsidRDefault="00A13E6D" w:rsidP="00A13E6D">
      <w:pPr>
        <w:pStyle w:val="NormalWeb"/>
        <w:jc w:val="both"/>
      </w:pPr>
      <w:r>
        <w:t xml:space="preserve">This paper </w:t>
      </w:r>
      <w:r>
        <w:rPr>
          <w:highlight w:val="yellow"/>
        </w:rPr>
        <w:t>ex</w:t>
      </w:r>
      <w:r>
        <w:t>a</w:t>
      </w:r>
      <w:r>
        <w:rPr>
          <w:highlight w:val="yellow"/>
        </w:rPr>
        <w:t>min</w:t>
      </w:r>
      <w:r>
        <w:t>es the relationship between Economic Policy Uncertainty (EPU) and five Nigerian macroeconomic variables</w:t>
      </w:r>
      <w:r>
        <w:rPr>
          <w:highlight w:val="yellow"/>
        </w:rPr>
        <w:t>—</w:t>
      </w:r>
      <w:r>
        <w:t>GDP growth,</w:t>
      </w:r>
      <w:r>
        <w:rPr>
          <w:highlight w:val="yellow"/>
        </w:rPr>
        <w:t xml:space="preserve"> the</w:t>
      </w:r>
      <w:r>
        <w:t xml:space="preserve"> exchange rate, inflation,</w:t>
      </w:r>
      <w:r>
        <w:rPr>
          <w:highlight w:val="yellow"/>
        </w:rPr>
        <w:t xml:space="preserve"> the</w:t>
      </w:r>
      <w:r>
        <w:t xml:space="preserve"> interest rate, and unemployment</w:t>
      </w:r>
      <w:r>
        <w:rPr>
          <w:highlight w:val="yellow"/>
        </w:rPr>
        <w:t>—</w:t>
      </w:r>
      <w:r>
        <w:t>using symmetric and asymmetric causality framework</w:t>
      </w:r>
      <w:r>
        <w:rPr>
          <w:highlight w:val="yellow"/>
        </w:rPr>
        <w:t>s</w:t>
      </w:r>
      <w:r>
        <w:t xml:space="preserve">. </w:t>
      </w:r>
      <w:r>
        <w:rPr>
          <w:highlight w:val="yellow"/>
        </w:rPr>
        <w:t>The d</w:t>
      </w:r>
      <w:r>
        <w:t xml:space="preserve">escriptive statistics </w:t>
      </w:r>
      <w:r>
        <w:rPr>
          <w:highlight w:val="yellow"/>
        </w:rPr>
        <w:t>show ma</w:t>
      </w:r>
      <w:r>
        <w:t>rked asymmetry, excess kurtosis</w:t>
      </w:r>
      <w:r>
        <w:rPr>
          <w:highlight w:val="yellow"/>
        </w:rPr>
        <w:t>,</w:t>
      </w:r>
      <w:r>
        <w:t xml:space="preserve"> and non-normality in </w:t>
      </w:r>
      <w:r>
        <w:rPr>
          <w:highlight w:val="yellow"/>
        </w:rPr>
        <w:t>s</w:t>
      </w:r>
      <w:r>
        <w:t>e</w:t>
      </w:r>
      <w:r>
        <w:rPr>
          <w:highlight w:val="yellow"/>
        </w:rPr>
        <w:t>veral</w:t>
      </w:r>
      <w:r>
        <w:t xml:space="preserve"> </w:t>
      </w:r>
      <w:r>
        <w:rPr>
          <w:highlight w:val="yellow"/>
        </w:rPr>
        <w:t>var</w:t>
      </w:r>
      <w:r>
        <w:t>i</w:t>
      </w:r>
      <w:r>
        <w:rPr>
          <w:highlight w:val="yellow"/>
        </w:rPr>
        <w:t>abl</w:t>
      </w:r>
      <w:r>
        <w:t xml:space="preserve">es. The </w:t>
      </w:r>
      <w:r>
        <w:rPr>
          <w:highlight w:val="yellow"/>
        </w:rPr>
        <w:t>variables als</w:t>
      </w:r>
      <w:r>
        <w:t>o</w:t>
      </w:r>
      <w:r>
        <w:rPr>
          <w:highlight w:val="yellow"/>
        </w:rPr>
        <w:t xml:space="preserve"> exhibit </w:t>
      </w:r>
      <w:r>
        <w:t>d</w:t>
      </w:r>
      <w:r>
        <w:rPr>
          <w:highlight w:val="yellow"/>
        </w:rPr>
        <w:t>iff</w:t>
      </w:r>
      <w:r>
        <w:t>er</w:t>
      </w:r>
      <w:r>
        <w:rPr>
          <w:highlight w:val="yellow"/>
        </w:rPr>
        <w:t>ent</w:t>
      </w:r>
      <w:r>
        <w:t xml:space="preserve"> integration </w:t>
      </w:r>
      <w:r>
        <w:rPr>
          <w:highlight w:val="yellow"/>
        </w:rPr>
        <w:t>pr</w:t>
      </w:r>
      <w:r>
        <w:t>o</w:t>
      </w:r>
      <w:r>
        <w:rPr>
          <w:highlight w:val="yellow"/>
        </w:rPr>
        <w:t>perti</w:t>
      </w:r>
      <w:r>
        <w:t>es</w:t>
      </w:r>
      <w:r>
        <w:rPr>
          <w:highlight w:val="yellow"/>
        </w:rPr>
        <w:t>,</w:t>
      </w:r>
      <w:r>
        <w:t xml:space="preserve"> while </w:t>
      </w:r>
      <w:r>
        <w:rPr>
          <w:highlight w:val="yellow"/>
        </w:rPr>
        <w:t xml:space="preserve">the </w:t>
      </w:r>
      <w:proofErr w:type="spellStart"/>
      <w:r>
        <w:t>Zivot</w:t>
      </w:r>
      <w:proofErr w:type="spellEnd"/>
      <w:r>
        <w:rPr>
          <w:highlight w:val="yellow"/>
        </w:rPr>
        <w:t>–</w:t>
      </w:r>
      <w:proofErr w:type="gramStart"/>
      <w:r>
        <w:t>Andrews</w:t>
      </w:r>
      <w:proofErr w:type="gramEnd"/>
      <w:r>
        <w:t xml:space="preserve"> test identifies </w:t>
      </w:r>
      <w:r>
        <w:rPr>
          <w:highlight w:val="yellow"/>
        </w:rPr>
        <w:t xml:space="preserve">an </w:t>
      </w:r>
      <w:r>
        <w:t>endogenous break in Nigerian EPU i</w:t>
      </w:r>
      <w:r>
        <w:rPr>
          <w:highlight w:val="yellow"/>
        </w:rPr>
        <w:t>n</w:t>
      </w:r>
      <w:r>
        <w:t xml:space="preserve"> </w:t>
      </w:r>
      <w:r>
        <w:rPr>
          <w:highlight w:val="yellow"/>
        </w:rPr>
        <w:t>February</w:t>
      </w:r>
      <w:r>
        <w:t xml:space="preserve"> </w:t>
      </w:r>
      <w:r>
        <w:rPr>
          <w:highlight w:val="yellow"/>
        </w:rPr>
        <w:t>2020</w:t>
      </w:r>
      <w:r>
        <w:t xml:space="preserve"> and break</w:t>
      </w:r>
      <w:r>
        <w:rPr>
          <w:highlight w:val="yellow"/>
        </w:rPr>
        <w:t xml:space="preserve"> da</w:t>
      </w:r>
      <w:r>
        <w:t>t</w:t>
      </w:r>
      <w:r>
        <w:rPr>
          <w:highlight w:val="yellow"/>
        </w:rPr>
        <w:t>e</w:t>
      </w:r>
      <w:r>
        <w:t xml:space="preserve">s </w:t>
      </w:r>
      <w:r>
        <w:rPr>
          <w:highlight w:val="yellow"/>
        </w:rPr>
        <w:t>between</w:t>
      </w:r>
      <w:r>
        <w:t xml:space="preserve"> 2019 </w:t>
      </w:r>
      <w:r>
        <w:rPr>
          <w:highlight w:val="yellow"/>
        </w:rPr>
        <w:t>and</w:t>
      </w:r>
      <w:r>
        <w:t xml:space="preserve"> 2023 </w:t>
      </w:r>
      <w:r>
        <w:rPr>
          <w:highlight w:val="yellow"/>
        </w:rPr>
        <w:t>for the</w:t>
      </w:r>
      <w:r>
        <w:t xml:space="preserve"> other variables. </w:t>
      </w:r>
      <w:r>
        <w:rPr>
          <w:highlight w:val="yellow"/>
        </w:rPr>
        <w:t>T</w:t>
      </w:r>
      <w:r>
        <w:t>h</w:t>
      </w:r>
      <w:r>
        <w:rPr>
          <w:highlight w:val="yellow"/>
        </w:rPr>
        <w:t>e</w:t>
      </w:r>
      <w:r>
        <w:t xml:space="preserve"> positive and negative </w:t>
      </w:r>
      <w:r>
        <w:rPr>
          <w:highlight w:val="yellow"/>
        </w:rPr>
        <w:t>partial-</w:t>
      </w:r>
      <w:r>
        <w:t xml:space="preserve">sum decomposition </w:t>
      </w:r>
      <w:r>
        <w:rPr>
          <w:highlight w:val="yellow"/>
        </w:rPr>
        <w:t>furth</w:t>
      </w:r>
      <w:r>
        <w:t>e</w:t>
      </w:r>
      <w:r>
        <w:rPr>
          <w:highlight w:val="yellow"/>
        </w:rPr>
        <w:t>r ind</w:t>
      </w:r>
      <w:r>
        <w:t>ic</w:t>
      </w:r>
      <w:r>
        <w:rPr>
          <w:highlight w:val="yellow"/>
        </w:rPr>
        <w:t>at</w:t>
      </w:r>
      <w:r>
        <w:t>es substantial</w:t>
      </w:r>
      <w:r>
        <w:rPr>
          <w:highlight w:val="yellow"/>
        </w:rPr>
        <w:t xml:space="preserve"> directiona</w:t>
      </w:r>
      <w:r>
        <w:t>l asymmetr</w:t>
      </w:r>
      <w:r>
        <w:rPr>
          <w:highlight w:val="yellow"/>
        </w:rPr>
        <w:t>y.</w:t>
      </w:r>
      <w:r>
        <w:t xml:space="preserve"> EPU </w:t>
      </w:r>
      <w:r>
        <w:rPr>
          <w:highlight w:val="yellow"/>
        </w:rPr>
        <w:t>rec</w:t>
      </w:r>
      <w:r>
        <w:t>o</w:t>
      </w:r>
      <w:r>
        <w:rPr>
          <w:highlight w:val="yellow"/>
        </w:rPr>
        <w:t>rd</w:t>
      </w:r>
      <w:r>
        <w:t xml:space="preserve">s </w:t>
      </w:r>
      <w:r>
        <w:rPr>
          <w:highlight w:val="yellow"/>
        </w:rPr>
        <w:t>a n</w:t>
      </w:r>
      <w:r>
        <w:t xml:space="preserve">et cumulative </w:t>
      </w:r>
      <w:r>
        <w:rPr>
          <w:highlight w:val="yellow"/>
        </w:rPr>
        <w:t>cha</w:t>
      </w:r>
      <w:r>
        <w:t>n</w:t>
      </w:r>
      <w:r>
        <w:rPr>
          <w:highlight w:val="yellow"/>
        </w:rPr>
        <w:t>ge</w:t>
      </w:r>
      <w:r>
        <w:t xml:space="preserve"> of</w:t>
      </w:r>
      <w:r>
        <w:rPr>
          <w:highlight w:val="yellow"/>
        </w:rPr>
        <w:t xml:space="preserve"> −</w:t>
      </w:r>
      <w:r>
        <w:t>75.341</w:t>
      </w:r>
      <w:r>
        <w:rPr>
          <w:highlight w:val="yellow"/>
        </w:rPr>
        <w:t>,</w:t>
      </w:r>
      <w:r>
        <w:t xml:space="preserve"> </w:t>
      </w:r>
      <w:r>
        <w:rPr>
          <w:highlight w:val="yellow"/>
        </w:rPr>
        <w:t>t</w:t>
      </w:r>
      <w:r>
        <w:t xml:space="preserve">he exchange rate </w:t>
      </w:r>
      <w:r>
        <w:rPr>
          <w:highlight w:val="yellow"/>
        </w:rPr>
        <w:t>record</w:t>
      </w:r>
      <w:r>
        <w:t xml:space="preserve">s a </w:t>
      </w:r>
      <w:r>
        <w:rPr>
          <w:highlight w:val="yellow"/>
        </w:rPr>
        <w:t>n</w:t>
      </w:r>
      <w:r>
        <w:t xml:space="preserve">et positive cumulative </w:t>
      </w:r>
      <w:r>
        <w:rPr>
          <w:highlight w:val="yellow"/>
        </w:rPr>
        <w:t>cha</w:t>
      </w:r>
      <w:r>
        <w:t>n</w:t>
      </w:r>
      <w:r>
        <w:rPr>
          <w:highlight w:val="yellow"/>
        </w:rPr>
        <w:t xml:space="preserve">ge </w:t>
      </w:r>
      <w:r>
        <w:t>o</w:t>
      </w:r>
      <w:r>
        <w:rPr>
          <w:highlight w:val="yellow"/>
        </w:rPr>
        <w:t>f</w:t>
      </w:r>
      <w:r>
        <w:t xml:space="preserve"> </w:t>
      </w:r>
      <w:r>
        <w:rPr>
          <w:highlight w:val="yellow"/>
        </w:rPr>
        <w:t>1,490.298,</w:t>
      </w:r>
      <w:r>
        <w:t xml:space="preserve"> GDP</w:t>
      </w:r>
      <w:r>
        <w:rPr>
          <w:highlight w:val="yellow"/>
        </w:rPr>
        <w:t xml:space="preserve"> growth</w:t>
      </w:r>
      <w:r>
        <w:t xml:space="preserve"> and inflation</w:t>
      </w:r>
      <w:r>
        <w:rPr>
          <w:highlight w:val="yellow"/>
        </w:rPr>
        <w:t xml:space="preserve"> record smaller positive net changes</w:t>
      </w:r>
      <w:r>
        <w:t>,</w:t>
      </w:r>
      <w:r>
        <w:rPr>
          <w:highlight w:val="yellow"/>
        </w:rPr>
        <w:t xml:space="preserve"> and the</w:t>
      </w:r>
      <w:r>
        <w:t xml:space="preserve"> interest rate </w:t>
      </w:r>
      <w:r>
        <w:rPr>
          <w:highlight w:val="yellow"/>
        </w:rPr>
        <w:t xml:space="preserve">records </w:t>
      </w:r>
      <w:r>
        <w:t>a net c</w:t>
      </w:r>
      <w:r>
        <w:rPr>
          <w:highlight w:val="yellow"/>
        </w:rPr>
        <w:t>h</w:t>
      </w:r>
      <w:r>
        <w:t>a</w:t>
      </w:r>
      <w:r>
        <w:rPr>
          <w:highlight w:val="yellow"/>
        </w:rPr>
        <w:t>ng</w:t>
      </w:r>
      <w:r>
        <w:t>e of</w:t>
      </w:r>
      <w:r>
        <w:rPr>
          <w:highlight w:val="yellow"/>
        </w:rPr>
        <w:t xml:space="preserve"> −</w:t>
      </w:r>
      <w:r>
        <w:t>4.214. The</w:t>
      </w:r>
      <w:r>
        <w:rPr>
          <w:highlight w:val="yellow"/>
        </w:rPr>
        <w:t xml:space="preserve">se </w:t>
      </w:r>
      <w:r>
        <w:t>re</w:t>
      </w:r>
      <w:r>
        <w:rPr>
          <w:highlight w:val="yellow"/>
        </w:rPr>
        <w:t>sults</w:t>
      </w:r>
      <w:r>
        <w:t xml:space="preserve"> i</w:t>
      </w:r>
      <w:r>
        <w:rPr>
          <w:highlight w:val="yellow"/>
        </w:rPr>
        <w:t>ndicat</w:t>
      </w:r>
      <w:r>
        <w:t>e asymmetr</w:t>
      </w:r>
      <w:r>
        <w:rPr>
          <w:highlight w:val="yellow"/>
        </w:rPr>
        <w:t xml:space="preserve">y </w:t>
      </w:r>
      <w:r>
        <w:t>i</w:t>
      </w:r>
      <w:r>
        <w:rPr>
          <w:highlight w:val="yellow"/>
        </w:rPr>
        <w:t>n the shock decomposition but do not, by themselv</w:t>
      </w:r>
      <w:r>
        <w:t>es, es</w:t>
      </w:r>
      <w:r>
        <w:rPr>
          <w:highlight w:val="yellow"/>
        </w:rPr>
        <w:t>tabli</w:t>
      </w:r>
      <w:r>
        <w:t>s</w:t>
      </w:r>
      <w:r>
        <w:rPr>
          <w:highlight w:val="yellow"/>
        </w:rPr>
        <w:t>h</w:t>
      </w:r>
      <w:r>
        <w:t xml:space="preserve"> asymmetric causa</w:t>
      </w:r>
      <w:r>
        <w:rPr>
          <w:highlight w:val="yellow"/>
        </w:rPr>
        <w:t>li</w:t>
      </w:r>
      <w:r>
        <w:t>t</w:t>
      </w:r>
      <w:r>
        <w:rPr>
          <w:highlight w:val="yellow"/>
        </w:rPr>
        <w:t>y</w:t>
      </w:r>
      <w:r>
        <w:t>.</w:t>
      </w:r>
      <w:r>
        <w:rPr>
          <w:highlight w:val="yellow"/>
        </w:rPr>
        <w:t xml:space="preserve"> The</w:t>
      </w:r>
      <w:r>
        <w:t xml:space="preserve"> Hatemi-J causality test s</w:t>
      </w:r>
      <w:r>
        <w:rPr>
          <w:highlight w:val="yellow"/>
        </w:rPr>
        <w:t>how</w:t>
      </w:r>
      <w:r>
        <w:t xml:space="preserve">s </w:t>
      </w:r>
      <w:r>
        <w:rPr>
          <w:highlight w:val="yellow"/>
        </w:rPr>
        <w:t>th</w:t>
      </w:r>
      <w:r>
        <w:t>at negative GDP growth shock</w:t>
      </w:r>
      <w:r>
        <w:rPr>
          <w:highlight w:val="yellow"/>
        </w:rPr>
        <w:t>s significantly</w:t>
      </w:r>
      <w:r>
        <w:t xml:space="preserve"> cause positive EPU shocks (Wald statistic</w:t>
      </w:r>
      <w:r>
        <w:rPr>
          <w:highlight w:val="yellow"/>
        </w:rPr>
        <w:t xml:space="preserve"> </w:t>
      </w:r>
      <w:r>
        <w:t>= 47.210</w:t>
      </w:r>
      <w:r>
        <w:rPr>
          <w:highlight w:val="yellow"/>
        </w:rPr>
        <w:t>;</w:t>
      </w:r>
      <w:r>
        <w:t xml:space="preserve"> bootstrap p-value</w:t>
      </w:r>
      <w:r>
        <w:rPr>
          <w:highlight w:val="yellow"/>
        </w:rPr>
        <w:t xml:space="preserve"> </w:t>
      </w:r>
      <w:r>
        <w:t xml:space="preserve">= 0.002), while </w:t>
      </w:r>
      <w:r>
        <w:rPr>
          <w:highlight w:val="yellow"/>
        </w:rPr>
        <w:t>most other asymmetric channels a</w:t>
      </w:r>
      <w:r>
        <w:t xml:space="preserve">re not significant at </w:t>
      </w:r>
      <w:r>
        <w:rPr>
          <w:highlight w:val="yellow"/>
        </w:rPr>
        <w:t>the 5</w:t>
      </w:r>
      <w:r>
        <w:t xml:space="preserve">% level. </w:t>
      </w:r>
      <w:r>
        <w:rPr>
          <w:highlight w:val="yellow"/>
        </w:rPr>
        <w:t>The</w:t>
      </w:r>
      <w:r>
        <w:t xml:space="preserve"> Toda</w:t>
      </w:r>
      <w:r>
        <w:rPr>
          <w:highlight w:val="yellow"/>
        </w:rPr>
        <w:t>–</w:t>
      </w:r>
      <w:r>
        <w:t>Yamamoto framework</w:t>
      </w:r>
      <w:r>
        <w:rPr>
          <w:highlight w:val="yellow"/>
        </w:rPr>
        <w:t xml:space="preserve"> also indicates</w:t>
      </w:r>
      <w:r>
        <w:t xml:space="preserve"> unidirec</w:t>
      </w:r>
      <w:r>
        <w:rPr>
          <w:highlight w:val="yellow"/>
        </w:rPr>
        <w:t>t</w:t>
      </w:r>
      <w:r>
        <w:t>ional caus</w:t>
      </w:r>
      <w:r>
        <w:rPr>
          <w:highlight w:val="yellow"/>
        </w:rPr>
        <w:t>al</w:t>
      </w:r>
      <w:r>
        <w:t>i</w:t>
      </w:r>
      <w:r>
        <w:rPr>
          <w:highlight w:val="yellow"/>
        </w:rPr>
        <w:t>ty</w:t>
      </w:r>
      <w:r>
        <w:t xml:space="preserve"> from GDP growth to EPU (Wald statistic</w:t>
      </w:r>
      <w:r>
        <w:rPr>
          <w:highlight w:val="yellow"/>
        </w:rPr>
        <w:t xml:space="preserve"> </w:t>
      </w:r>
      <w:r>
        <w:t>= 25.033</w:t>
      </w:r>
      <w:r>
        <w:rPr>
          <w:highlight w:val="yellow"/>
        </w:rPr>
        <w:t>;</w:t>
      </w:r>
      <w:r>
        <w:t xml:space="preserve"> p-value</w:t>
      </w:r>
      <w:r>
        <w:rPr>
          <w:highlight w:val="yellow"/>
        </w:rPr>
        <w:t xml:space="preserve"> </w:t>
      </w:r>
      <w:r>
        <w:t>&lt;</w:t>
      </w:r>
      <w:r>
        <w:rPr>
          <w:highlight w:val="yellow"/>
        </w:rPr>
        <w:t xml:space="preserve"> </w:t>
      </w:r>
      <w:r>
        <w:t>0.001),</w:t>
      </w:r>
      <w:r>
        <w:rPr>
          <w:highlight w:val="yellow"/>
        </w:rPr>
        <w:t xml:space="preserve"> whereas causality</w:t>
      </w:r>
      <w:r>
        <w:t xml:space="preserve"> from EPU to GDP growth i</w:t>
      </w:r>
      <w:r>
        <w:rPr>
          <w:highlight w:val="yellow"/>
        </w:rPr>
        <w:t>s</w:t>
      </w:r>
      <w:r>
        <w:t xml:space="preserve"> </w:t>
      </w:r>
      <w:r>
        <w:rPr>
          <w:highlight w:val="yellow"/>
        </w:rPr>
        <w:t>in</w:t>
      </w:r>
      <w:r>
        <w:t>significant (p-value</w:t>
      </w:r>
      <w:r>
        <w:rPr>
          <w:highlight w:val="yellow"/>
        </w:rPr>
        <w:t xml:space="preserve"> </w:t>
      </w:r>
      <w:r>
        <w:t>= 0.356)</w:t>
      </w:r>
      <w:r>
        <w:rPr>
          <w:highlight w:val="yellow"/>
        </w:rPr>
        <w:t>.</w:t>
      </w:r>
      <w:r>
        <w:t xml:space="preserve"> </w:t>
      </w:r>
      <w:r>
        <w:rPr>
          <w:highlight w:val="yellow"/>
        </w:rPr>
        <w:t>The</w:t>
      </w:r>
      <w:r>
        <w:t xml:space="preserve"> Diks</w:t>
      </w:r>
      <w:r>
        <w:rPr>
          <w:highlight w:val="yellow"/>
        </w:rPr>
        <w:t>–</w:t>
      </w:r>
      <w:r>
        <w:t>Panchenko test does not i</w:t>
      </w:r>
      <w:r>
        <w:rPr>
          <w:highlight w:val="yellow"/>
        </w:rPr>
        <w:t>dentify unco</w:t>
      </w:r>
      <w:r>
        <w:t>ndi</w:t>
      </w:r>
      <w:r>
        <w:rPr>
          <w:highlight w:val="yellow"/>
        </w:rPr>
        <w:t>tion</w:t>
      </w:r>
      <w:r>
        <w:t>a</w:t>
      </w:r>
      <w:r>
        <w:rPr>
          <w:highlight w:val="yellow"/>
        </w:rPr>
        <w:t>l</w:t>
      </w:r>
      <w:r>
        <w:t xml:space="preserve"> nonlinear </w:t>
      </w:r>
      <w:r>
        <w:rPr>
          <w:highlight w:val="yellow"/>
        </w:rPr>
        <w:t>causa</w:t>
      </w:r>
      <w:r>
        <w:t>l</w:t>
      </w:r>
      <w:r>
        <w:rPr>
          <w:highlight w:val="yellow"/>
        </w:rPr>
        <w:t>i</w:t>
      </w:r>
      <w:r>
        <w:t>t</w:t>
      </w:r>
      <w:r>
        <w:rPr>
          <w:highlight w:val="yellow"/>
        </w:rPr>
        <w:t>y</w:t>
      </w:r>
      <w:r>
        <w:t xml:space="preserve"> between Nigerian EPU and</w:t>
      </w:r>
      <w:r>
        <w:rPr>
          <w:highlight w:val="yellow"/>
        </w:rPr>
        <w:t xml:space="preserve"> the</w:t>
      </w:r>
      <w:r>
        <w:t xml:space="preserve"> five macroeconomic variables. Overall, the </w:t>
      </w:r>
      <w:r>
        <w:rPr>
          <w:highlight w:val="yellow"/>
        </w:rPr>
        <w:t>ev</w:t>
      </w:r>
      <w:r>
        <w:t>i</w:t>
      </w:r>
      <w:r>
        <w:rPr>
          <w:highlight w:val="yellow"/>
        </w:rPr>
        <w:t>de</w:t>
      </w:r>
      <w:r>
        <w:t>n</w:t>
      </w:r>
      <w:r>
        <w:rPr>
          <w:highlight w:val="yellow"/>
        </w:rPr>
        <w:t>ce</w:t>
      </w:r>
      <w:r>
        <w:t xml:space="preserve"> indicate</w:t>
      </w:r>
      <w:r>
        <w:rPr>
          <w:highlight w:val="yellow"/>
        </w:rPr>
        <w:t>s</w:t>
      </w:r>
      <w:r>
        <w:t xml:space="preserve"> that </w:t>
      </w:r>
      <w:r>
        <w:rPr>
          <w:highlight w:val="yellow"/>
        </w:rPr>
        <w:t>adverse grow</w:t>
      </w:r>
      <w:r>
        <w:t>th shocks co</w:t>
      </w:r>
      <w:r>
        <w:rPr>
          <w:highlight w:val="yellow"/>
        </w:rPr>
        <w:t>nt</w:t>
      </w:r>
      <w:r>
        <w:t>r</w:t>
      </w:r>
      <w:r>
        <w:rPr>
          <w:highlight w:val="yellow"/>
        </w:rPr>
        <w:t>ibu</w:t>
      </w:r>
      <w:r>
        <w:t>te more</w:t>
      </w:r>
      <w:r>
        <w:rPr>
          <w:highlight w:val="yellow"/>
        </w:rPr>
        <w:t xml:space="preserve"> strongly to</w:t>
      </w:r>
      <w:r>
        <w:t xml:space="preserve"> policy uncertainty than</w:t>
      </w:r>
      <w:r>
        <w:rPr>
          <w:highlight w:val="yellow"/>
        </w:rPr>
        <w:t xml:space="preserve"> </w:t>
      </w:r>
      <w:r>
        <w:t>EPU</w:t>
      </w:r>
      <w:r>
        <w:rPr>
          <w:highlight w:val="yellow"/>
        </w:rPr>
        <w:t xml:space="preserve"> contribut</w:t>
      </w:r>
      <w:r>
        <w:t>e</w:t>
      </w:r>
      <w:r>
        <w:rPr>
          <w:highlight w:val="yellow"/>
        </w:rPr>
        <w:t xml:space="preserve">s </w:t>
      </w:r>
      <w:r>
        <w:t xml:space="preserve">to macroeconomic performance in </w:t>
      </w:r>
      <w:r>
        <w:rPr>
          <w:highlight w:val="yellow"/>
        </w:rPr>
        <w:t>t</w:t>
      </w:r>
      <w:r>
        <w:t xml:space="preserve">he </w:t>
      </w:r>
      <w:r>
        <w:rPr>
          <w:highlight w:val="yellow"/>
        </w:rPr>
        <w:t>r</w:t>
      </w:r>
      <w:r>
        <w:t>e</w:t>
      </w:r>
      <w:r>
        <w:rPr>
          <w:highlight w:val="yellow"/>
        </w:rPr>
        <w:t>l</w:t>
      </w:r>
      <w:r>
        <w:t>ati</w:t>
      </w:r>
      <w:r>
        <w:rPr>
          <w:highlight w:val="yellow"/>
        </w:rPr>
        <w:t>on</w:t>
      </w:r>
      <w:r>
        <w:t>sh</w:t>
      </w:r>
      <w:r>
        <w:rPr>
          <w:highlight w:val="yellow"/>
        </w:rPr>
        <w:t>ip</w:t>
      </w:r>
      <w:r>
        <w:t xml:space="preserve">s </w:t>
      </w:r>
      <w:r>
        <w:rPr>
          <w:highlight w:val="yellow"/>
        </w:rPr>
        <w:t>ex</w:t>
      </w:r>
      <w:r>
        <w:t>a</w:t>
      </w:r>
      <w:r>
        <w:rPr>
          <w:highlight w:val="yellow"/>
        </w:rPr>
        <w:t>m</w:t>
      </w:r>
      <w:r>
        <w:t>ine</w:t>
      </w:r>
      <w:r>
        <w:rPr>
          <w:highlight w:val="yellow"/>
        </w:rPr>
        <w:t>d</w:t>
      </w:r>
      <w:r>
        <w:t>.</w:t>
      </w:r>
    </w:p>
    <w:p w14:paraId="77054359"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5.2 Conclusions</w:t>
      </w:r>
    </w:p>
    <w:p w14:paraId="1FF5AC7D" w14:textId="77777777" w:rsidR="00B43039" w:rsidRDefault="00B43039" w:rsidP="00B43039">
      <w:pPr>
        <w:pStyle w:val="NormalWeb"/>
        <w:jc w:val="both"/>
      </w:pPr>
      <w:r>
        <w:t xml:space="preserve">The study concludes that the relationship between EPU and economic performance in Nigeria is </w:t>
      </w:r>
      <w:r>
        <w:rPr>
          <w:highlight w:val="yellow"/>
        </w:rPr>
        <w:t xml:space="preserve">predominantly </w:t>
      </w:r>
      <w:r>
        <w:t xml:space="preserve">unidirectional and asymmetric </w:t>
      </w:r>
      <w:r>
        <w:rPr>
          <w:highlight w:val="yellow"/>
        </w:rPr>
        <w:t>rather tha</w:t>
      </w:r>
      <w:r>
        <w:t xml:space="preserve">n bidirectional. </w:t>
      </w:r>
      <w:r>
        <w:rPr>
          <w:highlight w:val="yellow"/>
        </w:rPr>
        <w:t>The st</w:t>
      </w:r>
      <w:r>
        <w:t>r</w:t>
      </w:r>
      <w:r>
        <w:rPr>
          <w:highlight w:val="yellow"/>
        </w:rPr>
        <w:t>ongest</w:t>
      </w:r>
      <w:r>
        <w:t xml:space="preserve"> evidence </w:t>
      </w:r>
      <w:r>
        <w:rPr>
          <w:highlight w:val="yellow"/>
        </w:rPr>
        <w:t>indicate</w:t>
      </w:r>
      <w:r>
        <w:t>s that ad</w:t>
      </w:r>
      <w:r>
        <w:rPr>
          <w:highlight w:val="yellow"/>
        </w:rPr>
        <w:t>verse</w:t>
      </w:r>
      <w:r>
        <w:t xml:space="preserve"> output shocks lead to positive EPU shocks. Un</w:t>
      </w:r>
      <w:r>
        <w:rPr>
          <w:highlight w:val="yellow"/>
        </w:rPr>
        <w:t>der</w:t>
      </w:r>
      <w:r>
        <w:t xml:space="preserve"> the Hatemi-J (2012) </w:t>
      </w:r>
      <w:r>
        <w:rPr>
          <w:highlight w:val="yellow"/>
        </w:rPr>
        <w:lastRenderedPageBreak/>
        <w:t>fr</w:t>
      </w:r>
      <w:r>
        <w:t>a</w:t>
      </w:r>
      <w:r>
        <w:rPr>
          <w:highlight w:val="yellow"/>
        </w:rPr>
        <w:t>mewo</w:t>
      </w:r>
      <w:r>
        <w:t>r</w:t>
      </w:r>
      <w:r>
        <w:rPr>
          <w:highlight w:val="yellow"/>
        </w:rPr>
        <w:t>k</w:t>
      </w:r>
      <w:r>
        <w:t xml:space="preserve">, this </w:t>
      </w:r>
      <w:r>
        <w:rPr>
          <w:highlight w:val="yellow"/>
        </w:rPr>
        <w:t>result</w:t>
      </w:r>
      <w:r>
        <w:t xml:space="preserve"> </w:t>
      </w:r>
      <w:r>
        <w:rPr>
          <w:highlight w:val="yellow"/>
        </w:rPr>
        <w:t>sugg</w:t>
      </w:r>
      <w:r>
        <w:t>e</w:t>
      </w:r>
      <w:r>
        <w:rPr>
          <w:highlight w:val="yellow"/>
        </w:rPr>
        <w:t>s</w:t>
      </w:r>
      <w:r>
        <w:t>t</w:t>
      </w:r>
      <w:r>
        <w:rPr>
          <w:highlight w:val="yellow"/>
        </w:rPr>
        <w:t>s</w:t>
      </w:r>
      <w:r>
        <w:t xml:space="preserve"> th</w:t>
      </w:r>
      <w:r>
        <w:rPr>
          <w:highlight w:val="yellow"/>
        </w:rPr>
        <w:t>at economic slowdowns may b</w:t>
      </w:r>
      <w:r>
        <w:t xml:space="preserve">e </w:t>
      </w:r>
      <w:r>
        <w:rPr>
          <w:highlight w:val="yellow"/>
        </w:rPr>
        <w:t>followed by g</w:t>
      </w:r>
      <w:r>
        <w:t>reat</w:t>
      </w:r>
      <w:r>
        <w:rPr>
          <w:highlight w:val="yellow"/>
        </w:rPr>
        <w:t>e</w:t>
      </w:r>
      <w:r>
        <w:t xml:space="preserve">r policy uncertainty </w:t>
      </w:r>
      <w:r>
        <w:rPr>
          <w:highlight w:val="yellow"/>
        </w:rPr>
        <w:t>a</w:t>
      </w:r>
      <w:r>
        <w:t>s government</w:t>
      </w:r>
      <w:r>
        <w:rPr>
          <w:highlight w:val="yellow"/>
        </w:rPr>
        <w:t>s respond</w:t>
      </w:r>
      <w:r>
        <w:t xml:space="preserve"> through fiscal, monetary, regulato</w:t>
      </w:r>
      <w:r>
        <w:rPr>
          <w:highlight w:val="yellow"/>
        </w:rPr>
        <w:t>ry,</w:t>
      </w:r>
      <w:r>
        <w:t xml:space="preserve"> and exchange-rate </w:t>
      </w:r>
      <w:r>
        <w:rPr>
          <w:highlight w:val="yellow"/>
        </w:rPr>
        <w:t>m</w:t>
      </w:r>
      <w:r>
        <w:t>ea</w:t>
      </w:r>
      <w:r>
        <w:rPr>
          <w:highlight w:val="yellow"/>
        </w:rPr>
        <w:t>su</w:t>
      </w:r>
      <w:r>
        <w:t xml:space="preserve">res. </w:t>
      </w:r>
      <w:r>
        <w:rPr>
          <w:highlight w:val="yellow"/>
        </w:rPr>
        <w:t>E</w:t>
      </w:r>
      <w:r>
        <w:t>arlier Nigerian studies</w:t>
      </w:r>
      <w:r>
        <w:rPr>
          <w:highlight w:val="yellow"/>
        </w:rPr>
        <w:t>,</w:t>
      </w:r>
      <w:r>
        <w:t xml:space="preserve"> </w:t>
      </w:r>
      <w:r>
        <w:rPr>
          <w:highlight w:val="yellow"/>
        </w:rPr>
        <w:t>inc</w:t>
      </w:r>
      <w:r>
        <w:t>l</w:t>
      </w:r>
      <w:r>
        <w:rPr>
          <w:highlight w:val="yellow"/>
        </w:rPr>
        <w:t>ud</w:t>
      </w:r>
      <w:r>
        <w:t>i</w:t>
      </w:r>
      <w:r>
        <w:rPr>
          <w:highlight w:val="yellow"/>
        </w:rPr>
        <w:t>ng</w:t>
      </w:r>
      <w:r>
        <w:t xml:space="preserve"> Zaria and </w:t>
      </w:r>
      <w:proofErr w:type="spellStart"/>
      <w:r>
        <w:t>Tuyon</w:t>
      </w:r>
      <w:proofErr w:type="spellEnd"/>
      <w:r>
        <w:t xml:space="preserve"> (202</w:t>
      </w:r>
      <w:r>
        <w:rPr>
          <w:highlight w:val="yellow"/>
        </w:rPr>
        <w:t>3</w:t>
      </w:r>
      <w:r>
        <w:t>)</w:t>
      </w:r>
      <w:r>
        <w:rPr>
          <w:highlight w:val="yellow"/>
        </w:rPr>
        <w:t>,</w:t>
      </w:r>
      <w:r>
        <w:t xml:space="preserve"> Aina (2025)</w:t>
      </w:r>
      <w:r>
        <w:rPr>
          <w:highlight w:val="yellow"/>
        </w:rPr>
        <w:t>,</w:t>
      </w:r>
      <w:r>
        <w:t xml:space="preserve"> </w:t>
      </w:r>
      <w:r>
        <w:rPr>
          <w:highlight w:val="yellow"/>
        </w:rPr>
        <w:t>and Bello (2025), rep</w:t>
      </w:r>
      <w:r>
        <w:t>or</w:t>
      </w:r>
      <w:r>
        <w:rPr>
          <w:highlight w:val="yellow"/>
        </w:rPr>
        <w:t>t</w:t>
      </w:r>
      <w:r>
        <w:t xml:space="preserve"> </w:t>
      </w:r>
      <w:r>
        <w:rPr>
          <w:highlight w:val="yellow"/>
        </w:rPr>
        <w:t>l</w:t>
      </w:r>
      <w:r>
        <w:t>in</w:t>
      </w:r>
      <w:r>
        <w:rPr>
          <w:highlight w:val="yellow"/>
        </w:rPr>
        <w:t>ks between po</w:t>
      </w:r>
      <w:r>
        <w:t>l</w:t>
      </w:r>
      <w:r>
        <w:rPr>
          <w:highlight w:val="yellow"/>
        </w:rPr>
        <w:t xml:space="preserve">icy </w:t>
      </w:r>
      <w:r>
        <w:t>unce</w:t>
      </w:r>
      <w:r>
        <w:rPr>
          <w:highlight w:val="yellow"/>
        </w:rPr>
        <w:t>rtainty</w:t>
      </w:r>
      <w:r>
        <w:t xml:space="preserve"> </w:t>
      </w:r>
      <w:r>
        <w:rPr>
          <w:highlight w:val="yellow"/>
        </w:rPr>
        <w:t>a</w:t>
      </w:r>
      <w:r>
        <w:t>n</w:t>
      </w:r>
      <w:r>
        <w:rPr>
          <w:highlight w:val="yellow"/>
        </w:rPr>
        <w:t>d</w:t>
      </w:r>
      <w:r>
        <w:t xml:space="preserve"> economic outcomes</w:t>
      </w:r>
      <w:r>
        <w:rPr>
          <w:highlight w:val="yellow"/>
        </w:rPr>
        <w:t>; however</w:t>
      </w:r>
      <w:r>
        <w:t xml:space="preserve">, </w:t>
      </w:r>
      <w:r>
        <w:rPr>
          <w:highlight w:val="yellow"/>
        </w:rPr>
        <w:t>the present study does not fi</w:t>
      </w:r>
      <w:r>
        <w:t xml:space="preserve">nd </w:t>
      </w:r>
      <w:r>
        <w:rPr>
          <w:highlight w:val="yellow"/>
        </w:rPr>
        <w:t>si</w:t>
      </w:r>
      <w:r>
        <w:t>g</w:t>
      </w:r>
      <w:r>
        <w:rPr>
          <w:highlight w:val="yellow"/>
        </w:rPr>
        <w:t>nific</w:t>
      </w:r>
      <w:r>
        <w:t>an</w:t>
      </w:r>
      <w:r>
        <w:rPr>
          <w:highlight w:val="yellow"/>
        </w:rPr>
        <w:t>t</w:t>
      </w:r>
      <w:r>
        <w:t xml:space="preserve"> causality from EPU to output a</w:t>
      </w:r>
      <w:r>
        <w:rPr>
          <w:highlight w:val="yellow"/>
        </w:rPr>
        <w:t>t</w:t>
      </w:r>
      <w:r>
        <w:t xml:space="preserve"> the 5% level</w:t>
      </w:r>
      <w:r>
        <w:rPr>
          <w:highlight w:val="yellow"/>
        </w:rPr>
        <w:t>,</w:t>
      </w:r>
      <w:r>
        <w:t xml:space="preserve"> </w:t>
      </w:r>
      <w:r>
        <w:rPr>
          <w:highlight w:val="yellow"/>
        </w:rPr>
        <w:t>w</w:t>
      </w:r>
      <w:r>
        <w:t>h</w:t>
      </w:r>
      <w:r>
        <w:rPr>
          <w:highlight w:val="yellow"/>
        </w:rPr>
        <w:t>il</w:t>
      </w:r>
      <w:r>
        <w:t xml:space="preserve">e the reverse relationship </w:t>
      </w:r>
      <w:r>
        <w:rPr>
          <w:highlight w:val="yellow"/>
        </w:rPr>
        <w:t>i</w:t>
      </w:r>
      <w:r>
        <w:t>s strong</w:t>
      </w:r>
      <w:r>
        <w:rPr>
          <w:highlight w:val="yellow"/>
        </w:rPr>
        <w:t>er</w:t>
      </w:r>
      <w:r>
        <w:t xml:space="preserve">. Differences in study period, </w:t>
      </w:r>
      <w:r>
        <w:rPr>
          <w:highlight w:val="yellow"/>
        </w:rPr>
        <w:t xml:space="preserve">data </w:t>
      </w:r>
      <w:r>
        <w:t>frequency, mod</w:t>
      </w:r>
      <w:r>
        <w:rPr>
          <w:highlight w:val="yellow"/>
        </w:rPr>
        <w:t>el specificati</w:t>
      </w:r>
      <w:r>
        <w:t>o</w:t>
      </w:r>
      <w:r>
        <w:rPr>
          <w:highlight w:val="yellow"/>
        </w:rPr>
        <w:t>n</w:t>
      </w:r>
      <w:r>
        <w:t xml:space="preserve">, </w:t>
      </w:r>
      <w:r>
        <w:rPr>
          <w:highlight w:val="yellow"/>
        </w:rPr>
        <w:t>treat</w:t>
      </w:r>
      <w:r>
        <w:t>me</w:t>
      </w:r>
      <w:r>
        <w:rPr>
          <w:highlight w:val="yellow"/>
        </w:rPr>
        <w:t>n</w:t>
      </w:r>
      <w:r>
        <w:t>t</w:t>
      </w:r>
      <w:r>
        <w:rPr>
          <w:highlight w:val="yellow"/>
        </w:rPr>
        <w:t xml:space="preserve"> </w:t>
      </w:r>
      <w:r>
        <w:t>o</w:t>
      </w:r>
      <w:r>
        <w:rPr>
          <w:highlight w:val="yellow"/>
        </w:rPr>
        <w:t>f</w:t>
      </w:r>
      <w:r>
        <w:t xml:space="preserve"> structural breaks</w:t>
      </w:r>
      <w:r>
        <w:rPr>
          <w:highlight w:val="yellow"/>
        </w:rPr>
        <w:t>,</w:t>
      </w:r>
      <w:r>
        <w:t xml:space="preserve"> and t</w:t>
      </w:r>
      <w:r>
        <w:rPr>
          <w:highlight w:val="yellow"/>
        </w:rPr>
        <w:t>he use</w:t>
      </w:r>
      <w:r>
        <w:t xml:space="preserve"> of symmetric versus asymmetric </w:t>
      </w:r>
      <w:r>
        <w:rPr>
          <w:highlight w:val="yellow"/>
        </w:rPr>
        <w:t>causality t</w:t>
      </w:r>
      <w:r>
        <w:t>e</w:t>
      </w:r>
      <w:r>
        <w:rPr>
          <w:highlight w:val="yellow"/>
        </w:rPr>
        <w:t>sts</w:t>
      </w:r>
      <w:r>
        <w:t xml:space="preserve"> </w:t>
      </w:r>
      <w:r>
        <w:rPr>
          <w:highlight w:val="yellow"/>
        </w:rPr>
        <w:t>may he</w:t>
      </w:r>
      <w:r>
        <w:t>l</w:t>
      </w:r>
      <w:r>
        <w:rPr>
          <w:highlight w:val="yellow"/>
        </w:rPr>
        <w:t>p</w:t>
      </w:r>
      <w:r>
        <w:t xml:space="preserve"> explain </w:t>
      </w:r>
      <w:r>
        <w:rPr>
          <w:highlight w:val="yellow"/>
        </w:rPr>
        <w:t>the</w:t>
      </w:r>
      <w:r>
        <w:t>s</w:t>
      </w:r>
      <w:r>
        <w:rPr>
          <w:highlight w:val="yellow"/>
        </w:rPr>
        <w:t>e</w:t>
      </w:r>
      <w:r>
        <w:t xml:space="preserve"> differen</w:t>
      </w:r>
      <w:r>
        <w:rPr>
          <w:highlight w:val="yellow"/>
        </w:rPr>
        <w:t>ces.</w:t>
      </w:r>
      <w:r>
        <w:t xml:space="preserve"> </w:t>
      </w:r>
      <w:r>
        <w:rPr>
          <w:highlight w:val="yellow"/>
        </w:rPr>
        <w:t>C</w:t>
      </w:r>
      <w:r>
        <w:t>ons</w:t>
      </w:r>
      <w:r>
        <w:rPr>
          <w:highlight w:val="yellow"/>
        </w:rPr>
        <w:t>is</w:t>
      </w:r>
      <w:r>
        <w:t xml:space="preserve">tent </w:t>
      </w:r>
      <w:r>
        <w:rPr>
          <w:highlight w:val="yellow"/>
        </w:rPr>
        <w:t>w</w:t>
      </w:r>
      <w:r>
        <w:t>ith Hatemi-J (2012),</w:t>
      </w:r>
      <w:r>
        <w:rPr>
          <w:highlight w:val="yellow"/>
        </w:rPr>
        <w:t xml:space="preserve"> the findings indicate that</w:t>
      </w:r>
      <w:r>
        <w:t xml:space="preserve"> causal relationships </w:t>
      </w:r>
      <w:r>
        <w:rPr>
          <w:highlight w:val="yellow"/>
        </w:rPr>
        <w:t>c</w:t>
      </w:r>
      <w:r>
        <w:t>a</w:t>
      </w:r>
      <w:r>
        <w:rPr>
          <w:highlight w:val="yellow"/>
        </w:rPr>
        <w:t xml:space="preserve">n depend </w:t>
      </w:r>
      <w:r>
        <w:t xml:space="preserve">on </w:t>
      </w:r>
      <w:r>
        <w:rPr>
          <w:highlight w:val="yellow"/>
        </w:rPr>
        <w:t>th</w:t>
      </w:r>
      <w:r>
        <w:t>e sign</w:t>
      </w:r>
      <w:r>
        <w:rPr>
          <w:highlight w:val="yellow"/>
        </w:rPr>
        <w:t xml:space="preserve"> of shocks. In this stu</w:t>
      </w:r>
      <w:r>
        <w:t>d</w:t>
      </w:r>
      <w:r>
        <w:rPr>
          <w:highlight w:val="yellow"/>
        </w:rPr>
        <w:t>y, th</w:t>
      </w:r>
      <w:r>
        <w:t>e</w:t>
      </w:r>
      <w:r>
        <w:rPr>
          <w:highlight w:val="yellow"/>
        </w:rPr>
        <w:t xml:space="preserve"> sig</w:t>
      </w:r>
      <w:r>
        <w:t>n</w:t>
      </w:r>
      <w:r>
        <w:rPr>
          <w:highlight w:val="yellow"/>
        </w:rPr>
        <w:t>ifica</w:t>
      </w:r>
      <w:r>
        <w:t xml:space="preserve">nt asymmetric </w:t>
      </w:r>
      <w:r>
        <w:rPr>
          <w:highlight w:val="yellow"/>
        </w:rPr>
        <w:t>ef</w:t>
      </w:r>
      <w:r>
        <w:t>fe</w:t>
      </w:r>
      <w:r>
        <w:rPr>
          <w:highlight w:val="yellow"/>
        </w:rPr>
        <w:t>c</w:t>
      </w:r>
      <w:r>
        <w:t xml:space="preserve">t is </w:t>
      </w:r>
      <w:r>
        <w:rPr>
          <w:highlight w:val="yellow"/>
        </w:rPr>
        <w:t>c</w:t>
      </w:r>
      <w:r>
        <w:t>o</w:t>
      </w:r>
      <w:r>
        <w:rPr>
          <w:highlight w:val="yellow"/>
        </w:rPr>
        <w:t>ncentr</w:t>
      </w:r>
      <w:r>
        <w:t xml:space="preserve">ated in the </w:t>
      </w:r>
      <w:r>
        <w:rPr>
          <w:highlight w:val="yellow"/>
        </w:rPr>
        <w:t>transm</w:t>
      </w:r>
      <w:r>
        <w:t>i</w:t>
      </w:r>
      <w:r>
        <w:rPr>
          <w:highlight w:val="yellow"/>
        </w:rPr>
        <w:t>ssi</w:t>
      </w:r>
      <w:r>
        <w:t>on</w:t>
      </w:r>
      <w:r>
        <w:rPr>
          <w:highlight w:val="yellow"/>
        </w:rPr>
        <w:t xml:space="preserve"> fr</w:t>
      </w:r>
      <w:r>
        <w:t>om</w:t>
      </w:r>
      <w:r>
        <w:rPr>
          <w:highlight w:val="yellow"/>
        </w:rPr>
        <w:t xml:space="preserve"> negat</w:t>
      </w:r>
      <w:r>
        <w:t>i</w:t>
      </w:r>
      <w:r>
        <w:rPr>
          <w:highlight w:val="yellow"/>
        </w:rPr>
        <w:t>ve GDP</w:t>
      </w:r>
      <w:r>
        <w:t xml:space="preserve"> growth shock</w:t>
      </w:r>
      <w:r>
        <w:rPr>
          <w:highlight w:val="yellow"/>
        </w:rPr>
        <w:t>s</w:t>
      </w:r>
      <w:r>
        <w:t xml:space="preserve"> </w:t>
      </w:r>
      <w:r>
        <w:rPr>
          <w:highlight w:val="yellow"/>
        </w:rPr>
        <w:t>t</w:t>
      </w:r>
      <w:r>
        <w:t>o</w:t>
      </w:r>
      <w:r>
        <w:rPr>
          <w:highlight w:val="yellow"/>
        </w:rPr>
        <w:t xml:space="preserve"> positive</w:t>
      </w:r>
      <w:r>
        <w:t xml:space="preserve"> EPU </w:t>
      </w:r>
      <w:r>
        <w:rPr>
          <w:highlight w:val="yellow"/>
        </w:rPr>
        <w:t>sh</w:t>
      </w:r>
      <w:r>
        <w:t>oc</w:t>
      </w:r>
      <w:r>
        <w:rPr>
          <w:highlight w:val="yellow"/>
        </w:rPr>
        <w:t>k</w:t>
      </w:r>
      <w:r>
        <w:t>s. The Diks</w:t>
      </w:r>
      <w:r>
        <w:rPr>
          <w:highlight w:val="yellow"/>
        </w:rPr>
        <w:t>–</w:t>
      </w:r>
      <w:r>
        <w:t xml:space="preserve">Panchenko </w:t>
      </w:r>
      <w:r>
        <w:rPr>
          <w:highlight w:val="yellow"/>
        </w:rPr>
        <w:t>r</w:t>
      </w:r>
      <w:r>
        <w:t>es</w:t>
      </w:r>
      <w:r>
        <w:rPr>
          <w:highlight w:val="yellow"/>
        </w:rPr>
        <w:t>ults</w:t>
      </w:r>
      <w:r>
        <w:t xml:space="preserve"> </w:t>
      </w:r>
      <w:r>
        <w:rPr>
          <w:highlight w:val="yellow"/>
        </w:rPr>
        <w:t>sh</w:t>
      </w:r>
      <w:r>
        <w:t>o</w:t>
      </w:r>
      <w:r>
        <w:rPr>
          <w:highlight w:val="yellow"/>
        </w:rPr>
        <w:t>w</w:t>
      </w:r>
      <w:r>
        <w:t xml:space="preserve"> no unconditional nonlinear causality between EPU and </w:t>
      </w:r>
      <w:r>
        <w:rPr>
          <w:highlight w:val="yellow"/>
        </w:rPr>
        <w:t>th</w:t>
      </w:r>
      <w:r>
        <w:t>e</w:t>
      </w:r>
      <w:r>
        <w:rPr>
          <w:highlight w:val="yellow"/>
        </w:rPr>
        <w:t xml:space="preserve"> selec</w:t>
      </w:r>
      <w:r>
        <w:t>ted macroeconomic indicators</w:t>
      </w:r>
      <w:r>
        <w:rPr>
          <w:highlight w:val="yellow"/>
        </w:rPr>
        <w:t>,</w:t>
      </w:r>
      <w:r>
        <w:t xml:space="preserve"> while the significant Hatemi-J result </w:t>
      </w:r>
      <w:r>
        <w:rPr>
          <w:highlight w:val="yellow"/>
        </w:rPr>
        <w:t>indicat</w:t>
      </w:r>
      <w:r>
        <w:t>e</w:t>
      </w:r>
      <w:r>
        <w:rPr>
          <w:highlight w:val="yellow"/>
        </w:rPr>
        <w:t>s</w:t>
      </w:r>
      <w:r>
        <w:t xml:space="preserve"> that causal asymmetry is direction</w:t>
      </w:r>
      <w:r>
        <w:rPr>
          <w:highlight w:val="yellow"/>
        </w:rPr>
        <w:t>-</w:t>
      </w:r>
      <w:r>
        <w:t>specific.</w:t>
      </w:r>
    </w:p>
    <w:p w14:paraId="2EE6F454"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5.3 Policy Recommendations</w:t>
      </w:r>
    </w:p>
    <w:p w14:paraId="6D3807D7" w14:textId="77777777" w:rsidR="00B43039" w:rsidRDefault="00B43039" w:rsidP="00B43039">
      <w:pPr>
        <w:pStyle w:val="NormalWeb"/>
        <w:jc w:val="both"/>
      </w:pPr>
      <w:r>
        <w:rPr>
          <w:highlight w:val="yellow"/>
        </w:rPr>
        <w:t>The r</w:t>
      </w:r>
      <w:r>
        <w:t>esults highlight several polic</w:t>
      </w:r>
      <w:r>
        <w:rPr>
          <w:highlight w:val="yellow"/>
        </w:rPr>
        <w:t>y</w:t>
      </w:r>
      <w:r>
        <w:t xml:space="preserve"> co</w:t>
      </w:r>
      <w:r>
        <w:rPr>
          <w:highlight w:val="yellow"/>
        </w:rPr>
        <w:t>nsi</w:t>
      </w:r>
      <w:r>
        <w:t>d</w:t>
      </w:r>
      <w:r>
        <w:rPr>
          <w:highlight w:val="yellow"/>
        </w:rPr>
        <w:t>erations for</w:t>
      </w:r>
      <w:r>
        <w:t xml:space="preserve"> strengthen</w:t>
      </w:r>
      <w:r>
        <w:rPr>
          <w:highlight w:val="yellow"/>
        </w:rPr>
        <w:t>ing</w:t>
      </w:r>
      <w:r>
        <w:t xml:space="preserve"> predictability and macroeconomic stability and </w:t>
      </w:r>
      <w:r>
        <w:rPr>
          <w:highlight w:val="yellow"/>
        </w:rPr>
        <w:t xml:space="preserve">for </w:t>
      </w:r>
      <w:r>
        <w:t>buffer</w:t>
      </w:r>
      <w:r>
        <w:rPr>
          <w:highlight w:val="yellow"/>
        </w:rPr>
        <w:t>ing</w:t>
      </w:r>
      <w:r>
        <w:t xml:space="preserve"> t</w:t>
      </w:r>
      <w:r>
        <w:rPr>
          <w:highlight w:val="yellow"/>
        </w:rPr>
        <w:t>h</w:t>
      </w:r>
      <w:r>
        <w:t xml:space="preserve">e </w:t>
      </w:r>
      <w:r>
        <w:rPr>
          <w:highlight w:val="yellow"/>
        </w:rPr>
        <w:t>effe</w:t>
      </w:r>
      <w:r>
        <w:t>cts o</w:t>
      </w:r>
      <w:r>
        <w:rPr>
          <w:highlight w:val="yellow"/>
        </w:rPr>
        <w:t>f</w:t>
      </w:r>
      <w:r>
        <w:t xml:space="preserve"> economic downturns</w:t>
      </w:r>
      <w:r>
        <w:rPr>
          <w:highlight w:val="yellow"/>
        </w:rPr>
        <w:t>.</w:t>
      </w:r>
      <w:r>
        <w:t xml:space="preserve"> </w:t>
      </w:r>
      <w:r>
        <w:rPr>
          <w:highlight w:val="yellow"/>
        </w:rPr>
        <w:t>Given t</w:t>
      </w:r>
      <w:r>
        <w:t>h</w:t>
      </w:r>
      <w:r>
        <w:rPr>
          <w:highlight w:val="yellow"/>
        </w:rPr>
        <w:t>e signif</w:t>
      </w:r>
      <w:r>
        <w:t>ic</w:t>
      </w:r>
      <w:r>
        <w:rPr>
          <w:highlight w:val="yellow"/>
        </w:rPr>
        <w:t>ant</w:t>
      </w:r>
      <w:r>
        <w:t xml:space="preserve"> c</w:t>
      </w:r>
      <w:r>
        <w:rPr>
          <w:highlight w:val="yellow"/>
        </w:rPr>
        <w:t>ausa</w:t>
      </w:r>
      <w:r>
        <w:t>l</w:t>
      </w:r>
      <w:r>
        <w:rPr>
          <w:highlight w:val="yellow"/>
        </w:rPr>
        <w:t xml:space="preserve"> </w:t>
      </w:r>
      <w:r>
        <w:t>e</w:t>
      </w:r>
      <w:r>
        <w:rPr>
          <w:highlight w:val="yellow"/>
        </w:rPr>
        <w:t>ffect</w:t>
      </w:r>
      <w:r>
        <w:t xml:space="preserve"> </w:t>
      </w:r>
      <w:r>
        <w:rPr>
          <w:highlight w:val="yellow"/>
        </w:rPr>
        <w:t>f</w:t>
      </w:r>
      <w:r>
        <w:t>ro</w:t>
      </w:r>
      <w:r>
        <w:rPr>
          <w:highlight w:val="yellow"/>
        </w:rPr>
        <w:t>m</w:t>
      </w:r>
      <w:r>
        <w:t xml:space="preserve"> negative growth shock</w:t>
      </w:r>
      <w:r>
        <w:rPr>
          <w:highlight w:val="yellow"/>
        </w:rPr>
        <w:t>s</w:t>
      </w:r>
      <w:r>
        <w:t xml:space="preserve"> </w:t>
      </w:r>
      <w:r>
        <w:rPr>
          <w:highlight w:val="yellow"/>
        </w:rPr>
        <w:t>to positive</w:t>
      </w:r>
      <w:r>
        <w:t xml:space="preserve"> EPU</w:t>
      </w:r>
      <w:r>
        <w:rPr>
          <w:highlight w:val="yellow"/>
        </w:rPr>
        <w:t xml:space="preserve"> shocks</w:t>
      </w:r>
      <w:r>
        <w:t xml:space="preserve">, </w:t>
      </w:r>
      <w:r>
        <w:rPr>
          <w:highlight w:val="yellow"/>
        </w:rPr>
        <w:t>policy</w:t>
      </w:r>
      <w:r>
        <w:t xml:space="preserve"> credibility, stability, a</w:t>
      </w:r>
      <w:r>
        <w:rPr>
          <w:highlight w:val="yellow"/>
        </w:rPr>
        <w:t>nd</w:t>
      </w:r>
      <w:r>
        <w:t xml:space="preserve"> coor</w:t>
      </w:r>
      <w:r>
        <w:rPr>
          <w:highlight w:val="yellow"/>
        </w:rPr>
        <w:t>din</w:t>
      </w:r>
      <w:r>
        <w:t xml:space="preserve">ation </w:t>
      </w:r>
      <w:r>
        <w:rPr>
          <w:highlight w:val="yellow"/>
        </w:rPr>
        <w:t>are impor</w:t>
      </w:r>
      <w:r>
        <w:t>t</w:t>
      </w:r>
      <w:r>
        <w:rPr>
          <w:highlight w:val="yellow"/>
        </w:rPr>
        <w:t>ant f</w:t>
      </w:r>
      <w:r>
        <w:t>o</w:t>
      </w:r>
      <w:r>
        <w:rPr>
          <w:highlight w:val="yellow"/>
        </w:rPr>
        <w:t>r</w:t>
      </w:r>
      <w:r>
        <w:t xml:space="preserve"> </w:t>
      </w:r>
      <w:r>
        <w:rPr>
          <w:highlight w:val="yellow"/>
        </w:rPr>
        <w:t>supp</w:t>
      </w:r>
      <w:r>
        <w:t>o</w:t>
      </w:r>
      <w:r>
        <w:rPr>
          <w:highlight w:val="yellow"/>
        </w:rPr>
        <w:t>r</w:t>
      </w:r>
      <w:r>
        <w:t>t</w:t>
      </w:r>
      <w:r>
        <w:rPr>
          <w:highlight w:val="yellow"/>
        </w:rPr>
        <w:t>ing</w:t>
      </w:r>
      <w:r>
        <w:t xml:space="preserve"> growth. </w:t>
      </w:r>
      <w:r>
        <w:rPr>
          <w:highlight w:val="yellow"/>
        </w:rPr>
        <w:t>M</w:t>
      </w:r>
      <w:r>
        <w:t>onetary, fiscal</w:t>
      </w:r>
      <w:r>
        <w:rPr>
          <w:highlight w:val="yellow"/>
        </w:rPr>
        <w:t>,</w:t>
      </w:r>
      <w:r>
        <w:t xml:space="preserve"> and exchange</w:t>
      </w:r>
      <w:r>
        <w:rPr>
          <w:highlight w:val="yellow"/>
        </w:rPr>
        <w:t>-</w:t>
      </w:r>
      <w:r>
        <w:t xml:space="preserve">rate policies </w:t>
      </w:r>
      <w:r>
        <w:rPr>
          <w:highlight w:val="yellow"/>
        </w:rPr>
        <w:t>shoul</w:t>
      </w:r>
      <w:r>
        <w:t>d ther</w:t>
      </w:r>
      <w:r>
        <w:rPr>
          <w:highlight w:val="yellow"/>
        </w:rPr>
        <w:t>ef</w:t>
      </w:r>
      <w:r>
        <w:t>or</w:t>
      </w:r>
      <w:r>
        <w:rPr>
          <w:highlight w:val="yellow"/>
        </w:rPr>
        <w:t>e</w:t>
      </w:r>
      <w:r>
        <w:t xml:space="preserve"> be coordinated w</w:t>
      </w:r>
      <w:r>
        <w:rPr>
          <w:highlight w:val="yellow"/>
        </w:rPr>
        <w:t>ithin stabl</w:t>
      </w:r>
      <w:r>
        <w:t>e medium-term frameworks</w:t>
      </w:r>
      <w:r>
        <w:rPr>
          <w:highlight w:val="yellow"/>
        </w:rPr>
        <w:t>,</w:t>
      </w:r>
      <w:r>
        <w:t xml:space="preserve"> </w:t>
      </w:r>
      <w:r>
        <w:rPr>
          <w:highlight w:val="yellow"/>
        </w:rPr>
        <w:t>accompan</w:t>
      </w:r>
      <w:r>
        <w:t>i</w:t>
      </w:r>
      <w:r>
        <w:rPr>
          <w:highlight w:val="yellow"/>
        </w:rPr>
        <w:t>ed by</w:t>
      </w:r>
      <w:r>
        <w:t xml:space="preserve"> transparent polic</w:t>
      </w:r>
      <w:r>
        <w:rPr>
          <w:highlight w:val="yellow"/>
        </w:rPr>
        <w:t>y commun</w:t>
      </w:r>
      <w:r>
        <w:t>i</w:t>
      </w:r>
      <w:r>
        <w:rPr>
          <w:highlight w:val="yellow"/>
        </w:rPr>
        <w:t>cati</w:t>
      </w:r>
      <w:r>
        <w:t>on</w:t>
      </w:r>
      <w:r>
        <w:rPr>
          <w:highlight w:val="yellow"/>
        </w:rPr>
        <w:t>.</w:t>
      </w:r>
      <w:r>
        <w:t xml:space="preserve"> </w:t>
      </w:r>
      <w:r>
        <w:rPr>
          <w:highlight w:val="yellow"/>
        </w:rPr>
        <w:t>G</w:t>
      </w:r>
      <w:r>
        <w:t xml:space="preserve">rowth momentum </w:t>
      </w:r>
      <w:r>
        <w:rPr>
          <w:highlight w:val="yellow"/>
        </w:rPr>
        <w:t>may</w:t>
      </w:r>
      <w:r>
        <w:t xml:space="preserve"> be su</w:t>
      </w:r>
      <w:r>
        <w:rPr>
          <w:highlight w:val="yellow"/>
        </w:rPr>
        <w:t>ppor</w:t>
      </w:r>
      <w:r>
        <w:t xml:space="preserve">ted </w:t>
      </w:r>
      <w:r>
        <w:rPr>
          <w:highlight w:val="yellow"/>
        </w:rPr>
        <w:t>through</w:t>
      </w:r>
      <w:r>
        <w:t xml:space="preserve"> public investment in infrastructure, </w:t>
      </w:r>
      <w:r>
        <w:rPr>
          <w:highlight w:val="yellow"/>
        </w:rPr>
        <w:t>r</w:t>
      </w:r>
      <w:r>
        <w:t>eli</w:t>
      </w:r>
      <w:r>
        <w:rPr>
          <w:highlight w:val="yellow"/>
        </w:rPr>
        <w:t>abl</w:t>
      </w:r>
      <w:r>
        <w:t>e energy services, i</w:t>
      </w:r>
      <w:r>
        <w:rPr>
          <w:highlight w:val="yellow"/>
        </w:rPr>
        <w:t>mp</w:t>
      </w:r>
      <w:r>
        <w:t>r</w:t>
      </w:r>
      <w:r>
        <w:rPr>
          <w:highlight w:val="yellow"/>
        </w:rPr>
        <w:t>ov</w:t>
      </w:r>
      <w:r>
        <w:t>e</w:t>
      </w:r>
      <w:r>
        <w:rPr>
          <w:highlight w:val="yellow"/>
        </w:rPr>
        <w:t>d</w:t>
      </w:r>
      <w:r>
        <w:t xml:space="preserve"> agricultural and industr</w:t>
      </w:r>
      <w:r>
        <w:rPr>
          <w:highlight w:val="yellow"/>
        </w:rPr>
        <w:t>ial</w:t>
      </w:r>
      <w:r>
        <w:t xml:space="preserve"> productivity, </w:t>
      </w:r>
      <w:r>
        <w:rPr>
          <w:highlight w:val="yellow"/>
        </w:rPr>
        <w:t xml:space="preserve">and </w:t>
      </w:r>
      <w:r>
        <w:t>broade</w:t>
      </w:r>
      <w:r>
        <w:rPr>
          <w:highlight w:val="yellow"/>
        </w:rPr>
        <w:t>r access to</w:t>
      </w:r>
      <w:r>
        <w:t xml:space="preserve"> finance. </w:t>
      </w:r>
      <w:r>
        <w:rPr>
          <w:highlight w:val="yellow"/>
        </w:rPr>
        <w:t>T</w:t>
      </w:r>
      <w:r>
        <w:t>he credibility of monetary and fiscal polic</w:t>
      </w:r>
      <w:r>
        <w:rPr>
          <w:highlight w:val="yellow"/>
        </w:rPr>
        <w:t>y may al</w:t>
      </w:r>
      <w:r>
        <w:t xml:space="preserve">so be </w:t>
      </w:r>
      <w:r>
        <w:rPr>
          <w:highlight w:val="yellow"/>
        </w:rPr>
        <w:t>s</w:t>
      </w:r>
      <w:r>
        <w:t>t</w:t>
      </w:r>
      <w:r>
        <w:rPr>
          <w:highlight w:val="yellow"/>
        </w:rPr>
        <w:t>reng</w:t>
      </w:r>
      <w:r>
        <w:t>t</w:t>
      </w:r>
      <w:r>
        <w:rPr>
          <w:highlight w:val="yellow"/>
        </w:rPr>
        <w:t>he</w:t>
      </w:r>
      <w:r>
        <w:t>ned th</w:t>
      </w:r>
      <w:r>
        <w:rPr>
          <w:highlight w:val="yellow"/>
        </w:rPr>
        <w:t>roug</w:t>
      </w:r>
      <w:r>
        <w:t>h consistent fiscal frameworks, transparent reforms</w:t>
      </w:r>
      <w:r>
        <w:rPr>
          <w:highlight w:val="yellow"/>
        </w:rPr>
        <w:t>,</w:t>
      </w:r>
      <w:r>
        <w:t xml:space="preserve"> and </w:t>
      </w:r>
      <w:r>
        <w:rPr>
          <w:highlight w:val="yellow"/>
        </w:rPr>
        <w:t>cle</w:t>
      </w:r>
      <w:r>
        <w:t>ar</w:t>
      </w:r>
      <w:r>
        <w:rPr>
          <w:highlight w:val="yellow"/>
        </w:rPr>
        <w:t xml:space="preserve"> commu</w:t>
      </w:r>
      <w:r>
        <w:t>nica</w:t>
      </w:r>
      <w:r>
        <w:rPr>
          <w:highlight w:val="yellow"/>
        </w:rPr>
        <w:t>tio</w:t>
      </w:r>
      <w:r>
        <w:t>n regarding inflation, interest rate</w:t>
      </w:r>
      <w:r>
        <w:rPr>
          <w:highlight w:val="yellow"/>
        </w:rPr>
        <w:t>s</w:t>
      </w:r>
      <w:r>
        <w:t>, liquidity</w:t>
      </w:r>
      <w:r>
        <w:rPr>
          <w:highlight w:val="yellow"/>
        </w:rPr>
        <w:t>,</w:t>
      </w:r>
      <w:r>
        <w:t xml:space="preserve"> and exchange</w:t>
      </w:r>
      <w:r>
        <w:rPr>
          <w:highlight w:val="yellow"/>
        </w:rPr>
        <w:t>-</w:t>
      </w:r>
      <w:r>
        <w:t>rate</w:t>
      </w:r>
      <w:r>
        <w:rPr>
          <w:highlight w:val="yellow"/>
        </w:rPr>
        <w:t xml:space="preserve"> development</w:t>
      </w:r>
      <w:r>
        <w:t xml:space="preserve">s. </w:t>
      </w:r>
      <w:r>
        <w:rPr>
          <w:highlight w:val="yellow"/>
        </w:rPr>
        <w:t>E</w:t>
      </w:r>
      <w:r>
        <w:t xml:space="preserve">xchange-rate and structural policies </w:t>
      </w:r>
      <w:r>
        <w:rPr>
          <w:highlight w:val="yellow"/>
        </w:rPr>
        <w:t xml:space="preserve">should be </w:t>
      </w:r>
      <w:r>
        <w:t>i</w:t>
      </w:r>
      <w:r>
        <w:rPr>
          <w:highlight w:val="yellow"/>
        </w:rPr>
        <w:t>mplemen</w:t>
      </w:r>
      <w:r>
        <w:t>t</w:t>
      </w:r>
      <w:r>
        <w:rPr>
          <w:highlight w:val="yellow"/>
        </w:rPr>
        <w:t>ed throug</w:t>
      </w:r>
      <w:r>
        <w:t>h transparent procedures</w:t>
      </w:r>
      <w:r>
        <w:rPr>
          <w:highlight w:val="yellow"/>
        </w:rPr>
        <w:t>,</w:t>
      </w:r>
      <w:r>
        <w:t xml:space="preserve"> with a</w:t>
      </w:r>
      <w:r>
        <w:rPr>
          <w:highlight w:val="yellow"/>
        </w:rPr>
        <w:t>ppropri</w:t>
      </w:r>
      <w:r>
        <w:t xml:space="preserve">ate safeguards for affected </w:t>
      </w:r>
      <w:r>
        <w:rPr>
          <w:highlight w:val="yellow"/>
        </w:rPr>
        <w:t>g</w:t>
      </w:r>
      <w:r>
        <w:t>rou</w:t>
      </w:r>
      <w:r>
        <w:rPr>
          <w:highlight w:val="yellow"/>
        </w:rPr>
        <w:t>ps, includin</w:t>
      </w:r>
      <w:r>
        <w:t>g well</w:t>
      </w:r>
      <w:r>
        <w:rPr>
          <w:highlight w:val="yellow"/>
        </w:rPr>
        <w:t>-</w:t>
      </w:r>
      <w:r>
        <w:t xml:space="preserve">designed social </w:t>
      </w:r>
      <w:r>
        <w:rPr>
          <w:highlight w:val="yellow"/>
        </w:rPr>
        <w:t>prot</w:t>
      </w:r>
      <w:r>
        <w:t>e</w:t>
      </w:r>
      <w:r>
        <w:rPr>
          <w:highlight w:val="yellow"/>
        </w:rPr>
        <w:t>c</w:t>
      </w:r>
      <w:r>
        <w:t>t</w:t>
      </w:r>
      <w:r>
        <w:rPr>
          <w:highlight w:val="yellow"/>
        </w:rPr>
        <w:t>ion</w:t>
      </w:r>
      <w:r>
        <w:t xml:space="preserve"> me</w:t>
      </w:r>
      <w:r>
        <w:rPr>
          <w:highlight w:val="yellow"/>
        </w:rPr>
        <w:t>a</w:t>
      </w:r>
      <w:r>
        <w:t>sur</w:t>
      </w:r>
      <w:r>
        <w:rPr>
          <w:highlight w:val="yellow"/>
        </w:rPr>
        <w:t>e</w:t>
      </w:r>
      <w:r>
        <w:t xml:space="preserve">s. </w:t>
      </w:r>
      <w:r>
        <w:rPr>
          <w:highlight w:val="yellow"/>
        </w:rPr>
        <w:t>G</w:t>
      </w:r>
      <w:r>
        <w:t>re</w:t>
      </w:r>
      <w:r>
        <w:rPr>
          <w:highlight w:val="yellow"/>
        </w:rPr>
        <w:t>ater</w:t>
      </w:r>
      <w:r>
        <w:t xml:space="preserve"> institutional transparency </w:t>
      </w:r>
      <w:r>
        <w:rPr>
          <w:highlight w:val="yellow"/>
        </w:rPr>
        <w:t>and</w:t>
      </w:r>
      <w:r>
        <w:t xml:space="preserve"> the timely </w:t>
      </w:r>
      <w:r>
        <w:rPr>
          <w:highlight w:val="yellow"/>
        </w:rPr>
        <w:t>public</w:t>
      </w:r>
      <w:r>
        <w:t>a</w:t>
      </w:r>
      <w:r>
        <w:rPr>
          <w:highlight w:val="yellow"/>
        </w:rPr>
        <w:t>tio</w:t>
      </w:r>
      <w:r>
        <w:t xml:space="preserve">n </w:t>
      </w:r>
      <w:r>
        <w:rPr>
          <w:highlight w:val="yellow"/>
        </w:rPr>
        <w:t xml:space="preserve">of </w:t>
      </w:r>
      <w:r>
        <w:t>re</w:t>
      </w:r>
      <w:r>
        <w:rPr>
          <w:highlight w:val="yellow"/>
        </w:rPr>
        <w:t>liable e</w:t>
      </w:r>
      <w:r>
        <w:t>c</w:t>
      </w:r>
      <w:r>
        <w:rPr>
          <w:highlight w:val="yellow"/>
        </w:rPr>
        <w:t>onom</w:t>
      </w:r>
      <w:r>
        <w:t>i</w:t>
      </w:r>
      <w:r>
        <w:rPr>
          <w:highlight w:val="yellow"/>
        </w:rPr>
        <w:t>c</w:t>
      </w:r>
      <w:r>
        <w:t xml:space="preserve"> statistics </w:t>
      </w:r>
      <w:r>
        <w:rPr>
          <w:highlight w:val="yellow"/>
        </w:rPr>
        <w:t>may further impr</w:t>
      </w:r>
      <w:r>
        <w:t>o</w:t>
      </w:r>
      <w:r>
        <w:rPr>
          <w:highlight w:val="yellow"/>
        </w:rPr>
        <w:t>ve</w:t>
      </w:r>
      <w:r>
        <w:t xml:space="preserve"> </w:t>
      </w:r>
      <w:r>
        <w:rPr>
          <w:highlight w:val="yellow"/>
        </w:rPr>
        <w:t>p</w:t>
      </w:r>
      <w:r>
        <w:t>o</w:t>
      </w:r>
      <w:r>
        <w:rPr>
          <w:highlight w:val="yellow"/>
        </w:rPr>
        <w:t>l</w:t>
      </w:r>
      <w:r>
        <w:t>ic</w:t>
      </w:r>
      <w:r>
        <w:rPr>
          <w:highlight w:val="yellow"/>
        </w:rPr>
        <w:t>y</w:t>
      </w:r>
      <w:r>
        <w:t xml:space="preserve"> </w:t>
      </w:r>
      <w:r>
        <w:rPr>
          <w:highlight w:val="yellow"/>
        </w:rPr>
        <w:t>pre</w:t>
      </w:r>
      <w:r>
        <w:t>di</w:t>
      </w:r>
      <w:r>
        <w:rPr>
          <w:highlight w:val="yellow"/>
        </w:rPr>
        <w:t>c</w:t>
      </w:r>
      <w:r>
        <w:t>t</w:t>
      </w:r>
      <w:r>
        <w:rPr>
          <w:highlight w:val="yellow"/>
        </w:rPr>
        <w:t>ab</w:t>
      </w:r>
      <w:r>
        <w:t>i</w:t>
      </w:r>
      <w:r>
        <w:rPr>
          <w:highlight w:val="yellow"/>
        </w:rPr>
        <w:t>lity</w:t>
      </w:r>
      <w:r>
        <w:t xml:space="preserve">. </w:t>
      </w:r>
      <w:r>
        <w:rPr>
          <w:highlight w:val="yellow"/>
        </w:rPr>
        <w:t>Nig</w:t>
      </w:r>
      <w:r>
        <w:t>e</w:t>
      </w:r>
      <w:r>
        <w:rPr>
          <w:highlight w:val="yellow"/>
        </w:rPr>
        <w:t>ria’s</w:t>
      </w:r>
      <w:r>
        <w:t xml:space="preserve"> EPU index </w:t>
      </w:r>
      <w:r>
        <w:rPr>
          <w:highlight w:val="yellow"/>
        </w:rPr>
        <w:t>may als</w:t>
      </w:r>
      <w:r>
        <w:t>o be i</w:t>
      </w:r>
      <w:r>
        <w:rPr>
          <w:highlight w:val="yellow"/>
        </w:rPr>
        <w:t>ncorpora</w:t>
      </w:r>
      <w:r>
        <w:t>t</w:t>
      </w:r>
      <w:r>
        <w:rPr>
          <w:highlight w:val="yellow"/>
        </w:rPr>
        <w:t>ed</w:t>
      </w:r>
      <w:r>
        <w:t xml:space="preserve"> into macroeconomic forecasting an</w:t>
      </w:r>
      <w:r>
        <w:rPr>
          <w:highlight w:val="yellow"/>
        </w:rPr>
        <w:t>d</w:t>
      </w:r>
      <w:r>
        <w:t xml:space="preserve"> early-warning </w:t>
      </w:r>
      <w:r>
        <w:rPr>
          <w:highlight w:val="yellow"/>
        </w:rPr>
        <w:t xml:space="preserve">frameworks for identifying periods </w:t>
      </w:r>
      <w:r>
        <w:t xml:space="preserve">of </w:t>
      </w:r>
      <w:r>
        <w:rPr>
          <w:highlight w:val="yellow"/>
        </w:rPr>
        <w:t>r</w:t>
      </w:r>
      <w:r>
        <w:t>ising un</w:t>
      </w:r>
      <w:r>
        <w:rPr>
          <w:highlight w:val="yellow"/>
        </w:rPr>
        <w:t>cert</w:t>
      </w:r>
      <w:r>
        <w:t>aint</w:t>
      </w:r>
      <w:r>
        <w:rPr>
          <w:highlight w:val="yellow"/>
        </w:rPr>
        <w:t>y</w:t>
      </w:r>
      <w:r>
        <w:t>.</w:t>
      </w:r>
    </w:p>
    <w:p w14:paraId="1991AE55"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5.4</w:t>
      </w:r>
      <w:r>
        <w:rPr>
          <w:rFonts w:ascii="Times New Roman" w:eastAsia="Times New Roman" w:hAnsi="Times New Roman" w:cs="Times New Roman"/>
          <w:bCs/>
          <w:sz w:val="27"/>
          <w:szCs w:val="27"/>
        </w:rPr>
        <w:t xml:space="preserve"> </w:t>
      </w:r>
      <w:r w:rsidRPr="00390620">
        <w:rPr>
          <w:rFonts w:ascii="Times New Roman" w:eastAsia="Times New Roman" w:hAnsi="Times New Roman" w:cs="Times New Roman"/>
          <w:bCs/>
          <w:sz w:val="27"/>
          <w:szCs w:val="27"/>
        </w:rPr>
        <w:t xml:space="preserve">limitations </w:t>
      </w:r>
    </w:p>
    <w:p w14:paraId="04D9A3A9" w14:textId="77777777" w:rsidR="00B43039" w:rsidRDefault="00B43039" w:rsidP="00B43039">
      <w:pPr>
        <w:pStyle w:val="NormalWeb"/>
        <w:jc w:val="both"/>
      </w:pPr>
      <w:r>
        <w:rPr>
          <w:highlight w:val="yellow"/>
        </w:rPr>
        <w:t>S</w:t>
      </w:r>
      <w:r>
        <w:t xml:space="preserve">everal limitations </w:t>
      </w:r>
      <w:r>
        <w:rPr>
          <w:highlight w:val="yellow"/>
        </w:rPr>
        <w:t>sh</w:t>
      </w:r>
      <w:r>
        <w:t>ou</w:t>
      </w:r>
      <w:r>
        <w:rPr>
          <w:highlight w:val="yellow"/>
        </w:rPr>
        <w:t>ld</w:t>
      </w:r>
      <w:r>
        <w:t xml:space="preserve"> be </w:t>
      </w:r>
      <w:r>
        <w:rPr>
          <w:highlight w:val="yellow"/>
        </w:rPr>
        <w:t>cons</w:t>
      </w:r>
      <w:r>
        <w:t>id</w:t>
      </w:r>
      <w:r>
        <w:rPr>
          <w:highlight w:val="yellow"/>
        </w:rPr>
        <w:t>ered</w:t>
      </w:r>
      <w:r>
        <w:t xml:space="preserve"> when </w:t>
      </w:r>
      <w:r>
        <w:rPr>
          <w:highlight w:val="yellow"/>
        </w:rPr>
        <w:t>interp</w:t>
      </w:r>
      <w:r>
        <w:t>re</w:t>
      </w:r>
      <w:r>
        <w:rPr>
          <w:highlight w:val="yellow"/>
        </w:rPr>
        <w:t>t</w:t>
      </w:r>
      <w:r>
        <w:t>ing the findings. First, the ana</w:t>
      </w:r>
      <w:r>
        <w:rPr>
          <w:highlight w:val="yellow"/>
        </w:rPr>
        <w:t>lys</w:t>
      </w:r>
      <w:r>
        <w:t>is is restricted to monthly aggregate data and five macroeconomic variables. Short-run causal relationships ma</w:t>
      </w:r>
      <w:r>
        <w:rPr>
          <w:highlight w:val="yellow"/>
        </w:rPr>
        <w:t>y</w:t>
      </w:r>
      <w:r>
        <w:t xml:space="preserve"> there</w:t>
      </w:r>
      <w:r>
        <w:rPr>
          <w:highlight w:val="yellow"/>
        </w:rPr>
        <w:t>fore</w:t>
      </w:r>
      <w:r>
        <w:t xml:space="preserve"> </w:t>
      </w:r>
      <w:r>
        <w:rPr>
          <w:highlight w:val="yellow"/>
        </w:rPr>
        <w:t>b</w:t>
      </w:r>
      <w:r>
        <w:t>e</w:t>
      </w:r>
      <w:r>
        <w:rPr>
          <w:highlight w:val="yellow"/>
        </w:rPr>
        <w:t xml:space="preserve"> obscured, wh</w:t>
      </w:r>
      <w:r>
        <w:t>i</w:t>
      </w:r>
      <w:r>
        <w:rPr>
          <w:highlight w:val="yellow"/>
        </w:rPr>
        <w:t>le</w:t>
      </w:r>
      <w:r>
        <w:t xml:space="preserve"> other </w:t>
      </w:r>
      <w:r>
        <w:rPr>
          <w:highlight w:val="yellow"/>
        </w:rPr>
        <w:t>p</w:t>
      </w:r>
      <w:r>
        <w:t>ote</w:t>
      </w:r>
      <w:r>
        <w:rPr>
          <w:highlight w:val="yellow"/>
        </w:rPr>
        <w:t>ntially relevant</w:t>
      </w:r>
      <w:r>
        <w:t xml:space="preserve"> variables</w:t>
      </w:r>
      <w:r>
        <w:rPr>
          <w:highlight w:val="yellow"/>
        </w:rPr>
        <w:t>,</w:t>
      </w:r>
      <w:r>
        <w:t xml:space="preserve"> </w:t>
      </w:r>
      <w:r>
        <w:rPr>
          <w:highlight w:val="yellow"/>
        </w:rPr>
        <w:t>such</w:t>
      </w:r>
      <w:r>
        <w:t xml:space="preserve"> </w:t>
      </w:r>
      <w:r>
        <w:rPr>
          <w:highlight w:val="yellow"/>
        </w:rPr>
        <w:t>as p</w:t>
      </w:r>
      <w:r>
        <w:t xml:space="preserve">ublic debt, </w:t>
      </w:r>
      <w:r>
        <w:rPr>
          <w:highlight w:val="yellow"/>
        </w:rPr>
        <w:t>o</w:t>
      </w:r>
      <w:r>
        <w:t xml:space="preserve">il prices, </w:t>
      </w:r>
      <w:r>
        <w:rPr>
          <w:highlight w:val="yellow"/>
        </w:rPr>
        <w:t>f</w:t>
      </w:r>
      <w:r>
        <w:t xml:space="preserve">iscal deficits, </w:t>
      </w:r>
      <w:r>
        <w:rPr>
          <w:highlight w:val="yellow"/>
        </w:rPr>
        <w:t>p</w:t>
      </w:r>
      <w:r>
        <w:t xml:space="preserve">rivate net capital flows, </w:t>
      </w:r>
      <w:r>
        <w:rPr>
          <w:highlight w:val="yellow"/>
        </w:rPr>
        <w:t>and</w:t>
      </w:r>
      <w:r>
        <w:t xml:space="preserve"> </w:t>
      </w:r>
      <w:r>
        <w:rPr>
          <w:highlight w:val="yellow"/>
        </w:rPr>
        <w:t>e</w:t>
      </w:r>
      <w:r>
        <w:t xml:space="preserve">xternal </w:t>
      </w:r>
      <w:r>
        <w:rPr>
          <w:highlight w:val="yellow"/>
        </w:rPr>
        <w:t>r</w:t>
      </w:r>
      <w:r>
        <w:t>eserves</w:t>
      </w:r>
      <w:r>
        <w:rPr>
          <w:highlight w:val="yellow"/>
        </w:rPr>
        <w:t>,</w:t>
      </w:r>
      <w:r>
        <w:t xml:space="preserve"> are </w:t>
      </w:r>
      <w:r>
        <w:rPr>
          <w:highlight w:val="yellow"/>
        </w:rPr>
        <w:t>no</w:t>
      </w:r>
      <w:r>
        <w:t xml:space="preserve">t </w:t>
      </w:r>
      <w:r>
        <w:rPr>
          <w:highlight w:val="yellow"/>
        </w:rPr>
        <w:t>incl</w:t>
      </w:r>
      <w:r>
        <w:t>u</w:t>
      </w:r>
      <w:r>
        <w:rPr>
          <w:highlight w:val="yellow"/>
        </w:rPr>
        <w:t>ded</w:t>
      </w:r>
      <w:r>
        <w:t xml:space="preserve">. Second, the </w:t>
      </w:r>
      <w:proofErr w:type="spellStart"/>
      <w:r>
        <w:t>Zivot</w:t>
      </w:r>
      <w:proofErr w:type="spellEnd"/>
      <w:r>
        <w:rPr>
          <w:highlight w:val="yellow"/>
        </w:rPr>
        <w:t>–</w:t>
      </w:r>
      <w:proofErr w:type="gramStart"/>
      <w:r>
        <w:t>Andrews</w:t>
      </w:r>
      <w:proofErr w:type="gramEnd"/>
      <w:r>
        <w:t xml:space="preserve"> test </w:t>
      </w:r>
      <w:r>
        <w:rPr>
          <w:highlight w:val="yellow"/>
        </w:rPr>
        <w:t>allow</w:t>
      </w:r>
      <w:r>
        <w:t>s o</w:t>
      </w:r>
      <w:r>
        <w:rPr>
          <w:highlight w:val="yellow"/>
        </w:rPr>
        <w:t>nly</w:t>
      </w:r>
      <w:r>
        <w:t xml:space="preserve"> one endogenous structural break, </w:t>
      </w:r>
      <w:r>
        <w:rPr>
          <w:highlight w:val="yellow"/>
        </w:rPr>
        <w:t>al</w:t>
      </w:r>
      <w:r>
        <w:t>t</w:t>
      </w:r>
      <w:r>
        <w:rPr>
          <w:highlight w:val="yellow"/>
        </w:rPr>
        <w:t>hough</w:t>
      </w:r>
      <w:r>
        <w:t xml:space="preserve"> Nigeria </w:t>
      </w:r>
      <w:r>
        <w:rPr>
          <w:highlight w:val="yellow"/>
        </w:rPr>
        <w:t>may</w:t>
      </w:r>
      <w:r>
        <w:t xml:space="preserve"> have experienced </w:t>
      </w:r>
      <w:r>
        <w:rPr>
          <w:highlight w:val="yellow"/>
        </w:rPr>
        <w:t>multipl</w:t>
      </w:r>
      <w:r>
        <w:t>e or o</w:t>
      </w:r>
      <w:r>
        <w:rPr>
          <w:highlight w:val="yellow"/>
        </w:rPr>
        <w:t>ve</w:t>
      </w:r>
      <w:r>
        <w:t>r</w:t>
      </w:r>
      <w:r>
        <w:rPr>
          <w:highlight w:val="yellow"/>
        </w:rPr>
        <w:t>lapping</w:t>
      </w:r>
      <w:r>
        <w:t xml:space="preserve"> economic and policy shocks. Third, neither the Hatemi-J asymmetry test nor the Diks</w:t>
      </w:r>
      <w:r>
        <w:rPr>
          <w:highlight w:val="yellow"/>
        </w:rPr>
        <w:t>–</w:t>
      </w:r>
      <w:r>
        <w:t>Panchenko test e</w:t>
      </w:r>
      <w:r>
        <w:rPr>
          <w:highlight w:val="yellow"/>
        </w:rPr>
        <w:t>xplici</w:t>
      </w:r>
      <w:r>
        <w:t xml:space="preserve">tly </w:t>
      </w:r>
      <w:r>
        <w:rPr>
          <w:highlight w:val="yellow"/>
        </w:rPr>
        <w:t>c</w:t>
      </w:r>
      <w:r>
        <w:t>a</w:t>
      </w:r>
      <w:r>
        <w:rPr>
          <w:highlight w:val="yellow"/>
        </w:rPr>
        <w:t>pt</w:t>
      </w:r>
      <w:r>
        <w:t>ur</w:t>
      </w:r>
      <w:r>
        <w:rPr>
          <w:highlight w:val="yellow"/>
        </w:rPr>
        <w:t>es</w:t>
      </w:r>
      <w:r>
        <w:t xml:space="preserve"> regime changes, threshold effects, or time-varying causality</w:t>
      </w:r>
      <w:r>
        <w:rPr>
          <w:highlight w:val="yellow"/>
        </w:rPr>
        <w:t>,</w:t>
      </w:r>
      <w:r>
        <w:t xml:space="preserve"> </w:t>
      </w:r>
      <w:r>
        <w:rPr>
          <w:highlight w:val="yellow"/>
        </w:rPr>
        <w:t>an</w:t>
      </w:r>
      <w:r>
        <w:t xml:space="preserve">d the </w:t>
      </w:r>
      <w:r>
        <w:rPr>
          <w:highlight w:val="yellow"/>
        </w:rPr>
        <w:t>magn</w:t>
      </w:r>
      <w:r>
        <w:t>i</w:t>
      </w:r>
      <w:r>
        <w:rPr>
          <w:highlight w:val="yellow"/>
        </w:rPr>
        <w:t>tud</w:t>
      </w:r>
      <w:r>
        <w:t xml:space="preserve">e of cumulative partial sums </w:t>
      </w:r>
      <w:r>
        <w:rPr>
          <w:highlight w:val="yellow"/>
        </w:rPr>
        <w:t xml:space="preserve">should not itself </w:t>
      </w:r>
      <w:r>
        <w:t xml:space="preserve">be </w:t>
      </w:r>
      <w:r>
        <w:rPr>
          <w:highlight w:val="yellow"/>
        </w:rPr>
        <w:t>i</w:t>
      </w:r>
      <w:r>
        <w:t>n</w:t>
      </w:r>
      <w:r>
        <w:rPr>
          <w:highlight w:val="yellow"/>
        </w:rPr>
        <w:t>terpreted a</w:t>
      </w:r>
      <w:r>
        <w:t>s</w:t>
      </w:r>
      <w:r>
        <w:rPr>
          <w:highlight w:val="yellow"/>
        </w:rPr>
        <w:t xml:space="preserve"> ev</w:t>
      </w:r>
      <w:r>
        <w:t>iden</w:t>
      </w:r>
      <w:r>
        <w:rPr>
          <w:highlight w:val="yellow"/>
        </w:rPr>
        <w:t>c</w:t>
      </w:r>
      <w:r>
        <w:t xml:space="preserve">e </w:t>
      </w:r>
      <w:r>
        <w:rPr>
          <w:highlight w:val="yellow"/>
        </w:rPr>
        <w:t>of</w:t>
      </w:r>
      <w:r>
        <w:t xml:space="preserve"> asymmetric causal</w:t>
      </w:r>
      <w:r>
        <w:rPr>
          <w:highlight w:val="yellow"/>
        </w:rPr>
        <w:t>ity</w:t>
      </w:r>
      <w:r>
        <w:t>. Fourth, the a</w:t>
      </w:r>
      <w:r>
        <w:rPr>
          <w:highlight w:val="yellow"/>
        </w:rPr>
        <w:t>nalysis do</w:t>
      </w:r>
      <w:r>
        <w:t>e</w:t>
      </w:r>
      <w:r>
        <w:rPr>
          <w:highlight w:val="yellow"/>
        </w:rPr>
        <w:t>s</w:t>
      </w:r>
      <w:r>
        <w:t xml:space="preserve"> not </w:t>
      </w:r>
      <w:r>
        <w:rPr>
          <w:highlight w:val="yellow"/>
        </w:rPr>
        <w:t>f</w:t>
      </w:r>
      <w:r>
        <w:t>u</w:t>
      </w:r>
      <w:r>
        <w:rPr>
          <w:highlight w:val="yellow"/>
        </w:rPr>
        <w:t>l</w:t>
      </w:r>
      <w:r>
        <w:t>ly id</w:t>
      </w:r>
      <w:r>
        <w:rPr>
          <w:highlight w:val="yellow"/>
        </w:rPr>
        <w:t>en</w:t>
      </w:r>
      <w:r>
        <w:t>t</w:t>
      </w:r>
      <w:r>
        <w:rPr>
          <w:highlight w:val="yellow"/>
        </w:rPr>
        <w:t>ify</w:t>
      </w:r>
      <w:r>
        <w:t xml:space="preserve"> the transmission mechanisms </w:t>
      </w:r>
      <w:r>
        <w:rPr>
          <w:highlight w:val="yellow"/>
        </w:rPr>
        <w:t xml:space="preserve">through </w:t>
      </w:r>
      <w:r>
        <w:t>wh</w:t>
      </w:r>
      <w:r>
        <w:rPr>
          <w:highlight w:val="yellow"/>
        </w:rPr>
        <w:t>ich</w:t>
      </w:r>
      <w:r>
        <w:t xml:space="preserve"> negative output shocks </w:t>
      </w:r>
      <w:r>
        <w:rPr>
          <w:highlight w:val="yellow"/>
        </w:rPr>
        <w:t>m</w:t>
      </w:r>
      <w:r>
        <w:t>ay in</w:t>
      </w:r>
      <w:r>
        <w:rPr>
          <w:highlight w:val="yellow"/>
        </w:rPr>
        <w:t>crease</w:t>
      </w:r>
      <w:r>
        <w:t xml:space="preserve"> </w:t>
      </w:r>
      <w:r>
        <w:lastRenderedPageBreak/>
        <w:t xml:space="preserve">economic policy </w:t>
      </w:r>
      <w:r>
        <w:rPr>
          <w:highlight w:val="yellow"/>
        </w:rPr>
        <w:t>uncert</w:t>
      </w:r>
      <w:r>
        <w:t>a</w:t>
      </w:r>
      <w:r>
        <w:rPr>
          <w:highlight w:val="yellow"/>
        </w:rPr>
        <w:t>in</w:t>
      </w:r>
      <w:r>
        <w:t>t</w:t>
      </w:r>
      <w:r>
        <w:rPr>
          <w:highlight w:val="yellow"/>
        </w:rPr>
        <w:t>y;</w:t>
      </w:r>
      <w:r>
        <w:t xml:space="preserve"> institutional, political, external, </w:t>
      </w:r>
      <w:r>
        <w:rPr>
          <w:highlight w:val="yellow"/>
        </w:rPr>
        <w:t>f</w:t>
      </w:r>
      <w:r>
        <w:t>i</w:t>
      </w:r>
      <w:r>
        <w:rPr>
          <w:highlight w:val="yellow"/>
        </w:rPr>
        <w:t>sc</w:t>
      </w:r>
      <w:r>
        <w:t>al</w:t>
      </w:r>
      <w:r>
        <w:rPr>
          <w:highlight w:val="yellow"/>
        </w:rPr>
        <w:t>,</w:t>
      </w:r>
      <w:r>
        <w:t xml:space="preserve"> and financial </w:t>
      </w:r>
      <w:r>
        <w:rPr>
          <w:highlight w:val="yellow"/>
        </w:rPr>
        <w:t>c</w:t>
      </w:r>
      <w:r>
        <w:t>on</w:t>
      </w:r>
      <w:r>
        <w:rPr>
          <w:highlight w:val="yellow"/>
        </w:rPr>
        <w:t>ditio</w:t>
      </w:r>
      <w:r>
        <w:t>n</w:t>
      </w:r>
      <w:r>
        <w:rPr>
          <w:highlight w:val="yellow"/>
        </w:rPr>
        <w:t>s</w:t>
      </w:r>
      <w:r>
        <w:t xml:space="preserve"> may also contribut</w:t>
      </w:r>
      <w:r>
        <w:rPr>
          <w:highlight w:val="yellow"/>
        </w:rPr>
        <w:t>e</w:t>
      </w:r>
      <w:r>
        <w:t xml:space="preserve"> to this </w:t>
      </w:r>
      <w:r>
        <w:rPr>
          <w:highlight w:val="yellow"/>
        </w:rPr>
        <w:t>r</w:t>
      </w:r>
      <w:r>
        <w:t>e</w:t>
      </w:r>
      <w:r>
        <w:rPr>
          <w:highlight w:val="yellow"/>
        </w:rPr>
        <w:t>lations</w:t>
      </w:r>
      <w:r>
        <w:t>hi</w:t>
      </w:r>
      <w:r>
        <w:rPr>
          <w:highlight w:val="yellow"/>
        </w:rPr>
        <w:t>p</w:t>
      </w:r>
      <w:r>
        <w:t>.</w:t>
      </w:r>
    </w:p>
    <w:p w14:paraId="2C684763"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5.5 Needs for Further Studies</w:t>
      </w:r>
    </w:p>
    <w:p w14:paraId="37877543" w14:textId="09FF6F23" w:rsidR="00425CA8" w:rsidRDefault="00425CA8" w:rsidP="00425CA8">
      <w:pPr>
        <w:pStyle w:val="NormalWeb"/>
        <w:jc w:val="both"/>
      </w:pPr>
      <w:r>
        <w:t>Future r</w:t>
      </w:r>
      <w:r>
        <w:rPr>
          <w:highlight w:val="yellow"/>
        </w:rPr>
        <w:t>esearch</w:t>
      </w:r>
      <w:r>
        <w:t xml:space="preserve"> should examine whether th</w:t>
      </w:r>
      <w:r>
        <w:rPr>
          <w:highlight w:val="yellow"/>
        </w:rPr>
        <w:t>e</w:t>
      </w:r>
      <w:r>
        <w:t xml:space="preserve"> growth</w:t>
      </w:r>
      <w:r>
        <w:rPr>
          <w:highlight w:val="yellow"/>
        </w:rPr>
        <w:t>–</w:t>
      </w:r>
      <w:r>
        <w:t xml:space="preserve">EPU </w:t>
      </w:r>
      <w:r>
        <w:rPr>
          <w:highlight w:val="yellow"/>
        </w:rPr>
        <w:t>relatio</w:t>
      </w:r>
      <w:r>
        <w:t>ns</w:t>
      </w:r>
      <w:r>
        <w:rPr>
          <w:highlight w:val="yellow"/>
        </w:rPr>
        <w:t>h</w:t>
      </w:r>
      <w:r>
        <w:t>i</w:t>
      </w:r>
      <w:r>
        <w:rPr>
          <w:highlight w:val="yellow"/>
        </w:rPr>
        <w:t>p</w:t>
      </w:r>
      <w:r>
        <w:t xml:space="preserve"> differ</w:t>
      </w:r>
      <w:r>
        <w:rPr>
          <w:highlight w:val="yellow"/>
        </w:rPr>
        <w:t>s betwe</w:t>
      </w:r>
      <w:r>
        <w:t>en expansionary and recessiona</w:t>
      </w:r>
      <w:r>
        <w:rPr>
          <w:highlight w:val="yellow"/>
        </w:rPr>
        <w:t>ry</w:t>
      </w:r>
      <w:r>
        <w:t xml:space="preserve"> periods,</w:t>
      </w:r>
      <w:r>
        <w:rPr>
          <w:highlight w:val="yellow"/>
        </w:rPr>
        <w:t xml:space="preserve"> during</w:t>
      </w:r>
      <w:r>
        <w:t xml:space="preserve"> episodes of high inflation and exchange</w:t>
      </w:r>
      <w:r>
        <w:rPr>
          <w:highlight w:val="yellow"/>
        </w:rPr>
        <w:t>-</w:t>
      </w:r>
      <w:r>
        <w:t xml:space="preserve">rate crises, and </w:t>
      </w:r>
      <w:r>
        <w:rPr>
          <w:highlight w:val="yellow"/>
        </w:rPr>
        <w:t>arou</w:t>
      </w:r>
      <w:r>
        <w:t>nd major policy change</w:t>
      </w:r>
      <w:r>
        <w:rPr>
          <w:highlight w:val="yellow"/>
        </w:rPr>
        <w:t>s</w:t>
      </w:r>
      <w:r>
        <w:t>, using a</w:t>
      </w:r>
      <w:r>
        <w:rPr>
          <w:highlight w:val="yellow"/>
        </w:rPr>
        <w:t>ppr</w:t>
      </w:r>
      <w:r>
        <w:t>o</w:t>
      </w:r>
      <w:r>
        <w:rPr>
          <w:highlight w:val="yellow"/>
        </w:rPr>
        <w:t>a</w:t>
      </w:r>
      <w:r>
        <w:t>ches such as MS-VAR, threshold VAR, STVAR, and regime</w:t>
      </w:r>
      <w:r>
        <w:rPr>
          <w:highlight w:val="yellow"/>
        </w:rPr>
        <w:t>-</w:t>
      </w:r>
      <w:r>
        <w:t>dependent TVP-VAR models</w:t>
      </w:r>
      <w:r>
        <w:rPr>
          <w:highlight w:val="yellow"/>
        </w:rPr>
        <w:t>. Further work could</w:t>
      </w:r>
      <w:r>
        <w:t xml:space="preserve"> also </w:t>
      </w:r>
      <w:r>
        <w:rPr>
          <w:highlight w:val="yellow"/>
        </w:rPr>
        <w:t>t</w:t>
      </w:r>
      <w:r>
        <w:t>e</w:t>
      </w:r>
      <w:r>
        <w:rPr>
          <w:highlight w:val="yellow"/>
        </w:rPr>
        <w:t>st</w:t>
      </w:r>
      <w:r>
        <w:t xml:space="preserve"> whether</w:t>
      </w:r>
      <w:r>
        <w:rPr>
          <w:highlight w:val="yellow"/>
        </w:rPr>
        <w:t xml:space="preserve"> the effect of</w:t>
      </w:r>
      <w:r>
        <w:t xml:space="preserve"> negative growth shocks on policy uncertainty </w:t>
      </w:r>
      <w:r>
        <w:rPr>
          <w:highlight w:val="yellow"/>
        </w:rPr>
        <w:t>d</w:t>
      </w:r>
      <w:r>
        <w:t>i</w:t>
      </w:r>
      <w:r>
        <w:rPr>
          <w:highlight w:val="yellow"/>
        </w:rPr>
        <w:t>ffer</w:t>
      </w:r>
      <w:r>
        <w:t xml:space="preserve">s </w:t>
      </w:r>
      <w:r>
        <w:rPr>
          <w:highlight w:val="yellow"/>
        </w:rPr>
        <w:t>b</w:t>
      </w:r>
      <w:r>
        <w:t>e</w:t>
      </w:r>
      <w:r>
        <w:rPr>
          <w:highlight w:val="yellow"/>
        </w:rPr>
        <w:t>twe</w:t>
      </w:r>
      <w:r>
        <w:t>en normal periods an</w:t>
      </w:r>
      <w:r>
        <w:rPr>
          <w:highlight w:val="yellow"/>
        </w:rPr>
        <w:t>d</w:t>
      </w:r>
      <w:r>
        <w:t xml:space="preserve"> crisis </w:t>
      </w:r>
      <w:r>
        <w:rPr>
          <w:highlight w:val="yellow"/>
        </w:rPr>
        <w:t>e</w:t>
      </w:r>
      <w:r>
        <w:t>pi</w:t>
      </w:r>
      <w:r>
        <w:rPr>
          <w:highlight w:val="yellow"/>
        </w:rPr>
        <w:t>s</w:t>
      </w:r>
      <w:r>
        <w:t>od</w:t>
      </w:r>
      <w:r>
        <w:rPr>
          <w:highlight w:val="yellow"/>
        </w:rPr>
        <w:t>e</w:t>
      </w:r>
      <w:r>
        <w:t>s</w:t>
      </w:r>
      <w:r>
        <w:rPr>
          <w:highlight w:val="yellow"/>
        </w:rPr>
        <w:t>,</w:t>
      </w:r>
      <w:r>
        <w:t xml:space="preserve"> </w:t>
      </w:r>
      <w:r>
        <w:rPr>
          <w:highlight w:val="yellow"/>
        </w:rPr>
        <w:t>inc</w:t>
      </w:r>
      <w:r>
        <w:t>l</w:t>
      </w:r>
      <w:r>
        <w:rPr>
          <w:highlight w:val="yellow"/>
        </w:rPr>
        <w:t>ud</w:t>
      </w:r>
      <w:r>
        <w:t>i</w:t>
      </w:r>
      <w:r>
        <w:rPr>
          <w:highlight w:val="yellow"/>
        </w:rPr>
        <w:t>ng</w:t>
      </w:r>
      <w:r>
        <w:t xml:space="preserve"> the COVID-19 </w:t>
      </w:r>
      <w:r>
        <w:rPr>
          <w:highlight w:val="yellow"/>
        </w:rPr>
        <w:t>pe</w:t>
      </w:r>
      <w:r>
        <w:t>ri</w:t>
      </w:r>
      <w:r>
        <w:rPr>
          <w:highlight w:val="yellow"/>
        </w:rPr>
        <w:t>od</w:t>
      </w:r>
      <w:r>
        <w:t xml:space="preserve"> and the </w:t>
      </w:r>
      <w:r>
        <w:rPr>
          <w:highlight w:val="yellow"/>
        </w:rPr>
        <w:t>post-</w:t>
      </w:r>
      <w:r>
        <w:t xml:space="preserve">2023 reform period. </w:t>
      </w:r>
      <w:r>
        <w:rPr>
          <w:highlight w:val="yellow"/>
        </w:rPr>
        <w:t>The</w:t>
      </w:r>
      <w:r>
        <w:t xml:space="preserve"> </w:t>
      </w:r>
      <w:r>
        <w:rPr>
          <w:highlight w:val="yellow"/>
        </w:rPr>
        <w:t>analysis c</w:t>
      </w:r>
      <w:r>
        <w:t xml:space="preserve">ould be </w:t>
      </w:r>
      <w:r>
        <w:rPr>
          <w:highlight w:val="yellow"/>
        </w:rPr>
        <w:t xml:space="preserve">extended by </w:t>
      </w:r>
      <w:r>
        <w:t>in</w:t>
      </w:r>
      <w:r>
        <w:rPr>
          <w:highlight w:val="yellow"/>
        </w:rPr>
        <w:t>co</w:t>
      </w:r>
      <w:r>
        <w:t>r</w:t>
      </w:r>
      <w:r>
        <w:rPr>
          <w:highlight w:val="yellow"/>
        </w:rPr>
        <w:t>pora</w:t>
      </w:r>
      <w:r>
        <w:t>ting a</w:t>
      </w:r>
      <w:r>
        <w:rPr>
          <w:highlight w:val="yellow"/>
        </w:rPr>
        <w:t>ddi</w:t>
      </w:r>
      <w:r>
        <w:t>tional macroeconomic and external variables</w:t>
      </w:r>
      <w:r>
        <w:rPr>
          <w:highlight w:val="yellow"/>
        </w:rPr>
        <w:t>,</w:t>
      </w:r>
      <w:r>
        <w:t xml:space="preserve"> such as oil prices, fiscal policy, public debt, reserves, </w:t>
      </w:r>
      <w:r>
        <w:rPr>
          <w:highlight w:val="yellow"/>
        </w:rPr>
        <w:t xml:space="preserve">foreign </w:t>
      </w:r>
      <w:r>
        <w:t>investment, equity</w:t>
      </w:r>
      <w:r>
        <w:rPr>
          <w:highlight w:val="yellow"/>
        </w:rPr>
        <w:t>-</w:t>
      </w:r>
      <w:r>
        <w:t>market</w:t>
      </w:r>
      <w:r>
        <w:rPr>
          <w:highlight w:val="yellow"/>
        </w:rPr>
        <w:t xml:space="preserve"> indicators</w:t>
      </w:r>
      <w:r>
        <w:t>, and international financial</w:t>
      </w:r>
      <w:r>
        <w:rPr>
          <w:highlight w:val="yellow"/>
        </w:rPr>
        <w:t xml:space="preserve"> cond</w:t>
      </w:r>
      <w:r>
        <w:t>i</w:t>
      </w:r>
      <w:r>
        <w:rPr>
          <w:highlight w:val="yellow"/>
        </w:rPr>
        <w:t>tion</w:t>
      </w:r>
      <w:r>
        <w:t xml:space="preserve">s. </w:t>
      </w:r>
      <w:r>
        <w:rPr>
          <w:highlight w:val="yellow"/>
        </w:rPr>
        <w:t>H</w:t>
      </w:r>
      <w:r>
        <w:t>igh-frequency EPU and financial data c</w:t>
      </w:r>
      <w:r>
        <w:rPr>
          <w:highlight w:val="yellow"/>
        </w:rPr>
        <w:t xml:space="preserve">ould </w:t>
      </w:r>
      <w:r>
        <w:t>a</w:t>
      </w:r>
      <w:r>
        <w:rPr>
          <w:highlight w:val="yellow"/>
        </w:rPr>
        <w:t>lso</w:t>
      </w:r>
      <w:r>
        <w:t xml:space="preserve"> be </w:t>
      </w:r>
      <w:r>
        <w:rPr>
          <w:highlight w:val="yellow"/>
        </w:rPr>
        <w:t>us</w:t>
      </w:r>
      <w:r>
        <w:t xml:space="preserve">ed to </w:t>
      </w:r>
      <w:r>
        <w:rPr>
          <w:highlight w:val="yellow"/>
        </w:rPr>
        <w:t>ex</w:t>
      </w:r>
      <w:r>
        <w:t>a</w:t>
      </w:r>
      <w:r>
        <w:rPr>
          <w:highlight w:val="yellow"/>
        </w:rPr>
        <w:t>mine</w:t>
      </w:r>
      <w:r>
        <w:t xml:space="preserve"> transmission </w:t>
      </w:r>
      <w:r>
        <w:rPr>
          <w:highlight w:val="yellow"/>
        </w:rPr>
        <w:t>t</w:t>
      </w:r>
      <w:r>
        <w:t>h</w:t>
      </w:r>
      <w:r>
        <w:rPr>
          <w:highlight w:val="yellow"/>
        </w:rPr>
        <w:t>rough</w:t>
      </w:r>
      <w:r>
        <w:t xml:space="preserve"> exchange rates, interest rates, equity prices</w:t>
      </w:r>
      <w:r>
        <w:rPr>
          <w:highlight w:val="yellow"/>
        </w:rPr>
        <w:t>,</w:t>
      </w:r>
      <w:r>
        <w:t xml:space="preserve"> and sovereign spreads. Comparative </w:t>
      </w:r>
      <w:r>
        <w:rPr>
          <w:highlight w:val="yellow"/>
        </w:rPr>
        <w:t xml:space="preserve">evidence from other </w:t>
      </w:r>
      <w:r>
        <w:t>African e</w:t>
      </w:r>
      <w:r>
        <w:rPr>
          <w:highlight w:val="yellow"/>
        </w:rPr>
        <w:t>conom</w:t>
      </w:r>
      <w:r>
        <w:t>ie</w:t>
      </w:r>
      <w:r>
        <w:rPr>
          <w:highlight w:val="yellow"/>
        </w:rPr>
        <w:t>s</w:t>
      </w:r>
      <w:r>
        <w:t xml:space="preserve"> may </w:t>
      </w:r>
      <w:r>
        <w:rPr>
          <w:highlight w:val="yellow"/>
        </w:rPr>
        <w:t>he</w:t>
      </w:r>
      <w:r>
        <w:t>l</w:t>
      </w:r>
      <w:r>
        <w:rPr>
          <w:highlight w:val="yellow"/>
        </w:rPr>
        <w:t>p</w:t>
      </w:r>
      <w:r>
        <w:t xml:space="preserve"> </w:t>
      </w:r>
      <w:r>
        <w:rPr>
          <w:highlight w:val="yellow"/>
        </w:rPr>
        <w:t>determin</w:t>
      </w:r>
      <w:r>
        <w:t xml:space="preserve">e </w:t>
      </w:r>
      <w:r>
        <w:rPr>
          <w:highlight w:val="yellow"/>
        </w:rPr>
        <w:t>wh</w:t>
      </w:r>
      <w:r>
        <w:t>et</w:t>
      </w:r>
      <w:r>
        <w:rPr>
          <w:highlight w:val="yellow"/>
        </w:rPr>
        <w:t>h</w:t>
      </w:r>
      <w:r>
        <w:t>e</w:t>
      </w:r>
      <w:r>
        <w:rPr>
          <w:highlight w:val="yellow"/>
        </w:rPr>
        <w:t>r</w:t>
      </w:r>
      <w:r>
        <w:t xml:space="preserve"> Nigeria</w:t>
      </w:r>
      <w:r>
        <w:rPr>
          <w:highlight w:val="yellow"/>
        </w:rPr>
        <w:t>’</w:t>
      </w:r>
      <w:r>
        <w:t xml:space="preserve">s stronger </w:t>
      </w:r>
      <w:r>
        <w:rPr>
          <w:highlight w:val="yellow"/>
        </w:rPr>
        <w:t xml:space="preserve">EPU </w:t>
      </w:r>
      <w:r>
        <w:t>response to negative growth shock</w:t>
      </w:r>
      <w:r>
        <w:rPr>
          <w:highlight w:val="yellow"/>
        </w:rPr>
        <w:t>s is country-specific or</w:t>
      </w:r>
      <w:r>
        <w:t xml:space="preserve"> is a</w:t>
      </w:r>
      <w:r>
        <w:rPr>
          <w:highlight w:val="yellow"/>
        </w:rPr>
        <w:t>ls</w:t>
      </w:r>
      <w:r>
        <w:t xml:space="preserve">o </w:t>
      </w:r>
      <w:r>
        <w:rPr>
          <w:highlight w:val="yellow"/>
        </w:rPr>
        <w:t xml:space="preserve">observed </w:t>
      </w:r>
      <w:r>
        <w:t>i</w:t>
      </w:r>
      <w:r>
        <w:rPr>
          <w:highlight w:val="yellow"/>
        </w:rPr>
        <w:t>n</w:t>
      </w:r>
      <w:r>
        <w:t xml:space="preserve"> o</w:t>
      </w:r>
      <w:r>
        <w:rPr>
          <w:highlight w:val="yellow"/>
        </w:rPr>
        <w:t>t</w:t>
      </w:r>
      <w:r>
        <w:t>her developing and resource</w:t>
      </w:r>
      <w:r>
        <w:rPr>
          <w:highlight w:val="yellow"/>
        </w:rPr>
        <w:t>-</w:t>
      </w:r>
      <w:r>
        <w:t xml:space="preserve">rich </w:t>
      </w:r>
      <w:r>
        <w:rPr>
          <w:highlight w:val="yellow"/>
        </w:rPr>
        <w:t>e</w:t>
      </w:r>
      <w:r>
        <w:t>conom</w:t>
      </w:r>
      <w:r>
        <w:rPr>
          <w:highlight w:val="yellow"/>
        </w:rPr>
        <w:t>i</w:t>
      </w:r>
      <w:r>
        <w:t>e</w:t>
      </w:r>
      <w:r>
        <w:rPr>
          <w:highlight w:val="yellow"/>
        </w:rPr>
        <w:t>s</w:t>
      </w:r>
      <w:r>
        <w:t>.</w:t>
      </w:r>
      <w:r w:rsidR="003C4B0B">
        <w:br/>
      </w:r>
    </w:p>
    <w:p w14:paraId="6F160A6D" w14:textId="77777777" w:rsidR="003C4B0B" w:rsidRDefault="003C4B0B" w:rsidP="003C4B0B">
      <w:pPr>
        <w:pStyle w:val="NormalWeb"/>
        <w:jc w:val="both"/>
      </w:pPr>
      <w:r>
        <w:t>Declaration of AI Use</w:t>
      </w:r>
    </w:p>
    <w:p w14:paraId="5BD7E585" w14:textId="3B9AF062" w:rsidR="003C4B0B" w:rsidRDefault="003C4B0B" w:rsidP="003C4B0B">
      <w:pPr>
        <w:pStyle w:val="NormalWeb"/>
        <w:jc w:val="both"/>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2AA4C13" w14:textId="77777777" w:rsidR="00B43039" w:rsidRPr="00682ABD" w:rsidRDefault="00B43039" w:rsidP="00B43039">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6.0 </w:t>
      </w:r>
      <w:r w:rsidRPr="00682ABD">
        <w:rPr>
          <w:rFonts w:ascii="Times New Roman" w:eastAsia="Times New Roman" w:hAnsi="Times New Roman" w:cs="Times New Roman"/>
          <w:b/>
          <w:bCs/>
          <w:sz w:val="27"/>
          <w:szCs w:val="27"/>
        </w:rPr>
        <w:t>References</w:t>
      </w:r>
    </w:p>
    <w:p w14:paraId="34F48DA7" w14:textId="5DF49B57"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Aina, A. L. (2025). Asymmetry impact of economic policy uncertainty on economic growth in Nigeria. </w:t>
      </w:r>
      <w:r w:rsidRPr="005A5CDF">
        <w:rPr>
          <w:rFonts w:ascii="Times New Roman" w:eastAsia="Times New Roman" w:hAnsi="Times New Roman" w:cs="Times New Roman"/>
          <w:i/>
          <w:iCs/>
          <w:sz w:val="24"/>
          <w:szCs w:val="24"/>
        </w:rPr>
        <w:t>International Journal of Research and Innovation in Social Science, 9</w:t>
      </w:r>
      <w:r w:rsidRPr="005A5CDF">
        <w:rPr>
          <w:rFonts w:ascii="Times New Roman" w:eastAsia="Times New Roman" w:hAnsi="Times New Roman" w:cs="Times New Roman"/>
          <w:sz w:val="24"/>
          <w:szCs w:val="24"/>
        </w:rPr>
        <w:t xml:space="preserve">(4), 1175–1189. </w:t>
      </w:r>
      <w:hyperlink r:id="rId91" w:tgtFrame="_blank" w:history="1">
        <w:r w:rsidRPr="005A5CDF">
          <w:rPr>
            <w:rFonts w:ascii="Times New Roman" w:eastAsia="Times New Roman" w:hAnsi="Times New Roman" w:cs="Times New Roman"/>
            <w:color w:val="0000FF"/>
            <w:sz w:val="24"/>
            <w:szCs w:val="24"/>
            <w:u w:val="single"/>
          </w:rPr>
          <w:t>https://doi.org/10.47772/IJRISS.2025.90400091</w:t>
        </w:r>
      </w:hyperlink>
      <w:r w:rsidRPr="005A5CDF">
        <w:rPr>
          <w:rFonts w:ascii="Times New Roman" w:eastAsia="Times New Roman" w:hAnsi="Times New Roman" w:cs="Times New Roman"/>
          <w:sz w:val="24"/>
          <w:szCs w:val="24"/>
        </w:rPr>
        <w:t xml:space="preserve"> </w:t>
      </w:r>
    </w:p>
    <w:p w14:paraId="24EB0E58" w14:textId="50DAD64A"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lang w:val="nl-BE"/>
        </w:rPr>
        <w:t xml:space="preserve">Akintunde, M. O., &amp; Joseph, A. I. (2026). </w:t>
      </w:r>
      <w:r w:rsidRPr="005A5CDF">
        <w:rPr>
          <w:rFonts w:ascii="Times New Roman" w:eastAsia="Times New Roman" w:hAnsi="Times New Roman" w:cs="Times New Roman"/>
          <w:sz w:val="24"/>
          <w:szCs w:val="24"/>
        </w:rPr>
        <w:t xml:space="preserve">Dynamic connectedness between economic policy uncertainty and macroeconomic performance in Nigeria: Evidence from a TVP-VAR approach. </w:t>
      </w:r>
      <w:r w:rsidRPr="005A5CDF">
        <w:rPr>
          <w:rFonts w:ascii="Times New Roman" w:eastAsia="Times New Roman" w:hAnsi="Times New Roman" w:cs="Times New Roman"/>
          <w:i/>
          <w:iCs/>
          <w:sz w:val="24"/>
          <w:szCs w:val="24"/>
        </w:rPr>
        <w:t>Asian Journal of Economics, Business and Accounting, 26</w:t>
      </w:r>
      <w:r w:rsidRPr="005A5CDF">
        <w:rPr>
          <w:rFonts w:ascii="Times New Roman" w:eastAsia="Times New Roman" w:hAnsi="Times New Roman" w:cs="Times New Roman"/>
          <w:sz w:val="24"/>
          <w:szCs w:val="24"/>
        </w:rPr>
        <w:t xml:space="preserve">(9), 1–14. </w:t>
      </w:r>
      <w:hyperlink r:id="rId92" w:tgtFrame="_blank" w:history="1">
        <w:r w:rsidRPr="005A5CDF">
          <w:rPr>
            <w:rFonts w:ascii="Times New Roman" w:eastAsia="Times New Roman" w:hAnsi="Times New Roman" w:cs="Times New Roman"/>
            <w:color w:val="0000FF"/>
            <w:sz w:val="24"/>
            <w:szCs w:val="24"/>
            <w:u w:val="single"/>
          </w:rPr>
          <w:t>https://doi.org/10.9734/ajeba/2026/v26i92363</w:t>
        </w:r>
      </w:hyperlink>
      <w:r w:rsidRPr="005A5CDF">
        <w:rPr>
          <w:rFonts w:ascii="Times New Roman" w:eastAsia="Times New Roman" w:hAnsi="Times New Roman" w:cs="Times New Roman"/>
          <w:sz w:val="24"/>
          <w:szCs w:val="24"/>
        </w:rPr>
        <w:t xml:space="preserve"> </w:t>
      </w:r>
    </w:p>
    <w:p w14:paraId="6892152A" w14:textId="3345DB88"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Baker, S. R., Bloom, N., &amp; Davis, S. J. (2016). Measuring economic policy uncertainty. </w:t>
      </w:r>
      <w:r w:rsidRPr="005A5CDF">
        <w:rPr>
          <w:rFonts w:ascii="Times New Roman" w:eastAsia="Times New Roman" w:hAnsi="Times New Roman" w:cs="Times New Roman"/>
          <w:i/>
          <w:iCs/>
          <w:sz w:val="24"/>
          <w:szCs w:val="24"/>
        </w:rPr>
        <w:t>The Quarterly Journal of Economics, 131</w:t>
      </w:r>
      <w:r w:rsidRPr="005A5CDF">
        <w:rPr>
          <w:rFonts w:ascii="Times New Roman" w:eastAsia="Times New Roman" w:hAnsi="Times New Roman" w:cs="Times New Roman"/>
          <w:sz w:val="24"/>
          <w:szCs w:val="24"/>
        </w:rPr>
        <w:t xml:space="preserve">(4), 1593–1636. </w:t>
      </w:r>
      <w:hyperlink r:id="rId93" w:tgtFrame="_blank" w:history="1">
        <w:r w:rsidRPr="005A5CDF">
          <w:rPr>
            <w:rFonts w:ascii="Times New Roman" w:eastAsia="Times New Roman" w:hAnsi="Times New Roman" w:cs="Times New Roman"/>
            <w:color w:val="0000FF"/>
            <w:sz w:val="24"/>
            <w:szCs w:val="24"/>
            <w:u w:val="single"/>
          </w:rPr>
          <w:t>https://doi.org/10.1093/qje/qjw024</w:t>
        </w:r>
      </w:hyperlink>
      <w:r w:rsidRPr="005A5CDF">
        <w:rPr>
          <w:rFonts w:ascii="Times New Roman" w:eastAsia="Times New Roman" w:hAnsi="Times New Roman" w:cs="Times New Roman"/>
          <w:sz w:val="24"/>
          <w:szCs w:val="24"/>
        </w:rPr>
        <w:t xml:space="preserve"> </w:t>
      </w:r>
    </w:p>
    <w:p w14:paraId="4742EC3C" w14:textId="39814F7D"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proofErr w:type="spellStart"/>
      <w:r w:rsidRPr="005A5CDF">
        <w:rPr>
          <w:rFonts w:ascii="Times New Roman" w:eastAsia="Times New Roman" w:hAnsi="Times New Roman" w:cs="Times New Roman"/>
          <w:sz w:val="24"/>
          <w:szCs w:val="24"/>
        </w:rPr>
        <w:t>Bekiros</w:t>
      </w:r>
      <w:proofErr w:type="spellEnd"/>
      <w:r w:rsidRPr="005A5CDF">
        <w:rPr>
          <w:rFonts w:ascii="Times New Roman" w:eastAsia="Times New Roman" w:hAnsi="Times New Roman" w:cs="Times New Roman"/>
          <w:sz w:val="24"/>
          <w:szCs w:val="24"/>
        </w:rPr>
        <w:t xml:space="preserve">, S., Gupta, R., &amp; Kyei, C. K. (2016). On economic uncertainty, stock market predictability and nonlinear spillover effects. </w:t>
      </w:r>
      <w:r w:rsidRPr="005A5CDF">
        <w:rPr>
          <w:rFonts w:ascii="Times New Roman" w:eastAsia="Times New Roman" w:hAnsi="Times New Roman" w:cs="Times New Roman"/>
          <w:i/>
          <w:iCs/>
          <w:sz w:val="24"/>
          <w:szCs w:val="24"/>
        </w:rPr>
        <w:t>The North American Journal of Economics and Finance, 36</w:t>
      </w:r>
      <w:r w:rsidRPr="005A5CDF">
        <w:rPr>
          <w:rFonts w:ascii="Times New Roman" w:eastAsia="Times New Roman" w:hAnsi="Times New Roman" w:cs="Times New Roman"/>
          <w:sz w:val="24"/>
          <w:szCs w:val="24"/>
        </w:rPr>
        <w:t xml:space="preserve">, 184–191. </w:t>
      </w:r>
      <w:hyperlink r:id="rId94" w:tgtFrame="_blank" w:history="1">
        <w:r w:rsidRPr="005A5CDF">
          <w:rPr>
            <w:rFonts w:ascii="Times New Roman" w:eastAsia="Times New Roman" w:hAnsi="Times New Roman" w:cs="Times New Roman"/>
            <w:color w:val="0000FF"/>
            <w:sz w:val="24"/>
            <w:szCs w:val="24"/>
            <w:u w:val="single"/>
          </w:rPr>
          <w:t>https://doi.org/10.1016/j.najef.2016.01.003</w:t>
        </w:r>
      </w:hyperlink>
      <w:r w:rsidRPr="005A5CDF">
        <w:rPr>
          <w:rFonts w:ascii="Times New Roman" w:eastAsia="Times New Roman" w:hAnsi="Times New Roman" w:cs="Times New Roman"/>
          <w:sz w:val="24"/>
          <w:szCs w:val="24"/>
        </w:rPr>
        <w:t xml:space="preserve"> </w:t>
      </w:r>
    </w:p>
    <w:p w14:paraId="6D6D9CED" w14:textId="2DE79381"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Bello, D. (2025). Navigating economic and climate uncertainties on output: A case study of Nigeria. </w:t>
      </w:r>
      <w:r w:rsidRPr="005A5CDF">
        <w:rPr>
          <w:rFonts w:ascii="Times New Roman" w:eastAsia="Times New Roman" w:hAnsi="Times New Roman" w:cs="Times New Roman"/>
          <w:i/>
          <w:iCs/>
          <w:sz w:val="24"/>
          <w:szCs w:val="24"/>
        </w:rPr>
        <w:t>Climate Economics and Finance, 3</w:t>
      </w:r>
      <w:r w:rsidRPr="005A5CDF">
        <w:rPr>
          <w:rFonts w:ascii="Times New Roman" w:eastAsia="Times New Roman" w:hAnsi="Times New Roman" w:cs="Times New Roman"/>
          <w:sz w:val="24"/>
          <w:szCs w:val="24"/>
        </w:rPr>
        <w:t xml:space="preserve">(1), 1–12. </w:t>
      </w:r>
      <w:hyperlink r:id="rId95" w:tgtFrame="_blank" w:history="1">
        <w:r w:rsidRPr="005A5CDF">
          <w:rPr>
            <w:rFonts w:ascii="Times New Roman" w:eastAsia="Times New Roman" w:hAnsi="Times New Roman" w:cs="Times New Roman"/>
            <w:color w:val="0000FF"/>
            <w:sz w:val="24"/>
            <w:szCs w:val="24"/>
            <w:u w:val="single"/>
          </w:rPr>
          <w:t>https://doi.org/10.58567/cef03010001</w:t>
        </w:r>
      </w:hyperlink>
      <w:r w:rsidRPr="005A5CDF">
        <w:rPr>
          <w:rFonts w:ascii="Times New Roman" w:eastAsia="Times New Roman" w:hAnsi="Times New Roman" w:cs="Times New Roman"/>
          <w:sz w:val="24"/>
          <w:szCs w:val="24"/>
        </w:rPr>
        <w:t xml:space="preserve"> </w:t>
      </w:r>
    </w:p>
    <w:p w14:paraId="212A15DA" w14:textId="345081F4"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lastRenderedPageBreak/>
        <w:t xml:space="preserve">Diks, C., &amp; Panchenko, V. (2006). A new statistic and practical guidelines for nonparametric Granger causality testing. </w:t>
      </w:r>
      <w:r w:rsidRPr="005A5CDF">
        <w:rPr>
          <w:rFonts w:ascii="Times New Roman" w:eastAsia="Times New Roman" w:hAnsi="Times New Roman" w:cs="Times New Roman"/>
          <w:i/>
          <w:iCs/>
          <w:sz w:val="24"/>
          <w:szCs w:val="24"/>
        </w:rPr>
        <w:t>Journal of Economic Dynamics and Control, 30</w:t>
      </w:r>
      <w:r w:rsidRPr="005A5CDF">
        <w:rPr>
          <w:rFonts w:ascii="Times New Roman" w:eastAsia="Times New Roman" w:hAnsi="Times New Roman" w:cs="Times New Roman"/>
          <w:sz w:val="24"/>
          <w:szCs w:val="24"/>
        </w:rPr>
        <w:t xml:space="preserve">(9–10), 1647–1669. </w:t>
      </w:r>
      <w:hyperlink r:id="rId96" w:tgtFrame="_blank" w:history="1">
        <w:r w:rsidRPr="005A5CDF">
          <w:rPr>
            <w:rFonts w:ascii="Times New Roman" w:eastAsia="Times New Roman" w:hAnsi="Times New Roman" w:cs="Times New Roman"/>
            <w:color w:val="0000FF"/>
            <w:sz w:val="24"/>
            <w:szCs w:val="24"/>
            <w:u w:val="single"/>
          </w:rPr>
          <w:t>https://doi.org/10.1016/j.jedc.2005.08.008</w:t>
        </w:r>
      </w:hyperlink>
      <w:r w:rsidRPr="005A5CDF">
        <w:rPr>
          <w:rFonts w:ascii="Times New Roman" w:eastAsia="Times New Roman" w:hAnsi="Times New Roman" w:cs="Times New Roman"/>
          <w:sz w:val="24"/>
          <w:szCs w:val="24"/>
        </w:rPr>
        <w:t xml:space="preserve"> </w:t>
      </w:r>
    </w:p>
    <w:p w14:paraId="66951972" w14:textId="72DBD196"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Gong, M., You, Z., Wang, L., &amp; Ruan, D. (2024). Research of the non-linear dynamic relationship between global economic policy uncertainty and crude oil prices. </w:t>
      </w:r>
      <w:r w:rsidRPr="005A5CDF">
        <w:rPr>
          <w:rFonts w:ascii="Times New Roman" w:eastAsia="Times New Roman" w:hAnsi="Times New Roman" w:cs="Times New Roman"/>
          <w:i/>
          <w:iCs/>
          <w:sz w:val="24"/>
          <w:szCs w:val="24"/>
        </w:rPr>
        <w:t>Journal of Asian Economics, 90</w:t>
      </w:r>
      <w:r w:rsidRPr="005A5CDF">
        <w:rPr>
          <w:rFonts w:ascii="Times New Roman" w:eastAsia="Times New Roman" w:hAnsi="Times New Roman" w:cs="Times New Roman"/>
          <w:sz w:val="24"/>
          <w:szCs w:val="24"/>
        </w:rPr>
        <w:t xml:space="preserve">, 101673. </w:t>
      </w:r>
      <w:hyperlink r:id="rId97" w:tgtFrame="_blank" w:history="1">
        <w:r w:rsidRPr="005A5CDF">
          <w:rPr>
            <w:rFonts w:ascii="Times New Roman" w:eastAsia="Times New Roman" w:hAnsi="Times New Roman" w:cs="Times New Roman"/>
            <w:color w:val="0000FF"/>
            <w:sz w:val="24"/>
            <w:szCs w:val="24"/>
            <w:u w:val="single"/>
          </w:rPr>
          <w:t>https://doi.org/10.1016/j.asieco.2023.101673</w:t>
        </w:r>
      </w:hyperlink>
      <w:r w:rsidRPr="005A5CDF">
        <w:rPr>
          <w:rFonts w:ascii="Times New Roman" w:eastAsia="Times New Roman" w:hAnsi="Times New Roman" w:cs="Times New Roman"/>
          <w:sz w:val="24"/>
          <w:szCs w:val="24"/>
        </w:rPr>
        <w:t xml:space="preserve"> </w:t>
      </w:r>
    </w:p>
    <w:p w14:paraId="00FE0EAC" w14:textId="630B73C2"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proofErr w:type="spellStart"/>
      <w:r w:rsidRPr="005A5CDF">
        <w:rPr>
          <w:rFonts w:ascii="Times New Roman" w:eastAsia="Times New Roman" w:hAnsi="Times New Roman" w:cs="Times New Roman"/>
          <w:sz w:val="24"/>
          <w:szCs w:val="24"/>
        </w:rPr>
        <w:t>Goshit</w:t>
      </w:r>
      <w:proofErr w:type="spellEnd"/>
      <w:r w:rsidRPr="005A5CDF">
        <w:rPr>
          <w:rFonts w:ascii="Times New Roman" w:eastAsia="Times New Roman" w:hAnsi="Times New Roman" w:cs="Times New Roman"/>
          <w:sz w:val="24"/>
          <w:szCs w:val="24"/>
        </w:rPr>
        <w:t xml:space="preserve">, G. G., Jelilov, G., Iorember, P. T., Celik, B., &amp; Davd-Wayas, O. M. (2022). Asymmetric effects of monetary policy shocks on output growth in Nigeria: Evidence from nonlinear ARDL and Hatemi-J causality tests. </w:t>
      </w:r>
      <w:r w:rsidRPr="005A5CDF">
        <w:rPr>
          <w:rFonts w:ascii="Times New Roman" w:eastAsia="Times New Roman" w:hAnsi="Times New Roman" w:cs="Times New Roman"/>
          <w:i/>
          <w:iCs/>
          <w:sz w:val="24"/>
          <w:szCs w:val="24"/>
        </w:rPr>
        <w:t>Journal of Public Affairs, 22</w:t>
      </w:r>
      <w:r w:rsidRPr="005A5CDF">
        <w:rPr>
          <w:rFonts w:ascii="Times New Roman" w:eastAsia="Times New Roman" w:hAnsi="Times New Roman" w:cs="Times New Roman"/>
          <w:sz w:val="24"/>
          <w:szCs w:val="24"/>
        </w:rPr>
        <w:t xml:space="preserve">(2), e2449. </w:t>
      </w:r>
      <w:hyperlink r:id="rId98" w:tgtFrame="_blank" w:history="1">
        <w:r w:rsidRPr="005A5CDF">
          <w:rPr>
            <w:rFonts w:ascii="Times New Roman" w:eastAsia="Times New Roman" w:hAnsi="Times New Roman" w:cs="Times New Roman"/>
            <w:color w:val="0000FF"/>
            <w:sz w:val="24"/>
            <w:szCs w:val="24"/>
            <w:u w:val="single"/>
          </w:rPr>
          <w:t>https://doi.org/10.1002/pa.2449</w:t>
        </w:r>
      </w:hyperlink>
      <w:r w:rsidRPr="005A5CDF">
        <w:rPr>
          <w:rFonts w:ascii="Times New Roman" w:eastAsia="Times New Roman" w:hAnsi="Times New Roman" w:cs="Times New Roman"/>
          <w:sz w:val="24"/>
          <w:szCs w:val="24"/>
        </w:rPr>
        <w:t xml:space="preserve"> </w:t>
      </w:r>
    </w:p>
    <w:p w14:paraId="2D85914F" w14:textId="4B9207FF"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Hatemi-J, A. (2012). Asymmetric causality tests with an application. </w:t>
      </w:r>
      <w:r w:rsidRPr="005A5CDF">
        <w:rPr>
          <w:rFonts w:ascii="Times New Roman" w:eastAsia="Times New Roman" w:hAnsi="Times New Roman" w:cs="Times New Roman"/>
          <w:i/>
          <w:iCs/>
          <w:sz w:val="24"/>
          <w:szCs w:val="24"/>
        </w:rPr>
        <w:t>Empirical Economics, 43</w:t>
      </w:r>
      <w:r w:rsidRPr="005A5CDF">
        <w:rPr>
          <w:rFonts w:ascii="Times New Roman" w:eastAsia="Times New Roman" w:hAnsi="Times New Roman" w:cs="Times New Roman"/>
          <w:sz w:val="24"/>
          <w:szCs w:val="24"/>
        </w:rPr>
        <w:t xml:space="preserve">(1), 447–456. </w:t>
      </w:r>
      <w:hyperlink r:id="rId99" w:tgtFrame="_blank" w:history="1">
        <w:r w:rsidRPr="005A5CDF">
          <w:rPr>
            <w:rFonts w:ascii="Times New Roman" w:eastAsia="Times New Roman" w:hAnsi="Times New Roman" w:cs="Times New Roman"/>
            <w:color w:val="0000FF"/>
            <w:sz w:val="24"/>
            <w:szCs w:val="24"/>
            <w:u w:val="single"/>
          </w:rPr>
          <w:t>https://doi.org/10.1007/s00181-011-0484-x</w:t>
        </w:r>
      </w:hyperlink>
      <w:r w:rsidRPr="005A5CDF">
        <w:rPr>
          <w:rFonts w:ascii="Times New Roman" w:eastAsia="Times New Roman" w:hAnsi="Times New Roman" w:cs="Times New Roman"/>
          <w:sz w:val="24"/>
          <w:szCs w:val="24"/>
        </w:rPr>
        <w:t xml:space="preserve"> </w:t>
      </w:r>
    </w:p>
    <w:p w14:paraId="78245FB6" w14:textId="334B6372"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lang w:val="nl-BE"/>
        </w:rPr>
        <w:t xml:space="preserve">Hong, Y., Zhang, R., &amp; Zhang, F. (2024). </w:t>
      </w:r>
      <w:r w:rsidRPr="005A5CDF">
        <w:rPr>
          <w:rFonts w:ascii="Times New Roman" w:eastAsia="Times New Roman" w:hAnsi="Times New Roman" w:cs="Times New Roman"/>
          <w:sz w:val="24"/>
          <w:szCs w:val="24"/>
        </w:rPr>
        <w:t xml:space="preserve">Time-varying causality impact of economic policy uncertainty on stock market returns: Global evidence from developed and emerging countries. </w:t>
      </w:r>
      <w:r w:rsidRPr="005A5CDF">
        <w:rPr>
          <w:rFonts w:ascii="Times New Roman" w:eastAsia="Times New Roman" w:hAnsi="Times New Roman" w:cs="Times New Roman"/>
          <w:i/>
          <w:iCs/>
          <w:sz w:val="24"/>
          <w:szCs w:val="24"/>
        </w:rPr>
        <w:t>International Review of Financial Analysis, 91</w:t>
      </w:r>
      <w:r w:rsidRPr="005A5CDF">
        <w:rPr>
          <w:rFonts w:ascii="Times New Roman" w:eastAsia="Times New Roman" w:hAnsi="Times New Roman" w:cs="Times New Roman"/>
          <w:sz w:val="24"/>
          <w:szCs w:val="24"/>
        </w:rPr>
        <w:t xml:space="preserve">, 102991. </w:t>
      </w:r>
      <w:hyperlink r:id="rId100" w:tgtFrame="_blank" w:history="1">
        <w:r w:rsidRPr="005A5CDF">
          <w:rPr>
            <w:rFonts w:ascii="Times New Roman" w:eastAsia="Times New Roman" w:hAnsi="Times New Roman" w:cs="Times New Roman"/>
            <w:color w:val="0000FF"/>
            <w:sz w:val="24"/>
            <w:szCs w:val="24"/>
            <w:u w:val="single"/>
          </w:rPr>
          <w:t>https://doi.org/10.1016/j.irfa.2023.102991</w:t>
        </w:r>
      </w:hyperlink>
      <w:r w:rsidRPr="005A5CDF">
        <w:rPr>
          <w:rFonts w:ascii="Times New Roman" w:eastAsia="Times New Roman" w:hAnsi="Times New Roman" w:cs="Times New Roman"/>
          <w:sz w:val="24"/>
          <w:szCs w:val="24"/>
        </w:rPr>
        <w:t xml:space="preserve"> </w:t>
      </w:r>
    </w:p>
    <w:p w14:paraId="2678B08F" w14:textId="674030DF"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International Monetary Fund, African Department. (2024). </w:t>
      </w:r>
      <w:r w:rsidRPr="005A5CDF">
        <w:rPr>
          <w:rFonts w:ascii="Times New Roman" w:eastAsia="Times New Roman" w:hAnsi="Times New Roman" w:cs="Times New Roman"/>
          <w:i/>
          <w:iCs/>
          <w:sz w:val="24"/>
          <w:szCs w:val="24"/>
        </w:rPr>
        <w:t>Nigeria: 2024 Article IV consultation—Press release; staff report; staff statement; and statement by the executive director for Nigeria</w:t>
      </w:r>
      <w:r w:rsidRPr="005A5CDF">
        <w:rPr>
          <w:rFonts w:ascii="Times New Roman" w:eastAsia="Times New Roman" w:hAnsi="Times New Roman" w:cs="Times New Roman"/>
          <w:sz w:val="24"/>
          <w:szCs w:val="24"/>
        </w:rPr>
        <w:t xml:space="preserve"> (IMF Country Report No. 2024/102). International Monetary Fund. </w:t>
      </w:r>
      <w:hyperlink r:id="rId101" w:tgtFrame="_blank" w:history="1">
        <w:r w:rsidRPr="005A5CDF">
          <w:rPr>
            <w:rFonts w:ascii="Times New Roman" w:eastAsia="Times New Roman" w:hAnsi="Times New Roman" w:cs="Times New Roman"/>
            <w:color w:val="0000FF"/>
            <w:sz w:val="24"/>
            <w:szCs w:val="24"/>
            <w:u w:val="single"/>
          </w:rPr>
          <w:t>https://doi.org/10.5089/9798400275074.002</w:t>
        </w:r>
      </w:hyperlink>
    </w:p>
    <w:p w14:paraId="7F1A1B50" w14:textId="60A94C7D"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Nishiyama, Y., Hitomi, K., Kawasaki, Y., &amp; Jeong, K. (2011). A consistent nonparametric test for nonlinear causality—Specification in time series regression. </w:t>
      </w:r>
      <w:r w:rsidRPr="005A5CDF">
        <w:rPr>
          <w:rFonts w:ascii="Times New Roman" w:eastAsia="Times New Roman" w:hAnsi="Times New Roman" w:cs="Times New Roman"/>
          <w:i/>
          <w:iCs/>
          <w:sz w:val="24"/>
          <w:szCs w:val="24"/>
        </w:rPr>
        <w:t>Journal of Econometrics, 165</w:t>
      </w:r>
      <w:r w:rsidRPr="005A5CDF">
        <w:rPr>
          <w:rFonts w:ascii="Times New Roman" w:eastAsia="Times New Roman" w:hAnsi="Times New Roman" w:cs="Times New Roman"/>
          <w:sz w:val="24"/>
          <w:szCs w:val="24"/>
        </w:rPr>
        <w:t xml:space="preserve">(1), 112–127. </w:t>
      </w:r>
      <w:hyperlink r:id="rId102" w:tgtFrame="_blank" w:history="1">
        <w:r w:rsidRPr="005A5CDF">
          <w:rPr>
            <w:rFonts w:ascii="Times New Roman" w:eastAsia="Times New Roman" w:hAnsi="Times New Roman" w:cs="Times New Roman"/>
            <w:color w:val="0000FF"/>
            <w:sz w:val="24"/>
            <w:szCs w:val="24"/>
            <w:u w:val="single"/>
          </w:rPr>
          <w:t>https://doi.org/10.1016/j.jeconom.2011.05.010</w:t>
        </w:r>
      </w:hyperlink>
      <w:r w:rsidRPr="005A5CDF">
        <w:rPr>
          <w:rFonts w:ascii="Times New Roman" w:eastAsia="Times New Roman" w:hAnsi="Times New Roman" w:cs="Times New Roman"/>
          <w:sz w:val="24"/>
          <w:szCs w:val="24"/>
        </w:rPr>
        <w:t xml:space="preserve"> </w:t>
      </w:r>
    </w:p>
    <w:p w14:paraId="2796C333" w14:textId="619093AB"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proofErr w:type="spellStart"/>
      <w:r w:rsidRPr="005A5CDF">
        <w:rPr>
          <w:rFonts w:ascii="Times New Roman" w:eastAsia="Times New Roman" w:hAnsi="Times New Roman" w:cs="Times New Roman"/>
          <w:sz w:val="24"/>
          <w:szCs w:val="24"/>
        </w:rPr>
        <w:t>Orisdare</w:t>
      </w:r>
      <w:proofErr w:type="spellEnd"/>
      <w:r w:rsidRPr="005A5CDF">
        <w:rPr>
          <w:rFonts w:ascii="Times New Roman" w:eastAsia="Times New Roman" w:hAnsi="Times New Roman" w:cs="Times New Roman"/>
          <w:sz w:val="24"/>
          <w:szCs w:val="24"/>
        </w:rPr>
        <w:t xml:space="preserve">, M. A., &amp; </w:t>
      </w:r>
      <w:proofErr w:type="spellStart"/>
      <w:r w:rsidRPr="005A5CDF">
        <w:rPr>
          <w:rFonts w:ascii="Times New Roman" w:eastAsia="Times New Roman" w:hAnsi="Times New Roman" w:cs="Times New Roman"/>
          <w:sz w:val="24"/>
          <w:szCs w:val="24"/>
        </w:rPr>
        <w:t>Olofin</w:t>
      </w:r>
      <w:proofErr w:type="spellEnd"/>
      <w:r w:rsidRPr="005A5CDF">
        <w:rPr>
          <w:rFonts w:ascii="Times New Roman" w:eastAsia="Times New Roman" w:hAnsi="Times New Roman" w:cs="Times New Roman"/>
          <w:sz w:val="24"/>
          <w:szCs w:val="24"/>
        </w:rPr>
        <w:t xml:space="preserve">, S. (2024). Exchange rate volatility and productivity in Nigeria: An empirical analysis. </w:t>
      </w:r>
      <w:r w:rsidRPr="005A5CDF">
        <w:rPr>
          <w:rFonts w:ascii="Times New Roman" w:eastAsia="Times New Roman" w:hAnsi="Times New Roman" w:cs="Times New Roman"/>
          <w:i/>
          <w:iCs/>
          <w:sz w:val="24"/>
          <w:szCs w:val="24"/>
        </w:rPr>
        <w:t>Asian Journal of Economics, Business and Accounting, 24</w:t>
      </w:r>
      <w:r w:rsidRPr="005A5CDF">
        <w:rPr>
          <w:rFonts w:ascii="Times New Roman" w:eastAsia="Times New Roman" w:hAnsi="Times New Roman" w:cs="Times New Roman"/>
          <w:sz w:val="24"/>
          <w:szCs w:val="24"/>
        </w:rPr>
        <w:t xml:space="preserve">(6), 240–250. </w:t>
      </w:r>
      <w:hyperlink r:id="rId103" w:tgtFrame="_blank" w:history="1">
        <w:r w:rsidRPr="005A5CDF">
          <w:rPr>
            <w:rFonts w:ascii="Times New Roman" w:eastAsia="Times New Roman" w:hAnsi="Times New Roman" w:cs="Times New Roman"/>
            <w:color w:val="0000FF"/>
            <w:sz w:val="24"/>
            <w:szCs w:val="24"/>
            <w:u w:val="single"/>
          </w:rPr>
          <w:t>https://doi.org/10.9734/ajeba/2024/v24i61357</w:t>
        </w:r>
      </w:hyperlink>
      <w:r w:rsidRPr="005A5CDF">
        <w:rPr>
          <w:rFonts w:ascii="Times New Roman" w:eastAsia="Times New Roman" w:hAnsi="Times New Roman" w:cs="Times New Roman"/>
          <w:sz w:val="24"/>
          <w:szCs w:val="24"/>
        </w:rPr>
        <w:t xml:space="preserve"> </w:t>
      </w:r>
    </w:p>
    <w:p w14:paraId="5DCB4E2C" w14:textId="2F7D1B64"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proofErr w:type="spellStart"/>
      <w:r w:rsidRPr="005A5CDF">
        <w:rPr>
          <w:rFonts w:ascii="Times New Roman" w:eastAsia="Times New Roman" w:hAnsi="Times New Roman" w:cs="Times New Roman"/>
          <w:sz w:val="24"/>
          <w:szCs w:val="24"/>
        </w:rPr>
        <w:t>Osolo</w:t>
      </w:r>
      <w:proofErr w:type="spellEnd"/>
      <w:r w:rsidRPr="005A5CDF">
        <w:rPr>
          <w:rFonts w:ascii="Times New Roman" w:eastAsia="Times New Roman" w:hAnsi="Times New Roman" w:cs="Times New Roman"/>
          <w:sz w:val="24"/>
          <w:szCs w:val="24"/>
        </w:rPr>
        <w:t xml:space="preserve">, M. O., Okoli, C. N., &amp; </w:t>
      </w:r>
      <w:proofErr w:type="spellStart"/>
      <w:r w:rsidRPr="005A5CDF">
        <w:rPr>
          <w:rFonts w:ascii="Times New Roman" w:eastAsia="Times New Roman" w:hAnsi="Times New Roman" w:cs="Times New Roman"/>
          <w:sz w:val="24"/>
          <w:szCs w:val="24"/>
        </w:rPr>
        <w:t>Laisin</w:t>
      </w:r>
      <w:proofErr w:type="spellEnd"/>
      <w:r w:rsidRPr="005A5CDF">
        <w:rPr>
          <w:rFonts w:ascii="Times New Roman" w:eastAsia="Times New Roman" w:hAnsi="Times New Roman" w:cs="Times New Roman"/>
          <w:sz w:val="24"/>
          <w:szCs w:val="24"/>
        </w:rPr>
        <w:t xml:space="preserve">, M. S. (2026). Time-varying scalar component VARMA: A state-space solution to structural instability in macroeconomic forecasting. </w:t>
      </w:r>
      <w:r w:rsidRPr="005A5CDF">
        <w:rPr>
          <w:rFonts w:ascii="Times New Roman" w:eastAsia="Times New Roman" w:hAnsi="Times New Roman" w:cs="Times New Roman"/>
          <w:i/>
          <w:iCs/>
          <w:sz w:val="24"/>
          <w:szCs w:val="24"/>
        </w:rPr>
        <w:t>Asian Journal of Mathematics and Computer Research, 33</w:t>
      </w:r>
      <w:r w:rsidRPr="005A5CDF">
        <w:rPr>
          <w:rFonts w:ascii="Times New Roman" w:eastAsia="Times New Roman" w:hAnsi="Times New Roman" w:cs="Times New Roman"/>
          <w:sz w:val="24"/>
          <w:szCs w:val="24"/>
        </w:rPr>
        <w:t xml:space="preserve">(1), 43–54. </w:t>
      </w:r>
      <w:hyperlink r:id="rId104" w:tgtFrame="_blank" w:history="1">
        <w:r w:rsidRPr="005A5CDF">
          <w:rPr>
            <w:rFonts w:ascii="Times New Roman" w:eastAsia="Times New Roman" w:hAnsi="Times New Roman" w:cs="Times New Roman"/>
            <w:color w:val="0000FF"/>
            <w:sz w:val="24"/>
            <w:szCs w:val="24"/>
            <w:u w:val="single"/>
          </w:rPr>
          <w:t>https://doi.org/10.56557/ajomcor/2026/v33i110293</w:t>
        </w:r>
      </w:hyperlink>
      <w:r w:rsidRPr="005A5CDF">
        <w:rPr>
          <w:rFonts w:ascii="Times New Roman" w:eastAsia="Times New Roman" w:hAnsi="Times New Roman" w:cs="Times New Roman"/>
          <w:sz w:val="24"/>
          <w:szCs w:val="24"/>
        </w:rPr>
        <w:t xml:space="preserve"> </w:t>
      </w:r>
    </w:p>
    <w:p w14:paraId="5B82D53C" w14:textId="5FB6B2DE"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Oyadeyi, O. O. (2025). Modelling economic policy uncertainty—Examining the effects of oil prices, global and domestic economic policy uncertainty on firm stability in Nigeria. </w:t>
      </w:r>
      <w:r w:rsidRPr="005A5CDF">
        <w:rPr>
          <w:rFonts w:ascii="Times New Roman" w:eastAsia="Times New Roman" w:hAnsi="Times New Roman" w:cs="Times New Roman"/>
          <w:i/>
          <w:iCs/>
          <w:sz w:val="24"/>
          <w:szCs w:val="24"/>
        </w:rPr>
        <w:t>African Development Review, 37</w:t>
      </w:r>
      <w:r w:rsidRPr="005A5CDF">
        <w:rPr>
          <w:rFonts w:ascii="Times New Roman" w:eastAsia="Times New Roman" w:hAnsi="Times New Roman" w:cs="Times New Roman"/>
          <w:sz w:val="24"/>
          <w:szCs w:val="24"/>
        </w:rPr>
        <w:t xml:space="preserve">(2), e70012. </w:t>
      </w:r>
      <w:hyperlink r:id="rId105" w:tgtFrame="_blank" w:history="1">
        <w:r w:rsidRPr="005A5CDF">
          <w:rPr>
            <w:rFonts w:ascii="Times New Roman" w:eastAsia="Times New Roman" w:hAnsi="Times New Roman" w:cs="Times New Roman"/>
            <w:color w:val="0000FF"/>
            <w:sz w:val="24"/>
            <w:szCs w:val="24"/>
            <w:u w:val="single"/>
          </w:rPr>
          <w:t>https://doi.org/10.1111/1467-8268.70012</w:t>
        </w:r>
      </w:hyperlink>
      <w:r w:rsidRPr="005A5CDF">
        <w:rPr>
          <w:rFonts w:ascii="Times New Roman" w:eastAsia="Times New Roman" w:hAnsi="Times New Roman" w:cs="Times New Roman"/>
          <w:sz w:val="24"/>
          <w:szCs w:val="24"/>
        </w:rPr>
        <w:t xml:space="preserve"> </w:t>
      </w:r>
    </w:p>
    <w:p w14:paraId="453B442D" w14:textId="1EE9C1AA"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Salisu, A., Salisu, S., &amp; Salisu, S. (2024). A news-based economic policy uncertainty index for Nigeria. </w:t>
      </w:r>
      <w:r w:rsidRPr="005A5CDF">
        <w:rPr>
          <w:rFonts w:ascii="Times New Roman" w:eastAsia="Times New Roman" w:hAnsi="Times New Roman" w:cs="Times New Roman"/>
          <w:i/>
          <w:iCs/>
          <w:sz w:val="24"/>
          <w:szCs w:val="24"/>
        </w:rPr>
        <w:t>Quality &amp; Quantity, 58</w:t>
      </w:r>
      <w:r w:rsidRPr="005A5CDF">
        <w:rPr>
          <w:rFonts w:ascii="Times New Roman" w:eastAsia="Times New Roman" w:hAnsi="Times New Roman" w:cs="Times New Roman"/>
          <w:sz w:val="24"/>
          <w:szCs w:val="24"/>
        </w:rPr>
        <w:t xml:space="preserve">(5), 4987–5002. </w:t>
      </w:r>
      <w:hyperlink r:id="rId106" w:tgtFrame="_blank" w:history="1">
        <w:r w:rsidRPr="005A5CDF">
          <w:rPr>
            <w:rFonts w:ascii="Times New Roman" w:eastAsia="Times New Roman" w:hAnsi="Times New Roman" w:cs="Times New Roman"/>
            <w:color w:val="0000FF"/>
            <w:sz w:val="24"/>
            <w:szCs w:val="24"/>
            <w:u w:val="single"/>
          </w:rPr>
          <w:t>https://doi.org/10.1007/s11135-024-01886-x</w:t>
        </w:r>
      </w:hyperlink>
      <w:r w:rsidRPr="005A5CDF">
        <w:rPr>
          <w:rFonts w:ascii="Times New Roman" w:eastAsia="Times New Roman" w:hAnsi="Times New Roman" w:cs="Times New Roman"/>
          <w:sz w:val="24"/>
          <w:szCs w:val="24"/>
        </w:rPr>
        <w:t xml:space="preserve"> </w:t>
      </w:r>
    </w:p>
    <w:p w14:paraId="0DB342F9" w14:textId="225E4B26"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lang w:val="nl-BE"/>
        </w:rPr>
      </w:pPr>
      <w:proofErr w:type="spellStart"/>
      <w:r w:rsidRPr="005A5CDF">
        <w:rPr>
          <w:rFonts w:ascii="Times New Roman" w:eastAsia="Times New Roman" w:hAnsi="Times New Roman" w:cs="Times New Roman"/>
          <w:sz w:val="24"/>
          <w:szCs w:val="24"/>
        </w:rPr>
        <w:t>Tumala</w:t>
      </w:r>
      <w:proofErr w:type="spellEnd"/>
      <w:r w:rsidRPr="005A5CDF">
        <w:rPr>
          <w:rFonts w:ascii="Times New Roman" w:eastAsia="Times New Roman" w:hAnsi="Times New Roman" w:cs="Times New Roman"/>
          <w:sz w:val="24"/>
          <w:szCs w:val="24"/>
        </w:rPr>
        <w:t xml:space="preserve">, M. M., Omotosho, B. S., Mohammed, M. G., Musa, M., &amp; </w:t>
      </w:r>
      <w:proofErr w:type="spellStart"/>
      <w:r w:rsidRPr="005A5CDF">
        <w:rPr>
          <w:rFonts w:ascii="Times New Roman" w:eastAsia="Times New Roman" w:hAnsi="Times New Roman" w:cs="Times New Roman"/>
          <w:sz w:val="24"/>
          <w:szCs w:val="24"/>
        </w:rPr>
        <w:t>Eguasa</w:t>
      </w:r>
      <w:proofErr w:type="spellEnd"/>
      <w:r w:rsidRPr="005A5CDF">
        <w:rPr>
          <w:rFonts w:ascii="Times New Roman" w:eastAsia="Times New Roman" w:hAnsi="Times New Roman" w:cs="Times New Roman"/>
          <w:sz w:val="24"/>
          <w:szCs w:val="24"/>
        </w:rPr>
        <w:t xml:space="preserve">, B. E. (2023). </w:t>
      </w:r>
      <w:r w:rsidRPr="005A5CDF">
        <w:rPr>
          <w:rFonts w:ascii="Times New Roman" w:eastAsia="Times New Roman" w:hAnsi="Times New Roman" w:cs="Times New Roman"/>
          <w:i/>
          <w:iCs/>
          <w:sz w:val="24"/>
          <w:szCs w:val="24"/>
        </w:rPr>
        <w:t>Economic policy uncertainty index for Nigeria</w:t>
      </w:r>
      <w:r w:rsidRPr="005A5CDF">
        <w:rPr>
          <w:rFonts w:ascii="Times New Roman" w:eastAsia="Times New Roman" w:hAnsi="Times New Roman" w:cs="Times New Roman"/>
          <w:sz w:val="24"/>
          <w:szCs w:val="24"/>
        </w:rPr>
        <w:t xml:space="preserve"> (MPRA Paper No. 119008). Munich Personal </w:t>
      </w:r>
      <w:proofErr w:type="spellStart"/>
      <w:r w:rsidRPr="005A5CDF">
        <w:rPr>
          <w:rFonts w:ascii="Times New Roman" w:eastAsia="Times New Roman" w:hAnsi="Times New Roman" w:cs="Times New Roman"/>
          <w:sz w:val="24"/>
          <w:szCs w:val="24"/>
        </w:rPr>
        <w:t>RePEc</w:t>
      </w:r>
      <w:proofErr w:type="spellEnd"/>
      <w:r w:rsidRPr="005A5CDF">
        <w:rPr>
          <w:rFonts w:ascii="Times New Roman" w:eastAsia="Times New Roman" w:hAnsi="Times New Roman" w:cs="Times New Roman"/>
          <w:sz w:val="24"/>
          <w:szCs w:val="24"/>
        </w:rPr>
        <w:t xml:space="preserve"> Archive. </w:t>
      </w:r>
      <w:hyperlink r:id="rId107" w:tgtFrame="_blank" w:history="1">
        <w:r w:rsidRPr="005A5CDF">
          <w:rPr>
            <w:rFonts w:ascii="Times New Roman" w:eastAsia="Times New Roman" w:hAnsi="Times New Roman" w:cs="Times New Roman"/>
            <w:color w:val="0000FF"/>
            <w:sz w:val="24"/>
            <w:szCs w:val="24"/>
            <w:u w:val="single"/>
            <w:lang w:val="nl-BE"/>
          </w:rPr>
          <w:t>https://mpra.ub.uni-muenchen.de/119008/</w:t>
        </w:r>
      </w:hyperlink>
      <w:r w:rsidRPr="005A5CDF">
        <w:rPr>
          <w:rFonts w:ascii="Times New Roman" w:eastAsia="Times New Roman" w:hAnsi="Times New Roman" w:cs="Times New Roman"/>
          <w:sz w:val="24"/>
          <w:szCs w:val="24"/>
          <w:lang w:val="nl-BE"/>
        </w:rPr>
        <w:t xml:space="preserve"> </w:t>
      </w:r>
    </w:p>
    <w:p w14:paraId="311D0F05" w14:textId="6D6F5CC0"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lang w:val="nl-BE"/>
        </w:rPr>
        <w:t xml:space="preserve">Wang, Z., Wei, Y., Shang, Y., Wang, Q., &amp; Zhao, C. (2025). </w:t>
      </w:r>
      <w:r w:rsidRPr="005A5CDF">
        <w:rPr>
          <w:rFonts w:ascii="Times New Roman" w:eastAsia="Times New Roman" w:hAnsi="Times New Roman" w:cs="Times New Roman"/>
          <w:sz w:val="24"/>
          <w:szCs w:val="24"/>
        </w:rPr>
        <w:t xml:space="preserve">Do economic policy uncertainties matter for economic growth? Evidence from MIDAS approaches. </w:t>
      </w:r>
      <w:r w:rsidRPr="005A5CDF">
        <w:rPr>
          <w:rFonts w:ascii="Times New Roman" w:eastAsia="Times New Roman" w:hAnsi="Times New Roman" w:cs="Times New Roman"/>
          <w:i/>
          <w:iCs/>
          <w:sz w:val="24"/>
          <w:szCs w:val="24"/>
        </w:rPr>
        <w:t>Research in International Business and Finance, 74</w:t>
      </w:r>
      <w:r w:rsidRPr="005A5CDF">
        <w:rPr>
          <w:rFonts w:ascii="Times New Roman" w:eastAsia="Times New Roman" w:hAnsi="Times New Roman" w:cs="Times New Roman"/>
          <w:sz w:val="24"/>
          <w:szCs w:val="24"/>
        </w:rPr>
        <w:t xml:space="preserve">, 102704. </w:t>
      </w:r>
      <w:hyperlink r:id="rId108" w:tgtFrame="_blank" w:history="1">
        <w:r w:rsidRPr="005A5CDF">
          <w:rPr>
            <w:rFonts w:ascii="Times New Roman" w:eastAsia="Times New Roman" w:hAnsi="Times New Roman" w:cs="Times New Roman"/>
            <w:color w:val="0000FF"/>
            <w:sz w:val="24"/>
            <w:szCs w:val="24"/>
            <w:u w:val="single"/>
          </w:rPr>
          <w:t>https://doi.org/10.1016/j.ribaf.2024.102704</w:t>
        </w:r>
      </w:hyperlink>
      <w:r w:rsidRPr="005A5CDF">
        <w:rPr>
          <w:rFonts w:ascii="Times New Roman" w:eastAsia="Times New Roman" w:hAnsi="Times New Roman" w:cs="Times New Roman"/>
          <w:sz w:val="24"/>
          <w:szCs w:val="24"/>
        </w:rPr>
        <w:t xml:space="preserve"> </w:t>
      </w:r>
    </w:p>
    <w:p w14:paraId="42D5EE03" w14:textId="224AEE6F" w:rsidR="005A5CDF" w:rsidRPr="005A5CDF" w:rsidRDefault="005A5CDF" w:rsidP="005A5CDF">
      <w:pPr>
        <w:spacing w:after="0" w:line="240" w:lineRule="auto"/>
        <w:ind w:left="540" w:hanging="540"/>
        <w:jc w:val="both"/>
        <w:rPr>
          <w:rFonts w:ascii="Times New Roman" w:eastAsia="Times New Roman" w:hAnsi="Times New Roman" w:cs="Times New Roman"/>
          <w:sz w:val="24"/>
          <w:szCs w:val="24"/>
        </w:rPr>
      </w:pPr>
      <w:r w:rsidRPr="005A5CDF">
        <w:rPr>
          <w:rFonts w:ascii="Times New Roman" w:eastAsia="Times New Roman" w:hAnsi="Times New Roman" w:cs="Times New Roman"/>
          <w:sz w:val="24"/>
          <w:szCs w:val="24"/>
        </w:rPr>
        <w:t xml:space="preserve">World Bank. (2024). </w:t>
      </w:r>
      <w:r w:rsidRPr="005A5CDF">
        <w:rPr>
          <w:rFonts w:ascii="Times New Roman" w:eastAsia="Times New Roman" w:hAnsi="Times New Roman" w:cs="Times New Roman"/>
          <w:i/>
          <w:iCs/>
          <w:sz w:val="24"/>
          <w:szCs w:val="24"/>
        </w:rPr>
        <w:t>Nigeria development update: Staying the course: Progress amid pressing challenges</w:t>
      </w:r>
      <w:r w:rsidRPr="005A5CDF">
        <w:rPr>
          <w:rFonts w:ascii="Times New Roman" w:eastAsia="Times New Roman" w:hAnsi="Times New Roman" w:cs="Times New Roman"/>
          <w:sz w:val="24"/>
          <w:szCs w:val="24"/>
        </w:rPr>
        <w:t>. https://doi.org/10.1596/42407</w:t>
      </w:r>
    </w:p>
    <w:p w14:paraId="1DFF87AF" w14:textId="01E69B32" w:rsidR="00951BE1" w:rsidRPr="002E339E" w:rsidRDefault="005A5CDF" w:rsidP="005A5CDF">
      <w:pPr>
        <w:ind w:left="540" w:hanging="540"/>
        <w:jc w:val="both"/>
      </w:pPr>
      <w:r w:rsidRPr="005A5CDF">
        <w:rPr>
          <w:rFonts w:ascii="Times New Roman" w:eastAsia="Times New Roman" w:hAnsi="Times New Roman" w:cs="Times New Roman"/>
          <w:sz w:val="24"/>
          <w:szCs w:val="24"/>
        </w:rPr>
        <w:lastRenderedPageBreak/>
        <w:t xml:space="preserve">Zaria, Y. B., &amp; </w:t>
      </w:r>
      <w:proofErr w:type="spellStart"/>
      <w:r w:rsidRPr="005A5CDF">
        <w:rPr>
          <w:rFonts w:ascii="Times New Roman" w:eastAsia="Times New Roman" w:hAnsi="Times New Roman" w:cs="Times New Roman"/>
          <w:sz w:val="24"/>
          <w:szCs w:val="24"/>
        </w:rPr>
        <w:t>Tuyon</w:t>
      </w:r>
      <w:proofErr w:type="spellEnd"/>
      <w:r w:rsidRPr="005A5CDF">
        <w:rPr>
          <w:rFonts w:ascii="Times New Roman" w:eastAsia="Times New Roman" w:hAnsi="Times New Roman" w:cs="Times New Roman"/>
          <w:sz w:val="24"/>
          <w:szCs w:val="24"/>
        </w:rPr>
        <w:t xml:space="preserve">, J. (2023). Relationship between unemployment and policy uncertainty in Nigeria: ARDL evidence from 1990 to 2020. </w:t>
      </w:r>
      <w:r w:rsidRPr="005A5CDF">
        <w:rPr>
          <w:rFonts w:ascii="Times New Roman" w:eastAsia="Times New Roman" w:hAnsi="Times New Roman" w:cs="Times New Roman"/>
          <w:i/>
          <w:iCs/>
          <w:sz w:val="24"/>
          <w:szCs w:val="24"/>
        </w:rPr>
        <w:t>International Journal of Social Economics, 50</w:t>
      </w:r>
      <w:r w:rsidRPr="005A5CDF">
        <w:rPr>
          <w:rFonts w:ascii="Times New Roman" w:eastAsia="Times New Roman" w:hAnsi="Times New Roman" w:cs="Times New Roman"/>
          <w:sz w:val="24"/>
          <w:szCs w:val="24"/>
        </w:rPr>
        <w:t xml:space="preserve">(6), 800–820. </w:t>
      </w:r>
      <w:hyperlink r:id="rId109" w:tgtFrame="_blank" w:history="1">
        <w:r w:rsidRPr="005A5CDF">
          <w:rPr>
            <w:rFonts w:ascii="Times New Roman" w:eastAsia="Times New Roman" w:hAnsi="Times New Roman" w:cs="Times New Roman"/>
            <w:color w:val="0000FF"/>
            <w:sz w:val="24"/>
            <w:szCs w:val="24"/>
            <w:u w:val="single"/>
          </w:rPr>
          <w:t>https://doi.org/10.1108/IJSE-08-2022-0555</w:t>
        </w:r>
      </w:hyperlink>
    </w:p>
    <w:sectPr w:rsidR="00951BE1" w:rsidRPr="002E339E">
      <w:headerReference w:type="even" r:id="rId110"/>
      <w:headerReference w:type="default" r:id="rId111"/>
      <w:footerReference w:type="even" r:id="rId112"/>
      <w:footerReference w:type="default" r:id="rId113"/>
      <w:headerReference w:type="first" r:id="rId114"/>
      <w:footerReference w:type="first" r:id="rId1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17FA" w14:textId="77777777" w:rsidR="00930D7A" w:rsidRDefault="00930D7A" w:rsidP="00DE6FD8">
      <w:pPr>
        <w:spacing w:after="0" w:line="240" w:lineRule="auto"/>
      </w:pPr>
      <w:r>
        <w:separator/>
      </w:r>
    </w:p>
  </w:endnote>
  <w:endnote w:type="continuationSeparator" w:id="0">
    <w:p w14:paraId="59FBD752" w14:textId="77777777" w:rsidR="00930D7A" w:rsidRDefault="00930D7A" w:rsidP="00DE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73DB" w14:textId="77777777" w:rsidR="0088266F" w:rsidRDefault="00882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539533"/>
      <w:docPartObj>
        <w:docPartGallery w:val="Page Numbers (Bottom of Page)"/>
        <w:docPartUnique/>
      </w:docPartObj>
    </w:sdtPr>
    <w:sdtEndPr>
      <w:rPr>
        <w:noProof/>
      </w:rPr>
    </w:sdtEndPr>
    <w:sdtContent>
      <w:p w14:paraId="3C58D6C3" w14:textId="77777777" w:rsidR="00B43039" w:rsidRDefault="00B43039">
        <w:pPr>
          <w:pStyle w:val="Footer"/>
          <w:jc w:val="center"/>
        </w:pPr>
        <w:r>
          <w:fldChar w:fldCharType="begin"/>
        </w:r>
        <w:r>
          <w:instrText xml:space="preserve"> PAGE   \* MERGEFORMAT </w:instrText>
        </w:r>
        <w:r>
          <w:fldChar w:fldCharType="separate"/>
        </w:r>
        <w:r w:rsidR="00425CA8">
          <w:rPr>
            <w:noProof/>
          </w:rPr>
          <w:t>15</w:t>
        </w:r>
        <w:r>
          <w:rPr>
            <w:noProof/>
          </w:rPr>
          <w:fldChar w:fldCharType="end"/>
        </w:r>
      </w:p>
    </w:sdtContent>
  </w:sdt>
  <w:p w14:paraId="3733CDE8" w14:textId="77777777" w:rsidR="00B43039" w:rsidRDefault="00B43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E19" w14:textId="77777777" w:rsidR="0088266F" w:rsidRDefault="00882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96CA3" w14:textId="77777777" w:rsidR="00930D7A" w:rsidRDefault="00930D7A" w:rsidP="00DE6FD8">
      <w:pPr>
        <w:spacing w:after="0" w:line="240" w:lineRule="auto"/>
      </w:pPr>
      <w:r>
        <w:separator/>
      </w:r>
    </w:p>
  </w:footnote>
  <w:footnote w:type="continuationSeparator" w:id="0">
    <w:p w14:paraId="16740239" w14:textId="77777777" w:rsidR="00930D7A" w:rsidRDefault="00930D7A" w:rsidP="00DE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C5F2" w14:textId="77777777" w:rsidR="0088266F" w:rsidRDefault="00882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33385"/>
      <w:docPartObj>
        <w:docPartGallery w:val="Watermarks"/>
        <w:docPartUnique/>
      </w:docPartObj>
    </w:sdtPr>
    <w:sdtContent>
      <w:p w14:paraId="3077EFA6" w14:textId="77777777" w:rsidR="0088266F" w:rsidRDefault="00000000">
        <w:pPr>
          <w:pStyle w:val="Header"/>
        </w:pPr>
        <w:r>
          <w:rPr>
            <w:noProof/>
          </w:rPr>
          <w:pict w14:anchorId="32B1B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66861" o:spid="_x0000_s1025" type="#_x0000_t136" style="position:absolute;margin-left:0;margin-top:0;width:555.6pt;height:104.15pt;rotation:315;z-index:-25165875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8D8A" w14:textId="77777777" w:rsidR="0088266F" w:rsidRDefault="00882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1E32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D8559F"/>
    <w:multiLevelType w:val="multilevel"/>
    <w:tmpl w:val="E9E6D116"/>
    <w:lvl w:ilvl="0">
      <w:start w:val="4"/>
      <w:numFmt w:val="decimal"/>
      <w:lvlText w:val="%1"/>
      <w:lvlJc w:val="left"/>
      <w:pPr>
        <w:ind w:left="360" w:hanging="360"/>
      </w:pPr>
      <w:rPr>
        <w:rFonts w:hint="default"/>
        <w:sz w:val="22"/>
      </w:rPr>
    </w:lvl>
    <w:lvl w:ilvl="1">
      <w:start w:val="6"/>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49EA6842"/>
    <w:multiLevelType w:val="multilevel"/>
    <w:tmpl w:val="1458F13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B2D290B"/>
    <w:multiLevelType w:val="multilevel"/>
    <w:tmpl w:val="6EFACF8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1D7451E"/>
    <w:multiLevelType w:val="multilevel"/>
    <w:tmpl w:val="96B40C4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7D40EA6"/>
    <w:multiLevelType w:val="hybridMultilevel"/>
    <w:tmpl w:val="C19AC0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0566A6"/>
    <w:multiLevelType w:val="multilevel"/>
    <w:tmpl w:val="8008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D2521"/>
    <w:multiLevelType w:val="hybridMultilevel"/>
    <w:tmpl w:val="17E40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3188682">
    <w:abstractNumId w:val="3"/>
  </w:num>
  <w:num w:numId="2" w16cid:durableId="51582632">
    <w:abstractNumId w:val="2"/>
  </w:num>
  <w:num w:numId="3" w16cid:durableId="1240216140">
    <w:abstractNumId w:val="0"/>
  </w:num>
  <w:num w:numId="4" w16cid:durableId="568149282">
    <w:abstractNumId w:val="4"/>
  </w:num>
  <w:num w:numId="5" w16cid:durableId="731662869">
    <w:abstractNumId w:val="1"/>
  </w:num>
  <w:num w:numId="6" w16cid:durableId="1148598411">
    <w:abstractNumId w:val="6"/>
  </w:num>
  <w:num w:numId="7" w16cid:durableId="844632908">
    <w:abstractNumId w:val="7"/>
  </w:num>
  <w:num w:numId="8" w16cid:durableId="789085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jMxNbQ0NjM3NjZV0lEKTi0uzszPAykwrAUA07s2WCwAAAA="/>
  </w:docVars>
  <w:rsids>
    <w:rsidRoot w:val="00D67712"/>
    <w:rsid w:val="00194E98"/>
    <w:rsid w:val="001F5E34"/>
    <w:rsid w:val="002D2912"/>
    <w:rsid w:val="002E339E"/>
    <w:rsid w:val="003046D0"/>
    <w:rsid w:val="003C4B0B"/>
    <w:rsid w:val="00425CA8"/>
    <w:rsid w:val="004552AA"/>
    <w:rsid w:val="00511AD1"/>
    <w:rsid w:val="0056079B"/>
    <w:rsid w:val="005A5CDF"/>
    <w:rsid w:val="005B26E0"/>
    <w:rsid w:val="005F2F5B"/>
    <w:rsid w:val="006C4EC8"/>
    <w:rsid w:val="00823BD9"/>
    <w:rsid w:val="00856B87"/>
    <w:rsid w:val="0088266F"/>
    <w:rsid w:val="00930D7A"/>
    <w:rsid w:val="00951BE1"/>
    <w:rsid w:val="009652FB"/>
    <w:rsid w:val="009E4FCC"/>
    <w:rsid w:val="00A13E6D"/>
    <w:rsid w:val="00AB60C6"/>
    <w:rsid w:val="00B43039"/>
    <w:rsid w:val="00BD3B55"/>
    <w:rsid w:val="00CA0C06"/>
    <w:rsid w:val="00D60789"/>
    <w:rsid w:val="00D67712"/>
    <w:rsid w:val="00DA0291"/>
    <w:rsid w:val="00DB657B"/>
    <w:rsid w:val="00DE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39904"/>
  <w15:chartTrackingRefBased/>
  <w15:docId w15:val="{272D2EEC-FCB4-42AA-815D-D698E4785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12"/>
  </w:style>
  <w:style w:type="paragraph" w:styleId="Heading1">
    <w:name w:val="heading 1"/>
    <w:basedOn w:val="Normal"/>
    <w:next w:val="Normal"/>
    <w:link w:val="Heading1Char"/>
    <w:uiPriority w:val="9"/>
    <w:qFormat/>
    <w:rsid w:val="00A13E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D3B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3B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77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7712"/>
    <w:rPr>
      <w:b/>
      <w:bCs/>
    </w:rPr>
  </w:style>
  <w:style w:type="paragraph" w:styleId="Header">
    <w:name w:val="header"/>
    <w:basedOn w:val="Normal"/>
    <w:link w:val="HeaderChar"/>
    <w:uiPriority w:val="99"/>
    <w:unhideWhenUsed/>
    <w:rsid w:val="00DE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FD8"/>
  </w:style>
  <w:style w:type="paragraph" w:styleId="Footer">
    <w:name w:val="footer"/>
    <w:basedOn w:val="Normal"/>
    <w:link w:val="FooterChar"/>
    <w:uiPriority w:val="99"/>
    <w:unhideWhenUsed/>
    <w:rsid w:val="00DE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FD8"/>
  </w:style>
  <w:style w:type="character" w:customStyle="1" w:styleId="Heading2Char">
    <w:name w:val="Heading 2 Char"/>
    <w:basedOn w:val="DefaultParagraphFont"/>
    <w:link w:val="Heading2"/>
    <w:uiPriority w:val="9"/>
    <w:rsid w:val="00BD3B5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3B55"/>
    <w:rPr>
      <w:rFonts w:ascii="Times New Roman" w:eastAsia="Times New Roman" w:hAnsi="Times New Roman" w:cs="Times New Roman"/>
      <w:b/>
      <w:bCs/>
      <w:sz w:val="27"/>
      <w:szCs w:val="27"/>
    </w:rPr>
  </w:style>
  <w:style w:type="character" w:customStyle="1" w:styleId="mord">
    <w:name w:val="mord"/>
    <w:basedOn w:val="DefaultParagraphFont"/>
    <w:rsid w:val="00BD3B55"/>
  </w:style>
  <w:style w:type="character" w:customStyle="1" w:styleId="vlist-s">
    <w:name w:val="vlist-s"/>
    <w:basedOn w:val="DefaultParagraphFont"/>
    <w:rsid w:val="00BD3B55"/>
  </w:style>
  <w:style w:type="table" w:styleId="TableGrid">
    <w:name w:val="Table Grid"/>
    <w:basedOn w:val="TableNormal"/>
    <w:uiPriority w:val="39"/>
    <w:rsid w:val="00BD3B5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3E6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13E6D"/>
    <w:pPr>
      <w:ind w:left="720"/>
      <w:contextualSpacing/>
    </w:pPr>
  </w:style>
  <w:style w:type="paragraph" w:customStyle="1" w:styleId="pdq2pgselectionanchorcontainer">
    <w:name w:val="pdq2pg_selectionanchorcontainer"/>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3E6D"/>
    <w:rPr>
      <w:i/>
      <w:iCs/>
    </w:rPr>
  </w:style>
  <w:style w:type="character" w:customStyle="1" w:styleId="mtight">
    <w:name w:val="mtight"/>
    <w:basedOn w:val="DefaultParagraphFont"/>
    <w:rsid w:val="00A13E6D"/>
  </w:style>
  <w:style w:type="paragraph" w:styleId="ListBullet">
    <w:name w:val="List Bullet"/>
    <w:basedOn w:val="Normal"/>
    <w:uiPriority w:val="99"/>
    <w:unhideWhenUsed/>
    <w:rsid w:val="00A13E6D"/>
    <w:pPr>
      <w:numPr>
        <w:numId w:val="3"/>
      </w:numPr>
      <w:spacing w:after="200" w:line="276" w:lineRule="auto"/>
      <w:contextualSpacing/>
    </w:pPr>
    <w:rPr>
      <w:rFonts w:ascii="Times New Roman" w:eastAsiaTheme="minorEastAsia" w:hAnsi="Times New Roman"/>
    </w:rPr>
  </w:style>
  <w:style w:type="character" w:customStyle="1" w:styleId="mrel">
    <w:name w:val="mrel"/>
    <w:basedOn w:val="DefaultParagraphFont"/>
    <w:rsid w:val="00A13E6D"/>
  </w:style>
  <w:style w:type="character" w:customStyle="1" w:styleId="mopen">
    <w:name w:val="mopen"/>
    <w:basedOn w:val="DefaultParagraphFont"/>
    <w:rsid w:val="00A13E6D"/>
  </w:style>
  <w:style w:type="character" w:customStyle="1" w:styleId="mbin">
    <w:name w:val="mbin"/>
    <w:basedOn w:val="DefaultParagraphFont"/>
    <w:rsid w:val="00A13E6D"/>
  </w:style>
  <w:style w:type="character" w:customStyle="1" w:styleId="mclose">
    <w:name w:val="mclose"/>
    <w:basedOn w:val="DefaultParagraphFont"/>
    <w:rsid w:val="00A1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7138">
      <w:bodyDiv w:val="1"/>
      <w:marLeft w:val="0"/>
      <w:marRight w:val="0"/>
      <w:marTop w:val="0"/>
      <w:marBottom w:val="0"/>
      <w:divBdr>
        <w:top w:val="none" w:sz="0" w:space="0" w:color="auto"/>
        <w:left w:val="none" w:sz="0" w:space="0" w:color="auto"/>
        <w:bottom w:val="none" w:sz="0" w:space="0" w:color="auto"/>
        <w:right w:val="none" w:sz="0" w:space="0" w:color="auto"/>
      </w:divBdr>
    </w:div>
    <w:div w:id="366219269">
      <w:bodyDiv w:val="1"/>
      <w:marLeft w:val="0"/>
      <w:marRight w:val="0"/>
      <w:marTop w:val="0"/>
      <w:marBottom w:val="0"/>
      <w:divBdr>
        <w:top w:val="none" w:sz="0" w:space="0" w:color="auto"/>
        <w:left w:val="none" w:sz="0" w:space="0" w:color="auto"/>
        <w:bottom w:val="none" w:sz="0" w:space="0" w:color="auto"/>
        <w:right w:val="none" w:sz="0" w:space="0" w:color="auto"/>
      </w:divBdr>
    </w:div>
    <w:div w:id="545871579">
      <w:bodyDiv w:val="1"/>
      <w:marLeft w:val="0"/>
      <w:marRight w:val="0"/>
      <w:marTop w:val="0"/>
      <w:marBottom w:val="0"/>
      <w:divBdr>
        <w:top w:val="none" w:sz="0" w:space="0" w:color="auto"/>
        <w:left w:val="none" w:sz="0" w:space="0" w:color="auto"/>
        <w:bottom w:val="none" w:sz="0" w:space="0" w:color="auto"/>
        <w:right w:val="none" w:sz="0" w:space="0" w:color="auto"/>
      </w:divBdr>
    </w:div>
    <w:div w:id="626006703">
      <w:bodyDiv w:val="1"/>
      <w:marLeft w:val="0"/>
      <w:marRight w:val="0"/>
      <w:marTop w:val="0"/>
      <w:marBottom w:val="0"/>
      <w:divBdr>
        <w:top w:val="none" w:sz="0" w:space="0" w:color="auto"/>
        <w:left w:val="none" w:sz="0" w:space="0" w:color="auto"/>
        <w:bottom w:val="none" w:sz="0" w:space="0" w:color="auto"/>
        <w:right w:val="none" w:sz="0" w:space="0" w:color="auto"/>
      </w:divBdr>
    </w:div>
    <w:div w:id="923413186">
      <w:bodyDiv w:val="1"/>
      <w:marLeft w:val="0"/>
      <w:marRight w:val="0"/>
      <w:marTop w:val="0"/>
      <w:marBottom w:val="0"/>
      <w:divBdr>
        <w:top w:val="none" w:sz="0" w:space="0" w:color="auto"/>
        <w:left w:val="none" w:sz="0" w:space="0" w:color="auto"/>
        <w:bottom w:val="none" w:sz="0" w:space="0" w:color="auto"/>
        <w:right w:val="none" w:sz="0" w:space="0" w:color="auto"/>
      </w:divBdr>
    </w:div>
    <w:div w:id="1109081418">
      <w:bodyDiv w:val="1"/>
      <w:marLeft w:val="0"/>
      <w:marRight w:val="0"/>
      <w:marTop w:val="0"/>
      <w:marBottom w:val="0"/>
      <w:divBdr>
        <w:top w:val="none" w:sz="0" w:space="0" w:color="auto"/>
        <w:left w:val="none" w:sz="0" w:space="0" w:color="auto"/>
        <w:bottom w:val="none" w:sz="0" w:space="0" w:color="auto"/>
        <w:right w:val="none" w:sz="0" w:space="0" w:color="auto"/>
      </w:divBdr>
    </w:div>
    <w:div w:id="1563180091">
      <w:bodyDiv w:val="1"/>
      <w:marLeft w:val="0"/>
      <w:marRight w:val="0"/>
      <w:marTop w:val="0"/>
      <w:marBottom w:val="0"/>
      <w:divBdr>
        <w:top w:val="none" w:sz="0" w:space="0" w:color="auto"/>
        <w:left w:val="none" w:sz="0" w:space="0" w:color="auto"/>
        <w:bottom w:val="none" w:sz="0" w:space="0" w:color="auto"/>
        <w:right w:val="none" w:sz="0" w:space="0" w:color="auto"/>
      </w:divBdr>
    </w:div>
    <w:div w:id="1633250113">
      <w:bodyDiv w:val="1"/>
      <w:marLeft w:val="0"/>
      <w:marRight w:val="0"/>
      <w:marTop w:val="0"/>
      <w:marBottom w:val="0"/>
      <w:divBdr>
        <w:top w:val="none" w:sz="0" w:space="0" w:color="auto"/>
        <w:left w:val="none" w:sz="0" w:space="0" w:color="auto"/>
        <w:bottom w:val="none" w:sz="0" w:space="0" w:color="auto"/>
        <w:right w:val="none" w:sz="0" w:space="0" w:color="auto"/>
      </w:divBdr>
    </w:div>
    <w:div w:id="202316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theme" Target="theme/theme1.xml"/><Relationship Id="rId21" Type="http://schemas.openxmlformats.org/officeDocument/2006/relationships/image" Target="media/image8.wmf"/><Relationship Id="rId42" Type="http://schemas.openxmlformats.org/officeDocument/2006/relationships/oleObject" Target="embeddings/oleObject19.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1.wmf"/><Relationship Id="rId112" Type="http://schemas.openxmlformats.org/officeDocument/2006/relationships/footer" Target="footer1.xml"/><Relationship Id="rId16" Type="http://schemas.openxmlformats.org/officeDocument/2006/relationships/oleObject" Target="embeddings/oleObject5.bin"/><Relationship Id="rId107" Type="http://schemas.openxmlformats.org/officeDocument/2006/relationships/hyperlink" Target="https://mpra.ub.uni-muenchen.de/119008/?utm_source=chatgpt.com" TargetMode="External"/><Relationship Id="rId11" Type="http://schemas.openxmlformats.org/officeDocument/2006/relationships/image" Target="media/image3.wmf"/><Relationship Id="rId32" Type="http://schemas.openxmlformats.org/officeDocument/2006/relationships/oleObject" Target="embeddings/oleObject14.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6.wmf"/><Relationship Id="rId102" Type="http://schemas.openxmlformats.org/officeDocument/2006/relationships/hyperlink" Target="https://doi.org/10.1016/j.jeconom.2011.05.010?utm_source=chatgpt.com" TargetMode="External"/><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hyperlink" Target="https://doi.org/10.58567/cef03010001?utm_source=chatgpt.com" TargetMode="External"/><Relationship Id="rId22" Type="http://schemas.openxmlformats.org/officeDocument/2006/relationships/oleObject" Target="embeddings/oleObject8.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1.wmf"/><Relationship Id="rId113" Type="http://schemas.openxmlformats.org/officeDocument/2006/relationships/footer" Target="footer2.xml"/><Relationship Id="rId80" Type="http://schemas.openxmlformats.org/officeDocument/2006/relationships/oleObject" Target="embeddings/oleObject38.bin"/><Relationship Id="rId85" Type="http://schemas.openxmlformats.org/officeDocument/2006/relationships/image" Target="media/image39.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3.wmf"/><Relationship Id="rId38" Type="http://schemas.openxmlformats.org/officeDocument/2006/relationships/oleObject" Target="embeddings/oleObject17.bin"/><Relationship Id="rId59" Type="http://schemas.openxmlformats.org/officeDocument/2006/relationships/image" Target="media/image26.wmf"/><Relationship Id="rId103" Type="http://schemas.openxmlformats.org/officeDocument/2006/relationships/hyperlink" Target="https://doi.org/10.9734/ajeba/2024/v24i61357?utm_source=chatgpt.com" TargetMode="External"/><Relationship Id="rId108" Type="http://schemas.openxmlformats.org/officeDocument/2006/relationships/hyperlink" Target="https://doi.org/10.1016/j.ribaf.2024.102704?utm_source=chatgpt.com" TargetMode="External"/><Relationship Id="rId54" Type="http://schemas.openxmlformats.org/officeDocument/2006/relationships/oleObject" Target="embeddings/oleObject25.bin"/><Relationship Id="rId70" Type="http://schemas.openxmlformats.org/officeDocument/2006/relationships/oleObject" Target="embeddings/oleObject33.bin"/><Relationship Id="rId75" Type="http://schemas.openxmlformats.org/officeDocument/2006/relationships/image" Target="media/image34.wmf"/><Relationship Id="rId91" Type="http://schemas.openxmlformats.org/officeDocument/2006/relationships/hyperlink" Target="https://doi.org/10.47772/IJRISS.2025.90400091?utm_source=chatgpt.com" TargetMode="External"/><Relationship Id="rId96" Type="http://schemas.openxmlformats.org/officeDocument/2006/relationships/hyperlink" Target="https://doi.org/10.1016/j.jedc.2005.08.008?utm_source=chatgpt.co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9.bin"/><Relationship Id="rId28" Type="http://schemas.openxmlformats.org/officeDocument/2006/relationships/oleObject" Target="embeddings/oleObject12.bin"/><Relationship Id="rId49" Type="http://schemas.openxmlformats.org/officeDocument/2006/relationships/image" Target="media/image21.wmf"/><Relationship Id="rId114" Type="http://schemas.openxmlformats.org/officeDocument/2006/relationships/header" Target="header3.xml"/><Relationship Id="rId10"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7.bin"/><Relationship Id="rId81" Type="http://schemas.openxmlformats.org/officeDocument/2006/relationships/image" Target="media/image37.wmf"/><Relationship Id="rId86" Type="http://schemas.openxmlformats.org/officeDocument/2006/relationships/oleObject" Target="embeddings/oleObject41.bin"/><Relationship Id="rId94" Type="http://schemas.openxmlformats.org/officeDocument/2006/relationships/hyperlink" Target="https://doi.org/10.1016/j.najef.2016.01.003?utm_source=chatgpt.com" TargetMode="External"/><Relationship Id="rId99" Type="http://schemas.openxmlformats.org/officeDocument/2006/relationships/hyperlink" Target="https://doi.org/10.1007/s00181-011-0484-x?utm_source=chatgpt.com" TargetMode="External"/><Relationship Id="rId101" Type="http://schemas.openxmlformats.org/officeDocument/2006/relationships/hyperlink" Target="https://doi.org/10.5089/9798400275074.002?utm_source=chatgpt.com" TargetMode="Externa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6.wmf"/><Relationship Id="rId109" Type="http://schemas.openxmlformats.org/officeDocument/2006/relationships/hyperlink" Target="https://doi.org/10.1108/IJSE-08-2022-0555?utm_source=chatgpt.com" TargetMode="External"/><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hyperlink" Target="https://doi.org/10.1016/j.asieco.2023.101673?utm_source=chatgpt.com" TargetMode="External"/><Relationship Id="rId104" Type="http://schemas.openxmlformats.org/officeDocument/2006/relationships/hyperlink" Target="https://doi.org/10.56557/ajomcor/2026/v33i110293?utm_source=chatgpt.com" TargetMode="External"/><Relationship Id="rId7" Type="http://schemas.openxmlformats.org/officeDocument/2006/relationships/image" Target="media/image1.wmf"/><Relationship Id="rId71" Type="http://schemas.openxmlformats.org/officeDocument/2006/relationships/image" Target="media/image32.wmf"/><Relationship Id="rId92" Type="http://schemas.openxmlformats.org/officeDocument/2006/relationships/hyperlink" Target="https://doi.org/10.9734/ajeba/2026/v26i92363?utm_source=chatgpt.com" TargetMode="External"/><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9.wmf"/><Relationship Id="rId66" Type="http://schemas.openxmlformats.org/officeDocument/2006/relationships/oleObject" Target="embeddings/oleObject31.bin"/><Relationship Id="rId87" Type="http://schemas.openxmlformats.org/officeDocument/2006/relationships/image" Target="media/image40.wmf"/><Relationship Id="rId110" Type="http://schemas.openxmlformats.org/officeDocument/2006/relationships/header" Target="header1.xml"/><Relationship Id="rId115" Type="http://schemas.openxmlformats.org/officeDocument/2006/relationships/footer" Target="footer3.xml"/><Relationship Id="rId61" Type="http://schemas.openxmlformats.org/officeDocument/2006/relationships/image" Target="media/image27.wmf"/><Relationship Id="rId82" Type="http://schemas.openxmlformats.org/officeDocument/2006/relationships/oleObject" Target="embeddings/oleObject39.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oleObject" Target="embeddings/oleObject26.bin"/><Relationship Id="rId77" Type="http://schemas.openxmlformats.org/officeDocument/2006/relationships/image" Target="media/image35.wmf"/><Relationship Id="rId100" Type="http://schemas.openxmlformats.org/officeDocument/2006/relationships/hyperlink" Target="https://doi.org/10.1016/j.irfa.2023.102991?utm_source=chatgpt.com" TargetMode="External"/><Relationship Id="rId105" Type="http://schemas.openxmlformats.org/officeDocument/2006/relationships/hyperlink" Target="https://doi.org/10.1111/1467-8268.70012?utm_source=chatgpt.com" TargetMode="External"/><Relationship Id="rId8" Type="http://schemas.openxmlformats.org/officeDocument/2006/relationships/oleObject" Target="embeddings/oleObject1.bin"/><Relationship Id="rId51" Type="http://schemas.openxmlformats.org/officeDocument/2006/relationships/image" Target="media/image22.wmf"/><Relationship Id="rId72" Type="http://schemas.openxmlformats.org/officeDocument/2006/relationships/oleObject" Target="embeddings/oleObject34.bin"/><Relationship Id="rId93" Type="http://schemas.openxmlformats.org/officeDocument/2006/relationships/hyperlink" Target="https://doi.org/10.1093/qje/qjw024?utm_source=chatgpt.com" TargetMode="External"/><Relationship Id="rId98" Type="http://schemas.openxmlformats.org/officeDocument/2006/relationships/hyperlink" Target="https://doi.org/10.1002/pa.2449?utm_source=chatgpt.com" TargetMode="External"/><Relationship Id="rId3" Type="http://schemas.openxmlformats.org/officeDocument/2006/relationships/settings" Target="settings.xml"/><Relationship Id="rId25" Type="http://schemas.openxmlformats.org/officeDocument/2006/relationships/image" Target="media/image9.wmf"/><Relationship Id="rId46" Type="http://schemas.openxmlformats.org/officeDocument/2006/relationships/oleObject" Target="embeddings/oleObject21.bin"/><Relationship Id="rId67" Type="http://schemas.openxmlformats.org/officeDocument/2006/relationships/image" Target="media/image30.wmf"/><Relationship Id="rId116"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image" Target="media/image38.wmf"/><Relationship Id="rId88" Type="http://schemas.openxmlformats.org/officeDocument/2006/relationships/oleObject" Target="embeddings/oleObject42.bin"/><Relationship Id="rId111" Type="http://schemas.openxmlformats.org/officeDocument/2006/relationships/header" Target="header2.xml"/><Relationship Id="rId15" Type="http://schemas.openxmlformats.org/officeDocument/2006/relationships/image" Target="media/image5.wmf"/><Relationship Id="rId36" Type="http://schemas.openxmlformats.org/officeDocument/2006/relationships/oleObject" Target="embeddings/oleObject16.bin"/><Relationship Id="rId57" Type="http://schemas.openxmlformats.org/officeDocument/2006/relationships/image" Target="media/image25.wmf"/><Relationship Id="rId106" Type="http://schemas.openxmlformats.org/officeDocument/2006/relationships/hyperlink" Target="https://doi.org/10.1007/s11135-024-01886-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15</Pages>
  <Words>5948</Words>
  <Characters>33910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CPU 1117</cp:lastModifiedBy>
  <cp:revision>14</cp:revision>
  <dcterms:created xsi:type="dcterms:W3CDTF">2026-08-28T11:44:00Z</dcterms:created>
  <dcterms:modified xsi:type="dcterms:W3CDTF">2026-09-08T06:36:00Z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b4b16fde-4317-4d2a-9257-2cf2ab2928ad</vt:lpwstr>
  </property>
</Properties>
</file>