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C8FD8" w14:textId="58154ED9" w:rsidR="00B87CAA" w:rsidRDefault="00F804C3" w:rsidP="0017016D">
      <w:pPr>
        <w:spacing w:after="320" w:line="276" w:lineRule="auto"/>
        <w:jc w:val="both"/>
      </w:pPr>
      <w:r>
        <w:rPr>
          <w:b/>
          <w:sz w:val="30"/>
        </w:rPr>
        <w:t>Artificial Intelligence and Machine Learning in Banking: A Critical Narrative Synthesis of Application Domains, Methods and Emerging Research Gaps</w:t>
      </w:r>
      <w:r w:rsidR="0017016D">
        <w:rPr>
          <w:b/>
          <w:sz w:val="30"/>
        </w:rPr>
        <w:t xml:space="preserve"> (</w:t>
      </w:r>
      <w:r>
        <w:rPr>
          <w:b/>
          <w:sz w:val="30"/>
        </w:rPr>
        <w:t>2015–2024</w:t>
      </w:r>
      <w:r w:rsidR="0017016D">
        <w:rPr>
          <w:b/>
          <w:sz w:val="30"/>
        </w:rPr>
        <w:t>)</w:t>
      </w:r>
    </w:p>
    <w:p w14:paraId="05174B88" w14:textId="77777777" w:rsidR="00B87CAA" w:rsidRDefault="00F804C3" w:rsidP="0017016D">
      <w:pPr>
        <w:spacing w:before="280" w:line="276" w:lineRule="auto"/>
        <w:jc w:val="both"/>
      </w:pPr>
      <w:r>
        <w:rPr>
          <w:b/>
          <w:sz w:val="26"/>
        </w:rPr>
        <w:t>Abstract</w:t>
      </w:r>
    </w:p>
    <w:p w14:paraId="69B94FC2" w14:textId="77777777" w:rsidR="00B87CAA" w:rsidRDefault="00F804C3" w:rsidP="0017016D">
      <w:pPr>
        <w:jc w:val="both"/>
      </w:pPr>
      <w:r>
        <w:t>Learning systems have moved from experimental pilots to embedded components of banking operations over the past decade, yet the scholarly evidence supporting that transition remains uneven in quality and unevenly distributed across the functions banks actually perform. This critical narrative review examines research published between 2015 and 2024 on the application of artificial intelligence and machine learning within banking, with attention to the methods employed, the strength of the evidence, and the questions that remain unresolved. The review synthesises peer-reviewed empirical and methodological work alongside supervisory and intergovernmental reporting, organising the literature around application domains, methodological practice, interpretability and fairness, and the governance interface rather than around individual studies. Five conclusions emerge. Predictive gains from complex learners over regularised parametric baselines are real but modest and highly sensitive to the evaluation criterion chosen; gains attributable to novel data sources appear larger and more durable than gains attributable to novel algorithms. Deep architectures have not established a consistent advantage over gradient-boosted trees on the tabular data that dominate retail banking. The evidence base is heavily concentrated in credit assessment and payment fraud detection, while treasury operations, supervisory analytics, internal control and customer relationship management are supported by markedly thinner empirical work. Recurrent methodological weaknesses, including reliance on small public benchmark datasets, temporally naive validation, informal handling of class imbalance, and evaluation detached from the economics of lending, limit confidence in reported performance differences and constrain their generalisability to deployed systems. Distributional and fairness consequences are demonstrated in specific mortgage and consumer credit markets but have not been established as general properties of algorithmic underwriting. Priority research needs include prospective evaluation of deployed systems, disclosure of temporal validation protocols, outcome measures aligned with portfolio economics and consumer welfare, and evidence from jurisdictions currently absent from the literature.</w:t>
      </w:r>
    </w:p>
    <w:p w14:paraId="0535BDE4" w14:textId="77777777" w:rsidR="00B87CAA" w:rsidRDefault="00F804C3" w:rsidP="0017016D">
      <w:pPr>
        <w:spacing w:before="280" w:line="276" w:lineRule="auto"/>
        <w:jc w:val="both"/>
      </w:pPr>
      <w:r>
        <w:rPr>
          <w:b/>
          <w:sz w:val="26"/>
        </w:rPr>
        <w:t>Keywords</w:t>
      </w:r>
    </w:p>
    <w:p w14:paraId="79C28354" w14:textId="77777777" w:rsidR="00B87CAA" w:rsidRDefault="00F804C3" w:rsidP="0017016D">
      <w:pPr>
        <w:jc w:val="both"/>
      </w:pPr>
      <w:r>
        <w:lastRenderedPageBreak/>
        <w:t>credit scoring; algorithmic decision-making; financial crime detection; model risk governance; explainable artificial intelligence; algorithmic fairness; banking supervision</w:t>
      </w:r>
    </w:p>
    <w:p w14:paraId="363533DD" w14:textId="77777777" w:rsidR="00B87CAA" w:rsidRDefault="00F804C3" w:rsidP="0017016D">
      <w:pPr>
        <w:spacing w:before="280" w:line="276" w:lineRule="auto"/>
        <w:jc w:val="both"/>
      </w:pPr>
      <w:r>
        <w:rPr>
          <w:b/>
          <w:sz w:val="26"/>
        </w:rPr>
        <w:t>1. Introduction</w:t>
      </w:r>
    </w:p>
    <w:p w14:paraId="321372FD" w14:textId="77777777" w:rsidR="00B87CAA" w:rsidRDefault="00F804C3" w:rsidP="0017016D">
      <w:pPr>
        <w:jc w:val="both"/>
      </w:pPr>
      <w:r>
        <w:t>Banking has long been an applied statistics industry. Retail lenders have used quantitative scorecards since the middle of the twentieth century, and the discipline of credit scoring developed its methodological conventions, its benchmark datasets and its evaluation habits well before the recent expansion of computational learning methods. What changed during the decade from 2015 was not the introduction of statistical decision-making into banking but a shift in the class of functions that banks were willing to estimate, the volume and variety of data available to estimate them, and the range of operational processes in which estimated functions were permitted to act. That shift is what the terms artificial intelligence (AI) and machine learning (ML) denote in the banking literature, and the imprecision of those terms is itself a source of difficulty in reading the evidence.</w:t>
      </w:r>
    </w:p>
    <w:p w14:paraId="2F2F1540" w14:textId="77777777" w:rsidR="00B87CAA" w:rsidRDefault="00F804C3" w:rsidP="0017016D">
      <w:pPr>
        <w:jc w:val="both"/>
      </w:pPr>
      <w:r>
        <w:t>Terminology requires care. Throughout this review, machine learning refers to algorithmic procedures that induce predictive functions from data without a fully pre-specified parametric form, encompassing tree ensembles, kernel methods, neural networks and their hybrids. Artificial intelligence is used more broadly to include machine learning together with rule-based expert systems, natural language processing, conversational agents and, latterly, foundation models. Supervisory authorities have adopted similarly broad definitions, and the Bank of England and Financial Conduct Authority (2024) treat artificial intelligence as the simulation of human intelligence by machines performing tasks that previously required human cognition. The breadth of the term matters because it permits studies of very different objects, a gradient-boosted probability of default model and a customer-service chatbot, to be aggregated under a single heading in reviews and adoption surveys, obscuring differences in evidentiary maturity that this review treats as central.</w:t>
      </w:r>
    </w:p>
    <w:p w14:paraId="3C4EFAB6" w14:textId="77777777" w:rsidR="00B87CAA" w:rsidRDefault="00F804C3" w:rsidP="0017016D">
      <w:pPr>
        <w:jc w:val="both"/>
      </w:pPr>
      <w:r>
        <w:t xml:space="preserve">The empirical record of adoption is now reasonably firm at the level of the firm, if not at the level of the individual application. Supervisory survey evidence from the United Kingdom indicates that the proportion of regulated firms reporting use of artificial intelligence rose from 58 per cent in 2022 to 75 per cent in 2024, with a further 10 per cent planning adoption within three years (Bank of England &amp; Financial Conduct Authority, 2024). The same survey reports that gradient boosting accounts for the largest single share of use cases at 32 per cent, that foundation models account for 17 per cent, and that 55 per cent of use cases involve some </w:t>
      </w:r>
      <w:r>
        <w:lastRenderedPageBreak/>
        <w:t>degree of automated decision-making while only 2 per cent are fully autonomous. Intergovernmental assessment has followed a similar trajectory, moving from a horizon-scanning posture (Financial Stability Board, 2017) to an assessment identifying third-party concentration, correlated model behaviour, cyber exposure and model governance as vulnerabilities warranting monitoring (Financial Stability Board, 2024). Adoption, in other words, is no longer in question. What remains contested is what adoption achieves, at what cost, for whom, and under what conditions the reported gains persist.</w:t>
      </w:r>
    </w:p>
    <w:p w14:paraId="3CF4F661" w14:textId="77777777" w:rsidR="00B87CAA" w:rsidRPr="0017016D" w:rsidRDefault="00F804C3" w:rsidP="0017016D">
      <w:pPr>
        <w:jc w:val="both"/>
      </w:pPr>
      <w:r>
        <w:t xml:space="preserve">Academic attention has expanded correspondingly. Bibliometric mapping identifies rapid growth in publication volume and the emergence of distinguishable research clusters around credit risk, financial markets and behavioural questions (Ahmed et al., 2022; Goodell et al., 2021). Domain reviews have surveyed risk management applications (Leo et al., 2019), banking supervision (Guerra &amp; Castelli, 2021), credit analysis (Sadok et al., 2022), customer-facing services (Hentzen et al., 2022), deep learning in credit scoring (Hayashi, 2022) and finance more generally (Mienye et al., 2024; Milana &amp; Ashta, 2021). Broader syntheses have attempted to characterise the banking sector as a whole (Ghandour, 2021; Kalyani &amp; Gupta, 2023; Königstorfer &amp; </w:t>
      </w:r>
      <w:r w:rsidRPr="0017016D">
        <w:t>Thalmann, 2020), and explainability has attracted dedicated review attention (Černevičienė &amp; Kabašinskas, 2024). The field is therefore not under-reviewed.</w:t>
      </w:r>
      <w:r w:rsidRPr="0017016D">
        <w:rPr>
          <w:highlight w:val="yellow"/>
        </w:rPr>
        <w:t xml:space="preserve"> Recent reviews published near the end of the review window likewise describe a broad and rapidly expanding research landscape across banking and financial services, including risk, credit, detection, and other decision-oriented applications (Bahoo et al., 2024; Pattnaik et al., 2024). A broader review of machine learning in business and finance further underscores the methodological diversity of the field and the persistence of open research questions across application settings (Gao et al., 2024).</w:t>
      </w:r>
    </w:p>
    <w:p w14:paraId="1C9CAE0C" w14:textId="77777777" w:rsidR="00B87CAA" w:rsidRPr="0017016D" w:rsidRDefault="00F804C3" w:rsidP="0017016D">
      <w:pPr>
        <w:jc w:val="both"/>
      </w:pPr>
      <w:r w:rsidRPr="0017016D">
        <w:t xml:space="preserve">It is, however, unevenly reviewed, and the unevenness follows a recognisable pattern. Bibliometric studies characterise the shape of the literature without appraising it, so a heavily cited study with temporally naive validation contributes to a research cluster on the same terms as a study with a properly held-out out-of-time sample. Domain reviews appraise within a domain but seldom compare evidentiary maturity across domains, which leaves the impression that all banking applications rest on comparable foundations. Reviews oriented towards technique catalogue algorithmic variants and report accuracy comparisons drawn from primary studies without interrogating whether the comparisons were conducted on data, time horizons and evaluation criteria that make them meaningful for a bank. Several widely used syntheses were completed before the diffusion of foundation models and before </w:t>
      </w:r>
      <w:r w:rsidRPr="0017016D">
        <w:lastRenderedPageBreak/>
        <w:t>supervisory expectations were codified in binding law, and their treatment of governance is correspondingly dated. The consequence is a literature in which the accumulation of reported performance improvements has outpaced scrutiny of whether those improvements are measured in ways that would survive contact with a lending portfolio, a supervisory review or a fair-lending challenge.</w:t>
      </w:r>
    </w:p>
    <w:p w14:paraId="41CDCEC9" w14:textId="77777777" w:rsidR="00B87CAA" w:rsidRDefault="00F804C3" w:rsidP="0017016D">
      <w:pPr>
        <w:jc w:val="both"/>
      </w:pPr>
      <w:r w:rsidRPr="0017016D">
        <w:t>A second difficulty concerns the relationship between the technical and the economic literatures. Work published in operational research, expert</w:t>
      </w:r>
      <w:r>
        <w:t xml:space="preserve"> systems and computing venues is largely concerned with predictive discrimination on benchmark data. Work published in finance and economics venues is largely concerned with market outcomes, distributional consequences and firm performance, and frequently uses learning methods instrumentally rather than as objects of study. These literatures cite each other sparingly. The result is that the question of whether more accurate models produce better lending, and for whom, sits in the gap between them. Studies demonstrating that a particular ensemble attains a higher area under the receiver operating characteristic curve on a public dataset (Lessmann et al., 2015) and studies demonstrating that the introduction of machine learning redistributes credit terms across borrower groups (Fuster et al., 2022) are addressing adjacent aspects of the same phenomenon without a shared analytical vocabulary.</w:t>
      </w:r>
    </w:p>
    <w:p w14:paraId="0F82D95A" w14:textId="77777777" w:rsidR="00B87CAA" w:rsidRDefault="00F804C3" w:rsidP="0017016D">
      <w:pPr>
        <w:spacing w:before="200" w:after="100" w:line="276" w:lineRule="auto"/>
        <w:jc w:val="both"/>
      </w:pPr>
      <w:r>
        <w:rPr>
          <w:b/>
          <w:i/>
        </w:rPr>
        <w:t>1.1 Scope, Research Gap and Objectives</w:t>
      </w:r>
    </w:p>
    <w:p w14:paraId="29D90D7D" w14:textId="77777777" w:rsidR="00B87CAA" w:rsidRDefault="00F804C3" w:rsidP="0017016D">
      <w:pPr>
        <w:jc w:val="both"/>
      </w:pPr>
      <w:r>
        <w:t>This review covers scholarly work published between 2015 and 2024 concerning the application of machine learning and artificial intelligence within banking institutions, together with supervisory and intergovernmental reporting bearing directly on that application. Foundational earlier work is included where it is necessary to explain the intellectual development of a method or a benchmark convention. The scope is defined by institutional function rather than by technique: applications are included when they support lending, deposit-taking, payments, financial crime control, customer relationship management, internal operations, risk measurement or supervisory interaction within banks and closely comparable credit institutions.</w:t>
      </w:r>
    </w:p>
    <w:p w14:paraId="06E74C4E" w14:textId="77777777" w:rsidR="00B87CAA" w:rsidRDefault="00F804C3" w:rsidP="0017016D">
      <w:pPr>
        <w:jc w:val="both"/>
      </w:pPr>
      <w:r>
        <w:t xml:space="preserve">Several areas are deliberately excluded. Algorithmic trading, asset pricing, portfolio construction and market microstructure are outside the scope, since they concern securities markets rather than banking intermediation and possess a distinct methodological literature. Insurance underwriting is excluded for the same reason. Cryptocurrency analytics are excluded except where the methods bear directly on transaction monitoring within regulated banks. Central bank monetary policy modelling is excluded. Purely technical contributions </w:t>
      </w:r>
      <w:r>
        <w:lastRenderedPageBreak/>
        <w:t>that propose algorithmic variants without any banking data, banking evaluation criterion or banking application are excluded, as are studies of consumer attitudes that do not connect to a specific banking process.</w:t>
      </w:r>
    </w:p>
    <w:p w14:paraId="72670248" w14:textId="77777777" w:rsidR="00B87CAA" w:rsidRDefault="00F804C3" w:rsidP="0017016D">
      <w:pPr>
        <w:jc w:val="both"/>
      </w:pPr>
      <w:r>
        <w:t>The gap this review addresses is the absence of a synthesis that compares evidentiary maturity across banking application domains while simultaneously appraising the methodological practices that generate the evidence. Existing syntheses do one or the other. Mapping the literature by volume does not reveal that some domains rest on repeated evaluation against industry data while others rest on a handful of studies using small public datasets. Appraising technique within a single domain does not reveal that the appraisal criteria differ systematically across domains in ways that make cross-domain claims about the value of learning systems in banking unsupportable. Neither approach adequately confronts the divergence between technical performance literatures and economic outcome literatures, or the recent codification of governance expectations that changes what counts as an acceptable model.</w:t>
      </w:r>
    </w:p>
    <w:p w14:paraId="74CF7BF7" w14:textId="77777777" w:rsidR="00B87CAA" w:rsidRDefault="00F804C3" w:rsidP="0017016D">
      <w:pPr>
        <w:jc w:val="both"/>
      </w:pPr>
      <w:r>
        <w:t>The contribution is an integrated critical appraisal that treats domain, method, evaluation and governance as interdependent rather than separable concerns, and that states explicitly where the evidence supports confident conclusions, where it supports provisional ones, and where it supports none.</w:t>
      </w:r>
    </w:p>
    <w:p w14:paraId="56D39DA7" w14:textId="77777777" w:rsidR="00B87CAA" w:rsidRDefault="00F804C3" w:rsidP="0017016D">
      <w:pPr>
        <w:jc w:val="both"/>
      </w:pPr>
      <w:r>
        <w:t>Four objectives follow. The first is to characterise the application domains in which learning systems are deployed in banking and to assess, domain by domain, the maturity and quality of the supporting evidence. The second is to evaluate the comparative performance claims made for different method families and to determine which claims are robust to changes in evaluation criterion, data source and validation protocol. The third is to identify the recurrent methodological weaknesses that limit the interpretation of reported results and to explain how those weaknesses relate to the structure of the field. The fourth is to derive a prioritised research agenda that distinguishes questions answerable with existing data from questions requiring new forms of evidence, particularly evidence from deployed rather than retrospective systems.</w:t>
      </w:r>
    </w:p>
    <w:p w14:paraId="0F53F14E" w14:textId="77777777" w:rsidR="00B87CAA" w:rsidRDefault="00F804C3" w:rsidP="0017016D">
      <w:pPr>
        <w:spacing w:before="280" w:line="276" w:lineRule="auto"/>
        <w:jc w:val="both"/>
      </w:pPr>
      <w:r>
        <w:rPr>
          <w:b/>
          <w:sz w:val="26"/>
        </w:rPr>
        <w:t>2. Methods for Literature Selection</w:t>
      </w:r>
    </w:p>
    <w:p w14:paraId="225CE473" w14:textId="77777777" w:rsidR="00B87CAA" w:rsidRDefault="00F804C3" w:rsidP="0017016D">
      <w:pPr>
        <w:spacing w:before="200" w:after="100" w:line="276" w:lineRule="auto"/>
        <w:jc w:val="both"/>
      </w:pPr>
      <w:r>
        <w:rPr>
          <w:b/>
          <w:i/>
        </w:rPr>
        <w:t>2.1 Review Design and Rationale</w:t>
      </w:r>
    </w:p>
    <w:p w14:paraId="60B4E292" w14:textId="77777777" w:rsidR="00B87CAA" w:rsidRDefault="00F804C3" w:rsidP="0017016D">
      <w:pPr>
        <w:jc w:val="both"/>
      </w:pPr>
      <w:r>
        <w:t xml:space="preserve">A critical narrative design was selected in preference to a systematic review, scoping review or meta-analysis for reasons intrinsic to the material. The review question spans several </w:t>
      </w:r>
      <w:r>
        <w:lastRenderedPageBreak/>
        <w:t>disciplines with incompatible reporting conventions, ranging from operational research studies reporting classifier rankings on benchmark datasets to finance studies reporting regression coefficients on administrative loan data to supervisory surveys reporting adoption percentages. No common effect measure exists across these designs, so quantitative pooling would be misleading rather than merely imprecise. Where predictive performance is reported, it is reported against heterogeneous outcome definitions, observation windows and populations, and the same nominal metric can denote materially different quantities in different studies. A meta-analysis would therefore aggregate incommensurable quantities and present the result with unwarranted precision.</w:t>
      </w:r>
    </w:p>
    <w:p w14:paraId="1664F03B" w14:textId="77777777" w:rsidR="00B87CAA" w:rsidRDefault="00F804C3" w:rsidP="0017016D">
      <w:pPr>
        <w:jc w:val="both"/>
      </w:pPr>
      <w:r>
        <w:t>The review question is also interpretive rather than enumerative. It asks not how many studies report a positive finding but whether the conditions under which findings are generated permit the inferences drawn from them. That question requires appraisal of design decisions that structured extraction forms handle poorly, including the timing of validation splits relative to the data-generating process and the correspondence between the reported metric and the decision the model supports. Narrative synthesis accommodates that appraisal. The design does not, however, relieve the review of obligations of transparency or critical rigour. Guidance on narrative review conduct emphasises that the absence of a fixed protocol increases rather than reduces the need for explicit statement of scope, sources, selection reasoning and appraisal criteria, and the reporting below is structured accordingly (Leo et al., 2019; Sadok et al., 2022).</w:t>
      </w:r>
    </w:p>
    <w:p w14:paraId="3960BE35" w14:textId="77777777" w:rsidR="00B87CAA" w:rsidRDefault="00F804C3" w:rsidP="0017016D">
      <w:pPr>
        <w:spacing w:before="200" w:after="100" w:line="276" w:lineRule="auto"/>
        <w:jc w:val="both"/>
      </w:pPr>
      <w:r>
        <w:rPr>
          <w:b/>
          <w:i/>
        </w:rPr>
        <w:t>2.2 Information Sources</w:t>
      </w:r>
    </w:p>
    <w:p w14:paraId="4F6DC8A0" w14:textId="77777777" w:rsidR="00B87CAA" w:rsidRDefault="00F804C3" w:rsidP="0017016D">
      <w:pPr>
        <w:jc w:val="both"/>
      </w:pPr>
      <w:r>
        <w:t>The following scholarly databases and indexes were searched: Crossref, the Directory of Open Access Journals, Semantic Scholar, OpenAIRE, EconBiz and Google Scholar. EconBiz was included as the principal disciplinary index for economics, business and finance, and provided coverage of banking and financial economics titles that general multidisciplinary indexes returned inconsistently. Crossref was used both for discovery and for bibliographic verification, since it provides authoritative metadata for the journals in which the relevant technical and financial literatures appear. Semantic Scholar and the Directory of Open Access Journals extended coverage to computing and open-access venues respectively, and OpenAIRE provided further coverage of European repository-deposited work.</w:t>
      </w:r>
    </w:p>
    <w:p w14:paraId="41B68601" w14:textId="77777777" w:rsidR="00B87CAA" w:rsidRDefault="00F804C3" w:rsidP="0017016D">
      <w:pPr>
        <w:jc w:val="both"/>
      </w:pPr>
      <w:r>
        <w:t xml:space="preserve">Database searching was supplemented by targeted examination of institutional sources bearing directly on the topic, specifically the publication repositories of the Financial Stability Board, the Bank of England, the International Monetary Fund and the legislative database of </w:t>
      </w:r>
      <w:r>
        <w:lastRenderedPageBreak/>
        <w:t>the European Union. Backward citation searching was applied to the reference lists of the reviews and benchmark studies identified as central, and forward citation tracking was used to identify subsequent work responding to those studies. Related-article facilities were used where available. Records were checked for corrections, expressions of concern and retractions before inclusion.</w:t>
      </w:r>
    </w:p>
    <w:p w14:paraId="123FB313" w14:textId="77777777" w:rsidR="00B87CAA" w:rsidRDefault="00F804C3" w:rsidP="0017016D">
      <w:pPr>
        <w:jc w:val="both"/>
      </w:pPr>
      <w:r>
        <w:t>Access to subscription-only indexes was not available during the preparation of this review, and no claim of coverage of such indexes is made. This limitation is revisited in the final section.</w:t>
      </w:r>
    </w:p>
    <w:p w14:paraId="30C5AA28" w14:textId="77777777" w:rsidR="00B87CAA" w:rsidRDefault="00F804C3" w:rsidP="0017016D">
      <w:pPr>
        <w:spacing w:before="200" w:after="100" w:line="276" w:lineRule="auto"/>
        <w:jc w:val="both"/>
      </w:pPr>
      <w:r>
        <w:rPr>
          <w:b/>
          <w:i/>
        </w:rPr>
        <w:t>2.3 Search Strategy and Search Period</w:t>
      </w:r>
    </w:p>
    <w:p w14:paraId="2A1D9A99" w14:textId="77777777" w:rsidR="00B87CAA" w:rsidRDefault="00F804C3" w:rsidP="0017016D">
      <w:pPr>
        <w:jc w:val="both"/>
      </w:pPr>
      <w:r>
        <w:t>Search concepts were constructed from four elements: the technology, the institutional setting, the application function, and the evaluative dimension. The technology concept combined artificial intelligence, machine learning, deep learning, neural network, gradient boosting, random forest and, for later material, large language model and foundation model. The institutional concept combined bank, banking, credit institution, retail banking and financial institution. The application concept combined credit scoring, credit risk, default prediction, loan underwriting, fraud detection, money laundering, transaction monitoring, customer churn, chatbot, robo-advice, operational efficiency, bank failure, stress testing and supervision. The evaluative concept combined interpretability, explainability, fairness, discrimination, model risk, governance, regulation, validation and financial inclusion.</w:t>
      </w:r>
    </w:p>
    <w:p w14:paraId="4CC09FCC" w14:textId="77777777" w:rsidR="00B87CAA" w:rsidRDefault="00F804C3" w:rsidP="0017016D">
      <w:pPr>
        <w:jc w:val="both"/>
      </w:pPr>
      <w:r>
        <w:t>Terms within concepts were combined with the Boolean operator OR and concepts were combined with AND. A representative string, adapted to the syntax of each source, was: (“machine learning” OR “artificial intelligence” OR “deep learning”) AND (bank OR banking OR “credit institution”) AND (“credit scoring” OR “credit risk” OR “fraud detection” OR “money laundering” OR “bank failure” OR “customer service”). Narrower strings were run for each application domain and for each evaluative dimension, since combined strings returned surface coverage of every domain and adequate coverage of none. Where a source supported field restriction, searching was restricted to title, abstract and keyword fields; where it did not, general bibliographic searching was used and results were screened manually.</w:t>
      </w:r>
    </w:p>
    <w:p w14:paraId="14BF2223" w14:textId="77777777" w:rsidR="00B87CAA" w:rsidRDefault="00F804C3" w:rsidP="0017016D">
      <w:pPr>
        <w:jc w:val="both"/>
      </w:pPr>
      <w:r>
        <w:t xml:space="preserve">The publication window for the substantive evidence synthesis is 1 January 2015 to 31 December 2024. The starting year is defensible on intellectual grounds rather than convenience: the updated large-scale credit scoring benchmark of Lessmann et al. (2015) re-established the comparative baseline against which subsequent method claims in retail </w:t>
      </w:r>
      <w:r>
        <w:lastRenderedPageBreak/>
        <w:t>banking have been assessed, and it coincides with the point at which gradient-boosted ensembles and deep architectures began to appear together in banking applications. Foundational earlier publications were admitted where necessary to explain historical development, notably work establishing the feasibility of learning-based consumer credit risk modelling on institutional data (Khandani et al., 2010). The final search date was 29 June 2026. Records published after the close of the substantive window were used only to identify later reviews, corrections and post-window developments, and are identified as such wherever cited.</w:t>
      </w:r>
    </w:p>
    <w:p w14:paraId="038D6811" w14:textId="77777777" w:rsidR="00B87CAA" w:rsidRDefault="00F804C3" w:rsidP="0017016D">
      <w:pPr>
        <w:spacing w:before="200" w:after="100" w:line="276" w:lineRule="auto"/>
        <w:jc w:val="both"/>
      </w:pPr>
      <w:r>
        <w:rPr>
          <w:b/>
          <w:i/>
        </w:rPr>
        <w:t>2.4 Eligibility Criteria</w:t>
      </w:r>
    </w:p>
    <w:p w14:paraId="62DE155D" w14:textId="77777777" w:rsidR="00B87CAA" w:rsidRDefault="00F804C3" w:rsidP="0017016D">
      <w:pPr>
        <w:jc w:val="both"/>
      </w:pPr>
      <w:r>
        <w:t>Peer-reviewed journal articles reporting original empirical work, methodological development or critical synthesis were eligible. Reports from recognised intergovernmental, supervisory and governmental bodies were eligible where they provided evidence on adoption, risk assessment or regulatory expectation that is not available from the peer-reviewed literature. Legislative instruments were eligible where they establish binding requirements bearing on banking applications.</w:t>
      </w:r>
    </w:p>
    <w:p w14:paraId="7CE66BAB" w14:textId="77777777" w:rsidR="00B87CAA" w:rsidRDefault="00F804C3" w:rsidP="0017016D">
      <w:pPr>
        <w:jc w:val="both"/>
      </w:pPr>
      <w:r>
        <w:t>Studies were required to concern banking or closely comparable credit provision, to involve a learning or artificial intelligence method as an object of study rather than an incidental tool, and to report sufficient methodological detail for the basis of any performance or outcome claim to be assessed. Publications were restricted to English language, which is acknowledged as a limitation. Excluded were preprints where peer-reviewed evidence on the same question was available, trade and promotional material, personal commentary without empirical or analytical content, conference abstracts lacking methodological detail, patents, and any source whose bibliographic identity could not be confirmed. Studies concerning securities trading, insurance underwriting, non-financial applications of the same methods, and consumer attitude surveys unconnected to a specific banking process were excluded as outside scope.</w:t>
      </w:r>
    </w:p>
    <w:p w14:paraId="2EBD8BFD" w14:textId="77777777" w:rsidR="00B87CAA" w:rsidRDefault="00F804C3" w:rsidP="0017016D">
      <w:pPr>
        <w:spacing w:before="200" w:after="100" w:line="276" w:lineRule="auto"/>
        <w:jc w:val="both"/>
      </w:pPr>
      <w:r>
        <w:rPr>
          <w:b/>
          <w:i/>
        </w:rPr>
        <w:t>2.5 Screening, Duplicate Handling and Study Selection</w:t>
      </w:r>
    </w:p>
    <w:p w14:paraId="38B02EF8" w14:textId="77777777" w:rsidR="00B87CAA" w:rsidRDefault="00F804C3" w:rsidP="0017016D">
      <w:pPr>
        <w:jc w:val="both"/>
      </w:pPr>
      <w:r>
        <w:t xml:space="preserve">Records retrieved from each source were assessed first on title and abstract against the scope and eligibility criteria, and records surviving that stage were assessed on full text where the full text was accessible. Where full text could not be obtained, the record was retained only if the abstract and indexed metadata were sufficient to support the specific claim for which it would be cited, and was otherwise excluded. Duplicates arising from overlapping source coverage were identified by Digital Object Identifier where present and by matching of </w:t>
      </w:r>
      <w:r>
        <w:lastRenderedPageBreak/>
        <w:t>author, title, journal and year where absent, with the version of record retained in preference to earlier posted versions. Where an accepted manuscript and a version of record differed in pagination or year, the version of record was used.</w:t>
      </w:r>
    </w:p>
    <w:p w14:paraId="5A06B390" w14:textId="77777777" w:rsidR="00B87CAA" w:rsidRDefault="00F804C3" w:rsidP="0017016D">
      <w:pPr>
        <w:jc w:val="both"/>
      </w:pPr>
      <w:r>
        <w:t>Selection at the full-text stage was purposive rather than exhaustive, consistent with the narrative design. Studies were selected for their contribution to the review question, judged on conceptual importance, methodological contribution, scale and quality of evidence, independent replication or confirmation, and demonstrable influence on subsequent work or on practice. Citation count was used as one signal among several rather than as a selection criterion, since heavily cited studies in this field include work whose validation practices have since been superseded, while more recent work identifying weaknesses in established results has necessarily accumulated fewer citations. Studies reporting negative, null or contrary findings were sought deliberately and retained, since the tendency of the applied literature to report favourable comparisons makes such studies disproportionately informative. No record counts are reported, since a formal screening log with reproducible counts was not maintained and a narrative review of this design does not require one.</w:t>
      </w:r>
    </w:p>
    <w:p w14:paraId="4E23827D" w14:textId="77777777" w:rsidR="00B87CAA" w:rsidRDefault="00F804C3" w:rsidP="0017016D">
      <w:pPr>
        <w:spacing w:before="200" w:after="100" w:line="276" w:lineRule="auto"/>
        <w:jc w:val="both"/>
      </w:pPr>
      <w:r>
        <w:rPr>
          <w:b/>
          <w:i/>
        </w:rPr>
        <w:t>2.6 Critical Appraisal and Evidence Synthesis</w:t>
      </w:r>
    </w:p>
    <w:p w14:paraId="4351D3D2" w14:textId="77777777" w:rsidR="00B87CAA" w:rsidRDefault="00F804C3" w:rsidP="0017016D">
      <w:pPr>
        <w:jc w:val="both"/>
      </w:pPr>
      <w:r>
        <w:t>Evidence was appraised against criteria appropriate to the design of each study rather than through a single instrument. For predictive modelling studies, appraisal considered the provenance and representativeness of the data, whether validation was temporally ordered or randomly partitioned, whether hyperparameter selection was conducted inside or outside the validation loop, the treatment of class imbalance and of rejected applicants, the correspondence between the reported evaluation metric and the decision the model supports, the use of statistical comparison across multiple datasets, and the availability of code or data permitting verification. For observational studies of market or firm outcomes, appraisal considered identification strategy, treatment of confounding, sample construction, robustness reporting and the plausibility of the causal interpretation offered. For survey and adoption evidence, appraisal considered sampling frame, response characteristics, definitional consistency and whether reported quantities are self-assessed. Formal risk-of-bias scoring was not applied, since no validated instrument covers this range of designs and the reporting detail available would not support reliable scoring.</w:t>
      </w:r>
    </w:p>
    <w:p w14:paraId="3537F409" w14:textId="77777777" w:rsidR="00B87CAA" w:rsidRDefault="00F804C3" w:rsidP="0017016D">
      <w:pPr>
        <w:jc w:val="both"/>
      </w:pPr>
      <w:r>
        <w:t xml:space="preserve">Synthesis proceeded thematically. Themes were developed from the material rather than imposed in advance, through iterative grouping of studies by the question they address, the mechanism they invoke and the evaluative standard they apply. Where studies disagreed, the </w:t>
      </w:r>
      <w:r>
        <w:lastRenderedPageBreak/>
        <w:t>review examined whether the disagreement is attributable to differences in data, population, time period, outcome definition, evaluation metric or identification strategy before considering whether it reflects genuine substantive dispute. Disagreements that dissolve under examination of measurement choices are reported as measurement artefacts; those that survive are reported as unresolved. Confidence in each principal conclusion is stated in the text and calibrated to the number of independent sources, the diversity of data on which they rest, and the severity of the methodological limitations identified.</w:t>
      </w:r>
    </w:p>
    <w:p w14:paraId="3E99C174" w14:textId="77777777" w:rsidR="00B87CAA" w:rsidRDefault="00F804C3" w:rsidP="0017016D">
      <w:pPr>
        <w:spacing w:before="280" w:line="276" w:lineRule="auto"/>
        <w:jc w:val="both"/>
      </w:pPr>
      <w:r>
        <w:rPr>
          <w:b/>
          <w:sz w:val="26"/>
        </w:rPr>
        <w:t>3. Application Domains and the Uneven Distribution of Evidence</w:t>
      </w:r>
    </w:p>
    <w:p w14:paraId="2B9F6438" w14:textId="77777777" w:rsidR="00B87CAA" w:rsidRDefault="00F804C3" w:rsidP="0017016D">
      <w:pPr>
        <w:jc w:val="both"/>
      </w:pPr>
      <w:r>
        <w:t>The most consequential observation about the banking literature on learning systems is that its coverage does not correspond to the operational importance of the functions it studies. Some functions attract sustained empirical attention with institutional data; others are represented by a small number of studies using convenience samples; a few operationally significant functions are effectively unstudied outside supervisory reporting. This section characterises the principal domains and states what the evidence in each will and will not support.</w:t>
      </w:r>
    </w:p>
    <w:p w14:paraId="1CD49376" w14:textId="77777777" w:rsidR="00B87CAA" w:rsidRDefault="00F804C3" w:rsidP="0017016D">
      <w:pPr>
        <w:spacing w:before="200" w:after="100" w:line="276" w:lineRule="auto"/>
        <w:jc w:val="both"/>
      </w:pPr>
      <w:r>
        <w:rPr>
          <w:b/>
          <w:i/>
        </w:rPr>
        <w:t>3.1 Credit assessment and portfolio risk</w:t>
      </w:r>
    </w:p>
    <w:p w14:paraId="2229C48D" w14:textId="77777777" w:rsidR="00B87CAA" w:rsidRDefault="00F804C3" w:rsidP="0017016D">
      <w:pPr>
        <w:jc w:val="both"/>
      </w:pPr>
      <w:r>
        <w:t>Credit assessment is the most heavily researched domain and the only one in which a genuine cumulative tradition exists. The tradition is organised around comparative benchmarking. Lessmann et al. (2015) compared 41 classification methods across eight retail credit scoring datasets using six performance measures, extending an earlier benchmark and establishing a reference point that subsequent studies have used to position their own contributions. The principal finding was that several methods, particularly heterogeneous ensembles, predict credit risk significantly more accurately than the logistic regression that has served as the industry standard. That finding is robust and has been repeatedly confirmed. Its practical significance is a separate question, addressed below.</w:t>
      </w:r>
    </w:p>
    <w:p w14:paraId="37660EEB" w14:textId="77777777" w:rsidR="00B87CAA" w:rsidRDefault="00F804C3" w:rsidP="0017016D">
      <w:pPr>
        <w:jc w:val="both"/>
      </w:pPr>
      <w:r>
        <w:t xml:space="preserve">The tradition has extended in three directions. The first concerns method class. Gunnarsson et al. (2021) compared deep learning architectures with conventional and ensemble methods across a substantial number of real-world credit scoring datasets, evaluating on several performance measures and applying both Bayesian and non-parametric statistical testing. Their conclusion was that deep learning does not appear to be an appropriate model class for credit scoring on this evidence and that extreme gradient boosting should be preferred when classification performance is the objective. This is a well-designed negative finding and it has </w:t>
      </w:r>
      <w:r>
        <w:lastRenderedPageBreak/>
        <w:t>not been overturned, though it applies to tabular application data rather than to settings where sequential or textual inputs are available.</w:t>
      </w:r>
    </w:p>
    <w:p w14:paraId="615721F7" w14:textId="77777777" w:rsidR="00B87CAA" w:rsidRDefault="00F804C3" w:rsidP="0017016D">
      <w:pPr>
        <w:jc w:val="both"/>
      </w:pPr>
      <w:r>
        <w:t>The second direction concerns the reconciliation of performance with interpretability. Dumitrescu et al. (2022) responded directly to the observation that logistic regression persists as the industry benchmark not because it predicts best but because the opacity of ensembles is incompatible with regulatory requirements. Their penalised logistic tree regression uses rules extracted from short-depth decision trees as predictors within a penalised logistic model, capturing non-linear effects while preserving the interpretability of the parametric form. Across Monte Carlo simulation and four real credit default datasets, the method predicted significantly more accurately than logistic regression and competitively with random forests. The importance of this result is that it reframes the accuracy-interpretability relationship as a design problem rather than an unavoidable trade-off, at least within the range of non-linearity present in retail credit data.</w:t>
      </w:r>
    </w:p>
    <w:p w14:paraId="66BEDD57" w14:textId="77777777" w:rsidR="00B87CAA" w:rsidRDefault="00F804C3" w:rsidP="0017016D">
      <w:pPr>
        <w:jc w:val="both"/>
      </w:pPr>
      <w:r>
        <w:t>The third direction concerns data rather than algorithms, and the evidence here is the strongest in the domain. Berg et al. (2020) demonstrated that variables derived from a digital footprint, meaning information left by users simply through accessing or registering on a website, matched the information content of credit bureau scores in predicting consumer default, and complemented rather than substituted for bureau information. Óskarsdóttir et al. (2019) combined call-detail records with credit and debit account information to construct scorecards for credit card applicants, applying social network analytics to propagate default influence through call networks, and reported significant improvement in area under the curve alongside gains under a profit measure. Kriebel and Stitz (2022) extracted default-relevant signal from borrower-written text in peer-to-peer lending using deep learning, demonstrating that unstructured inputs carry information beyond structured application variables. Bazarbash (2019) assessed machine learning applications to credit risk in the context of financial inclusion, and Mhlanga (2021) examined the same relationship in emerging economies. Taken together, this work supports a proposition that the benchmark literature does not: that the marginal return to new information sources exceeds the marginal return to new estimators applied to existing information.</w:t>
      </w:r>
    </w:p>
    <w:p w14:paraId="433E3FED" w14:textId="77777777" w:rsidR="00B87CAA" w:rsidRDefault="00F804C3" w:rsidP="0017016D">
      <w:pPr>
        <w:jc w:val="both"/>
      </w:pPr>
      <w:r>
        <w:t xml:space="preserve">Portfolio and downstream credit risk applications are less developed but growing. Nazemi and Fabozzi (2024) applied interpretable machine learning to creditor recovery rates, addressing the loss-given-default parameter that has attracted far less attention than probability of default despite comparable regulatory significance. Krivorotov (2023) modelled profit rather than </w:t>
      </w:r>
      <w:r>
        <w:lastRenderedPageBreak/>
        <w:t>default in credit card underwriting, with implications for how credit risk is conceived when the objective function is portfolio return. Bitetto et al. (2023) examined credit risk in small and mid-sized business lending, a segment where the informational environment differs materially from consumer credit. Fraisse and Laporte (2022) considered the return on artificial intelligence investment in the specific context of bank capital requirements, connecting model performance to regulatory capital consequences in a way that most of the technical literature does not attempt.</w:t>
      </w:r>
    </w:p>
    <w:p w14:paraId="46274176" w14:textId="77777777" w:rsidR="00B87CAA" w:rsidRDefault="00F804C3" w:rsidP="0017016D">
      <w:pPr>
        <w:jc w:val="both"/>
      </w:pPr>
      <w:r>
        <w:t>Set against this, the market-outcome literature reaches conclusions the technical literature is not equipped to reach. Fuster et al. (2022) predicted mortgage default using both traditional and machine learning models on United States data and found that Black and Hispanic borrowers were disproportionately less likely to gain from the introduction of machine learning; in an equilibrium credit market model, machine learning increased dispersion in rates both between and within groups, attributable principally to the greater flexibility of the estimator rather than to the incorporation of proxy characteristics. Bartlett et al. (2022) found that risk-equivalent Latinx and Black borrowers paid significantly higher interest rates on government-sponsored-enterprise-securitised and Federal Housing Administration-insured loans, estimating the cost to minority borrowers at over 450 million United States dollars annually, while finding that financial technology lenders exhibited rate disparities similar to those of other lenders for one loan category and lower disparities for another. These are findings about credit markets, not about classifiers, and they are the only findings in the domain that speak to welfare.</w:t>
      </w:r>
    </w:p>
    <w:p w14:paraId="6B0727F4" w14:textId="77777777" w:rsidR="00B87CAA" w:rsidRDefault="00F804C3" w:rsidP="0017016D">
      <w:pPr>
        <w:spacing w:before="200" w:after="100" w:line="276" w:lineRule="auto"/>
        <w:jc w:val="both"/>
      </w:pPr>
      <w:r>
        <w:rPr>
          <w:b/>
          <w:i/>
        </w:rPr>
        <w:t>3.2 Financial crime detection</w:t>
      </w:r>
    </w:p>
    <w:p w14:paraId="0C949E8D" w14:textId="77777777" w:rsidR="00B87CAA" w:rsidRDefault="00F804C3" w:rsidP="0017016D">
      <w:pPr>
        <w:jc w:val="both"/>
      </w:pPr>
      <w:r>
        <w:t>Payment fraud detection is the second domain with a substantial methodological tradition, and it is distinguished by a rare degree of realism about deployment conditions. Dal Pozzolo et al. (2018) framed credit card fraud detection as a problem defined by extreme class imbalance, concept drift and the delayed, partial and costly nature of feedback, since only a fraction of transactions are ever investigated and confirmed. Their contribution was a learning strategy designed around these constraints rather than around a static benchmark. Carcillo et al. (2021) extended the approach by combining unsupervised anomaly scoring with supervised classification, addressing the fact that supervised learning alone cannot detect fraud patterns absent from labelled history. Vanini et al. (2023) situated online payment fraud detection within a risk management framework, treating detection as one component of a control system rather than as a self-contained prediction task.</w:t>
      </w:r>
    </w:p>
    <w:p w14:paraId="3C9331B5" w14:textId="77777777" w:rsidR="00B87CAA" w:rsidRDefault="00F804C3" w:rsidP="0017016D">
      <w:pPr>
        <w:jc w:val="both"/>
      </w:pPr>
      <w:r>
        <w:lastRenderedPageBreak/>
        <w:t>Anti-money laundering presents a harder problem and a correspondingly weaker evidence base. Chen et al. (2018) reviewed learning techniques for suspicious transaction detection and documented the field's structural difficulty: the true label is not fraud but a regulatory determination made downstream of the model, ground truth is scarce and delayed, and the operative constraint is analyst capacity rather than statistical performance. Gupta et al. (2022) identified data quality deficiencies as a first-order limitation on model performance in this setting, arguing that modelling improvements cannot compensate for defects in the underlying transaction and customer records. Tertychnyi et al. (2022) developed a time-aware and interpretable predictive monitoring approach, addressing both the temporal structure of the problem and the requirement that alerts be explicable to investigators. Reite et al. (2025) reported on machine learning applied to client risk classification with the explicit objective of improving detection efficiency rather than raw accuracy, which is the operationally relevant framing; this work postdates the substantive review window and is cited here as an indication of trajectory rather than as evidence within it.</w:t>
      </w:r>
    </w:p>
    <w:p w14:paraId="75E6C637" w14:textId="77777777" w:rsidR="00B87CAA" w:rsidRDefault="00F804C3" w:rsidP="0017016D">
      <w:pPr>
        <w:jc w:val="both"/>
      </w:pPr>
      <w:r>
        <w:t>The financial crime literature has an evidentiary advantage and a corresponding disadvantage. Its advantage is proximity to deployment: the leading studies use transaction data from operating institutions and evaluate against constraints that practitioners recognise. Its disadvantage is that data-sharing restrictions prevent independent replication, so central findings rest on single-institution evidence that cannot be verified externally. Supervisory reporting identifies anti-money laundering and fraud among the highest perceived current benefits of artificial intelligence in financial services (Bank of England &amp; Financial Conduct Authority, 2024), and this perception is not matched by an equivalent volume of publicly verifiable evidence.</w:t>
      </w:r>
    </w:p>
    <w:p w14:paraId="314F278A" w14:textId="77777777" w:rsidR="00B87CAA" w:rsidRDefault="00F804C3" w:rsidP="0017016D">
      <w:pPr>
        <w:spacing w:before="200" w:after="100" w:line="276" w:lineRule="auto"/>
        <w:jc w:val="both"/>
      </w:pPr>
      <w:r>
        <w:rPr>
          <w:b/>
          <w:i/>
        </w:rPr>
        <w:t>3.3 Customer-facing applications</w:t>
      </w:r>
    </w:p>
    <w:p w14:paraId="44ACA0D7" w14:textId="77777777" w:rsidR="00B87CAA" w:rsidRDefault="00F804C3" w:rsidP="0017016D">
      <w:pPr>
        <w:jc w:val="both"/>
      </w:pPr>
      <w:r>
        <w:t xml:space="preserve">Customer-facing applications are widely deployed and thinly evidenced. Hentzen et al. (2022) reviewed artificial intelligence in customer-facing financial services and found a literature dominated by adoption intention, attitudinal measurement and conceptual framework development, with limited evidence connecting deployment to service outcomes. Huang et al. (2024) examined whether chatbot customer service can match human agents on customer satisfaction and identified trust as central to the comparison, providing one of the few studies with a direct performance comparison against the incumbent alternative. Piehlmaier (2022) examined adoption of automated financial advice and found that overconfident investors disproportionately drive its expansion, a finding relevant to whether automated advice reaches </w:t>
      </w:r>
      <w:r>
        <w:lastRenderedPageBreak/>
        <w:t>those who would benefit most. Boustani (2022) examined the effects of artificial intelligence on both clients and employees in a developing-country banking context, addressing a dimension that the customer-experience literature generally neglects.</w:t>
      </w:r>
    </w:p>
    <w:p w14:paraId="2DA32B6D" w14:textId="77777777" w:rsidR="00B87CAA" w:rsidRDefault="00F804C3" w:rsidP="0017016D">
      <w:pPr>
        <w:jc w:val="both"/>
      </w:pPr>
      <w:r>
        <w:t>The gap between deployment and evidence is stark. Supervisory survey data indicate that an additional 36 per cent of firms expect to adopt artificial intelligence for customer support including chatbots within three years (Bank of England &amp; Financial Conduct Authority, 2024), yet the peer-reviewed literature contains little evidence on complaint rates, resolution quality, differential service experience across customer segments, or the treatment of vulnerable customers by automated channels. Studies of adoption intention measured on convenience samples of respondents who have not used the system in question cannot substitute for this evidence.</w:t>
      </w:r>
    </w:p>
    <w:p w14:paraId="67C5CDD6" w14:textId="77777777" w:rsidR="00B87CAA" w:rsidRDefault="00F804C3" w:rsidP="0017016D">
      <w:pPr>
        <w:spacing w:before="200" w:after="100" w:line="276" w:lineRule="auto"/>
        <w:jc w:val="both"/>
      </w:pPr>
      <w:r>
        <w:rPr>
          <w:b/>
          <w:i/>
        </w:rPr>
        <w:t>3.4 Institutional risk, supervision and financial stability</w:t>
      </w:r>
    </w:p>
    <w:p w14:paraId="2A767165" w14:textId="77777777" w:rsidR="00B87CAA" w:rsidRDefault="00F804C3" w:rsidP="0017016D">
      <w:pPr>
        <w:jc w:val="both"/>
      </w:pPr>
      <w:r>
        <w:t>Applications directed at the institution rather than the customer constitute a coherent and methodologically respectable body of work. Gogas et al. (2018) forecast bank failures using learning methods in a stress-testing frame. Petropoulos et al. (2020) predicted bank insolvencies on United States institutions and reported superior out-of-sample and out-of-time performance for random forests, with neural networks performing comparably out-of-time, and identified earnings and capital metrics within the CAMELS framework as the largest marginal contributors; they additionally assessed generalisation through application to a sample of major European banks. The use of out-of-time validation and cross-jurisdictional generalisation testing in this study is notable, since both practices are uncommon in the credit scoring literature.</w:t>
      </w:r>
    </w:p>
    <w:p w14:paraId="1CE903B0" w14:textId="77777777" w:rsidR="00B87CAA" w:rsidRDefault="00F804C3" w:rsidP="0017016D">
      <w:pPr>
        <w:jc w:val="both"/>
      </w:pPr>
      <w:r>
        <w:t xml:space="preserve">At the system level, Kou et al. (2019) surveyed learning methods for systemic risk analysis across financial sectors, and Liu and Pun (2022) developed a supervised learning enhancement to systemic risk measurement. Daníelsson et al. (2022) approached the question from the opposite direction, treating artificial intelligence itself as a potential source of systemic risk through mechanisms including correlated model behaviour and the concentration of model and data provision. This concern is echoed in supervisory assessment, which identifies third-party dependencies and common models or datasets among the principal systemic vulnerabilities and reports that the top three third-party model providers account for 44 per cent of all named providers, up from 18 per cent two years earlier (Bank of England &amp; Financial Conduct Authority, 2024; Financial Stability Board, 2024). Guerra and Castelli (2021) reviewed learning applications in banking supervision itself, and McCarthy </w:t>
      </w:r>
      <w:r>
        <w:lastRenderedPageBreak/>
        <w:t>(2023) analysed the regulatory challenges of supervisory and regulatory technology. Ozgur et al. (2021) applied learning methods to identify drivers of bank lending in an emerging economy, illustrating the use of these methods for explanatory rather than predictive purposes.</w:t>
      </w:r>
    </w:p>
    <w:p w14:paraId="323F422B" w14:textId="77777777" w:rsidR="00B87CAA" w:rsidRDefault="00F804C3" w:rsidP="0017016D">
      <w:pPr>
        <w:spacing w:before="200" w:after="100" w:line="276" w:lineRule="auto"/>
        <w:jc w:val="both"/>
      </w:pPr>
      <w:r>
        <w:rPr>
          <w:b/>
          <w:i/>
        </w:rPr>
        <w:t>3.5 Operations, efficiency and firm performance</w:t>
      </w:r>
    </w:p>
    <w:p w14:paraId="3FDA2D2F" w14:textId="77777777" w:rsidR="00B87CAA" w:rsidRDefault="00F804C3" w:rsidP="0017016D">
      <w:pPr>
        <w:jc w:val="both"/>
      </w:pPr>
      <w:r>
        <w:t>The firm-level performance literature is the least satisfactory of the domains reviewed, and the reason is measurement rather than neglect. Studies typically proxy artificial intelligence adoption using digital transformation indices, technology expenditure or textual disclosure counts, none of which distinguishes a bank operating consequential learning systems in underwriting from a bank that has replaced a document management platform. Ren et al. (2024) examined whether digital transformation increases bank profit efficiency using Chinese data, and Rahman (2023) examined the effect of business intelligence on bank operational efficiency and perceptions of profitability. Both are informative about digitalisation broadly. Neither isolates the contribution of learning systems specifically, and the tendency to describe such results as evidence about artificial intelligence overstates what the measurement supports.</w:t>
      </w:r>
    </w:p>
    <w:p w14:paraId="30043B71" w14:textId="77777777" w:rsidR="00B87CAA" w:rsidRDefault="00F804C3" w:rsidP="0017016D">
      <w:pPr>
        <w:jc w:val="both"/>
      </w:pPr>
      <w:r>
        <w:t>A further constraint is geographical concentration. A substantial share of firm-level evidence originates from a small number of jurisdictions, particularly China, where disclosure practices and the pace of digital transformation differ from those elsewhere. Extrapolation from this evidence to banking systems with different competitive structures, regulatory regimes and legacy technology estates is not warranted on present evidence. Supervisory survey data offer a partial corrective, since they cover a defined regulated population and report use directly rather than by proxy, but they measure adoption and perception rather than performance.</w:t>
      </w:r>
    </w:p>
    <w:p w14:paraId="2D692FF3" w14:textId="77777777" w:rsidR="00B87CAA" w:rsidRDefault="00F804C3" w:rsidP="0017016D">
      <w:pPr>
        <w:jc w:val="both"/>
      </w:pPr>
      <w:r>
        <w:t>Table 1 summarises the application domains against the character of the evidence supporting each, the dominant method families, and the principal limitation constraining inference. The table makes visible the review's central structural observation: evidentiary maturity varies by roughly an order of magnitude across domains that are treated as comparable in general syntheses, and the domains with the weakest evidence are not the least deployed. Credit assessment and payment fraud detection support cautious generalisation; customer-facing applications and firm-level performance do not, and claims about the value of artificial intelligence in banking that draw on all domains equally are therefore not defensible.</w:t>
      </w:r>
    </w:p>
    <w:p w14:paraId="37614536" w14:textId="77777777" w:rsidR="00B87CAA" w:rsidRDefault="00F804C3" w:rsidP="0017016D">
      <w:pPr>
        <w:spacing w:before="200" w:after="80" w:line="240" w:lineRule="auto"/>
        <w:jc w:val="both"/>
      </w:pPr>
      <w:r>
        <w:rPr>
          <w:b/>
          <w:sz w:val="22"/>
        </w:rPr>
        <w:t>Table 1. Banking application domains for learning systems, dominant methods, character of the supporting evidence and principal limitation on inference</w:t>
      </w:r>
    </w:p>
    <w:tbl>
      <w:tblPr>
        <w:tblStyle w:val="TableGrid"/>
        <w:tblW w:w="0" w:type="auto"/>
        <w:jc w:val="center"/>
        <w:tblLayout w:type="fixed"/>
        <w:tblLook w:val="04A0" w:firstRow="1" w:lastRow="0" w:firstColumn="1" w:lastColumn="0" w:noHBand="0" w:noVBand="1"/>
      </w:tblPr>
      <w:tblGrid>
        <w:gridCol w:w="1432"/>
        <w:gridCol w:w="1814"/>
        <w:gridCol w:w="2005"/>
        <w:gridCol w:w="2005"/>
        <w:gridCol w:w="1814"/>
      </w:tblGrid>
      <w:tr w:rsidR="00B87CAA" w14:paraId="6D538542" w14:textId="77777777">
        <w:trPr>
          <w:jc w:val="center"/>
        </w:trPr>
        <w:tc>
          <w:tcPr>
            <w:tcW w:w="1432" w:type="dxa"/>
            <w:tcBorders>
              <w:top w:val="single" w:sz="4" w:space="0" w:color="999999"/>
              <w:left w:val="single" w:sz="4" w:space="0" w:color="999999"/>
              <w:bottom w:val="single" w:sz="4" w:space="0" w:color="999999"/>
              <w:right w:val="single" w:sz="4" w:space="0" w:color="999999"/>
            </w:tcBorders>
            <w:shd w:val="clear" w:color="auto" w:fill="EEEEEE"/>
          </w:tcPr>
          <w:p w14:paraId="29A8EA7B" w14:textId="77777777" w:rsidR="00B87CAA" w:rsidRDefault="00F804C3" w:rsidP="0017016D">
            <w:pPr>
              <w:spacing w:after="40" w:line="240" w:lineRule="auto"/>
              <w:jc w:val="both"/>
            </w:pPr>
            <w:r>
              <w:rPr>
                <w:b/>
                <w:sz w:val="18"/>
              </w:rPr>
              <w:lastRenderedPageBreak/>
              <w:t>Application domain</w:t>
            </w:r>
          </w:p>
        </w:tc>
        <w:tc>
          <w:tcPr>
            <w:tcW w:w="1814" w:type="dxa"/>
            <w:tcBorders>
              <w:top w:val="single" w:sz="4" w:space="0" w:color="999999"/>
              <w:left w:val="single" w:sz="4" w:space="0" w:color="999999"/>
              <w:bottom w:val="single" w:sz="4" w:space="0" w:color="999999"/>
              <w:right w:val="single" w:sz="4" w:space="0" w:color="999999"/>
            </w:tcBorders>
            <w:shd w:val="clear" w:color="auto" w:fill="EEEEEE"/>
          </w:tcPr>
          <w:p w14:paraId="50383D8F" w14:textId="77777777" w:rsidR="00B87CAA" w:rsidRDefault="00F804C3" w:rsidP="0017016D">
            <w:pPr>
              <w:spacing w:after="40" w:line="240" w:lineRule="auto"/>
              <w:jc w:val="both"/>
            </w:pPr>
            <w:r>
              <w:rPr>
                <w:b/>
                <w:sz w:val="18"/>
              </w:rPr>
              <w:t>Dominant method families</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189E7EBA" w14:textId="77777777" w:rsidR="00B87CAA" w:rsidRDefault="00F804C3" w:rsidP="0017016D">
            <w:pPr>
              <w:spacing w:after="40" w:line="240" w:lineRule="auto"/>
              <w:jc w:val="both"/>
            </w:pPr>
            <w:r>
              <w:rPr>
                <w:b/>
                <w:sz w:val="18"/>
              </w:rPr>
              <w:t>Character of supporting evidence</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13706F01" w14:textId="77777777" w:rsidR="00B87CAA" w:rsidRDefault="00F804C3" w:rsidP="0017016D">
            <w:pPr>
              <w:spacing w:after="40" w:line="240" w:lineRule="auto"/>
              <w:jc w:val="both"/>
            </w:pPr>
            <w:r>
              <w:rPr>
                <w:b/>
                <w:sz w:val="18"/>
              </w:rPr>
              <w:t>Principal limitation on inference</w:t>
            </w:r>
          </w:p>
        </w:tc>
        <w:tc>
          <w:tcPr>
            <w:tcW w:w="1814" w:type="dxa"/>
            <w:tcBorders>
              <w:top w:val="single" w:sz="4" w:space="0" w:color="999999"/>
              <w:left w:val="single" w:sz="4" w:space="0" w:color="999999"/>
              <w:bottom w:val="single" w:sz="4" w:space="0" w:color="999999"/>
              <w:right w:val="single" w:sz="4" w:space="0" w:color="999999"/>
            </w:tcBorders>
            <w:shd w:val="clear" w:color="auto" w:fill="EEEEEE"/>
          </w:tcPr>
          <w:p w14:paraId="5B5F2D23" w14:textId="77777777" w:rsidR="00B87CAA" w:rsidRDefault="00F804C3" w:rsidP="0017016D">
            <w:pPr>
              <w:spacing w:after="40" w:line="240" w:lineRule="auto"/>
              <w:jc w:val="both"/>
            </w:pPr>
            <w:r>
              <w:rPr>
                <w:b/>
                <w:sz w:val="18"/>
              </w:rPr>
              <w:t>Supporting references</w:t>
            </w:r>
          </w:p>
        </w:tc>
      </w:tr>
      <w:tr w:rsidR="00B87CAA" w14:paraId="44F4BF41"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382C243F" w14:textId="77777777" w:rsidR="00B87CAA" w:rsidRDefault="00F804C3" w:rsidP="0017016D">
            <w:pPr>
              <w:spacing w:after="40" w:line="240" w:lineRule="auto"/>
              <w:jc w:val="both"/>
            </w:pPr>
            <w:r>
              <w:rPr>
                <w:sz w:val="18"/>
              </w:rPr>
              <w:t>Retail credit assessment</w:t>
            </w:r>
          </w:p>
        </w:tc>
        <w:tc>
          <w:tcPr>
            <w:tcW w:w="1814" w:type="dxa"/>
            <w:tcBorders>
              <w:top w:val="single" w:sz="4" w:space="0" w:color="999999"/>
              <w:left w:val="single" w:sz="4" w:space="0" w:color="999999"/>
              <w:bottom w:val="single" w:sz="4" w:space="0" w:color="999999"/>
              <w:right w:val="single" w:sz="4" w:space="0" w:color="999999"/>
            </w:tcBorders>
          </w:tcPr>
          <w:p w14:paraId="107754B0" w14:textId="77777777" w:rsidR="00B87CAA" w:rsidRDefault="00F804C3" w:rsidP="0017016D">
            <w:pPr>
              <w:spacing w:after="40" w:line="240" w:lineRule="auto"/>
              <w:jc w:val="both"/>
            </w:pPr>
            <w:r>
              <w:rPr>
                <w:sz w:val="18"/>
              </w:rPr>
              <w:t>Regularised logistic regression; tree ensembles, principally gradient boosting; hybrid interpretable models</w:t>
            </w:r>
          </w:p>
        </w:tc>
        <w:tc>
          <w:tcPr>
            <w:tcW w:w="2005" w:type="dxa"/>
            <w:tcBorders>
              <w:top w:val="single" w:sz="4" w:space="0" w:color="999999"/>
              <w:left w:val="single" w:sz="4" w:space="0" w:color="999999"/>
              <w:bottom w:val="single" w:sz="4" w:space="0" w:color="999999"/>
              <w:right w:val="single" w:sz="4" w:space="0" w:color="999999"/>
            </w:tcBorders>
          </w:tcPr>
          <w:p w14:paraId="4CF8A892" w14:textId="77777777" w:rsidR="00B87CAA" w:rsidRDefault="00F804C3" w:rsidP="0017016D">
            <w:pPr>
              <w:spacing w:after="40" w:line="240" w:lineRule="auto"/>
              <w:jc w:val="both"/>
            </w:pPr>
            <w:r>
              <w:rPr>
                <w:sz w:val="18"/>
              </w:rPr>
              <w:t>Mature. Repeated multi-dataset benchmarking, several studies using institutional portfolios, independent replication of the principal comparative finding</w:t>
            </w:r>
          </w:p>
        </w:tc>
        <w:tc>
          <w:tcPr>
            <w:tcW w:w="2005" w:type="dxa"/>
            <w:tcBorders>
              <w:top w:val="single" w:sz="4" w:space="0" w:color="999999"/>
              <w:left w:val="single" w:sz="4" w:space="0" w:color="999999"/>
              <w:bottom w:val="single" w:sz="4" w:space="0" w:color="999999"/>
              <w:right w:val="single" w:sz="4" w:space="0" w:color="999999"/>
            </w:tcBorders>
          </w:tcPr>
          <w:p w14:paraId="7A67D190" w14:textId="77777777" w:rsidR="00B87CAA" w:rsidRDefault="00F804C3" w:rsidP="0017016D">
            <w:pPr>
              <w:spacing w:after="40" w:line="240" w:lineRule="auto"/>
              <w:jc w:val="both"/>
            </w:pPr>
            <w:r>
              <w:rPr>
                <w:sz w:val="18"/>
              </w:rPr>
              <w:t>Heavy reliance on small and dated public benchmarks; validation frequently not temporally ordered; evaluation usually by discrimination rather than portfolio economics</w:t>
            </w:r>
          </w:p>
        </w:tc>
        <w:tc>
          <w:tcPr>
            <w:tcW w:w="1814" w:type="dxa"/>
            <w:tcBorders>
              <w:top w:val="single" w:sz="4" w:space="0" w:color="999999"/>
              <w:left w:val="single" w:sz="4" w:space="0" w:color="999999"/>
              <w:bottom w:val="single" w:sz="4" w:space="0" w:color="999999"/>
              <w:right w:val="single" w:sz="4" w:space="0" w:color="999999"/>
            </w:tcBorders>
          </w:tcPr>
          <w:p w14:paraId="7BDF6A0F" w14:textId="77777777" w:rsidR="00B87CAA" w:rsidRDefault="00F804C3" w:rsidP="0017016D">
            <w:pPr>
              <w:spacing w:after="40" w:line="240" w:lineRule="auto"/>
              <w:jc w:val="both"/>
            </w:pPr>
            <w:r w:rsidRPr="000A6B05">
              <w:rPr>
                <w:sz w:val="18"/>
                <w:lang w:val="nl-BE"/>
              </w:rPr>
              <w:t xml:space="preserve">Chen et al. (2024); Dumitrescu et al. (2022); Gunnarsson et al. (2021); Jiang et al. </w:t>
            </w:r>
            <w:r>
              <w:rPr>
                <w:sz w:val="18"/>
              </w:rPr>
              <w:t xml:space="preserve">(2023); </w:t>
            </w:r>
            <w:proofErr w:type="spellStart"/>
            <w:r>
              <w:rPr>
                <w:sz w:val="18"/>
              </w:rPr>
              <w:t>Khandani</w:t>
            </w:r>
            <w:proofErr w:type="spellEnd"/>
            <w:r>
              <w:rPr>
                <w:sz w:val="18"/>
              </w:rPr>
              <w:t xml:space="preserve"> et al. (2010); Lessmann et al. (2015)</w:t>
            </w:r>
          </w:p>
        </w:tc>
      </w:tr>
      <w:tr w:rsidR="00B87CAA" w14:paraId="613B7FEC"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C59F98D" w14:textId="77777777" w:rsidR="00B87CAA" w:rsidRDefault="00F804C3" w:rsidP="0017016D">
            <w:pPr>
              <w:spacing w:after="40" w:line="240" w:lineRule="auto"/>
              <w:jc w:val="both"/>
            </w:pPr>
            <w:r>
              <w:rPr>
                <w:sz w:val="18"/>
              </w:rPr>
              <w:t>Alternative-data credit assessment</w:t>
            </w:r>
          </w:p>
        </w:tc>
        <w:tc>
          <w:tcPr>
            <w:tcW w:w="1814" w:type="dxa"/>
            <w:tcBorders>
              <w:top w:val="single" w:sz="4" w:space="0" w:color="999999"/>
              <w:left w:val="single" w:sz="4" w:space="0" w:color="999999"/>
              <w:bottom w:val="single" w:sz="4" w:space="0" w:color="999999"/>
              <w:right w:val="single" w:sz="4" w:space="0" w:color="999999"/>
            </w:tcBorders>
          </w:tcPr>
          <w:p w14:paraId="22C7875E" w14:textId="77777777" w:rsidR="00B87CAA" w:rsidRDefault="00F804C3" w:rsidP="0017016D">
            <w:pPr>
              <w:spacing w:after="40" w:line="240" w:lineRule="auto"/>
              <w:jc w:val="both"/>
            </w:pPr>
            <w:r>
              <w:rPr>
                <w:sz w:val="18"/>
              </w:rPr>
              <w:t>Tree ensembles and deep architectures applied to digital footprint, network and textual inputs</w:t>
            </w:r>
          </w:p>
        </w:tc>
        <w:tc>
          <w:tcPr>
            <w:tcW w:w="2005" w:type="dxa"/>
            <w:tcBorders>
              <w:top w:val="single" w:sz="4" w:space="0" w:color="999999"/>
              <w:left w:val="single" w:sz="4" w:space="0" w:color="999999"/>
              <w:bottom w:val="single" w:sz="4" w:space="0" w:color="999999"/>
              <w:right w:val="single" w:sz="4" w:space="0" w:color="999999"/>
            </w:tcBorders>
          </w:tcPr>
          <w:p w14:paraId="5BA0DF6A" w14:textId="77777777" w:rsidR="00B87CAA" w:rsidRDefault="00F804C3" w:rsidP="0017016D">
            <w:pPr>
              <w:spacing w:after="40" w:line="240" w:lineRule="auto"/>
              <w:jc w:val="both"/>
            </w:pPr>
            <w:r>
              <w:rPr>
                <w:sz w:val="18"/>
              </w:rPr>
              <w:t>Developing but strong. Studies use institutional or platform data and report both discrimination and economic measures</w:t>
            </w:r>
          </w:p>
        </w:tc>
        <w:tc>
          <w:tcPr>
            <w:tcW w:w="2005" w:type="dxa"/>
            <w:tcBorders>
              <w:top w:val="single" w:sz="4" w:space="0" w:color="999999"/>
              <w:left w:val="single" w:sz="4" w:space="0" w:color="999999"/>
              <w:bottom w:val="single" w:sz="4" w:space="0" w:color="999999"/>
              <w:right w:val="single" w:sz="4" w:space="0" w:color="999999"/>
            </w:tcBorders>
          </w:tcPr>
          <w:p w14:paraId="45A7BD2D" w14:textId="77777777" w:rsidR="00B87CAA" w:rsidRDefault="00F804C3" w:rsidP="0017016D">
            <w:pPr>
              <w:spacing w:after="40" w:line="240" w:lineRule="auto"/>
              <w:jc w:val="both"/>
            </w:pPr>
            <w:r>
              <w:rPr>
                <w:sz w:val="18"/>
              </w:rPr>
              <w:t>Few markets represented; consent, coverage and stability of data sources unassessed over time; findings not independently replicated across providers</w:t>
            </w:r>
          </w:p>
        </w:tc>
        <w:tc>
          <w:tcPr>
            <w:tcW w:w="1814" w:type="dxa"/>
            <w:tcBorders>
              <w:top w:val="single" w:sz="4" w:space="0" w:color="999999"/>
              <w:left w:val="single" w:sz="4" w:space="0" w:color="999999"/>
              <w:bottom w:val="single" w:sz="4" w:space="0" w:color="999999"/>
              <w:right w:val="single" w:sz="4" w:space="0" w:color="999999"/>
            </w:tcBorders>
          </w:tcPr>
          <w:p w14:paraId="4F112EC1" w14:textId="77777777" w:rsidR="00B87CAA" w:rsidRDefault="00F804C3" w:rsidP="0017016D">
            <w:pPr>
              <w:spacing w:after="40" w:line="240" w:lineRule="auto"/>
              <w:jc w:val="both"/>
            </w:pPr>
            <w:r w:rsidRPr="000A6B05">
              <w:rPr>
                <w:sz w:val="18"/>
                <w:lang w:val="nl-BE"/>
              </w:rPr>
              <w:t xml:space="preserve">Bazarbash (2019); Berg et al. (2020); Kriebel &amp; Stitz (2022); Mhlanga (2021); Óskarsdóttir et al. </w:t>
            </w:r>
            <w:r>
              <w:rPr>
                <w:sz w:val="18"/>
              </w:rPr>
              <w:t>(2019)</w:t>
            </w:r>
          </w:p>
        </w:tc>
      </w:tr>
      <w:tr w:rsidR="00B87CAA" w:rsidRPr="000A6B05" w14:paraId="50682B42"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42A76A75" w14:textId="77777777" w:rsidR="00B87CAA" w:rsidRDefault="00F804C3" w:rsidP="0017016D">
            <w:pPr>
              <w:spacing w:after="40" w:line="240" w:lineRule="auto"/>
              <w:jc w:val="both"/>
            </w:pPr>
            <w:r>
              <w:rPr>
                <w:sz w:val="18"/>
              </w:rPr>
              <w:t>Downstream credit risk and portfolio parameters</w:t>
            </w:r>
          </w:p>
        </w:tc>
        <w:tc>
          <w:tcPr>
            <w:tcW w:w="1814" w:type="dxa"/>
            <w:tcBorders>
              <w:top w:val="single" w:sz="4" w:space="0" w:color="999999"/>
              <w:left w:val="single" w:sz="4" w:space="0" w:color="999999"/>
              <w:bottom w:val="single" w:sz="4" w:space="0" w:color="999999"/>
              <w:right w:val="single" w:sz="4" w:space="0" w:color="999999"/>
            </w:tcBorders>
          </w:tcPr>
          <w:p w14:paraId="2BABEFA9" w14:textId="77777777" w:rsidR="00B87CAA" w:rsidRDefault="00F804C3" w:rsidP="0017016D">
            <w:pPr>
              <w:spacing w:after="40" w:line="240" w:lineRule="auto"/>
              <w:jc w:val="both"/>
            </w:pPr>
            <w:r>
              <w:rPr>
                <w:sz w:val="18"/>
              </w:rPr>
              <w:t>Interpretable ML for recovery rates; profit models; SME credit models</w:t>
            </w:r>
          </w:p>
        </w:tc>
        <w:tc>
          <w:tcPr>
            <w:tcW w:w="2005" w:type="dxa"/>
            <w:tcBorders>
              <w:top w:val="single" w:sz="4" w:space="0" w:color="999999"/>
              <w:left w:val="single" w:sz="4" w:space="0" w:color="999999"/>
              <w:bottom w:val="single" w:sz="4" w:space="0" w:color="999999"/>
              <w:right w:val="single" w:sz="4" w:space="0" w:color="999999"/>
            </w:tcBorders>
          </w:tcPr>
          <w:p w14:paraId="7E15E21C" w14:textId="77777777" w:rsidR="00B87CAA" w:rsidRDefault="00F804C3" w:rsidP="0017016D">
            <w:pPr>
              <w:spacing w:after="40" w:line="240" w:lineRule="auto"/>
              <w:jc w:val="both"/>
            </w:pPr>
            <w:r>
              <w:rPr>
                <w:sz w:val="18"/>
              </w:rPr>
              <w:t>Emerging. Small number of studies, generally on institutional or regulatory data</w:t>
            </w:r>
          </w:p>
        </w:tc>
        <w:tc>
          <w:tcPr>
            <w:tcW w:w="2005" w:type="dxa"/>
            <w:tcBorders>
              <w:top w:val="single" w:sz="4" w:space="0" w:color="999999"/>
              <w:left w:val="single" w:sz="4" w:space="0" w:color="999999"/>
              <w:bottom w:val="single" w:sz="4" w:space="0" w:color="999999"/>
              <w:right w:val="single" w:sz="4" w:space="0" w:color="999999"/>
            </w:tcBorders>
          </w:tcPr>
          <w:p w14:paraId="28904376" w14:textId="77777777" w:rsidR="00B87CAA" w:rsidRDefault="00F804C3" w:rsidP="0017016D">
            <w:pPr>
              <w:spacing w:after="40" w:line="240" w:lineRule="auto"/>
              <w:jc w:val="both"/>
            </w:pPr>
            <w:r>
              <w:rPr>
                <w:sz w:val="18"/>
              </w:rPr>
              <w:t>Sparse coverage of loss given default and exposure parameters relative to probability of default; limited cross-market evidence</w:t>
            </w:r>
          </w:p>
        </w:tc>
        <w:tc>
          <w:tcPr>
            <w:tcW w:w="1814" w:type="dxa"/>
            <w:tcBorders>
              <w:top w:val="single" w:sz="4" w:space="0" w:color="999999"/>
              <w:left w:val="single" w:sz="4" w:space="0" w:color="999999"/>
              <w:bottom w:val="single" w:sz="4" w:space="0" w:color="999999"/>
              <w:right w:val="single" w:sz="4" w:space="0" w:color="999999"/>
            </w:tcBorders>
          </w:tcPr>
          <w:p w14:paraId="4178BFF0" w14:textId="77777777" w:rsidR="00B87CAA" w:rsidRPr="000A6B05" w:rsidRDefault="00F804C3" w:rsidP="0017016D">
            <w:pPr>
              <w:spacing w:after="40" w:line="240" w:lineRule="auto"/>
              <w:jc w:val="both"/>
              <w:rPr>
                <w:lang w:val="nl-BE"/>
              </w:rPr>
            </w:pPr>
            <w:r w:rsidRPr="000A6B05">
              <w:rPr>
                <w:sz w:val="18"/>
                <w:lang w:val="nl-BE"/>
              </w:rPr>
              <w:t>Bitetto et al. (2023); Fraisse &amp; Laporte (2022); Krivorotov (2023); Nazemi &amp; Fabozzi (2024)</w:t>
            </w:r>
          </w:p>
        </w:tc>
      </w:tr>
      <w:tr w:rsidR="00B87CAA" w14:paraId="79B364BF"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47507159" w14:textId="77777777" w:rsidR="00B87CAA" w:rsidRDefault="00F804C3" w:rsidP="0017016D">
            <w:pPr>
              <w:spacing w:after="40" w:line="240" w:lineRule="auto"/>
              <w:jc w:val="both"/>
            </w:pPr>
            <w:r>
              <w:rPr>
                <w:sz w:val="18"/>
              </w:rPr>
              <w:t>Payment fraud detection</w:t>
            </w:r>
          </w:p>
        </w:tc>
        <w:tc>
          <w:tcPr>
            <w:tcW w:w="1814" w:type="dxa"/>
            <w:tcBorders>
              <w:top w:val="single" w:sz="4" w:space="0" w:color="999999"/>
              <w:left w:val="single" w:sz="4" w:space="0" w:color="999999"/>
              <w:bottom w:val="single" w:sz="4" w:space="0" w:color="999999"/>
              <w:right w:val="single" w:sz="4" w:space="0" w:color="999999"/>
            </w:tcBorders>
          </w:tcPr>
          <w:p w14:paraId="74192C29" w14:textId="77777777" w:rsidR="00B87CAA" w:rsidRDefault="00F804C3" w:rsidP="0017016D">
            <w:pPr>
              <w:spacing w:after="40" w:line="240" w:lineRule="auto"/>
              <w:jc w:val="both"/>
            </w:pPr>
            <w:r>
              <w:rPr>
                <w:sz w:val="18"/>
              </w:rPr>
              <w:t>Supervised classification with drift adaptation; unsupervised anomaly scoring; hybrid architectures</w:t>
            </w:r>
          </w:p>
        </w:tc>
        <w:tc>
          <w:tcPr>
            <w:tcW w:w="2005" w:type="dxa"/>
            <w:tcBorders>
              <w:top w:val="single" w:sz="4" w:space="0" w:color="999999"/>
              <w:left w:val="single" w:sz="4" w:space="0" w:color="999999"/>
              <w:bottom w:val="single" w:sz="4" w:space="0" w:color="999999"/>
              <w:right w:val="single" w:sz="4" w:space="0" w:color="999999"/>
            </w:tcBorders>
          </w:tcPr>
          <w:p w14:paraId="04C01004" w14:textId="77777777" w:rsidR="00B87CAA" w:rsidRDefault="00F804C3" w:rsidP="0017016D">
            <w:pPr>
              <w:spacing w:after="40" w:line="240" w:lineRule="auto"/>
              <w:jc w:val="both"/>
            </w:pPr>
            <w:r>
              <w:rPr>
                <w:sz w:val="18"/>
              </w:rPr>
              <w:t>Mature within its constraints. Leading studies use operating-institution transaction data and model imbalance, drift and delayed feedback explicitly</w:t>
            </w:r>
          </w:p>
        </w:tc>
        <w:tc>
          <w:tcPr>
            <w:tcW w:w="2005" w:type="dxa"/>
            <w:tcBorders>
              <w:top w:val="single" w:sz="4" w:space="0" w:color="999999"/>
              <w:left w:val="single" w:sz="4" w:space="0" w:color="999999"/>
              <w:bottom w:val="single" w:sz="4" w:space="0" w:color="999999"/>
              <w:right w:val="single" w:sz="4" w:space="0" w:color="999999"/>
            </w:tcBorders>
          </w:tcPr>
          <w:p w14:paraId="57332B50" w14:textId="77777777" w:rsidR="00B87CAA" w:rsidRDefault="00F804C3" w:rsidP="0017016D">
            <w:pPr>
              <w:spacing w:after="40" w:line="240" w:lineRule="auto"/>
              <w:jc w:val="both"/>
            </w:pPr>
            <w:r>
              <w:rPr>
                <w:sz w:val="18"/>
              </w:rPr>
              <w:t>Proprietary data prevent independent replication; single-institution findings; adversarial adaptation not observable retrospectively</w:t>
            </w:r>
          </w:p>
        </w:tc>
        <w:tc>
          <w:tcPr>
            <w:tcW w:w="1814" w:type="dxa"/>
            <w:tcBorders>
              <w:top w:val="single" w:sz="4" w:space="0" w:color="999999"/>
              <w:left w:val="single" w:sz="4" w:space="0" w:color="999999"/>
              <w:bottom w:val="single" w:sz="4" w:space="0" w:color="999999"/>
              <w:right w:val="single" w:sz="4" w:space="0" w:color="999999"/>
            </w:tcBorders>
          </w:tcPr>
          <w:p w14:paraId="61118F4D" w14:textId="77777777" w:rsidR="00B87CAA" w:rsidRDefault="00F804C3" w:rsidP="0017016D">
            <w:pPr>
              <w:spacing w:after="40" w:line="240" w:lineRule="auto"/>
              <w:jc w:val="both"/>
            </w:pPr>
            <w:r w:rsidRPr="000A6B05">
              <w:rPr>
                <w:sz w:val="18"/>
                <w:lang w:val="nl-BE"/>
              </w:rPr>
              <w:t xml:space="preserve">Carcillo et al. (2021); Dal Pozzolo et al. </w:t>
            </w:r>
            <w:r>
              <w:rPr>
                <w:sz w:val="18"/>
              </w:rPr>
              <w:t>(2018); Vanini et al. (2023)</w:t>
            </w:r>
          </w:p>
        </w:tc>
      </w:tr>
      <w:tr w:rsidR="00B87CAA" w14:paraId="0F4F6F7E"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22CE32D" w14:textId="77777777" w:rsidR="00B87CAA" w:rsidRDefault="00F804C3" w:rsidP="0017016D">
            <w:pPr>
              <w:spacing w:after="40" w:line="240" w:lineRule="auto"/>
              <w:jc w:val="both"/>
            </w:pPr>
            <w:r>
              <w:rPr>
                <w:sz w:val="18"/>
              </w:rPr>
              <w:t>Anti-money laundering and transaction monitoring</w:t>
            </w:r>
          </w:p>
        </w:tc>
        <w:tc>
          <w:tcPr>
            <w:tcW w:w="1814" w:type="dxa"/>
            <w:tcBorders>
              <w:top w:val="single" w:sz="4" w:space="0" w:color="999999"/>
              <w:left w:val="single" w:sz="4" w:space="0" w:color="999999"/>
              <w:bottom w:val="single" w:sz="4" w:space="0" w:color="999999"/>
              <w:right w:val="single" w:sz="4" w:space="0" w:color="999999"/>
            </w:tcBorders>
          </w:tcPr>
          <w:p w14:paraId="3F1435DA" w14:textId="77777777" w:rsidR="00B87CAA" w:rsidRDefault="00F804C3" w:rsidP="0017016D">
            <w:pPr>
              <w:spacing w:after="40" w:line="240" w:lineRule="auto"/>
              <w:jc w:val="both"/>
            </w:pPr>
            <w:r>
              <w:rPr>
                <w:sz w:val="18"/>
              </w:rPr>
              <w:t>Supervised classification; anomaly detection; temporal and process-aware models</w:t>
            </w:r>
          </w:p>
        </w:tc>
        <w:tc>
          <w:tcPr>
            <w:tcW w:w="2005" w:type="dxa"/>
            <w:tcBorders>
              <w:top w:val="single" w:sz="4" w:space="0" w:color="999999"/>
              <w:left w:val="single" w:sz="4" w:space="0" w:color="999999"/>
              <w:bottom w:val="single" w:sz="4" w:space="0" w:color="999999"/>
              <w:right w:val="single" w:sz="4" w:space="0" w:color="999999"/>
            </w:tcBorders>
          </w:tcPr>
          <w:p w14:paraId="0562B375" w14:textId="77777777" w:rsidR="00B87CAA" w:rsidRDefault="00F804C3" w:rsidP="0017016D">
            <w:pPr>
              <w:spacing w:after="40" w:line="240" w:lineRule="auto"/>
              <w:jc w:val="both"/>
            </w:pPr>
            <w:r>
              <w:rPr>
                <w:sz w:val="18"/>
              </w:rPr>
              <w:t>Weak to moderate. Review-level synthesis available; primary studies few and institution-specific</w:t>
            </w:r>
          </w:p>
        </w:tc>
        <w:tc>
          <w:tcPr>
            <w:tcW w:w="2005" w:type="dxa"/>
            <w:tcBorders>
              <w:top w:val="single" w:sz="4" w:space="0" w:color="999999"/>
              <w:left w:val="single" w:sz="4" w:space="0" w:color="999999"/>
              <w:bottom w:val="single" w:sz="4" w:space="0" w:color="999999"/>
              <w:right w:val="single" w:sz="4" w:space="0" w:color="999999"/>
            </w:tcBorders>
          </w:tcPr>
          <w:p w14:paraId="368B3904" w14:textId="77777777" w:rsidR="00B87CAA" w:rsidRDefault="00F804C3" w:rsidP="0017016D">
            <w:pPr>
              <w:spacing w:after="40" w:line="240" w:lineRule="auto"/>
              <w:jc w:val="both"/>
            </w:pPr>
            <w:r>
              <w:rPr>
                <w:sz w:val="18"/>
              </w:rPr>
              <w:t>Ground truth is a downstream regulatory determination rather than a verified outcome; data quality is a binding constraint; analyst capacity rather than accuracy is the operative limit</w:t>
            </w:r>
          </w:p>
        </w:tc>
        <w:tc>
          <w:tcPr>
            <w:tcW w:w="1814" w:type="dxa"/>
            <w:tcBorders>
              <w:top w:val="single" w:sz="4" w:space="0" w:color="999999"/>
              <w:left w:val="single" w:sz="4" w:space="0" w:color="999999"/>
              <w:bottom w:val="single" w:sz="4" w:space="0" w:color="999999"/>
              <w:right w:val="single" w:sz="4" w:space="0" w:color="999999"/>
            </w:tcBorders>
          </w:tcPr>
          <w:p w14:paraId="16171A0F" w14:textId="77777777" w:rsidR="00B87CAA" w:rsidRDefault="00F804C3" w:rsidP="0017016D">
            <w:pPr>
              <w:spacing w:after="40" w:line="240" w:lineRule="auto"/>
              <w:jc w:val="both"/>
            </w:pPr>
            <w:r w:rsidRPr="000A6B05">
              <w:rPr>
                <w:sz w:val="18"/>
                <w:lang w:val="nl-BE"/>
              </w:rPr>
              <w:t xml:space="preserve">Chen et al. (2018); Gupta et al. (2022); Reite et al. (2025); Tertychnyi et al. </w:t>
            </w:r>
            <w:r>
              <w:rPr>
                <w:sz w:val="18"/>
              </w:rPr>
              <w:t>(2022)</w:t>
            </w:r>
          </w:p>
        </w:tc>
      </w:tr>
      <w:tr w:rsidR="00B87CAA" w14:paraId="48BBE993"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574F788" w14:textId="77777777" w:rsidR="00B87CAA" w:rsidRDefault="00F804C3" w:rsidP="0017016D">
            <w:pPr>
              <w:spacing w:after="40" w:line="240" w:lineRule="auto"/>
              <w:jc w:val="both"/>
            </w:pPr>
            <w:r>
              <w:rPr>
                <w:sz w:val="18"/>
              </w:rPr>
              <w:t>Customer-facing services and automated advice</w:t>
            </w:r>
          </w:p>
        </w:tc>
        <w:tc>
          <w:tcPr>
            <w:tcW w:w="1814" w:type="dxa"/>
            <w:tcBorders>
              <w:top w:val="single" w:sz="4" w:space="0" w:color="999999"/>
              <w:left w:val="single" w:sz="4" w:space="0" w:color="999999"/>
              <w:bottom w:val="single" w:sz="4" w:space="0" w:color="999999"/>
              <w:right w:val="single" w:sz="4" w:space="0" w:color="999999"/>
            </w:tcBorders>
          </w:tcPr>
          <w:p w14:paraId="2349168B" w14:textId="77777777" w:rsidR="00B87CAA" w:rsidRDefault="00F804C3" w:rsidP="0017016D">
            <w:pPr>
              <w:spacing w:after="40" w:line="240" w:lineRule="auto"/>
              <w:jc w:val="both"/>
            </w:pPr>
            <w:r>
              <w:rPr>
                <w:sz w:val="18"/>
              </w:rPr>
              <w:t>Conversational agents; recommendation and personalisation systems; automated advisory tools</w:t>
            </w:r>
          </w:p>
        </w:tc>
        <w:tc>
          <w:tcPr>
            <w:tcW w:w="2005" w:type="dxa"/>
            <w:tcBorders>
              <w:top w:val="single" w:sz="4" w:space="0" w:color="999999"/>
              <w:left w:val="single" w:sz="4" w:space="0" w:color="999999"/>
              <w:bottom w:val="single" w:sz="4" w:space="0" w:color="999999"/>
              <w:right w:val="single" w:sz="4" w:space="0" w:color="999999"/>
            </w:tcBorders>
          </w:tcPr>
          <w:p w14:paraId="45F288F8" w14:textId="77777777" w:rsidR="00B87CAA" w:rsidRDefault="00F804C3" w:rsidP="0017016D">
            <w:pPr>
              <w:spacing w:after="40" w:line="240" w:lineRule="auto"/>
              <w:jc w:val="both"/>
            </w:pPr>
            <w:r>
              <w:rPr>
                <w:sz w:val="18"/>
              </w:rPr>
              <w:t>Weak. Literature dominated by adoption intention, attitudinal measurement and conceptual frameworks</w:t>
            </w:r>
          </w:p>
        </w:tc>
        <w:tc>
          <w:tcPr>
            <w:tcW w:w="2005" w:type="dxa"/>
            <w:tcBorders>
              <w:top w:val="single" w:sz="4" w:space="0" w:color="999999"/>
              <w:left w:val="single" w:sz="4" w:space="0" w:color="999999"/>
              <w:bottom w:val="single" w:sz="4" w:space="0" w:color="999999"/>
              <w:right w:val="single" w:sz="4" w:space="0" w:color="999999"/>
            </w:tcBorders>
          </w:tcPr>
          <w:p w14:paraId="047D6DF6" w14:textId="77777777" w:rsidR="00B87CAA" w:rsidRDefault="00F804C3" w:rsidP="0017016D">
            <w:pPr>
              <w:spacing w:after="40" w:line="240" w:lineRule="auto"/>
              <w:jc w:val="both"/>
            </w:pPr>
            <w:r>
              <w:rPr>
                <w:sz w:val="18"/>
              </w:rPr>
              <w:t>Little operational outcome evidence; convenience samples common; no disaggregation by customer vulnerability; deployment far ahead of evidence</w:t>
            </w:r>
          </w:p>
        </w:tc>
        <w:tc>
          <w:tcPr>
            <w:tcW w:w="1814" w:type="dxa"/>
            <w:tcBorders>
              <w:top w:val="single" w:sz="4" w:space="0" w:color="999999"/>
              <w:left w:val="single" w:sz="4" w:space="0" w:color="999999"/>
              <w:bottom w:val="single" w:sz="4" w:space="0" w:color="999999"/>
              <w:right w:val="single" w:sz="4" w:space="0" w:color="999999"/>
            </w:tcBorders>
          </w:tcPr>
          <w:p w14:paraId="5AF01E01" w14:textId="77777777" w:rsidR="00B87CAA" w:rsidRDefault="00F804C3" w:rsidP="0017016D">
            <w:pPr>
              <w:spacing w:after="40" w:line="240" w:lineRule="auto"/>
              <w:jc w:val="both"/>
            </w:pPr>
            <w:r w:rsidRPr="000A6B05">
              <w:rPr>
                <w:sz w:val="18"/>
                <w:lang w:val="nl-BE"/>
              </w:rPr>
              <w:t xml:space="preserve">Boustani (2022); Hentzen et al. (2022); Huang et al. </w:t>
            </w:r>
            <w:r>
              <w:rPr>
                <w:sz w:val="18"/>
              </w:rPr>
              <w:t xml:space="preserve">(2024); </w:t>
            </w:r>
            <w:proofErr w:type="spellStart"/>
            <w:r>
              <w:rPr>
                <w:sz w:val="18"/>
              </w:rPr>
              <w:t>Piehlmaier</w:t>
            </w:r>
            <w:proofErr w:type="spellEnd"/>
            <w:r>
              <w:rPr>
                <w:sz w:val="18"/>
              </w:rPr>
              <w:t xml:space="preserve"> (2022)</w:t>
            </w:r>
          </w:p>
        </w:tc>
      </w:tr>
      <w:tr w:rsidR="00B87CAA" w14:paraId="23792AAF"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6BFC84BE" w14:textId="77777777" w:rsidR="00B87CAA" w:rsidRDefault="00F804C3" w:rsidP="0017016D">
            <w:pPr>
              <w:spacing w:after="40" w:line="240" w:lineRule="auto"/>
              <w:jc w:val="both"/>
            </w:pPr>
            <w:r>
              <w:rPr>
                <w:sz w:val="18"/>
              </w:rPr>
              <w:t>Institutional risk, failure prediction and supervision</w:t>
            </w:r>
          </w:p>
        </w:tc>
        <w:tc>
          <w:tcPr>
            <w:tcW w:w="1814" w:type="dxa"/>
            <w:tcBorders>
              <w:top w:val="single" w:sz="4" w:space="0" w:color="999999"/>
              <w:left w:val="single" w:sz="4" w:space="0" w:color="999999"/>
              <w:bottom w:val="single" w:sz="4" w:space="0" w:color="999999"/>
              <w:right w:val="single" w:sz="4" w:space="0" w:color="999999"/>
            </w:tcBorders>
          </w:tcPr>
          <w:p w14:paraId="517D4CC8" w14:textId="77777777" w:rsidR="00B87CAA" w:rsidRDefault="00F804C3" w:rsidP="0017016D">
            <w:pPr>
              <w:spacing w:after="40" w:line="240" w:lineRule="auto"/>
              <w:jc w:val="both"/>
            </w:pPr>
            <w:r>
              <w:rPr>
                <w:sz w:val="18"/>
              </w:rPr>
              <w:t>Tree ensembles and neural networks on supervisory and accounting data</w:t>
            </w:r>
          </w:p>
        </w:tc>
        <w:tc>
          <w:tcPr>
            <w:tcW w:w="2005" w:type="dxa"/>
            <w:tcBorders>
              <w:top w:val="single" w:sz="4" w:space="0" w:color="999999"/>
              <w:left w:val="single" w:sz="4" w:space="0" w:color="999999"/>
              <w:bottom w:val="single" w:sz="4" w:space="0" w:color="999999"/>
              <w:right w:val="single" w:sz="4" w:space="0" w:color="999999"/>
            </w:tcBorders>
          </w:tcPr>
          <w:p w14:paraId="4EF773E4" w14:textId="77777777" w:rsidR="00B87CAA" w:rsidRDefault="00F804C3" w:rsidP="0017016D">
            <w:pPr>
              <w:spacing w:after="40" w:line="240" w:lineRule="auto"/>
              <w:jc w:val="both"/>
            </w:pPr>
            <w:r>
              <w:rPr>
                <w:sz w:val="18"/>
              </w:rPr>
              <w:t>Moderate to strong. Out-of-time validation and cross-jurisdictional generalisation testing are used</w:t>
            </w:r>
          </w:p>
        </w:tc>
        <w:tc>
          <w:tcPr>
            <w:tcW w:w="2005" w:type="dxa"/>
            <w:tcBorders>
              <w:top w:val="single" w:sz="4" w:space="0" w:color="999999"/>
              <w:left w:val="single" w:sz="4" w:space="0" w:color="999999"/>
              <w:bottom w:val="single" w:sz="4" w:space="0" w:color="999999"/>
              <w:right w:val="single" w:sz="4" w:space="0" w:color="999999"/>
            </w:tcBorders>
          </w:tcPr>
          <w:p w14:paraId="0625C680" w14:textId="77777777" w:rsidR="00B87CAA" w:rsidRDefault="00F804C3" w:rsidP="0017016D">
            <w:pPr>
              <w:spacing w:after="40" w:line="240" w:lineRule="auto"/>
              <w:jc w:val="both"/>
            </w:pPr>
            <w:r>
              <w:rPr>
                <w:sz w:val="18"/>
              </w:rPr>
              <w:t>Rare events limit sample size; regime change between estimation and application periods; supervisory data access restricts replication</w:t>
            </w:r>
          </w:p>
        </w:tc>
        <w:tc>
          <w:tcPr>
            <w:tcW w:w="1814" w:type="dxa"/>
            <w:tcBorders>
              <w:top w:val="single" w:sz="4" w:space="0" w:color="999999"/>
              <w:left w:val="single" w:sz="4" w:space="0" w:color="999999"/>
              <w:bottom w:val="single" w:sz="4" w:space="0" w:color="999999"/>
              <w:right w:val="single" w:sz="4" w:space="0" w:color="999999"/>
            </w:tcBorders>
          </w:tcPr>
          <w:p w14:paraId="723CD9B7" w14:textId="77777777" w:rsidR="00B87CAA" w:rsidRDefault="00F804C3" w:rsidP="0017016D">
            <w:pPr>
              <w:spacing w:after="40" w:line="240" w:lineRule="auto"/>
              <w:jc w:val="both"/>
            </w:pPr>
            <w:r w:rsidRPr="000A6B05">
              <w:rPr>
                <w:sz w:val="18"/>
                <w:lang w:val="nl-BE"/>
              </w:rPr>
              <w:t xml:space="preserve">Gogas et al. (2018); Guerra &amp; Castelli (2021); McCarthy (2023); Ozgur et al. (2021); Petropoulos et al. </w:t>
            </w:r>
            <w:r>
              <w:rPr>
                <w:sz w:val="18"/>
              </w:rPr>
              <w:t>(2020)</w:t>
            </w:r>
          </w:p>
        </w:tc>
      </w:tr>
      <w:tr w:rsidR="00B87CAA" w14:paraId="28A9D353"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A672FF2" w14:textId="77777777" w:rsidR="00B87CAA" w:rsidRDefault="00F804C3" w:rsidP="0017016D">
            <w:pPr>
              <w:spacing w:after="40" w:line="240" w:lineRule="auto"/>
              <w:jc w:val="both"/>
            </w:pPr>
            <w:r>
              <w:rPr>
                <w:sz w:val="18"/>
              </w:rPr>
              <w:t>Systemic risk and financial stability</w:t>
            </w:r>
          </w:p>
        </w:tc>
        <w:tc>
          <w:tcPr>
            <w:tcW w:w="1814" w:type="dxa"/>
            <w:tcBorders>
              <w:top w:val="single" w:sz="4" w:space="0" w:color="999999"/>
              <w:left w:val="single" w:sz="4" w:space="0" w:color="999999"/>
              <w:bottom w:val="single" w:sz="4" w:space="0" w:color="999999"/>
              <w:right w:val="single" w:sz="4" w:space="0" w:color="999999"/>
            </w:tcBorders>
          </w:tcPr>
          <w:p w14:paraId="63A755D7" w14:textId="77777777" w:rsidR="00B87CAA" w:rsidRDefault="00F804C3" w:rsidP="0017016D">
            <w:pPr>
              <w:spacing w:after="40" w:line="240" w:lineRule="auto"/>
              <w:jc w:val="both"/>
            </w:pPr>
            <w:r>
              <w:rPr>
                <w:sz w:val="18"/>
              </w:rPr>
              <w:t>Supervised enhancement of systemic risk measures; network and connectedness methods; conceptual analysis</w:t>
            </w:r>
          </w:p>
        </w:tc>
        <w:tc>
          <w:tcPr>
            <w:tcW w:w="2005" w:type="dxa"/>
            <w:tcBorders>
              <w:top w:val="single" w:sz="4" w:space="0" w:color="999999"/>
              <w:left w:val="single" w:sz="4" w:space="0" w:color="999999"/>
              <w:bottom w:val="single" w:sz="4" w:space="0" w:color="999999"/>
              <w:right w:val="single" w:sz="4" w:space="0" w:color="999999"/>
            </w:tcBorders>
          </w:tcPr>
          <w:p w14:paraId="25950DEC" w14:textId="77777777" w:rsidR="00B87CAA" w:rsidRDefault="00F804C3" w:rsidP="0017016D">
            <w:pPr>
              <w:spacing w:after="40" w:line="240" w:lineRule="auto"/>
              <w:jc w:val="both"/>
            </w:pPr>
            <w:r>
              <w:rPr>
                <w:sz w:val="18"/>
              </w:rPr>
              <w:t>Emerging and divided between measurement studies and studies treating AI as a risk source</w:t>
            </w:r>
          </w:p>
        </w:tc>
        <w:tc>
          <w:tcPr>
            <w:tcW w:w="2005" w:type="dxa"/>
            <w:tcBorders>
              <w:top w:val="single" w:sz="4" w:space="0" w:color="999999"/>
              <w:left w:val="single" w:sz="4" w:space="0" w:color="999999"/>
              <w:bottom w:val="single" w:sz="4" w:space="0" w:color="999999"/>
              <w:right w:val="single" w:sz="4" w:space="0" w:color="999999"/>
            </w:tcBorders>
          </w:tcPr>
          <w:p w14:paraId="6243D107" w14:textId="77777777" w:rsidR="00B87CAA" w:rsidRDefault="00F804C3" w:rsidP="0017016D">
            <w:pPr>
              <w:spacing w:after="40" w:line="240" w:lineRule="auto"/>
              <w:jc w:val="both"/>
            </w:pPr>
            <w:r>
              <w:rPr>
                <w:sz w:val="18"/>
              </w:rPr>
              <w:t>Mechanisms proposed are largely untested empirically; concentration and correlation effects documented by supervisors rather than in peer-reviewed work</w:t>
            </w:r>
          </w:p>
        </w:tc>
        <w:tc>
          <w:tcPr>
            <w:tcW w:w="1814" w:type="dxa"/>
            <w:tcBorders>
              <w:top w:val="single" w:sz="4" w:space="0" w:color="999999"/>
              <w:left w:val="single" w:sz="4" w:space="0" w:color="999999"/>
              <w:bottom w:val="single" w:sz="4" w:space="0" w:color="999999"/>
              <w:right w:val="single" w:sz="4" w:space="0" w:color="999999"/>
            </w:tcBorders>
          </w:tcPr>
          <w:p w14:paraId="5EB6DF85" w14:textId="77777777" w:rsidR="00B87CAA" w:rsidRDefault="00F804C3" w:rsidP="0017016D">
            <w:pPr>
              <w:spacing w:after="40" w:line="240" w:lineRule="auto"/>
              <w:jc w:val="both"/>
            </w:pPr>
            <w:r>
              <w:rPr>
                <w:sz w:val="18"/>
              </w:rPr>
              <w:t>Daníelsson et al. (2022); Financial Stability Board (2024); Kou et al. (2019); Liu &amp; Pun (2022)</w:t>
            </w:r>
          </w:p>
        </w:tc>
      </w:tr>
      <w:tr w:rsidR="00B87CAA" w14:paraId="5B5CB0E1"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161CE11C" w14:textId="77777777" w:rsidR="00B87CAA" w:rsidRDefault="00F804C3" w:rsidP="0017016D">
            <w:pPr>
              <w:spacing w:after="40" w:line="240" w:lineRule="auto"/>
              <w:jc w:val="both"/>
            </w:pPr>
            <w:r>
              <w:rPr>
                <w:sz w:val="18"/>
              </w:rPr>
              <w:t xml:space="preserve">Operations, efficiency and </w:t>
            </w:r>
            <w:r>
              <w:rPr>
                <w:sz w:val="18"/>
              </w:rPr>
              <w:lastRenderedPageBreak/>
              <w:t>firm performance</w:t>
            </w:r>
          </w:p>
        </w:tc>
        <w:tc>
          <w:tcPr>
            <w:tcW w:w="1814" w:type="dxa"/>
            <w:tcBorders>
              <w:top w:val="single" w:sz="4" w:space="0" w:color="999999"/>
              <w:left w:val="single" w:sz="4" w:space="0" w:color="999999"/>
              <w:bottom w:val="single" w:sz="4" w:space="0" w:color="999999"/>
              <w:right w:val="single" w:sz="4" w:space="0" w:color="999999"/>
            </w:tcBorders>
          </w:tcPr>
          <w:p w14:paraId="6CF4AD5C" w14:textId="77777777" w:rsidR="00B87CAA" w:rsidRDefault="00F804C3" w:rsidP="0017016D">
            <w:pPr>
              <w:spacing w:after="40" w:line="240" w:lineRule="auto"/>
              <w:jc w:val="both"/>
            </w:pPr>
            <w:r>
              <w:rPr>
                <w:sz w:val="18"/>
              </w:rPr>
              <w:lastRenderedPageBreak/>
              <w:t xml:space="preserve">Panel regression on digitalisation and </w:t>
            </w:r>
            <w:r>
              <w:rPr>
                <w:sz w:val="18"/>
              </w:rPr>
              <w:lastRenderedPageBreak/>
              <w:t>technology proxies; efficiency frontier methods</w:t>
            </w:r>
          </w:p>
        </w:tc>
        <w:tc>
          <w:tcPr>
            <w:tcW w:w="2005" w:type="dxa"/>
            <w:tcBorders>
              <w:top w:val="single" w:sz="4" w:space="0" w:color="999999"/>
              <w:left w:val="single" w:sz="4" w:space="0" w:color="999999"/>
              <w:bottom w:val="single" w:sz="4" w:space="0" w:color="999999"/>
              <w:right w:val="single" w:sz="4" w:space="0" w:color="999999"/>
            </w:tcBorders>
          </w:tcPr>
          <w:p w14:paraId="01AB997D" w14:textId="77777777" w:rsidR="00B87CAA" w:rsidRDefault="00F804C3" w:rsidP="0017016D">
            <w:pPr>
              <w:spacing w:after="40" w:line="240" w:lineRule="auto"/>
              <w:jc w:val="both"/>
            </w:pPr>
            <w:r>
              <w:rPr>
                <w:sz w:val="18"/>
              </w:rPr>
              <w:lastRenderedPageBreak/>
              <w:t xml:space="preserve">Weak for AI specifically. Adoption </w:t>
            </w:r>
            <w:r>
              <w:rPr>
                <w:sz w:val="18"/>
              </w:rPr>
              <w:lastRenderedPageBreak/>
              <w:t>measured by proxy rather than by observation of deployed systems</w:t>
            </w:r>
          </w:p>
        </w:tc>
        <w:tc>
          <w:tcPr>
            <w:tcW w:w="2005" w:type="dxa"/>
            <w:tcBorders>
              <w:top w:val="single" w:sz="4" w:space="0" w:color="999999"/>
              <w:left w:val="single" w:sz="4" w:space="0" w:color="999999"/>
              <w:bottom w:val="single" w:sz="4" w:space="0" w:color="999999"/>
              <w:right w:val="single" w:sz="4" w:space="0" w:color="999999"/>
            </w:tcBorders>
          </w:tcPr>
          <w:p w14:paraId="2F2BF5A7" w14:textId="77777777" w:rsidR="00B87CAA" w:rsidRDefault="00F804C3" w:rsidP="0017016D">
            <w:pPr>
              <w:spacing w:after="40" w:line="240" w:lineRule="auto"/>
              <w:jc w:val="both"/>
            </w:pPr>
            <w:r>
              <w:rPr>
                <w:sz w:val="18"/>
              </w:rPr>
              <w:lastRenderedPageBreak/>
              <w:t xml:space="preserve">Proxies do not distinguish learning </w:t>
            </w:r>
            <w:r>
              <w:rPr>
                <w:sz w:val="18"/>
              </w:rPr>
              <w:lastRenderedPageBreak/>
              <w:t>systems from general digitalisation; geographical concentration; causal identification generally limited</w:t>
            </w:r>
          </w:p>
        </w:tc>
        <w:tc>
          <w:tcPr>
            <w:tcW w:w="1814" w:type="dxa"/>
            <w:tcBorders>
              <w:top w:val="single" w:sz="4" w:space="0" w:color="999999"/>
              <w:left w:val="single" w:sz="4" w:space="0" w:color="999999"/>
              <w:bottom w:val="single" w:sz="4" w:space="0" w:color="999999"/>
              <w:right w:val="single" w:sz="4" w:space="0" w:color="999999"/>
            </w:tcBorders>
          </w:tcPr>
          <w:p w14:paraId="447BC5B6" w14:textId="77777777" w:rsidR="00B87CAA" w:rsidRDefault="00F804C3" w:rsidP="0017016D">
            <w:pPr>
              <w:spacing w:after="40" w:line="240" w:lineRule="auto"/>
              <w:jc w:val="both"/>
            </w:pPr>
            <w:r>
              <w:rPr>
                <w:sz w:val="18"/>
              </w:rPr>
              <w:lastRenderedPageBreak/>
              <w:t xml:space="preserve">Bank of England &amp; Financial Conduct </w:t>
            </w:r>
            <w:r>
              <w:rPr>
                <w:sz w:val="18"/>
              </w:rPr>
              <w:lastRenderedPageBreak/>
              <w:t>Authority (2024); Rahman (2023); Ren et al. (2024)</w:t>
            </w:r>
          </w:p>
        </w:tc>
      </w:tr>
    </w:tbl>
    <w:p w14:paraId="0DFA98CF" w14:textId="77777777" w:rsidR="00B87CAA" w:rsidRDefault="00F804C3" w:rsidP="0017016D">
      <w:pPr>
        <w:spacing w:before="80" w:after="240" w:line="240" w:lineRule="auto"/>
        <w:jc w:val="both"/>
      </w:pPr>
      <w:r>
        <w:rPr>
          <w:sz w:val="18"/>
        </w:rPr>
        <w:lastRenderedPageBreak/>
        <w:t>Note. AI = artificial intelligence; ML = machine learning; SME = small and medium-sized enterprise. Characterisation of evidence reflects the appraisal criteria stated in Section 2.6 and applies to the literature published within the review window. Assessments are relative to other domains in this table rather than absolute.</w:t>
      </w:r>
    </w:p>
    <w:p w14:paraId="61C4F458" w14:textId="77777777" w:rsidR="00B87CAA" w:rsidRDefault="00F804C3" w:rsidP="0017016D">
      <w:pPr>
        <w:spacing w:before="280" w:line="276" w:lineRule="auto"/>
        <w:jc w:val="both"/>
      </w:pPr>
      <w:r>
        <w:rPr>
          <w:b/>
          <w:sz w:val="26"/>
        </w:rPr>
        <w:t>4. Method Families and the Predictive Performance Question</w:t>
      </w:r>
    </w:p>
    <w:p w14:paraId="5BDEC82E" w14:textId="77777777" w:rsidR="00B87CAA" w:rsidRDefault="00F804C3" w:rsidP="0017016D">
      <w:pPr>
        <w:jc w:val="both"/>
      </w:pPr>
      <w:r>
        <w:t>The most frequently asked question in the applied literature is which method predicts best. It is also the question whose answer has proved least stable, and the instability is instructive.</w:t>
      </w:r>
    </w:p>
    <w:p w14:paraId="0CB2825A" w14:textId="77777777" w:rsidR="00B87CAA" w:rsidRDefault="00F804C3" w:rsidP="0017016D">
      <w:pPr>
        <w:spacing w:before="200" w:after="100" w:line="276" w:lineRule="auto"/>
        <w:jc w:val="both"/>
      </w:pPr>
      <w:r>
        <w:rPr>
          <w:b/>
          <w:i/>
        </w:rPr>
        <w:t>4.1 The ensemble plateau</w:t>
      </w:r>
    </w:p>
    <w:p w14:paraId="373F70EA" w14:textId="77777777" w:rsidR="00B87CAA" w:rsidRDefault="00F804C3" w:rsidP="0017016D">
      <w:pPr>
        <w:jc w:val="both"/>
      </w:pPr>
      <w:r>
        <w:t>The comparative evidence converges on a narrow conclusion. Regularised parametric models are outperformed on discrimination measures by tree-based ensembles across a wide range of retail credit datasets, and this has been established repeatedly since Lessmann et al. (2015). Gradient-boosted variants have emerged as the preferred class within that family, and the preference is consistent across independent evaluations (Gunnarsson et al., 2021). Supervisory survey evidence indicates that practice reflects this: gradient boosting accounts for 32 per cent of reported use cases in United Kingdom financial services, more than three times the share of the next most common model type (Bank of England &amp; Financial Conduct Authority, 2024).</w:t>
      </w:r>
    </w:p>
    <w:p w14:paraId="17DBA005" w14:textId="77777777" w:rsidR="00B87CAA" w:rsidRDefault="00F804C3" w:rsidP="0017016D">
      <w:pPr>
        <w:jc w:val="both"/>
      </w:pPr>
      <w:r>
        <w:t>The conclusion is narrow because the margin is narrow and the ranking is unstable within the ensemble family. Comparative studies frequently report differences in area under the curve in the second decimal place, and the ordering among gradient boosting, random forests and heterogeneous ensembles varies with dataset, tuning budget and evaluation measure. Lessmann et al. (2015) examined this explicitly by evaluating across six performance measures and by assessing the financial consequences of scorecard choice separately from statistical accuracy. The finding that assessment differs across indicators is at least as important as the finding that ensembles win, because it establishes that a single-metric comparison is insufficient to support a method recommendation. Much of the subsequent literature has not absorbed this lesson.</w:t>
      </w:r>
    </w:p>
    <w:p w14:paraId="5F969F94" w14:textId="77777777" w:rsidR="00B87CAA" w:rsidRDefault="00F804C3" w:rsidP="0017016D">
      <w:pPr>
        <w:spacing w:before="200" w:after="100" w:line="276" w:lineRule="auto"/>
        <w:jc w:val="both"/>
      </w:pPr>
      <w:r>
        <w:rPr>
          <w:b/>
          <w:i/>
        </w:rPr>
        <w:t>4.2 Deep architectures and the tabular data problem</w:t>
      </w:r>
    </w:p>
    <w:p w14:paraId="3074E0B6" w14:textId="77777777" w:rsidR="00B87CAA" w:rsidRDefault="00F804C3" w:rsidP="0017016D">
      <w:pPr>
        <w:jc w:val="both"/>
      </w:pPr>
      <w:r>
        <w:t xml:space="preserve">Deep learning has not established a general advantage in banking applications, and the evidence for this is now reasonably strong. Gunnarsson et al. (2021) found deep architectures inappropriate for credit scoring relative to gradient boosting under systematic comparison. Hayashi (2022) surveyed the deep learning credit scoring literature and characterised it as </w:t>
      </w:r>
      <w:r>
        <w:lastRenderedPageBreak/>
        <w:t>emerging rather than established. Mienye et al. (2024) surveyed deep learning across finance more broadly and identified applications where sequential and unstructured data give deep architectures a genuine structural advantage, which is the appropriate qualification.</w:t>
      </w:r>
    </w:p>
    <w:p w14:paraId="0EDD67D5" w14:textId="77777777" w:rsidR="00B87CAA" w:rsidRDefault="00F804C3" w:rsidP="0017016D">
      <w:pPr>
        <w:jc w:val="both"/>
      </w:pPr>
      <w:r>
        <w:t>The qualification matters. Where the input is a fixed-length vector of application variables, the inductive biases of deep architectures offer little that tree ensembles do not already exploit. Where the input has sequential structure, as in transaction streams, or is textual, as in loan applications and correspondence, the position reverses. Kriebel and Stitz (2022) demonstrated predictive value in borrower-written text using deep learning, and this is a setting in which the architecture is doing work that tree ensembles on engineered features would not do as well. Talaat et al. (2024) integrated explainable techniques with deep learning for credit card default prediction, working within the same constraint. The defensible summary is that architecture choice should follow data structure, and that the literature's habit of comparing architectures on tabular benchmarks and generalising the result to banking as a whole is unsound in both directions.</w:t>
      </w:r>
    </w:p>
    <w:p w14:paraId="5EE51551" w14:textId="77777777" w:rsidR="00B87CAA" w:rsidRDefault="00F804C3" w:rsidP="0017016D">
      <w:pPr>
        <w:spacing w:before="200" w:after="100" w:line="276" w:lineRule="auto"/>
        <w:jc w:val="both"/>
      </w:pPr>
      <w:r>
        <w:rPr>
          <w:b/>
          <w:i/>
        </w:rPr>
        <w:t>4.3 The primacy of data over estimator</w:t>
      </w:r>
    </w:p>
    <w:p w14:paraId="156FB472" w14:textId="77777777" w:rsidR="00B87CAA" w:rsidRDefault="00F804C3" w:rsidP="0017016D">
      <w:pPr>
        <w:jc w:val="both"/>
      </w:pPr>
      <w:r>
        <w:t>The most robust comparative finding in the domain is not about estimators at all. Gains attributable to new information sources have consistently exceeded gains attributable to new estimators applied to existing information. Berg et al. (2020) found that easily accessible digital footprint variables matched the information content of credit bureau scores, a magnitude of improvement that no estimator comparison in the benchmark literature approaches. Óskarsdóttir et al. (2019) reported significant discrimination improvement and profit gains from incorporating call network structure. Kriebel and Stitz (2022) extracted default-relevant information from text that structured variables did not contain.</w:t>
      </w:r>
    </w:p>
    <w:p w14:paraId="796A4217" w14:textId="77777777" w:rsidR="00B87CAA" w:rsidRDefault="00F804C3" w:rsidP="0017016D">
      <w:pPr>
        <w:jc w:val="both"/>
      </w:pPr>
      <w:r>
        <w:t>The strategic implication for banks is different from the implication conveyed by the benchmarking literature. If the constraint on predictive performance is the informational content of the feature set rather than the flexibility of the estimator, then data acquisition, permissioning and quality are the binding constraints, and the model selection question is comparatively minor. This reframing also relocates the principal risks. Alternative data sources raise questions of consent, proxy discrimination, availability across population segments and stability over time that estimator selection does not raise. Berg et al. (2020) noted implications for access to credit among the unbanked and for the behaviour of consumers, firms and regulators, and these implications are more consequential than any reported difference between ensemble variants.</w:t>
      </w:r>
    </w:p>
    <w:p w14:paraId="7C7673E6" w14:textId="77777777" w:rsidR="00B87CAA" w:rsidRDefault="00F804C3" w:rsidP="0017016D">
      <w:pPr>
        <w:jc w:val="both"/>
      </w:pPr>
      <w:r>
        <w:lastRenderedPageBreak/>
        <w:t>Table 2 compares the principal method families against the evidence supporting their use, the settings in which each is best supported, and the qualifications that apply. Its purpose is to replace the ranking question with a conditional one. Read alongside Table 1, it indicates that the domains where method choice has been most thoroughly investigated are not the domains where method choice matters most, since in fraud and anti-money laundering the operative constraints are label availability, drift and investigative capacity rather than estimator flexibility.</w:t>
      </w:r>
    </w:p>
    <w:p w14:paraId="67492F05" w14:textId="77777777" w:rsidR="00B87CAA" w:rsidRDefault="00F804C3" w:rsidP="0017016D">
      <w:pPr>
        <w:spacing w:before="200" w:after="80" w:line="240" w:lineRule="auto"/>
        <w:jc w:val="both"/>
      </w:pPr>
      <w:r>
        <w:rPr>
          <w:b/>
          <w:sz w:val="22"/>
        </w:rPr>
        <w:t>Table 2. Method families in banking applications: settings in which each is best supported, strength of the supporting evidence and qualifications</w:t>
      </w:r>
    </w:p>
    <w:tbl>
      <w:tblPr>
        <w:tblStyle w:val="TableGrid"/>
        <w:tblW w:w="0" w:type="auto"/>
        <w:jc w:val="center"/>
        <w:tblLayout w:type="fixed"/>
        <w:tblLook w:val="04A0" w:firstRow="1" w:lastRow="0" w:firstColumn="1" w:lastColumn="0" w:noHBand="0" w:noVBand="1"/>
      </w:tblPr>
      <w:tblGrid>
        <w:gridCol w:w="1623"/>
        <w:gridCol w:w="2005"/>
        <w:gridCol w:w="1910"/>
        <w:gridCol w:w="1910"/>
        <w:gridCol w:w="1623"/>
      </w:tblGrid>
      <w:tr w:rsidR="00B87CAA" w14:paraId="49226BA9" w14:textId="77777777">
        <w:trPr>
          <w:jc w:val="center"/>
        </w:trPr>
        <w:tc>
          <w:tcPr>
            <w:tcW w:w="1623" w:type="dxa"/>
            <w:tcBorders>
              <w:top w:val="single" w:sz="4" w:space="0" w:color="999999"/>
              <w:left w:val="single" w:sz="4" w:space="0" w:color="999999"/>
              <w:bottom w:val="single" w:sz="4" w:space="0" w:color="999999"/>
              <w:right w:val="single" w:sz="4" w:space="0" w:color="999999"/>
            </w:tcBorders>
            <w:shd w:val="clear" w:color="auto" w:fill="EEEEEE"/>
          </w:tcPr>
          <w:p w14:paraId="7D9DC561" w14:textId="77777777" w:rsidR="00B87CAA" w:rsidRDefault="00F804C3" w:rsidP="0017016D">
            <w:pPr>
              <w:spacing w:after="40" w:line="240" w:lineRule="auto"/>
              <w:jc w:val="both"/>
            </w:pPr>
            <w:r>
              <w:rPr>
                <w:b/>
                <w:sz w:val="18"/>
              </w:rPr>
              <w:t>Method family</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28AA1007" w14:textId="77777777" w:rsidR="00B87CAA" w:rsidRDefault="00F804C3" w:rsidP="0017016D">
            <w:pPr>
              <w:spacing w:after="40" w:line="240" w:lineRule="auto"/>
              <w:jc w:val="both"/>
            </w:pPr>
            <w:r>
              <w:rPr>
                <w:b/>
                <w:sz w:val="18"/>
              </w:rPr>
              <w:t>Setting in which best supported</w:t>
            </w:r>
          </w:p>
        </w:tc>
        <w:tc>
          <w:tcPr>
            <w:tcW w:w="1910" w:type="dxa"/>
            <w:tcBorders>
              <w:top w:val="single" w:sz="4" w:space="0" w:color="999999"/>
              <w:left w:val="single" w:sz="4" w:space="0" w:color="999999"/>
              <w:bottom w:val="single" w:sz="4" w:space="0" w:color="999999"/>
              <w:right w:val="single" w:sz="4" w:space="0" w:color="999999"/>
            </w:tcBorders>
            <w:shd w:val="clear" w:color="auto" w:fill="EEEEEE"/>
          </w:tcPr>
          <w:p w14:paraId="1F35A4B4" w14:textId="77777777" w:rsidR="00B87CAA" w:rsidRDefault="00F804C3" w:rsidP="0017016D">
            <w:pPr>
              <w:spacing w:after="40" w:line="240" w:lineRule="auto"/>
              <w:jc w:val="both"/>
            </w:pPr>
            <w:r>
              <w:rPr>
                <w:b/>
                <w:sz w:val="18"/>
              </w:rPr>
              <w:t>Strength of evidence</w:t>
            </w:r>
          </w:p>
        </w:tc>
        <w:tc>
          <w:tcPr>
            <w:tcW w:w="1910" w:type="dxa"/>
            <w:tcBorders>
              <w:top w:val="single" w:sz="4" w:space="0" w:color="999999"/>
              <w:left w:val="single" w:sz="4" w:space="0" w:color="999999"/>
              <w:bottom w:val="single" w:sz="4" w:space="0" w:color="999999"/>
              <w:right w:val="single" w:sz="4" w:space="0" w:color="999999"/>
            </w:tcBorders>
            <w:shd w:val="clear" w:color="auto" w:fill="EEEEEE"/>
          </w:tcPr>
          <w:p w14:paraId="67FC3DCB" w14:textId="77777777" w:rsidR="00B87CAA" w:rsidRDefault="00F804C3" w:rsidP="0017016D">
            <w:pPr>
              <w:spacing w:after="40" w:line="240" w:lineRule="auto"/>
              <w:jc w:val="both"/>
            </w:pPr>
            <w:r>
              <w:rPr>
                <w:b/>
                <w:sz w:val="18"/>
              </w:rPr>
              <w:t>Principal qualification</w:t>
            </w:r>
          </w:p>
        </w:tc>
        <w:tc>
          <w:tcPr>
            <w:tcW w:w="1623" w:type="dxa"/>
            <w:tcBorders>
              <w:top w:val="single" w:sz="4" w:space="0" w:color="999999"/>
              <w:left w:val="single" w:sz="4" w:space="0" w:color="999999"/>
              <w:bottom w:val="single" w:sz="4" w:space="0" w:color="999999"/>
              <w:right w:val="single" w:sz="4" w:space="0" w:color="999999"/>
            </w:tcBorders>
            <w:shd w:val="clear" w:color="auto" w:fill="EEEEEE"/>
          </w:tcPr>
          <w:p w14:paraId="52DB7B9F" w14:textId="77777777" w:rsidR="00B87CAA" w:rsidRDefault="00F804C3" w:rsidP="0017016D">
            <w:pPr>
              <w:spacing w:after="40" w:line="240" w:lineRule="auto"/>
              <w:jc w:val="both"/>
            </w:pPr>
            <w:r>
              <w:rPr>
                <w:b/>
                <w:sz w:val="18"/>
              </w:rPr>
              <w:t>Supporting references</w:t>
            </w:r>
          </w:p>
        </w:tc>
      </w:tr>
      <w:tr w:rsidR="00B87CAA" w14:paraId="32B81255"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4889179F" w14:textId="77777777" w:rsidR="00B87CAA" w:rsidRDefault="00F804C3" w:rsidP="0017016D">
            <w:pPr>
              <w:spacing w:after="40" w:line="240" w:lineRule="auto"/>
              <w:jc w:val="both"/>
            </w:pPr>
            <w:r>
              <w:rPr>
                <w:sz w:val="18"/>
              </w:rPr>
              <w:t>Regularised parametric models</w:t>
            </w:r>
          </w:p>
        </w:tc>
        <w:tc>
          <w:tcPr>
            <w:tcW w:w="2005" w:type="dxa"/>
            <w:tcBorders>
              <w:top w:val="single" w:sz="4" w:space="0" w:color="999999"/>
              <w:left w:val="single" w:sz="4" w:space="0" w:color="999999"/>
              <w:bottom w:val="single" w:sz="4" w:space="0" w:color="999999"/>
              <w:right w:val="single" w:sz="4" w:space="0" w:color="999999"/>
            </w:tcBorders>
          </w:tcPr>
          <w:p w14:paraId="4E5C17D0" w14:textId="77777777" w:rsidR="00B87CAA" w:rsidRDefault="00F804C3" w:rsidP="0017016D">
            <w:pPr>
              <w:spacing w:after="40" w:line="240" w:lineRule="auto"/>
              <w:jc w:val="both"/>
            </w:pPr>
            <w:r>
              <w:rPr>
                <w:sz w:val="18"/>
              </w:rPr>
              <w:t>Regulated credit decisions requiring documented functional form; small samples; settings where justification standards are demanding</w:t>
            </w:r>
          </w:p>
        </w:tc>
        <w:tc>
          <w:tcPr>
            <w:tcW w:w="1910" w:type="dxa"/>
            <w:tcBorders>
              <w:top w:val="single" w:sz="4" w:space="0" w:color="999999"/>
              <w:left w:val="single" w:sz="4" w:space="0" w:color="999999"/>
              <w:bottom w:val="single" w:sz="4" w:space="0" w:color="999999"/>
              <w:right w:val="single" w:sz="4" w:space="0" w:color="999999"/>
            </w:tcBorders>
          </w:tcPr>
          <w:p w14:paraId="3E0A535D" w14:textId="77777777" w:rsidR="00B87CAA" w:rsidRDefault="00F804C3" w:rsidP="0017016D">
            <w:pPr>
              <w:spacing w:after="40" w:line="240" w:lineRule="auto"/>
              <w:jc w:val="both"/>
            </w:pPr>
            <w:r>
              <w:rPr>
                <w:sz w:val="18"/>
              </w:rPr>
              <w:t>Strong as a baseline. Outperformed on discrimination but never shown to be unusable</w:t>
            </w:r>
          </w:p>
        </w:tc>
        <w:tc>
          <w:tcPr>
            <w:tcW w:w="1910" w:type="dxa"/>
            <w:tcBorders>
              <w:top w:val="single" w:sz="4" w:space="0" w:color="999999"/>
              <w:left w:val="single" w:sz="4" w:space="0" w:color="999999"/>
              <w:bottom w:val="single" w:sz="4" w:space="0" w:color="999999"/>
              <w:right w:val="single" w:sz="4" w:space="0" w:color="999999"/>
            </w:tcBorders>
          </w:tcPr>
          <w:p w14:paraId="2D2CF798" w14:textId="77777777" w:rsidR="00B87CAA" w:rsidRDefault="00F804C3" w:rsidP="0017016D">
            <w:pPr>
              <w:spacing w:after="40" w:line="240" w:lineRule="auto"/>
              <w:jc w:val="both"/>
            </w:pPr>
            <w:r>
              <w:rPr>
                <w:sz w:val="18"/>
              </w:rPr>
              <w:t>Discrimination deficit relative to ensembles is consistent, though modest and dependent on the evaluation criterion applied</w:t>
            </w:r>
          </w:p>
        </w:tc>
        <w:tc>
          <w:tcPr>
            <w:tcW w:w="1623" w:type="dxa"/>
            <w:tcBorders>
              <w:top w:val="single" w:sz="4" w:space="0" w:color="999999"/>
              <w:left w:val="single" w:sz="4" w:space="0" w:color="999999"/>
              <w:bottom w:val="single" w:sz="4" w:space="0" w:color="999999"/>
              <w:right w:val="single" w:sz="4" w:space="0" w:color="999999"/>
            </w:tcBorders>
          </w:tcPr>
          <w:p w14:paraId="31234FC5" w14:textId="77777777" w:rsidR="00B87CAA" w:rsidRDefault="00F804C3" w:rsidP="0017016D">
            <w:pPr>
              <w:spacing w:after="40" w:line="240" w:lineRule="auto"/>
              <w:jc w:val="both"/>
            </w:pPr>
            <w:r w:rsidRPr="000A6B05">
              <w:rPr>
                <w:sz w:val="18"/>
                <w:lang w:val="nl-BE"/>
              </w:rPr>
              <w:t xml:space="preserve">Dumitrescu et al. (2022); Lessmann et al. </w:t>
            </w:r>
            <w:r>
              <w:rPr>
                <w:sz w:val="18"/>
              </w:rPr>
              <w:t>(2015)</w:t>
            </w:r>
          </w:p>
        </w:tc>
      </w:tr>
      <w:tr w:rsidR="00B87CAA" w14:paraId="23B49440"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AA41195" w14:textId="77777777" w:rsidR="00B87CAA" w:rsidRDefault="00F804C3" w:rsidP="0017016D">
            <w:pPr>
              <w:spacing w:after="40" w:line="240" w:lineRule="auto"/>
              <w:jc w:val="both"/>
            </w:pPr>
            <w:r>
              <w:rPr>
                <w:sz w:val="18"/>
              </w:rPr>
              <w:t>Tree ensembles, principally gradient boosting</w:t>
            </w:r>
          </w:p>
        </w:tc>
        <w:tc>
          <w:tcPr>
            <w:tcW w:w="2005" w:type="dxa"/>
            <w:tcBorders>
              <w:top w:val="single" w:sz="4" w:space="0" w:color="999999"/>
              <w:left w:val="single" w:sz="4" w:space="0" w:color="999999"/>
              <w:bottom w:val="single" w:sz="4" w:space="0" w:color="999999"/>
              <w:right w:val="single" w:sz="4" w:space="0" w:color="999999"/>
            </w:tcBorders>
          </w:tcPr>
          <w:p w14:paraId="63435EA3" w14:textId="77777777" w:rsidR="00B87CAA" w:rsidRDefault="00F804C3" w:rsidP="0017016D">
            <w:pPr>
              <w:spacing w:after="40" w:line="240" w:lineRule="auto"/>
              <w:jc w:val="both"/>
            </w:pPr>
            <w:r>
              <w:rPr>
                <w:sz w:val="18"/>
              </w:rPr>
              <w:t>Tabular application and behavioural data in retail credit, fraud and institutional failure prediction</w:t>
            </w:r>
          </w:p>
        </w:tc>
        <w:tc>
          <w:tcPr>
            <w:tcW w:w="1910" w:type="dxa"/>
            <w:tcBorders>
              <w:top w:val="single" w:sz="4" w:space="0" w:color="999999"/>
              <w:left w:val="single" w:sz="4" w:space="0" w:color="999999"/>
              <w:bottom w:val="single" w:sz="4" w:space="0" w:color="999999"/>
              <w:right w:val="single" w:sz="4" w:space="0" w:color="999999"/>
            </w:tcBorders>
          </w:tcPr>
          <w:p w14:paraId="2A92876E" w14:textId="77777777" w:rsidR="00B87CAA" w:rsidRDefault="00F804C3" w:rsidP="0017016D">
            <w:pPr>
              <w:spacing w:after="40" w:line="240" w:lineRule="auto"/>
              <w:jc w:val="both"/>
            </w:pPr>
            <w:r>
              <w:rPr>
                <w:sz w:val="18"/>
              </w:rPr>
              <w:t>Strong and repeatedly replicated across datasets and jurisdictions</w:t>
            </w:r>
          </w:p>
        </w:tc>
        <w:tc>
          <w:tcPr>
            <w:tcW w:w="1910" w:type="dxa"/>
            <w:tcBorders>
              <w:top w:val="single" w:sz="4" w:space="0" w:color="999999"/>
              <w:left w:val="single" w:sz="4" w:space="0" w:color="999999"/>
              <w:bottom w:val="single" w:sz="4" w:space="0" w:color="999999"/>
              <w:right w:val="single" w:sz="4" w:space="0" w:color="999999"/>
            </w:tcBorders>
          </w:tcPr>
          <w:p w14:paraId="5262563C" w14:textId="77777777" w:rsidR="00B87CAA" w:rsidRDefault="00F804C3" w:rsidP="0017016D">
            <w:pPr>
              <w:spacing w:after="40" w:line="240" w:lineRule="auto"/>
              <w:jc w:val="both"/>
            </w:pPr>
            <w:r>
              <w:rPr>
                <w:sz w:val="18"/>
              </w:rPr>
              <w:t>Ordering within the ensemble family is unstable across datasets, tuning budgets and metrics; opacity raises justification requirements</w:t>
            </w:r>
          </w:p>
        </w:tc>
        <w:tc>
          <w:tcPr>
            <w:tcW w:w="1623" w:type="dxa"/>
            <w:tcBorders>
              <w:top w:val="single" w:sz="4" w:space="0" w:color="999999"/>
              <w:left w:val="single" w:sz="4" w:space="0" w:color="999999"/>
              <w:bottom w:val="single" w:sz="4" w:space="0" w:color="999999"/>
              <w:right w:val="single" w:sz="4" w:space="0" w:color="999999"/>
            </w:tcBorders>
          </w:tcPr>
          <w:p w14:paraId="21931C62" w14:textId="77777777" w:rsidR="00B87CAA" w:rsidRDefault="00F804C3" w:rsidP="0017016D">
            <w:pPr>
              <w:spacing w:after="40" w:line="240" w:lineRule="auto"/>
              <w:jc w:val="both"/>
            </w:pPr>
            <w:r>
              <w:rPr>
                <w:sz w:val="18"/>
              </w:rPr>
              <w:t>Bank of England &amp; Financial Conduct Authority (2024); Gunnarsson et al. (2021); Jiang et al. (2023); Lessmann et al. (2015); Petropoulos et al. (2020)</w:t>
            </w:r>
          </w:p>
        </w:tc>
      </w:tr>
      <w:tr w:rsidR="00B87CAA" w14:paraId="4EB10BDC"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61A81B03" w14:textId="77777777" w:rsidR="00B87CAA" w:rsidRDefault="00F804C3" w:rsidP="0017016D">
            <w:pPr>
              <w:spacing w:after="40" w:line="240" w:lineRule="auto"/>
              <w:jc w:val="both"/>
            </w:pPr>
            <w:r>
              <w:rPr>
                <w:sz w:val="18"/>
              </w:rPr>
              <w:t>Hybrid interpretable models</w:t>
            </w:r>
          </w:p>
        </w:tc>
        <w:tc>
          <w:tcPr>
            <w:tcW w:w="2005" w:type="dxa"/>
            <w:tcBorders>
              <w:top w:val="single" w:sz="4" w:space="0" w:color="999999"/>
              <w:left w:val="single" w:sz="4" w:space="0" w:color="999999"/>
              <w:bottom w:val="single" w:sz="4" w:space="0" w:color="999999"/>
              <w:right w:val="single" w:sz="4" w:space="0" w:color="999999"/>
            </w:tcBorders>
          </w:tcPr>
          <w:p w14:paraId="09213209" w14:textId="77777777" w:rsidR="00B87CAA" w:rsidRDefault="00F804C3" w:rsidP="0017016D">
            <w:pPr>
              <w:spacing w:after="40" w:line="240" w:lineRule="auto"/>
              <w:jc w:val="both"/>
            </w:pPr>
            <w:r>
              <w:rPr>
                <w:sz w:val="18"/>
              </w:rPr>
              <w:t>Credit decisions where non-linearity is material and the parametric form must be retained for justification</w:t>
            </w:r>
          </w:p>
        </w:tc>
        <w:tc>
          <w:tcPr>
            <w:tcW w:w="1910" w:type="dxa"/>
            <w:tcBorders>
              <w:top w:val="single" w:sz="4" w:space="0" w:color="999999"/>
              <w:left w:val="single" w:sz="4" w:space="0" w:color="999999"/>
              <w:bottom w:val="single" w:sz="4" w:space="0" w:color="999999"/>
              <w:right w:val="single" w:sz="4" w:space="0" w:color="999999"/>
            </w:tcBorders>
          </w:tcPr>
          <w:p w14:paraId="598944FB" w14:textId="77777777" w:rsidR="00B87CAA" w:rsidRDefault="00F804C3" w:rsidP="0017016D">
            <w:pPr>
              <w:spacing w:after="40" w:line="240" w:lineRule="auto"/>
              <w:jc w:val="both"/>
            </w:pPr>
            <w:r>
              <w:rPr>
                <w:sz w:val="18"/>
              </w:rPr>
              <w:t>Moderate. Demonstrated on simulated and multiple real credit datasets; fewer independent replications than for ensembles</w:t>
            </w:r>
          </w:p>
        </w:tc>
        <w:tc>
          <w:tcPr>
            <w:tcW w:w="1910" w:type="dxa"/>
            <w:tcBorders>
              <w:top w:val="single" w:sz="4" w:space="0" w:color="999999"/>
              <w:left w:val="single" w:sz="4" w:space="0" w:color="999999"/>
              <w:bottom w:val="single" w:sz="4" w:space="0" w:color="999999"/>
              <w:right w:val="single" w:sz="4" w:space="0" w:color="999999"/>
            </w:tcBorders>
          </w:tcPr>
          <w:p w14:paraId="0228367E" w14:textId="77777777" w:rsidR="00B87CAA" w:rsidRDefault="00F804C3" w:rsidP="0017016D">
            <w:pPr>
              <w:spacing w:after="40" w:line="240" w:lineRule="auto"/>
              <w:jc w:val="both"/>
            </w:pPr>
            <w:r>
              <w:rPr>
                <w:sz w:val="18"/>
              </w:rPr>
              <w:t>Advantage depends on the degree of non-linearity present; performance relative to ensembles is competitive rather than superior</w:t>
            </w:r>
          </w:p>
        </w:tc>
        <w:tc>
          <w:tcPr>
            <w:tcW w:w="1623" w:type="dxa"/>
            <w:tcBorders>
              <w:top w:val="single" w:sz="4" w:space="0" w:color="999999"/>
              <w:left w:val="single" w:sz="4" w:space="0" w:color="999999"/>
              <w:bottom w:val="single" w:sz="4" w:space="0" w:color="999999"/>
              <w:right w:val="single" w:sz="4" w:space="0" w:color="999999"/>
            </w:tcBorders>
          </w:tcPr>
          <w:p w14:paraId="5BBF2310" w14:textId="77777777" w:rsidR="00B87CAA" w:rsidRDefault="00F804C3" w:rsidP="0017016D">
            <w:pPr>
              <w:spacing w:after="40" w:line="240" w:lineRule="auto"/>
              <w:jc w:val="both"/>
            </w:pPr>
            <w:r w:rsidRPr="000A6B05">
              <w:rPr>
                <w:sz w:val="18"/>
                <w:lang w:val="nl-BE"/>
              </w:rPr>
              <w:t xml:space="preserve">Chen et al. (2024); Dumitrescu et al. </w:t>
            </w:r>
            <w:r>
              <w:rPr>
                <w:sz w:val="18"/>
              </w:rPr>
              <w:t>(2022)</w:t>
            </w:r>
          </w:p>
        </w:tc>
      </w:tr>
      <w:tr w:rsidR="00B87CAA" w14:paraId="306B30A3"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7920C8BE" w14:textId="77777777" w:rsidR="00B87CAA" w:rsidRDefault="00F804C3" w:rsidP="0017016D">
            <w:pPr>
              <w:spacing w:after="40" w:line="240" w:lineRule="auto"/>
              <w:jc w:val="both"/>
            </w:pPr>
            <w:r>
              <w:rPr>
                <w:sz w:val="18"/>
              </w:rPr>
              <w:t>Deep architectures on tabular data</w:t>
            </w:r>
          </w:p>
        </w:tc>
        <w:tc>
          <w:tcPr>
            <w:tcW w:w="2005" w:type="dxa"/>
            <w:tcBorders>
              <w:top w:val="single" w:sz="4" w:space="0" w:color="999999"/>
              <w:left w:val="single" w:sz="4" w:space="0" w:color="999999"/>
              <w:bottom w:val="single" w:sz="4" w:space="0" w:color="999999"/>
              <w:right w:val="single" w:sz="4" w:space="0" w:color="999999"/>
            </w:tcBorders>
          </w:tcPr>
          <w:p w14:paraId="79C20859" w14:textId="77777777" w:rsidR="00B87CAA" w:rsidRDefault="00F804C3" w:rsidP="0017016D">
            <w:pPr>
              <w:spacing w:after="40" w:line="240" w:lineRule="auto"/>
              <w:jc w:val="both"/>
            </w:pPr>
            <w:r>
              <w:rPr>
                <w:sz w:val="18"/>
              </w:rPr>
              <w:t>Not established for this setting</w:t>
            </w:r>
          </w:p>
        </w:tc>
        <w:tc>
          <w:tcPr>
            <w:tcW w:w="1910" w:type="dxa"/>
            <w:tcBorders>
              <w:top w:val="single" w:sz="4" w:space="0" w:color="999999"/>
              <w:left w:val="single" w:sz="4" w:space="0" w:color="999999"/>
              <w:bottom w:val="single" w:sz="4" w:space="0" w:color="999999"/>
              <w:right w:val="single" w:sz="4" w:space="0" w:color="999999"/>
            </w:tcBorders>
          </w:tcPr>
          <w:p w14:paraId="23C72AC1" w14:textId="77777777" w:rsidR="00B87CAA" w:rsidRDefault="00F804C3" w:rsidP="0017016D">
            <w:pPr>
              <w:spacing w:after="40" w:line="240" w:lineRule="auto"/>
              <w:jc w:val="both"/>
            </w:pPr>
            <w:r>
              <w:rPr>
                <w:sz w:val="18"/>
              </w:rPr>
              <w:t>Negative finding, systematically tested with statistical comparison</w:t>
            </w:r>
          </w:p>
        </w:tc>
        <w:tc>
          <w:tcPr>
            <w:tcW w:w="1910" w:type="dxa"/>
            <w:tcBorders>
              <w:top w:val="single" w:sz="4" w:space="0" w:color="999999"/>
              <w:left w:val="single" w:sz="4" w:space="0" w:color="999999"/>
              <w:bottom w:val="single" w:sz="4" w:space="0" w:color="999999"/>
              <w:right w:val="single" w:sz="4" w:space="0" w:color="999999"/>
            </w:tcBorders>
          </w:tcPr>
          <w:p w14:paraId="2AC001A9" w14:textId="77777777" w:rsidR="00B87CAA" w:rsidRDefault="00F804C3" w:rsidP="0017016D">
            <w:pPr>
              <w:spacing w:after="40" w:line="240" w:lineRule="auto"/>
              <w:jc w:val="both"/>
            </w:pPr>
            <w:r>
              <w:rPr>
                <w:sz w:val="18"/>
              </w:rPr>
              <w:t>Applies to fixed-length application vectors; should not be extended to sequential or textual inputs</w:t>
            </w:r>
          </w:p>
        </w:tc>
        <w:tc>
          <w:tcPr>
            <w:tcW w:w="1623" w:type="dxa"/>
            <w:tcBorders>
              <w:top w:val="single" w:sz="4" w:space="0" w:color="999999"/>
              <w:left w:val="single" w:sz="4" w:space="0" w:color="999999"/>
              <w:bottom w:val="single" w:sz="4" w:space="0" w:color="999999"/>
              <w:right w:val="single" w:sz="4" w:space="0" w:color="999999"/>
            </w:tcBorders>
          </w:tcPr>
          <w:p w14:paraId="230C782E" w14:textId="77777777" w:rsidR="00B87CAA" w:rsidRDefault="00F804C3" w:rsidP="0017016D">
            <w:pPr>
              <w:spacing w:after="40" w:line="240" w:lineRule="auto"/>
              <w:jc w:val="both"/>
            </w:pPr>
            <w:r>
              <w:rPr>
                <w:sz w:val="18"/>
              </w:rPr>
              <w:t>Gunnarsson et al. (2021); Hayashi (2022)</w:t>
            </w:r>
          </w:p>
        </w:tc>
      </w:tr>
      <w:tr w:rsidR="00B87CAA" w14:paraId="056B11A5"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1B35B256" w14:textId="77777777" w:rsidR="00B87CAA" w:rsidRDefault="00F804C3" w:rsidP="0017016D">
            <w:pPr>
              <w:spacing w:after="40" w:line="240" w:lineRule="auto"/>
              <w:jc w:val="both"/>
            </w:pPr>
            <w:r>
              <w:rPr>
                <w:sz w:val="18"/>
              </w:rPr>
              <w:t>Deep architectures on sequential and textual data</w:t>
            </w:r>
          </w:p>
        </w:tc>
        <w:tc>
          <w:tcPr>
            <w:tcW w:w="2005" w:type="dxa"/>
            <w:tcBorders>
              <w:top w:val="single" w:sz="4" w:space="0" w:color="999999"/>
              <w:left w:val="single" w:sz="4" w:space="0" w:color="999999"/>
              <w:bottom w:val="single" w:sz="4" w:space="0" w:color="999999"/>
              <w:right w:val="single" w:sz="4" w:space="0" w:color="999999"/>
            </w:tcBorders>
          </w:tcPr>
          <w:p w14:paraId="76074DE7" w14:textId="77777777" w:rsidR="00B87CAA" w:rsidRDefault="00F804C3" w:rsidP="0017016D">
            <w:pPr>
              <w:spacing w:after="40" w:line="240" w:lineRule="auto"/>
              <w:jc w:val="both"/>
            </w:pPr>
            <w:r>
              <w:rPr>
                <w:sz w:val="18"/>
              </w:rPr>
              <w:t>Transaction sequences; borrower-written text; unstructured documentation</w:t>
            </w:r>
          </w:p>
        </w:tc>
        <w:tc>
          <w:tcPr>
            <w:tcW w:w="1910" w:type="dxa"/>
            <w:tcBorders>
              <w:top w:val="single" w:sz="4" w:space="0" w:color="999999"/>
              <w:left w:val="single" w:sz="4" w:space="0" w:color="999999"/>
              <w:bottom w:val="single" w:sz="4" w:space="0" w:color="999999"/>
              <w:right w:val="single" w:sz="4" w:space="0" w:color="999999"/>
            </w:tcBorders>
          </w:tcPr>
          <w:p w14:paraId="11448DC2" w14:textId="77777777" w:rsidR="00B87CAA" w:rsidRDefault="00F804C3" w:rsidP="0017016D">
            <w:pPr>
              <w:spacing w:after="40" w:line="240" w:lineRule="auto"/>
              <w:jc w:val="both"/>
            </w:pPr>
            <w:r>
              <w:rPr>
                <w:sz w:val="18"/>
              </w:rPr>
              <w:t>Moderate and growing. Architecture confers a structural advantage that feature engineering does not replicate</w:t>
            </w:r>
          </w:p>
        </w:tc>
        <w:tc>
          <w:tcPr>
            <w:tcW w:w="1910" w:type="dxa"/>
            <w:tcBorders>
              <w:top w:val="single" w:sz="4" w:space="0" w:color="999999"/>
              <w:left w:val="single" w:sz="4" w:space="0" w:color="999999"/>
              <w:bottom w:val="single" w:sz="4" w:space="0" w:color="999999"/>
              <w:right w:val="single" w:sz="4" w:space="0" w:color="999999"/>
            </w:tcBorders>
          </w:tcPr>
          <w:p w14:paraId="0DFF0241" w14:textId="77777777" w:rsidR="00B87CAA" w:rsidRDefault="00F804C3" w:rsidP="0017016D">
            <w:pPr>
              <w:spacing w:after="40" w:line="240" w:lineRule="auto"/>
              <w:jc w:val="both"/>
            </w:pPr>
            <w:r>
              <w:rPr>
                <w:sz w:val="18"/>
              </w:rPr>
              <w:t>Few studies; institutional data rarely available; explanation requirements are more demanding than for tabular models</w:t>
            </w:r>
          </w:p>
        </w:tc>
        <w:tc>
          <w:tcPr>
            <w:tcW w:w="1623" w:type="dxa"/>
            <w:tcBorders>
              <w:top w:val="single" w:sz="4" w:space="0" w:color="999999"/>
              <w:left w:val="single" w:sz="4" w:space="0" w:color="999999"/>
              <w:bottom w:val="single" w:sz="4" w:space="0" w:color="999999"/>
              <w:right w:val="single" w:sz="4" w:space="0" w:color="999999"/>
            </w:tcBorders>
          </w:tcPr>
          <w:p w14:paraId="0B0622A0" w14:textId="77777777" w:rsidR="00B87CAA" w:rsidRDefault="00F804C3" w:rsidP="0017016D">
            <w:pPr>
              <w:spacing w:after="40" w:line="240" w:lineRule="auto"/>
              <w:jc w:val="both"/>
            </w:pPr>
            <w:r w:rsidRPr="000A6B05">
              <w:rPr>
                <w:sz w:val="18"/>
                <w:lang w:val="nl-BE"/>
              </w:rPr>
              <w:t xml:space="preserve">Kriebel &amp; Stitz (2022); Mienye et al. </w:t>
            </w:r>
            <w:r>
              <w:rPr>
                <w:sz w:val="18"/>
              </w:rPr>
              <w:t>(2024); Talaat et al. (2024)</w:t>
            </w:r>
          </w:p>
        </w:tc>
      </w:tr>
      <w:tr w:rsidR="00B87CAA" w14:paraId="4811437B"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77909F49" w14:textId="77777777" w:rsidR="00B87CAA" w:rsidRDefault="00F804C3" w:rsidP="0017016D">
            <w:pPr>
              <w:spacing w:after="40" w:line="240" w:lineRule="auto"/>
              <w:jc w:val="both"/>
            </w:pPr>
            <w:r>
              <w:rPr>
                <w:sz w:val="18"/>
              </w:rPr>
              <w:t>Unsupervised and hybrid anomaly detection</w:t>
            </w:r>
          </w:p>
        </w:tc>
        <w:tc>
          <w:tcPr>
            <w:tcW w:w="2005" w:type="dxa"/>
            <w:tcBorders>
              <w:top w:val="single" w:sz="4" w:space="0" w:color="999999"/>
              <w:left w:val="single" w:sz="4" w:space="0" w:color="999999"/>
              <w:bottom w:val="single" w:sz="4" w:space="0" w:color="999999"/>
              <w:right w:val="single" w:sz="4" w:space="0" w:color="999999"/>
            </w:tcBorders>
          </w:tcPr>
          <w:p w14:paraId="023BA424" w14:textId="77777777" w:rsidR="00B87CAA" w:rsidRDefault="00F804C3" w:rsidP="0017016D">
            <w:pPr>
              <w:spacing w:after="40" w:line="240" w:lineRule="auto"/>
              <w:jc w:val="both"/>
            </w:pPr>
            <w:r>
              <w:rPr>
                <w:sz w:val="18"/>
              </w:rPr>
              <w:t>Fraud and transaction monitoring where labelled history does not cover emerging patterns</w:t>
            </w:r>
          </w:p>
        </w:tc>
        <w:tc>
          <w:tcPr>
            <w:tcW w:w="1910" w:type="dxa"/>
            <w:tcBorders>
              <w:top w:val="single" w:sz="4" w:space="0" w:color="999999"/>
              <w:left w:val="single" w:sz="4" w:space="0" w:color="999999"/>
              <w:bottom w:val="single" w:sz="4" w:space="0" w:color="999999"/>
              <w:right w:val="single" w:sz="4" w:space="0" w:color="999999"/>
            </w:tcBorders>
          </w:tcPr>
          <w:p w14:paraId="4514ACDB" w14:textId="77777777" w:rsidR="00B87CAA" w:rsidRDefault="00F804C3" w:rsidP="0017016D">
            <w:pPr>
              <w:spacing w:after="40" w:line="240" w:lineRule="auto"/>
              <w:jc w:val="both"/>
            </w:pPr>
            <w:r>
              <w:rPr>
                <w:sz w:val="18"/>
              </w:rPr>
              <w:t>Moderate. Demonstrated on operating-institution data</w:t>
            </w:r>
          </w:p>
        </w:tc>
        <w:tc>
          <w:tcPr>
            <w:tcW w:w="1910" w:type="dxa"/>
            <w:tcBorders>
              <w:top w:val="single" w:sz="4" w:space="0" w:color="999999"/>
              <w:left w:val="single" w:sz="4" w:space="0" w:color="999999"/>
              <w:bottom w:val="single" w:sz="4" w:space="0" w:color="999999"/>
              <w:right w:val="single" w:sz="4" w:space="0" w:color="999999"/>
            </w:tcBorders>
          </w:tcPr>
          <w:p w14:paraId="453814BE" w14:textId="77777777" w:rsidR="00B87CAA" w:rsidRDefault="00F804C3" w:rsidP="0017016D">
            <w:pPr>
              <w:spacing w:after="40" w:line="240" w:lineRule="auto"/>
              <w:jc w:val="both"/>
            </w:pPr>
            <w:r>
              <w:rPr>
                <w:sz w:val="18"/>
              </w:rPr>
              <w:t>Alert volume rather than detection rate is frequently the binding constraint; evaluation standards are not comparable across studies</w:t>
            </w:r>
          </w:p>
        </w:tc>
        <w:tc>
          <w:tcPr>
            <w:tcW w:w="1623" w:type="dxa"/>
            <w:tcBorders>
              <w:top w:val="single" w:sz="4" w:space="0" w:color="999999"/>
              <w:left w:val="single" w:sz="4" w:space="0" w:color="999999"/>
              <w:bottom w:val="single" w:sz="4" w:space="0" w:color="999999"/>
              <w:right w:val="single" w:sz="4" w:space="0" w:color="999999"/>
            </w:tcBorders>
          </w:tcPr>
          <w:p w14:paraId="13809CEF" w14:textId="77777777" w:rsidR="00B87CAA" w:rsidRDefault="00F804C3" w:rsidP="0017016D">
            <w:pPr>
              <w:spacing w:after="40" w:line="240" w:lineRule="auto"/>
              <w:jc w:val="both"/>
            </w:pPr>
            <w:r w:rsidRPr="000A6B05">
              <w:rPr>
                <w:sz w:val="18"/>
                <w:lang w:val="nl-BE"/>
              </w:rPr>
              <w:t xml:space="preserve">Carcillo et al. (2021); Dal Pozzolo et al. </w:t>
            </w:r>
            <w:r>
              <w:rPr>
                <w:sz w:val="18"/>
              </w:rPr>
              <w:t>(2018); Vanini et al. (2023)</w:t>
            </w:r>
          </w:p>
        </w:tc>
      </w:tr>
      <w:tr w:rsidR="00B87CAA" w14:paraId="3580774F"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956AA89" w14:textId="77777777" w:rsidR="00B87CAA" w:rsidRDefault="00F804C3" w:rsidP="0017016D">
            <w:pPr>
              <w:spacing w:after="40" w:line="240" w:lineRule="auto"/>
              <w:jc w:val="both"/>
            </w:pPr>
            <w:r>
              <w:rPr>
                <w:sz w:val="18"/>
              </w:rPr>
              <w:t>Network and relational methods</w:t>
            </w:r>
          </w:p>
        </w:tc>
        <w:tc>
          <w:tcPr>
            <w:tcW w:w="2005" w:type="dxa"/>
            <w:tcBorders>
              <w:top w:val="single" w:sz="4" w:space="0" w:color="999999"/>
              <w:left w:val="single" w:sz="4" w:space="0" w:color="999999"/>
              <w:bottom w:val="single" w:sz="4" w:space="0" w:color="999999"/>
              <w:right w:val="single" w:sz="4" w:space="0" w:color="999999"/>
            </w:tcBorders>
          </w:tcPr>
          <w:p w14:paraId="6CD93657" w14:textId="77777777" w:rsidR="00B87CAA" w:rsidRDefault="00F804C3" w:rsidP="0017016D">
            <w:pPr>
              <w:spacing w:after="40" w:line="240" w:lineRule="auto"/>
              <w:jc w:val="both"/>
            </w:pPr>
            <w:r>
              <w:rPr>
                <w:sz w:val="18"/>
              </w:rPr>
              <w:t>Credit assessment using call or transaction networks; monitoring of connected entities</w:t>
            </w:r>
          </w:p>
        </w:tc>
        <w:tc>
          <w:tcPr>
            <w:tcW w:w="1910" w:type="dxa"/>
            <w:tcBorders>
              <w:top w:val="single" w:sz="4" w:space="0" w:color="999999"/>
              <w:left w:val="single" w:sz="4" w:space="0" w:color="999999"/>
              <w:bottom w:val="single" w:sz="4" w:space="0" w:color="999999"/>
              <w:right w:val="single" w:sz="4" w:space="0" w:color="999999"/>
            </w:tcBorders>
          </w:tcPr>
          <w:p w14:paraId="64068903" w14:textId="77777777" w:rsidR="00B87CAA" w:rsidRDefault="00F804C3" w:rsidP="0017016D">
            <w:pPr>
              <w:spacing w:after="40" w:line="240" w:lineRule="auto"/>
              <w:jc w:val="both"/>
            </w:pPr>
            <w:r>
              <w:rPr>
                <w:sz w:val="18"/>
              </w:rPr>
              <w:t xml:space="preserve">Moderate. Reported gains in both discrimination and profit on combined </w:t>
            </w:r>
            <w:r>
              <w:rPr>
                <w:sz w:val="18"/>
              </w:rPr>
              <w:lastRenderedPageBreak/>
              <w:t>institutional datasets</w:t>
            </w:r>
          </w:p>
        </w:tc>
        <w:tc>
          <w:tcPr>
            <w:tcW w:w="1910" w:type="dxa"/>
            <w:tcBorders>
              <w:top w:val="single" w:sz="4" w:space="0" w:color="999999"/>
              <w:left w:val="single" w:sz="4" w:space="0" w:color="999999"/>
              <w:bottom w:val="single" w:sz="4" w:space="0" w:color="999999"/>
              <w:right w:val="single" w:sz="4" w:space="0" w:color="999999"/>
            </w:tcBorders>
          </w:tcPr>
          <w:p w14:paraId="69C31706" w14:textId="77777777" w:rsidR="00B87CAA" w:rsidRDefault="00F804C3" w:rsidP="0017016D">
            <w:pPr>
              <w:spacing w:after="40" w:line="240" w:lineRule="auto"/>
              <w:jc w:val="both"/>
            </w:pPr>
            <w:r>
              <w:rPr>
                <w:sz w:val="18"/>
              </w:rPr>
              <w:lastRenderedPageBreak/>
              <w:t xml:space="preserve">Data availability is exceptional rather than typical; privacy and consent constraints </w:t>
            </w:r>
            <w:r>
              <w:rPr>
                <w:sz w:val="18"/>
              </w:rPr>
              <w:lastRenderedPageBreak/>
              <w:t>limit transferability</w:t>
            </w:r>
          </w:p>
        </w:tc>
        <w:tc>
          <w:tcPr>
            <w:tcW w:w="1623" w:type="dxa"/>
            <w:tcBorders>
              <w:top w:val="single" w:sz="4" w:space="0" w:color="999999"/>
              <w:left w:val="single" w:sz="4" w:space="0" w:color="999999"/>
              <w:bottom w:val="single" w:sz="4" w:space="0" w:color="999999"/>
              <w:right w:val="single" w:sz="4" w:space="0" w:color="999999"/>
            </w:tcBorders>
          </w:tcPr>
          <w:p w14:paraId="7C572056" w14:textId="77777777" w:rsidR="00B87CAA" w:rsidRDefault="00F804C3" w:rsidP="0017016D">
            <w:pPr>
              <w:spacing w:after="40" w:line="240" w:lineRule="auto"/>
              <w:jc w:val="both"/>
            </w:pPr>
            <w:r w:rsidRPr="000A6B05">
              <w:rPr>
                <w:sz w:val="18"/>
                <w:lang w:val="nl-BE"/>
              </w:rPr>
              <w:lastRenderedPageBreak/>
              <w:t xml:space="preserve">Kou et al. (2019); Óskarsdóttir et al. </w:t>
            </w:r>
            <w:r>
              <w:rPr>
                <w:sz w:val="18"/>
              </w:rPr>
              <w:t>(2019)</w:t>
            </w:r>
          </w:p>
        </w:tc>
      </w:tr>
    </w:tbl>
    <w:p w14:paraId="1C6DD31D" w14:textId="77777777" w:rsidR="00B87CAA" w:rsidRDefault="00F804C3" w:rsidP="0017016D">
      <w:pPr>
        <w:spacing w:before="80" w:after="240" w:line="240" w:lineRule="auto"/>
        <w:jc w:val="both"/>
      </w:pPr>
      <w:r>
        <w:rPr>
          <w:sz w:val="18"/>
        </w:rPr>
        <w:t>Note. Strength of evidence refers to the number of independent evaluations, the diversity of data on which they rest and the rigour of the comparison, appraised as described in Section 2.6. Settings are stated at the level of data structure and decision context rather than by product.</w:t>
      </w:r>
    </w:p>
    <w:p w14:paraId="3C48C8F7" w14:textId="77777777" w:rsidR="00B87CAA" w:rsidRDefault="00F804C3" w:rsidP="0017016D">
      <w:pPr>
        <w:spacing w:before="280" w:line="276" w:lineRule="auto"/>
        <w:jc w:val="both"/>
      </w:pPr>
      <w:r>
        <w:rPr>
          <w:b/>
          <w:sz w:val="26"/>
        </w:rPr>
        <w:t>5. Recurrent Methodological Weaknesses</w:t>
      </w:r>
    </w:p>
    <w:p w14:paraId="4F5285DE" w14:textId="77777777" w:rsidR="00B87CAA" w:rsidRDefault="00F804C3" w:rsidP="0017016D">
      <w:pPr>
        <w:jc w:val="both"/>
      </w:pPr>
      <w:r>
        <w:t>The performance claims surveyed above are generated by research practices that vary widely in rigour. Four weaknesses recur with sufficient frequency to affect the interpretation of the literature as a whole.</w:t>
      </w:r>
    </w:p>
    <w:p w14:paraId="2BE68332" w14:textId="77777777" w:rsidR="00B87CAA" w:rsidRDefault="00F804C3" w:rsidP="0017016D">
      <w:pPr>
        <w:spacing w:before="200" w:after="100" w:line="276" w:lineRule="auto"/>
        <w:jc w:val="both"/>
      </w:pPr>
      <w:r>
        <w:rPr>
          <w:b/>
          <w:i/>
        </w:rPr>
        <w:t>5.1 Evaluation criteria detached from banking objectives</w:t>
      </w:r>
    </w:p>
    <w:p w14:paraId="4543DE12" w14:textId="77777777" w:rsidR="00B87CAA" w:rsidRDefault="00F804C3" w:rsidP="0017016D">
      <w:pPr>
        <w:jc w:val="both"/>
      </w:pPr>
      <w:r>
        <w:t>The dominant evaluation measure in credit scoring research is the area under the receiver operating characteristic curve, which summarises ranking quality across all decision thresholds. Banks do not operate across all thresholds. They set a cut-off, accept above it, and realise a return determined by the interest earned on accepted accounts that perform, the loss incurred on those that do not, and the opportunity cost of applicants declined. A model that ranks well overall may rank poorly in the region of the cut-off where decisions are actually made, and two models with indistinguishable area under the curve may differ materially in portfolio return.</w:t>
      </w:r>
    </w:p>
    <w:p w14:paraId="57AB2843" w14:textId="77777777" w:rsidR="00B87CAA" w:rsidRDefault="00F804C3" w:rsidP="0017016D">
      <w:pPr>
        <w:jc w:val="both"/>
      </w:pPr>
      <w:r>
        <w:t>A minority literature has taken this seriously. Lessmann et al. (2015) assessed the financial impact of alternative scorecards alongside statistical accuracy. Kozodoi et al. (2019) developed profit-driven feature selection using a multi-objective formulation, making the economic objective explicit at the model construction stage rather than at evaluation. Krivorotov (2023) modelled profit directly in credit card underwriting. Óskarsdóttir et al. (2019) reported profit alongside discrimination and found that the ranking of alternatives could differ between the two. The existence of this literature demonstrates that profit-aware evaluation is feasible; its minority status demonstrates that the field has not adopted it. The practical consequence is that a substantial proportion of reported performance improvements cannot be interpreted as improvements in lending outcomes, and should not be described as such.</w:t>
      </w:r>
    </w:p>
    <w:p w14:paraId="5C34765E" w14:textId="77777777" w:rsidR="00B87CAA" w:rsidRDefault="00F804C3" w:rsidP="0017016D">
      <w:pPr>
        <w:spacing w:before="200" w:after="100" w:line="276" w:lineRule="auto"/>
        <w:jc w:val="both"/>
      </w:pPr>
      <w:r>
        <w:rPr>
          <w:b/>
          <w:i/>
        </w:rPr>
        <w:t>5.2 Class imbalance, temporal validity and leakage</w:t>
      </w:r>
    </w:p>
    <w:p w14:paraId="63ADE0CB" w14:textId="77777777" w:rsidR="00B87CAA" w:rsidRDefault="00F804C3" w:rsidP="0017016D">
      <w:pPr>
        <w:jc w:val="both"/>
      </w:pPr>
      <w:r>
        <w:t xml:space="preserve">Default and fraud are rare events, and the handling of the resulting class imbalance is frequently informal. Resampling is often applied without clear statement of whether it was applied before or after the validation split, a distinction that determines whether reported performance is contaminated. Jiang et al. (2023) benchmarked imbalanced data learning </w:t>
      </w:r>
      <w:r>
        <w:lastRenderedPageBreak/>
        <w:t>approaches for credit scoring systematically and found that the choice of imbalance treatment interacts with the choice of classifier, so results obtained under one combination do not transfer to another. Chen et al. (2024) addressed interpretable modelling specifically for imbalanced credit scoring datasets, recognising imbalance as a first-order design constraint rather than a preprocessing detail.</w:t>
      </w:r>
    </w:p>
    <w:p w14:paraId="2095B420" w14:textId="77777777" w:rsidR="00B87CAA" w:rsidRDefault="00F804C3" w:rsidP="0017016D">
      <w:pPr>
        <w:jc w:val="both"/>
      </w:pPr>
      <w:r>
        <w:t>Temporal validity is a more serious and less acknowledged problem. Credit and fraud data are generated by processes that change: macroeconomic conditions shift, product terms change, fraud typologies adapt in response to detection. Random partition of a pooled dataset into training and test sets permits information from later periods to inform predictions about earlier ones and produces performance estimates that systematically overstate what the model would achieve in deployment. Out-of-time validation is standard in the bank failure literature (Petropoulos et al., 2020) and is common in the fraud literature, where drift is explicitly modelled (Dal Pozzolo et al., 2018), but it is not standard in credit scoring research. Kapoor and Narayanan (2023) documented leakage as a systematic source of irreproducibility across machine-learning-based science, cataloguing failure modes including temporal leakage, duplication between training and test partitions, and selection of preprocessing decisions using test data. Their analysis is not specific to banking, but every failure mode they identify is present in the banking literature, and there is no reason to expect banking research to be exempt.</w:t>
      </w:r>
    </w:p>
    <w:p w14:paraId="2A2BE414" w14:textId="77777777" w:rsidR="00B87CAA" w:rsidRDefault="00F804C3" w:rsidP="0017016D">
      <w:pPr>
        <w:jc w:val="both"/>
      </w:pPr>
      <w:r>
        <w:t>The consequence is that the second-decimal-place differences on which method recommendations are frequently based are of the same order as the inflation that leakage can introduce. Where validation protocol is not reported in sufficient detail to exclude leakage, and this is common, the appropriate response is to treat the reported difference as uninformative rather than as small.</w:t>
      </w:r>
    </w:p>
    <w:p w14:paraId="70D98C6F" w14:textId="77777777" w:rsidR="00B87CAA" w:rsidRDefault="00F804C3" w:rsidP="0017016D">
      <w:pPr>
        <w:spacing w:before="200" w:after="100" w:line="276" w:lineRule="auto"/>
        <w:jc w:val="both"/>
      </w:pPr>
      <w:r>
        <w:rPr>
          <w:b/>
          <w:i/>
        </w:rPr>
        <w:t>5.3 Benchmark datasets and external validity</w:t>
      </w:r>
    </w:p>
    <w:p w14:paraId="64ED6EDD" w14:textId="77777777" w:rsidR="00B87CAA" w:rsidRDefault="00F804C3" w:rsidP="0017016D">
      <w:pPr>
        <w:jc w:val="both"/>
      </w:pPr>
      <w:r>
        <w:t>A large share of credit scoring research is conducted on a small number of public datasets, several of which are decades old, contain a few hundred to a few thousand records, and originate from credit markets and product structures that no longer exist in the form represented. Lessmann et al. (2015) mitigated this by combining public datasets with data collected from major financial institutions, and the studies with the greatest claim to external validity are consistently those using institutional data (Berg et al., 2020; Óskarsdóttir et al., 2019; Bitetto et al., 2023; Khandani et al., 2010).</w:t>
      </w:r>
    </w:p>
    <w:p w14:paraId="03C30DE6" w14:textId="77777777" w:rsidR="00B87CAA" w:rsidRDefault="00F804C3" w:rsidP="0017016D">
      <w:pPr>
        <w:jc w:val="both"/>
      </w:pPr>
      <w:r>
        <w:lastRenderedPageBreak/>
        <w:t>The persistence of small public benchmarks is a rational response to a genuine constraint, since banking data are confidential and the alternative to public benchmarks is often no empirical evaluation at all. The consequence is nonetheless serious. Repeated evaluation of successive method proposals on the same small datasets constitutes collective overfitting to those datasets, in which methods are selected for their fit to idiosyncratic features of particular samples rather than for properties that generalise. The magnitude of this effect in the credit scoring literature has not been quantified, and it is not currently possible to determine how much of the accumulated ensemble advantage would survive evaluation on contemporary institutional portfolios.</w:t>
      </w:r>
    </w:p>
    <w:p w14:paraId="6CF8DC76" w14:textId="77777777" w:rsidR="00B87CAA" w:rsidRDefault="00F804C3" w:rsidP="0017016D">
      <w:pPr>
        <w:spacing w:before="200" w:after="100" w:line="276" w:lineRule="auto"/>
        <w:jc w:val="both"/>
      </w:pPr>
      <w:r>
        <w:rPr>
          <w:b/>
          <w:i/>
        </w:rPr>
        <w:t>5.4 Reject inference and the unobserved counterfactual</w:t>
      </w:r>
    </w:p>
    <w:p w14:paraId="222E85A4" w14:textId="77777777" w:rsidR="00B87CAA" w:rsidRDefault="00F804C3" w:rsidP="0017016D">
      <w:pPr>
        <w:jc w:val="both"/>
      </w:pPr>
      <w:r>
        <w:t>Scorecards are estimated on accepted applicants, whose outcomes are observed, but applied to the full applicant population including those who would previously have been declined. The resulting selection problem is well recognised in credit scoring and has attracted methodological attention. Mancisidor et al. (2020) applied deep generative models to reject inference, treating the missing outcomes as a structured missing data problem. The broader literature, however, frequently proceeds without addressing selection, and does so without stating that the resulting performance estimates apply to a population that differs from the deployment population in a manner correlated with the outcome of interest.</w:t>
      </w:r>
    </w:p>
    <w:p w14:paraId="6DC9B845" w14:textId="77777777" w:rsidR="00B87CAA" w:rsidRDefault="00F804C3" w:rsidP="0017016D">
      <w:pPr>
        <w:jc w:val="both"/>
      </w:pPr>
      <w:r>
        <w:t>The issue is not merely technical. Selection interacts with distributional questions, since applicants declined under a historical policy are unlikely to be distributed evenly across borrower groups, and a model trained on the survivors of a selective process inherits the properties of that process. Fuster et al. (2022) provide the clearest demonstration of the general point that estimation flexibility redistributes outcomes, and reject inference is one mechanism through which such redistribution can occur without appearing in any accuracy measure.</w:t>
      </w:r>
    </w:p>
    <w:p w14:paraId="6EAF2B25" w14:textId="77777777" w:rsidR="00B87CAA" w:rsidRDefault="00F804C3" w:rsidP="0017016D">
      <w:pPr>
        <w:jc w:val="both"/>
      </w:pPr>
      <w:r>
        <w:t>Table 3 sets out these limitations with their consequences for interpretation and the studies that have addressed each. The pattern it reveals is that solutions exist for every weakness identified and that adoption of those solutions is the exception. This suggests that the barrier is incentive and convention rather than knowledge, since a study reporting an out-of-time-validated, profit-evaluated, selection-corrected comparison will report smaller margins than a study omitting these controls, and smaller margins are harder to publish.</w:t>
      </w:r>
    </w:p>
    <w:p w14:paraId="511722DA" w14:textId="77777777" w:rsidR="00B87CAA" w:rsidRDefault="00F804C3" w:rsidP="0017016D">
      <w:pPr>
        <w:spacing w:before="200" w:after="80" w:line="240" w:lineRule="auto"/>
        <w:jc w:val="both"/>
      </w:pPr>
      <w:r>
        <w:rPr>
          <w:b/>
          <w:sz w:val="22"/>
        </w:rPr>
        <w:t>Table 3. Recurrent methodological limitations in the banking literature, their consequences for interpretation and the remedies demonstrated within the field</w:t>
      </w:r>
    </w:p>
    <w:tbl>
      <w:tblPr>
        <w:tblStyle w:val="TableGrid"/>
        <w:tblW w:w="0" w:type="auto"/>
        <w:jc w:val="center"/>
        <w:tblLayout w:type="fixed"/>
        <w:tblLook w:val="04A0" w:firstRow="1" w:lastRow="0" w:firstColumn="1" w:lastColumn="0" w:noHBand="0" w:noVBand="1"/>
      </w:tblPr>
      <w:tblGrid>
        <w:gridCol w:w="1814"/>
        <w:gridCol w:w="2292"/>
        <w:gridCol w:w="2196"/>
        <w:gridCol w:w="2769"/>
      </w:tblGrid>
      <w:tr w:rsidR="00B87CAA" w14:paraId="4DE818CA" w14:textId="77777777">
        <w:trPr>
          <w:jc w:val="center"/>
        </w:trPr>
        <w:tc>
          <w:tcPr>
            <w:tcW w:w="1814" w:type="dxa"/>
            <w:tcBorders>
              <w:top w:val="single" w:sz="4" w:space="0" w:color="999999"/>
              <w:left w:val="single" w:sz="4" w:space="0" w:color="999999"/>
              <w:bottom w:val="single" w:sz="4" w:space="0" w:color="999999"/>
              <w:right w:val="single" w:sz="4" w:space="0" w:color="999999"/>
            </w:tcBorders>
            <w:shd w:val="clear" w:color="auto" w:fill="EEEEEE"/>
          </w:tcPr>
          <w:p w14:paraId="7FA0DB22" w14:textId="77777777" w:rsidR="00B87CAA" w:rsidRDefault="00F804C3" w:rsidP="0017016D">
            <w:pPr>
              <w:spacing w:after="40" w:line="240" w:lineRule="auto"/>
              <w:jc w:val="both"/>
            </w:pPr>
            <w:r>
              <w:rPr>
                <w:b/>
                <w:sz w:val="18"/>
              </w:rPr>
              <w:lastRenderedPageBreak/>
              <w:t>Limitation</w:t>
            </w:r>
          </w:p>
        </w:tc>
        <w:tc>
          <w:tcPr>
            <w:tcW w:w="2292" w:type="dxa"/>
            <w:tcBorders>
              <w:top w:val="single" w:sz="4" w:space="0" w:color="999999"/>
              <w:left w:val="single" w:sz="4" w:space="0" w:color="999999"/>
              <w:bottom w:val="single" w:sz="4" w:space="0" w:color="999999"/>
              <w:right w:val="single" w:sz="4" w:space="0" w:color="999999"/>
            </w:tcBorders>
            <w:shd w:val="clear" w:color="auto" w:fill="EEEEEE"/>
          </w:tcPr>
          <w:p w14:paraId="5903B4AA" w14:textId="77777777" w:rsidR="00B87CAA" w:rsidRDefault="00F804C3" w:rsidP="0017016D">
            <w:pPr>
              <w:spacing w:after="40" w:line="240" w:lineRule="auto"/>
              <w:jc w:val="both"/>
            </w:pPr>
            <w:r>
              <w:rPr>
                <w:b/>
                <w:sz w:val="18"/>
              </w:rPr>
              <w:t>Consequence for interpretation</w:t>
            </w:r>
          </w:p>
        </w:tc>
        <w:tc>
          <w:tcPr>
            <w:tcW w:w="2196" w:type="dxa"/>
            <w:tcBorders>
              <w:top w:val="single" w:sz="4" w:space="0" w:color="999999"/>
              <w:left w:val="single" w:sz="4" w:space="0" w:color="999999"/>
              <w:bottom w:val="single" w:sz="4" w:space="0" w:color="999999"/>
              <w:right w:val="single" w:sz="4" w:space="0" w:color="999999"/>
            </w:tcBorders>
            <w:shd w:val="clear" w:color="auto" w:fill="EEEEEE"/>
          </w:tcPr>
          <w:p w14:paraId="7E36CDC6" w14:textId="77777777" w:rsidR="00B87CAA" w:rsidRDefault="00F804C3" w:rsidP="0017016D">
            <w:pPr>
              <w:spacing w:after="40" w:line="240" w:lineRule="auto"/>
              <w:jc w:val="both"/>
            </w:pPr>
            <w:r>
              <w:rPr>
                <w:b/>
                <w:sz w:val="18"/>
              </w:rPr>
              <w:t>Remedy demonstrated in the literature</w:t>
            </w:r>
          </w:p>
        </w:tc>
        <w:tc>
          <w:tcPr>
            <w:tcW w:w="2769" w:type="dxa"/>
            <w:tcBorders>
              <w:top w:val="single" w:sz="4" w:space="0" w:color="999999"/>
              <w:left w:val="single" w:sz="4" w:space="0" w:color="999999"/>
              <w:bottom w:val="single" w:sz="4" w:space="0" w:color="999999"/>
              <w:right w:val="single" w:sz="4" w:space="0" w:color="999999"/>
            </w:tcBorders>
            <w:shd w:val="clear" w:color="auto" w:fill="EEEEEE"/>
          </w:tcPr>
          <w:p w14:paraId="178113FA" w14:textId="77777777" w:rsidR="00B87CAA" w:rsidRDefault="00F804C3" w:rsidP="0017016D">
            <w:pPr>
              <w:spacing w:after="40" w:line="240" w:lineRule="auto"/>
              <w:jc w:val="both"/>
            </w:pPr>
            <w:r>
              <w:rPr>
                <w:b/>
                <w:sz w:val="18"/>
              </w:rPr>
              <w:t>Supporting references</w:t>
            </w:r>
          </w:p>
        </w:tc>
      </w:tr>
      <w:tr w:rsidR="00B87CAA" w14:paraId="3F81EB02"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5C0BD559" w14:textId="77777777" w:rsidR="00B87CAA" w:rsidRDefault="00F804C3" w:rsidP="0017016D">
            <w:pPr>
              <w:spacing w:after="40" w:line="240" w:lineRule="auto"/>
              <w:jc w:val="both"/>
            </w:pPr>
            <w:r>
              <w:rPr>
                <w:sz w:val="18"/>
              </w:rPr>
              <w:t>Discrimination measures used as the sole evaluation criterion</w:t>
            </w:r>
          </w:p>
        </w:tc>
        <w:tc>
          <w:tcPr>
            <w:tcW w:w="2292" w:type="dxa"/>
            <w:tcBorders>
              <w:top w:val="single" w:sz="4" w:space="0" w:color="999999"/>
              <w:left w:val="single" w:sz="4" w:space="0" w:color="999999"/>
              <w:bottom w:val="single" w:sz="4" w:space="0" w:color="999999"/>
              <w:right w:val="single" w:sz="4" w:space="0" w:color="999999"/>
            </w:tcBorders>
          </w:tcPr>
          <w:p w14:paraId="4D049A9D" w14:textId="77777777" w:rsidR="00B87CAA" w:rsidRDefault="00F804C3" w:rsidP="0017016D">
            <w:pPr>
              <w:spacing w:after="40" w:line="240" w:lineRule="auto"/>
              <w:jc w:val="both"/>
            </w:pPr>
            <w:r>
              <w:rPr>
                <w:sz w:val="18"/>
              </w:rPr>
              <w:t>Reported improvements cannot be translated into lending outcomes; model rankings may reverse under an economic criterion, so a method recommendation based on one metric is unsupported</w:t>
            </w:r>
          </w:p>
        </w:tc>
        <w:tc>
          <w:tcPr>
            <w:tcW w:w="2196" w:type="dxa"/>
            <w:tcBorders>
              <w:top w:val="single" w:sz="4" w:space="0" w:color="999999"/>
              <w:left w:val="single" w:sz="4" w:space="0" w:color="999999"/>
              <w:bottom w:val="single" w:sz="4" w:space="0" w:color="999999"/>
              <w:right w:val="single" w:sz="4" w:space="0" w:color="999999"/>
            </w:tcBorders>
          </w:tcPr>
          <w:p w14:paraId="44AC465C" w14:textId="77777777" w:rsidR="00B87CAA" w:rsidRDefault="00F804C3" w:rsidP="0017016D">
            <w:pPr>
              <w:spacing w:after="40" w:line="240" w:lineRule="auto"/>
              <w:jc w:val="both"/>
            </w:pPr>
            <w:r>
              <w:rPr>
                <w:sz w:val="18"/>
              </w:rPr>
              <w:t>Expected profit and cost-sensitive evaluation reported alongside discrimination; profit-driven feature selection at the construction stage</w:t>
            </w:r>
          </w:p>
        </w:tc>
        <w:tc>
          <w:tcPr>
            <w:tcW w:w="2769" w:type="dxa"/>
            <w:tcBorders>
              <w:top w:val="single" w:sz="4" w:space="0" w:color="999999"/>
              <w:left w:val="single" w:sz="4" w:space="0" w:color="999999"/>
              <w:bottom w:val="single" w:sz="4" w:space="0" w:color="999999"/>
              <w:right w:val="single" w:sz="4" w:space="0" w:color="999999"/>
            </w:tcBorders>
          </w:tcPr>
          <w:p w14:paraId="201422A6" w14:textId="77777777" w:rsidR="00B87CAA" w:rsidRDefault="00F804C3" w:rsidP="0017016D">
            <w:pPr>
              <w:spacing w:after="40" w:line="240" w:lineRule="auto"/>
              <w:jc w:val="both"/>
            </w:pPr>
            <w:r w:rsidRPr="000A6B05">
              <w:rPr>
                <w:sz w:val="18"/>
                <w:lang w:val="nl-BE"/>
              </w:rPr>
              <w:t xml:space="preserve">Kozodoi et al. (2019); Krivorotov (2023); Lessmann et al. </w:t>
            </w:r>
            <w:r>
              <w:rPr>
                <w:sz w:val="18"/>
              </w:rPr>
              <w:t>(2015); Óskarsdóttir et al. (2019)</w:t>
            </w:r>
          </w:p>
        </w:tc>
      </w:tr>
      <w:tr w:rsidR="00B87CAA" w14:paraId="026F2B92"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7621881C" w14:textId="77777777" w:rsidR="00B87CAA" w:rsidRDefault="00F804C3" w:rsidP="0017016D">
            <w:pPr>
              <w:spacing w:after="40" w:line="240" w:lineRule="auto"/>
              <w:jc w:val="both"/>
            </w:pPr>
            <w:r>
              <w:rPr>
                <w:sz w:val="18"/>
              </w:rPr>
              <w:t>Randomly partitioned rather than temporally ordered validation</w:t>
            </w:r>
          </w:p>
        </w:tc>
        <w:tc>
          <w:tcPr>
            <w:tcW w:w="2292" w:type="dxa"/>
            <w:tcBorders>
              <w:top w:val="single" w:sz="4" w:space="0" w:color="999999"/>
              <w:left w:val="single" w:sz="4" w:space="0" w:color="999999"/>
              <w:bottom w:val="single" w:sz="4" w:space="0" w:color="999999"/>
              <w:right w:val="single" w:sz="4" w:space="0" w:color="999999"/>
            </w:tcBorders>
          </w:tcPr>
          <w:p w14:paraId="7F6F98F2" w14:textId="77777777" w:rsidR="00B87CAA" w:rsidRDefault="00F804C3" w:rsidP="0017016D">
            <w:pPr>
              <w:spacing w:after="40" w:line="240" w:lineRule="auto"/>
              <w:jc w:val="both"/>
            </w:pPr>
            <w:r>
              <w:rPr>
                <w:sz w:val="18"/>
              </w:rPr>
              <w:t>Performance estimates systematically overstate deployment performance because information from later periods informs predictions about earlier ones</w:t>
            </w:r>
          </w:p>
        </w:tc>
        <w:tc>
          <w:tcPr>
            <w:tcW w:w="2196" w:type="dxa"/>
            <w:tcBorders>
              <w:top w:val="single" w:sz="4" w:space="0" w:color="999999"/>
              <w:left w:val="single" w:sz="4" w:space="0" w:color="999999"/>
              <w:bottom w:val="single" w:sz="4" w:space="0" w:color="999999"/>
              <w:right w:val="single" w:sz="4" w:space="0" w:color="999999"/>
            </w:tcBorders>
          </w:tcPr>
          <w:p w14:paraId="774B8900" w14:textId="77777777" w:rsidR="00B87CAA" w:rsidRDefault="00F804C3" w:rsidP="0017016D">
            <w:pPr>
              <w:spacing w:after="40" w:line="240" w:lineRule="auto"/>
              <w:jc w:val="both"/>
            </w:pPr>
            <w:r>
              <w:rPr>
                <w:sz w:val="18"/>
              </w:rPr>
              <w:t>Out-of-time validation with explicit split points; assessment of generalisation on an external sample</w:t>
            </w:r>
          </w:p>
        </w:tc>
        <w:tc>
          <w:tcPr>
            <w:tcW w:w="2769" w:type="dxa"/>
            <w:tcBorders>
              <w:top w:val="single" w:sz="4" w:space="0" w:color="999999"/>
              <w:left w:val="single" w:sz="4" w:space="0" w:color="999999"/>
              <w:bottom w:val="single" w:sz="4" w:space="0" w:color="999999"/>
              <w:right w:val="single" w:sz="4" w:space="0" w:color="999999"/>
            </w:tcBorders>
          </w:tcPr>
          <w:p w14:paraId="27D3C667" w14:textId="77777777" w:rsidR="00B87CAA" w:rsidRDefault="00F804C3" w:rsidP="0017016D">
            <w:pPr>
              <w:spacing w:after="40" w:line="240" w:lineRule="auto"/>
              <w:jc w:val="both"/>
            </w:pPr>
            <w:r w:rsidRPr="000A6B05">
              <w:rPr>
                <w:sz w:val="18"/>
                <w:lang w:val="nl-BE"/>
              </w:rPr>
              <w:t xml:space="preserve">Dal Pozzolo et al. (2018); Kapoor &amp; Narayanan (2023); Petropoulos et al. </w:t>
            </w:r>
            <w:r>
              <w:rPr>
                <w:sz w:val="18"/>
              </w:rPr>
              <w:t>(2020)</w:t>
            </w:r>
          </w:p>
        </w:tc>
      </w:tr>
      <w:tr w:rsidR="00B87CAA" w14:paraId="3BE2CC23"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7DE744D2" w14:textId="77777777" w:rsidR="00B87CAA" w:rsidRDefault="00F804C3" w:rsidP="0017016D">
            <w:pPr>
              <w:spacing w:after="40" w:line="240" w:lineRule="auto"/>
              <w:jc w:val="both"/>
            </w:pPr>
            <w:r>
              <w:rPr>
                <w:sz w:val="18"/>
              </w:rPr>
              <w:t>Informal or undocumented handling of class imbalance</w:t>
            </w:r>
          </w:p>
        </w:tc>
        <w:tc>
          <w:tcPr>
            <w:tcW w:w="2292" w:type="dxa"/>
            <w:tcBorders>
              <w:top w:val="single" w:sz="4" w:space="0" w:color="999999"/>
              <w:left w:val="single" w:sz="4" w:space="0" w:color="999999"/>
              <w:bottom w:val="single" w:sz="4" w:space="0" w:color="999999"/>
              <w:right w:val="single" w:sz="4" w:space="0" w:color="999999"/>
            </w:tcBorders>
          </w:tcPr>
          <w:p w14:paraId="2C4822C1" w14:textId="77777777" w:rsidR="00B87CAA" w:rsidRDefault="00F804C3" w:rsidP="0017016D">
            <w:pPr>
              <w:spacing w:after="40" w:line="240" w:lineRule="auto"/>
              <w:jc w:val="both"/>
            </w:pPr>
            <w:r>
              <w:rPr>
                <w:sz w:val="18"/>
              </w:rPr>
              <w:t>Reported gains may reflect the imbalance treatment rather than the classifier; results do not transfer across classifier and treatment combinations</w:t>
            </w:r>
          </w:p>
        </w:tc>
        <w:tc>
          <w:tcPr>
            <w:tcW w:w="2196" w:type="dxa"/>
            <w:tcBorders>
              <w:top w:val="single" w:sz="4" w:space="0" w:color="999999"/>
              <w:left w:val="single" w:sz="4" w:space="0" w:color="999999"/>
              <w:bottom w:val="single" w:sz="4" w:space="0" w:color="999999"/>
              <w:right w:val="single" w:sz="4" w:space="0" w:color="999999"/>
            </w:tcBorders>
          </w:tcPr>
          <w:p w14:paraId="666A1742" w14:textId="77777777" w:rsidR="00B87CAA" w:rsidRDefault="00F804C3" w:rsidP="0017016D">
            <w:pPr>
              <w:spacing w:after="40" w:line="240" w:lineRule="auto"/>
              <w:jc w:val="both"/>
            </w:pPr>
            <w:r>
              <w:rPr>
                <w:sz w:val="18"/>
              </w:rPr>
              <w:t>Systematic benchmarking of imbalance treatments crossed with classifiers; interpretable modelling designed for imbalanced data</w:t>
            </w:r>
          </w:p>
        </w:tc>
        <w:tc>
          <w:tcPr>
            <w:tcW w:w="2769" w:type="dxa"/>
            <w:tcBorders>
              <w:top w:val="single" w:sz="4" w:space="0" w:color="999999"/>
              <w:left w:val="single" w:sz="4" w:space="0" w:color="999999"/>
              <w:bottom w:val="single" w:sz="4" w:space="0" w:color="999999"/>
              <w:right w:val="single" w:sz="4" w:space="0" w:color="999999"/>
            </w:tcBorders>
          </w:tcPr>
          <w:p w14:paraId="0F0B3451" w14:textId="77777777" w:rsidR="00B87CAA" w:rsidRDefault="00F804C3" w:rsidP="0017016D">
            <w:pPr>
              <w:spacing w:after="40" w:line="240" w:lineRule="auto"/>
              <w:jc w:val="both"/>
            </w:pPr>
            <w:r w:rsidRPr="000A6B05">
              <w:rPr>
                <w:sz w:val="18"/>
                <w:lang w:val="nl-BE"/>
              </w:rPr>
              <w:t xml:space="preserve">Chen et al. (2024); Jiang et al. </w:t>
            </w:r>
            <w:r>
              <w:rPr>
                <w:sz w:val="18"/>
              </w:rPr>
              <w:t>(2023)</w:t>
            </w:r>
          </w:p>
        </w:tc>
      </w:tr>
      <w:tr w:rsidR="00B87CAA" w14:paraId="0B66BD6C"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06BE23D9" w14:textId="77777777" w:rsidR="00B87CAA" w:rsidRDefault="00F804C3" w:rsidP="0017016D">
            <w:pPr>
              <w:spacing w:after="40" w:line="240" w:lineRule="auto"/>
              <w:jc w:val="both"/>
            </w:pPr>
            <w:r>
              <w:rPr>
                <w:sz w:val="18"/>
              </w:rPr>
              <w:t>Leakage between preprocessing, tuning and evaluation</w:t>
            </w:r>
          </w:p>
        </w:tc>
        <w:tc>
          <w:tcPr>
            <w:tcW w:w="2292" w:type="dxa"/>
            <w:tcBorders>
              <w:top w:val="single" w:sz="4" w:space="0" w:color="999999"/>
              <w:left w:val="single" w:sz="4" w:space="0" w:color="999999"/>
              <w:bottom w:val="single" w:sz="4" w:space="0" w:color="999999"/>
              <w:right w:val="single" w:sz="4" w:space="0" w:color="999999"/>
            </w:tcBorders>
          </w:tcPr>
          <w:p w14:paraId="4771FA19" w14:textId="77777777" w:rsidR="00B87CAA" w:rsidRDefault="00F804C3" w:rsidP="0017016D">
            <w:pPr>
              <w:spacing w:after="40" w:line="240" w:lineRule="auto"/>
              <w:jc w:val="both"/>
            </w:pPr>
            <w:r>
              <w:rPr>
                <w:sz w:val="18"/>
              </w:rPr>
              <w:t>Differences of the magnitude typically reported are of the same order as leakage-induced inflation, so small reported margins are uninformative</w:t>
            </w:r>
          </w:p>
        </w:tc>
        <w:tc>
          <w:tcPr>
            <w:tcW w:w="2196" w:type="dxa"/>
            <w:tcBorders>
              <w:top w:val="single" w:sz="4" w:space="0" w:color="999999"/>
              <w:left w:val="single" w:sz="4" w:space="0" w:color="999999"/>
              <w:bottom w:val="single" w:sz="4" w:space="0" w:color="999999"/>
              <w:right w:val="single" w:sz="4" w:space="0" w:color="999999"/>
            </w:tcBorders>
          </w:tcPr>
          <w:p w14:paraId="7A9468BF" w14:textId="77777777" w:rsidR="00B87CAA" w:rsidRDefault="00F804C3" w:rsidP="0017016D">
            <w:pPr>
              <w:spacing w:after="40" w:line="240" w:lineRule="auto"/>
              <w:jc w:val="both"/>
            </w:pPr>
            <w:r>
              <w:rPr>
                <w:sz w:val="18"/>
              </w:rPr>
              <w:t>Explicit statement of the position of preprocessing and hyperparameter selection relative to the validation split</w:t>
            </w:r>
          </w:p>
        </w:tc>
        <w:tc>
          <w:tcPr>
            <w:tcW w:w="2769" w:type="dxa"/>
            <w:tcBorders>
              <w:top w:val="single" w:sz="4" w:space="0" w:color="999999"/>
              <w:left w:val="single" w:sz="4" w:space="0" w:color="999999"/>
              <w:bottom w:val="single" w:sz="4" w:space="0" w:color="999999"/>
              <w:right w:val="single" w:sz="4" w:space="0" w:color="999999"/>
            </w:tcBorders>
          </w:tcPr>
          <w:p w14:paraId="2A835529" w14:textId="77777777" w:rsidR="00B87CAA" w:rsidRDefault="00F804C3" w:rsidP="0017016D">
            <w:pPr>
              <w:spacing w:after="40" w:line="240" w:lineRule="auto"/>
              <w:jc w:val="both"/>
            </w:pPr>
            <w:r>
              <w:rPr>
                <w:sz w:val="18"/>
              </w:rPr>
              <w:t>Kapoor &amp; Narayanan (2023)</w:t>
            </w:r>
          </w:p>
        </w:tc>
      </w:tr>
      <w:tr w:rsidR="00B87CAA" w14:paraId="2D01DCCB"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7F7D7C32" w14:textId="77777777" w:rsidR="00B87CAA" w:rsidRDefault="00F804C3" w:rsidP="0017016D">
            <w:pPr>
              <w:spacing w:after="40" w:line="240" w:lineRule="auto"/>
              <w:jc w:val="both"/>
            </w:pPr>
            <w:r>
              <w:rPr>
                <w:sz w:val="18"/>
              </w:rPr>
              <w:t>Repeated evaluation on small and dated public benchmarks</w:t>
            </w:r>
          </w:p>
        </w:tc>
        <w:tc>
          <w:tcPr>
            <w:tcW w:w="2292" w:type="dxa"/>
            <w:tcBorders>
              <w:top w:val="single" w:sz="4" w:space="0" w:color="999999"/>
              <w:left w:val="single" w:sz="4" w:space="0" w:color="999999"/>
              <w:bottom w:val="single" w:sz="4" w:space="0" w:color="999999"/>
              <w:right w:val="single" w:sz="4" w:space="0" w:color="999999"/>
            </w:tcBorders>
          </w:tcPr>
          <w:p w14:paraId="0C129190" w14:textId="77777777" w:rsidR="00B87CAA" w:rsidRDefault="00F804C3" w:rsidP="0017016D">
            <w:pPr>
              <w:spacing w:after="40" w:line="240" w:lineRule="auto"/>
              <w:jc w:val="both"/>
            </w:pPr>
            <w:r>
              <w:rPr>
                <w:sz w:val="18"/>
              </w:rPr>
              <w:t>Collective overfitting to idiosyncratic sample features; external validity to contemporary portfolios unestablished</w:t>
            </w:r>
          </w:p>
        </w:tc>
        <w:tc>
          <w:tcPr>
            <w:tcW w:w="2196" w:type="dxa"/>
            <w:tcBorders>
              <w:top w:val="single" w:sz="4" w:space="0" w:color="999999"/>
              <w:left w:val="single" w:sz="4" w:space="0" w:color="999999"/>
              <w:bottom w:val="single" w:sz="4" w:space="0" w:color="999999"/>
              <w:right w:val="single" w:sz="4" w:space="0" w:color="999999"/>
            </w:tcBorders>
          </w:tcPr>
          <w:p w14:paraId="3F66FD7B" w14:textId="77777777" w:rsidR="00B87CAA" w:rsidRDefault="00F804C3" w:rsidP="0017016D">
            <w:pPr>
              <w:spacing w:after="40" w:line="240" w:lineRule="auto"/>
              <w:jc w:val="both"/>
            </w:pPr>
            <w:r>
              <w:rPr>
                <w:sz w:val="18"/>
              </w:rPr>
              <w:t>Evaluation on institutional portfolios, alone or combined with public datasets</w:t>
            </w:r>
          </w:p>
        </w:tc>
        <w:tc>
          <w:tcPr>
            <w:tcW w:w="2769" w:type="dxa"/>
            <w:tcBorders>
              <w:top w:val="single" w:sz="4" w:space="0" w:color="999999"/>
              <w:left w:val="single" w:sz="4" w:space="0" w:color="999999"/>
              <w:bottom w:val="single" w:sz="4" w:space="0" w:color="999999"/>
              <w:right w:val="single" w:sz="4" w:space="0" w:color="999999"/>
            </w:tcBorders>
          </w:tcPr>
          <w:p w14:paraId="6D172C0D" w14:textId="77777777" w:rsidR="00B87CAA" w:rsidRDefault="00F804C3" w:rsidP="0017016D">
            <w:pPr>
              <w:spacing w:after="40" w:line="240" w:lineRule="auto"/>
              <w:jc w:val="both"/>
            </w:pPr>
            <w:r w:rsidRPr="000A6B05">
              <w:rPr>
                <w:sz w:val="18"/>
                <w:lang w:val="nl-BE"/>
              </w:rPr>
              <w:t xml:space="preserve">Berg et al. (2020); Bitetto et al. (2023); Khandani et al. (2010); Lessmann et al. </w:t>
            </w:r>
            <w:r>
              <w:rPr>
                <w:sz w:val="18"/>
              </w:rPr>
              <w:t>(2015); Óskarsdóttir et al. (2019)</w:t>
            </w:r>
          </w:p>
        </w:tc>
      </w:tr>
      <w:tr w:rsidR="00B87CAA" w14:paraId="1BA7CA6D"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3B802B24" w14:textId="77777777" w:rsidR="00B87CAA" w:rsidRDefault="00F804C3" w:rsidP="0017016D">
            <w:pPr>
              <w:spacing w:after="40" w:line="240" w:lineRule="auto"/>
              <w:jc w:val="both"/>
            </w:pPr>
            <w:r>
              <w:rPr>
                <w:sz w:val="18"/>
              </w:rPr>
              <w:t>Selection induced by historical acceptance policy left uncorrected</w:t>
            </w:r>
          </w:p>
        </w:tc>
        <w:tc>
          <w:tcPr>
            <w:tcW w:w="2292" w:type="dxa"/>
            <w:tcBorders>
              <w:top w:val="single" w:sz="4" w:space="0" w:color="999999"/>
              <w:left w:val="single" w:sz="4" w:space="0" w:color="999999"/>
              <w:bottom w:val="single" w:sz="4" w:space="0" w:color="999999"/>
              <w:right w:val="single" w:sz="4" w:space="0" w:color="999999"/>
            </w:tcBorders>
          </w:tcPr>
          <w:p w14:paraId="3F03E449" w14:textId="77777777" w:rsidR="00B87CAA" w:rsidRDefault="00F804C3" w:rsidP="0017016D">
            <w:pPr>
              <w:spacing w:after="40" w:line="240" w:lineRule="auto"/>
              <w:jc w:val="both"/>
            </w:pPr>
            <w:r>
              <w:rPr>
                <w:sz w:val="18"/>
              </w:rPr>
              <w:t>Performance estimates apply to accepted applicants rather than to the population scored in deployment, with the difference correlated with the outcome of interest</w:t>
            </w:r>
          </w:p>
        </w:tc>
        <w:tc>
          <w:tcPr>
            <w:tcW w:w="2196" w:type="dxa"/>
            <w:tcBorders>
              <w:top w:val="single" w:sz="4" w:space="0" w:color="999999"/>
              <w:left w:val="single" w:sz="4" w:space="0" w:color="999999"/>
              <w:bottom w:val="single" w:sz="4" w:space="0" w:color="999999"/>
              <w:right w:val="single" w:sz="4" w:space="0" w:color="999999"/>
            </w:tcBorders>
          </w:tcPr>
          <w:p w14:paraId="1359A70E" w14:textId="77777777" w:rsidR="00B87CAA" w:rsidRDefault="00F804C3" w:rsidP="0017016D">
            <w:pPr>
              <w:spacing w:after="40" w:line="240" w:lineRule="auto"/>
              <w:jc w:val="both"/>
            </w:pPr>
            <w:r>
              <w:rPr>
                <w:sz w:val="18"/>
              </w:rPr>
              <w:t>Reject inference treated as a structured missing-data problem</w:t>
            </w:r>
          </w:p>
        </w:tc>
        <w:tc>
          <w:tcPr>
            <w:tcW w:w="2769" w:type="dxa"/>
            <w:tcBorders>
              <w:top w:val="single" w:sz="4" w:space="0" w:color="999999"/>
              <w:left w:val="single" w:sz="4" w:space="0" w:color="999999"/>
              <w:bottom w:val="single" w:sz="4" w:space="0" w:color="999999"/>
              <w:right w:val="single" w:sz="4" w:space="0" w:color="999999"/>
            </w:tcBorders>
          </w:tcPr>
          <w:p w14:paraId="716A7217" w14:textId="77777777" w:rsidR="00B87CAA" w:rsidRDefault="00F804C3" w:rsidP="0017016D">
            <w:pPr>
              <w:spacing w:after="40" w:line="240" w:lineRule="auto"/>
              <w:jc w:val="both"/>
            </w:pPr>
            <w:r w:rsidRPr="000A6B05">
              <w:rPr>
                <w:sz w:val="18"/>
                <w:lang w:val="nl-BE"/>
              </w:rPr>
              <w:t xml:space="preserve">Fuster et al. (2022); Mancisidor et al. </w:t>
            </w:r>
            <w:r>
              <w:rPr>
                <w:sz w:val="18"/>
              </w:rPr>
              <w:t>(2020)</w:t>
            </w:r>
          </w:p>
        </w:tc>
      </w:tr>
      <w:tr w:rsidR="00B87CAA" w14:paraId="0BE3C168"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0F0D8AFF" w14:textId="77777777" w:rsidR="00B87CAA" w:rsidRDefault="00F804C3" w:rsidP="0017016D">
            <w:pPr>
              <w:spacing w:after="40" w:line="240" w:lineRule="auto"/>
              <w:jc w:val="both"/>
            </w:pPr>
            <w:r>
              <w:rPr>
                <w:sz w:val="18"/>
              </w:rPr>
              <w:t>Adoption measured by digitalisation or expenditure proxies</w:t>
            </w:r>
          </w:p>
        </w:tc>
        <w:tc>
          <w:tcPr>
            <w:tcW w:w="2292" w:type="dxa"/>
            <w:tcBorders>
              <w:top w:val="single" w:sz="4" w:space="0" w:color="999999"/>
              <w:left w:val="single" w:sz="4" w:space="0" w:color="999999"/>
              <w:bottom w:val="single" w:sz="4" w:space="0" w:color="999999"/>
              <w:right w:val="single" w:sz="4" w:space="0" w:color="999999"/>
            </w:tcBorders>
          </w:tcPr>
          <w:p w14:paraId="159A127C" w14:textId="77777777" w:rsidR="00B87CAA" w:rsidRDefault="00F804C3" w:rsidP="0017016D">
            <w:pPr>
              <w:spacing w:after="40" w:line="240" w:lineRule="auto"/>
              <w:jc w:val="both"/>
            </w:pPr>
            <w:r>
              <w:rPr>
                <w:sz w:val="18"/>
              </w:rPr>
              <w:t>Firm-level associations cannot be attributed to learning systems specifically; effects of general digitalisation are misreported as effects of artificial intelligence</w:t>
            </w:r>
          </w:p>
        </w:tc>
        <w:tc>
          <w:tcPr>
            <w:tcW w:w="2196" w:type="dxa"/>
            <w:tcBorders>
              <w:top w:val="single" w:sz="4" w:space="0" w:color="999999"/>
              <w:left w:val="single" w:sz="4" w:space="0" w:color="999999"/>
              <w:bottom w:val="single" w:sz="4" w:space="0" w:color="999999"/>
              <w:right w:val="single" w:sz="4" w:space="0" w:color="999999"/>
            </w:tcBorders>
          </w:tcPr>
          <w:p w14:paraId="52C3DB37" w14:textId="77777777" w:rsidR="00B87CAA" w:rsidRDefault="00F804C3" w:rsidP="0017016D">
            <w:pPr>
              <w:spacing w:after="40" w:line="240" w:lineRule="auto"/>
              <w:jc w:val="both"/>
            </w:pPr>
            <w:r>
              <w:rPr>
                <w:sz w:val="18"/>
              </w:rPr>
              <w:t>Direct observation of use cases and model types within a defined regulated population</w:t>
            </w:r>
          </w:p>
        </w:tc>
        <w:tc>
          <w:tcPr>
            <w:tcW w:w="2769" w:type="dxa"/>
            <w:tcBorders>
              <w:top w:val="single" w:sz="4" w:space="0" w:color="999999"/>
              <w:left w:val="single" w:sz="4" w:space="0" w:color="999999"/>
              <w:bottom w:val="single" w:sz="4" w:space="0" w:color="999999"/>
              <w:right w:val="single" w:sz="4" w:space="0" w:color="999999"/>
            </w:tcBorders>
          </w:tcPr>
          <w:p w14:paraId="3EBDA15A" w14:textId="77777777" w:rsidR="00B87CAA" w:rsidRDefault="00F804C3" w:rsidP="0017016D">
            <w:pPr>
              <w:spacing w:after="40" w:line="240" w:lineRule="auto"/>
              <w:jc w:val="both"/>
            </w:pPr>
            <w:r>
              <w:rPr>
                <w:sz w:val="18"/>
              </w:rPr>
              <w:t>Bank of England &amp; Financial Conduct Authority (2024); Rahman (2023); Ren et al. (2024)</w:t>
            </w:r>
          </w:p>
        </w:tc>
      </w:tr>
      <w:tr w:rsidR="00B87CAA" w14:paraId="4E12277A" w14:textId="77777777">
        <w:trPr>
          <w:jc w:val="center"/>
        </w:trPr>
        <w:tc>
          <w:tcPr>
            <w:tcW w:w="1814" w:type="dxa"/>
            <w:tcBorders>
              <w:top w:val="single" w:sz="4" w:space="0" w:color="999999"/>
              <w:left w:val="single" w:sz="4" w:space="0" w:color="999999"/>
              <w:bottom w:val="single" w:sz="4" w:space="0" w:color="999999"/>
              <w:right w:val="single" w:sz="4" w:space="0" w:color="999999"/>
            </w:tcBorders>
          </w:tcPr>
          <w:p w14:paraId="3B7F5FBD" w14:textId="77777777" w:rsidR="00B87CAA" w:rsidRDefault="00F804C3" w:rsidP="0017016D">
            <w:pPr>
              <w:spacing w:after="40" w:line="240" w:lineRule="auto"/>
              <w:jc w:val="both"/>
            </w:pPr>
            <w:r>
              <w:rPr>
                <w:sz w:val="18"/>
              </w:rPr>
              <w:t>Reliance on proprietary single-institution data without replication</w:t>
            </w:r>
          </w:p>
        </w:tc>
        <w:tc>
          <w:tcPr>
            <w:tcW w:w="2292" w:type="dxa"/>
            <w:tcBorders>
              <w:top w:val="single" w:sz="4" w:space="0" w:color="999999"/>
              <w:left w:val="single" w:sz="4" w:space="0" w:color="999999"/>
              <w:bottom w:val="single" w:sz="4" w:space="0" w:color="999999"/>
              <w:right w:val="single" w:sz="4" w:space="0" w:color="999999"/>
            </w:tcBorders>
          </w:tcPr>
          <w:p w14:paraId="2088AEE7" w14:textId="77777777" w:rsidR="00B87CAA" w:rsidRDefault="00F804C3" w:rsidP="0017016D">
            <w:pPr>
              <w:spacing w:after="40" w:line="240" w:lineRule="auto"/>
              <w:jc w:val="both"/>
            </w:pPr>
            <w:r>
              <w:rPr>
                <w:sz w:val="18"/>
              </w:rPr>
              <w:t>Central findings in fraud and transaction monitoring cannot be independently verified; publication bias towards favourable results cannot be assessed</w:t>
            </w:r>
          </w:p>
        </w:tc>
        <w:tc>
          <w:tcPr>
            <w:tcW w:w="2196" w:type="dxa"/>
            <w:tcBorders>
              <w:top w:val="single" w:sz="4" w:space="0" w:color="999999"/>
              <w:left w:val="single" w:sz="4" w:space="0" w:color="999999"/>
              <w:bottom w:val="single" w:sz="4" w:space="0" w:color="999999"/>
              <w:right w:val="single" w:sz="4" w:space="0" w:color="999999"/>
            </w:tcBorders>
          </w:tcPr>
          <w:p w14:paraId="36AA9435" w14:textId="77777777" w:rsidR="00B87CAA" w:rsidRDefault="00F804C3" w:rsidP="0017016D">
            <w:pPr>
              <w:spacing w:after="40" w:line="240" w:lineRule="auto"/>
              <w:jc w:val="both"/>
            </w:pPr>
            <w:r>
              <w:rPr>
                <w:sz w:val="18"/>
              </w:rPr>
              <w:t>No general remedy demonstrated; partial mitigation through review-level synthesis and reporting of data quality constraints</w:t>
            </w:r>
          </w:p>
        </w:tc>
        <w:tc>
          <w:tcPr>
            <w:tcW w:w="2769" w:type="dxa"/>
            <w:tcBorders>
              <w:top w:val="single" w:sz="4" w:space="0" w:color="999999"/>
              <w:left w:val="single" w:sz="4" w:space="0" w:color="999999"/>
              <w:bottom w:val="single" w:sz="4" w:space="0" w:color="999999"/>
              <w:right w:val="single" w:sz="4" w:space="0" w:color="999999"/>
            </w:tcBorders>
          </w:tcPr>
          <w:p w14:paraId="49048940" w14:textId="77777777" w:rsidR="00B87CAA" w:rsidRDefault="00F804C3" w:rsidP="0017016D">
            <w:pPr>
              <w:spacing w:after="40" w:line="240" w:lineRule="auto"/>
              <w:jc w:val="both"/>
            </w:pPr>
            <w:r w:rsidRPr="000A6B05">
              <w:rPr>
                <w:sz w:val="18"/>
                <w:lang w:val="nl-BE"/>
              </w:rPr>
              <w:t xml:space="preserve">Chen et al. (2018); Gupta et al. </w:t>
            </w:r>
            <w:r>
              <w:rPr>
                <w:sz w:val="18"/>
              </w:rPr>
              <w:t>(2022)</w:t>
            </w:r>
          </w:p>
        </w:tc>
      </w:tr>
    </w:tbl>
    <w:p w14:paraId="29815B3F" w14:textId="77777777" w:rsidR="00B87CAA" w:rsidRDefault="00F804C3" w:rsidP="0017016D">
      <w:pPr>
        <w:spacing w:before="80" w:after="240" w:line="240" w:lineRule="auto"/>
        <w:jc w:val="both"/>
      </w:pPr>
      <w:r>
        <w:rPr>
          <w:sz w:val="18"/>
        </w:rPr>
        <w:t>Note. Limitations are listed in the order in which they are discussed in Section 5. The remedy column identifies practices demonstrated within the reviewed literature rather than practices proposed in methodological guidance elsewhere.</w:t>
      </w:r>
    </w:p>
    <w:p w14:paraId="62965740" w14:textId="77777777" w:rsidR="00B87CAA" w:rsidRDefault="00F804C3" w:rsidP="0017016D">
      <w:pPr>
        <w:spacing w:before="280" w:line="276" w:lineRule="auto"/>
        <w:jc w:val="both"/>
      </w:pPr>
      <w:r>
        <w:rPr>
          <w:b/>
          <w:sz w:val="26"/>
        </w:rPr>
        <w:t>6. Interpretability, Fairness and the Governance Interface</w:t>
      </w:r>
    </w:p>
    <w:p w14:paraId="3C9E2A83" w14:textId="77777777" w:rsidR="00B87CAA" w:rsidRDefault="00F804C3" w:rsidP="0017016D">
      <w:pPr>
        <w:jc w:val="both"/>
      </w:pPr>
      <w:r>
        <w:t xml:space="preserve">The questions that determine whether a model can be deployed in a regulated bank are not primarily questions of accuracy. They concern whether the model's behaviour can be explained to a supervisor, justified to a declined applicant, and shown not to produce </w:t>
      </w:r>
      <w:r>
        <w:lastRenderedPageBreak/>
        <w:t>prohibited distributional effects. The literature addressing these questions is substantial but internally divided in ways that the term explainability tends to conceal.</w:t>
      </w:r>
    </w:p>
    <w:p w14:paraId="1AD1AB86" w14:textId="77777777" w:rsidR="00B87CAA" w:rsidRDefault="00F804C3" w:rsidP="0017016D">
      <w:pPr>
        <w:spacing w:before="200" w:after="100" w:line="276" w:lineRule="auto"/>
        <w:jc w:val="both"/>
      </w:pPr>
      <w:r>
        <w:rPr>
          <w:b/>
          <w:i/>
        </w:rPr>
        <w:t>6.1 Post hoc explanation and inherent interpretability</w:t>
      </w:r>
    </w:p>
    <w:p w14:paraId="78ADF58A" w14:textId="77777777" w:rsidR="00B87CAA" w:rsidRDefault="00F804C3" w:rsidP="0017016D">
      <w:pPr>
        <w:jc w:val="both"/>
      </w:pPr>
      <w:r>
        <w:t>Two positions are held in the literature and they are not reconcilable by compromise. The first holds that complex models can be deployed with post hoc explanation attached, using techniques that attribute predictions to input features. Bussmann et al. (2021) applied Shapley-value explanation to credit risk models and demonstrated that meaningful attributions can be recovered from complex learners. Giudici and Raffinetti (2021) developed a Shapley-Lorenz decomposition intended to provide explanation with an accompanying measure of predictive contribution. Dastile et al. (2022) developed model-agnostic counterfactual explanations for credit scoring, addressing the specific requirement that a declined applicant be told what would have changed the decision. Talaat et al. (2024) integrated explanation with deep learning for default prediction. Heger et al. (2024) applied explainable methods to credit spread analysis. Practice has followed this position: 81 per cent of firms using artificial intelligence report employing some explainability method, with feature importance used by 72 per cent and Shapley additive explanations by 64 per cent (Bank of England &amp; Financial Conduct Authority, 2024).</w:t>
      </w:r>
    </w:p>
    <w:p w14:paraId="44B1A25F" w14:textId="77777777" w:rsidR="00B87CAA" w:rsidRDefault="00F804C3" w:rsidP="0017016D">
      <w:pPr>
        <w:jc w:val="both"/>
      </w:pPr>
      <w:r>
        <w:t>The second position holds that post hoc explanation of an opaque model is unreliable and that high-stakes decisions should use models that are interpretable by construction. Rudin (2019) argued this directly, on grounds that post hoc explanations are approximations of the model rather than descriptions of it, that competing explanation methods can yield different attributions for the same prediction, and that the accuracy sacrifice from inherently interpretable models is smaller than commonly assumed in structured-data settings. The credit scoring evidence supports the empirical component of this argument. Dumitrescu et al. (2022) achieved performance competitive with random forests while retaining the interpretability of a penalised logistic model, and Chen et al. (2024) pursued inherent interpretability in the imbalanced setting.</w:t>
      </w:r>
    </w:p>
    <w:p w14:paraId="6DAEFE6F" w14:textId="77777777" w:rsidR="00B87CAA" w:rsidRDefault="00F804C3" w:rsidP="0017016D">
      <w:pPr>
        <w:jc w:val="both"/>
      </w:pPr>
      <w:r>
        <w:t xml:space="preserve">The disagreement is not primarily empirical. Both positions accept that ensembles predict marginally better and that post hoc attributions are approximations. They differ on whether an approximation is adequate for a decision that must be justified to a regulator and to an affected individual, and that is a question about the standard of justification rather than about model performance. Černevičienė and Kabašinskas (2024) reviewed explainable artificial intelligence in finance and documented both the proliferation of techniques and the absence of </w:t>
      </w:r>
      <w:r>
        <w:lastRenderedPageBreak/>
        <w:t>agreed criteria for evaluating whether an explanation is adequate. Until such criteria exist, the field cannot resolve the dispute, and the reasonable position is that the choice depends on the consequence of the decision and the applicable justification standard rather than on a general property of the methods.</w:t>
      </w:r>
    </w:p>
    <w:p w14:paraId="6D63E60D" w14:textId="77777777" w:rsidR="00B87CAA" w:rsidRDefault="00F804C3" w:rsidP="0017016D">
      <w:pPr>
        <w:spacing w:before="200" w:after="100" w:line="276" w:lineRule="auto"/>
        <w:jc w:val="both"/>
      </w:pPr>
      <w:r>
        <w:rPr>
          <w:b/>
          <w:i/>
        </w:rPr>
        <w:t>6.2 Fairness: measurement, mitigation and cost</w:t>
      </w:r>
    </w:p>
    <w:p w14:paraId="2C7D7922" w14:textId="77777777" w:rsidR="00B87CAA" w:rsidRDefault="00F804C3" w:rsidP="0017016D">
      <w:pPr>
        <w:jc w:val="both"/>
      </w:pPr>
      <w:r>
        <w:t>Fairness research in credit has developed rapidly and has produced findings that are more precise than the general discussion of algorithmic bias suggests. Kozodoi et al. (2022) examined statistical fairness criteria for adequacy in credit scoring, catalogued algorithmic options for incorporating fairness objectives, and compared fairness processors empirically in a profit-oriented setting using real data. They found that multiple fairness criteria can be approximately satisfied simultaneously, recommended separation as an appropriate criterion for scorecard fairness, found in-processing methods to deliver a favourable balance between profit and fairness, and concluded that algorithmic discrimination can be reduced to a reasonable level at relatively low cost. This last finding is important because the cost of fairness constraints is frequently asserted to be prohibitive without empirical support.</w:t>
      </w:r>
    </w:p>
    <w:p w14:paraId="649CE34B" w14:textId="77777777" w:rsidR="00B87CAA" w:rsidRDefault="00F804C3" w:rsidP="0017016D">
      <w:pPr>
        <w:jc w:val="both"/>
      </w:pPr>
      <w:r>
        <w:t>The market-outcome literature complicates rather than contradicts this. Fuster et al. (2022) attributed the redistributive effect of machine learning principally to the greater flexibility of the estimator rather than to triangulation of excluded characteristics, which implies that removing protected attributes and their obvious proxies does not eliminate the effect: flexible estimators find structure that varies across groups because the underlying relationships vary across groups. Bartlett et al. (2022) documented substantial pricing disparities for risk-equivalent minority borrowers in United States mortgage markets while finding that financial technology lenders were not uniformly worse than incumbents and were better in some segments. The apparent tension between these findings and the optimistic mitigation results of Kozodoi et al. (2022) is largely a difference in question: the former examine outcomes in markets with particular institutional and regulatory features, the latter examine what can be achieved within a model development pipeline when fairness is an explicit objective. Both can be correct.</w:t>
      </w:r>
    </w:p>
    <w:p w14:paraId="71C89B32" w14:textId="77777777" w:rsidR="00B87CAA" w:rsidRDefault="00F804C3" w:rsidP="0017016D">
      <w:pPr>
        <w:jc w:val="both"/>
      </w:pPr>
      <w:r>
        <w:t xml:space="preserve">There is, however, a genuine unresolved question underneath. A body of work argues that alternative data and flexible estimation extend credit to populations that thin-file scoring excludes (Bazarbash, 2019; Berg et al., 2020; Mhlanga, 2021; Óskarsdóttir et al., 2019), while the market-outcome work documents differential gains and persistent disparities (Bartlett et al., 2022; Fuster et al., 2022). These are not necessarily contradictory, since extension of </w:t>
      </w:r>
      <w:r>
        <w:lastRenderedPageBreak/>
        <w:t>access at the margin and redistribution of terms among the already-served can occur simultaneously, but no study has measured both effects in the same market with a common framework. Until one does, claims that algorithmic underwriting improves or worsens equity in credit access are underdetermined by the evidence, and the honest statement is that the net effect is unknown and probably context-dependent.</w:t>
      </w:r>
    </w:p>
    <w:p w14:paraId="37F6BD08" w14:textId="77777777" w:rsidR="00B87CAA" w:rsidRDefault="00F804C3" w:rsidP="0017016D">
      <w:pPr>
        <w:spacing w:before="200" w:after="100" w:line="276" w:lineRule="auto"/>
        <w:jc w:val="both"/>
      </w:pPr>
      <w:r>
        <w:rPr>
          <w:b/>
          <w:i/>
        </w:rPr>
        <w:t>6.3 Governance and the regulatory interface</w:t>
      </w:r>
    </w:p>
    <w:p w14:paraId="0FBEBD17" w14:textId="77777777" w:rsidR="00B87CAA" w:rsidRDefault="00F804C3" w:rsidP="0017016D">
      <w:pPr>
        <w:jc w:val="both"/>
      </w:pPr>
      <w:r>
        <w:t>Governance requirements have moved from guidance to binding law within the review period. Regulation (EU) 2024/1689 classifies artificial intelligence systems used to evaluate creditworthiness or establish credit scores of natural persons as high-risk, subjecting them to requirements including risk management, data governance, technical documentation, record-keeping, transparency, human oversight and accuracy and robustness obligations. This places the interpretability dispute discussed above on a statutory footing for European deployment, since the demonstrability of compliance rather than the availability of an explanation becomes the operative standard.</w:t>
      </w:r>
    </w:p>
    <w:p w14:paraId="2368E563" w14:textId="77777777" w:rsidR="00B87CAA" w:rsidRDefault="00F804C3" w:rsidP="0017016D">
      <w:pPr>
        <w:jc w:val="both"/>
      </w:pPr>
      <w:r>
        <w:t>Supervisory evidence indicates that governance practice is developing but incomplete. Eighty-four per cent of firms report an accountable person for their artificial intelligence framework, yet 46 per cent report only partial understanding of the technologies they use against 34 per cent reporting complete understanding, with the gap attributed principally to third-party models (Bank of England &amp; Financial Conduct Authority, 2024). The same source records that a third of use cases are third-party implementations, up from 17 per cent two years earlier, and that supplier concentration in model provision has risen sharply. Accountability assigned to a firm that does not fully understand a model it did not build is accountability of limited operational content, and this is a governance problem that the academic literature has barely begun to address. Guerra and Castelli (2021) and McCarthy (2023) examine supervisory and regulatory technology, but the specific question of how model risk management functions when the model is procured rather than developed is largely absent from peer-reviewed work.</w:t>
      </w:r>
    </w:p>
    <w:p w14:paraId="0A34CC21" w14:textId="77777777" w:rsidR="00B87CAA" w:rsidRDefault="00F804C3" w:rsidP="0017016D">
      <w:pPr>
        <w:jc w:val="both"/>
      </w:pPr>
      <w:r>
        <w:t xml:space="preserve">Financial stability assessment has converged on a similar set of concerns, identifying third-party dependency and provider concentration, correlated market behaviour arising from common models and data, cyber exposure, and model risk and data governance as the vulnerabilities warranting monitoring (Financial Stability Board, 2024). Daníelsson et al. (2022) provide the principal academic treatment of the systemic dimension. The imbalance </w:t>
      </w:r>
      <w:r>
        <w:lastRenderedPageBreak/>
        <w:t>between the volume of supervisory concern and the volume of academic evidence on these mechanisms is among the clearest gaps identified in this review.</w:t>
      </w:r>
    </w:p>
    <w:p w14:paraId="2687B434" w14:textId="77777777" w:rsidR="00B87CAA" w:rsidRDefault="00F804C3" w:rsidP="0017016D">
      <w:pPr>
        <w:jc w:val="both"/>
      </w:pPr>
      <w:r>
        <w:t>Table 4 sets out the principal disagreements identified in this review, the evidence on each side, and the most plausible explanation for the disagreement. Several apparent controversies dissolve on inspection into differences of question, population or measurement, which is itself a finding: the field's disputes are frequently conducted between literatures that are not addressing the same object. The disagreements that survive this analysis, particularly the net distributional effect of algorithmic underwriting and the adequacy of post hoc explanation, are the ones that warrant research investment.</w:t>
      </w:r>
    </w:p>
    <w:p w14:paraId="3F18FACB" w14:textId="77777777" w:rsidR="00B87CAA" w:rsidRDefault="00F804C3" w:rsidP="0017016D">
      <w:pPr>
        <w:spacing w:before="200" w:after="80" w:line="240" w:lineRule="auto"/>
        <w:jc w:val="both"/>
      </w:pPr>
      <w:r>
        <w:rPr>
          <w:b/>
          <w:sz w:val="22"/>
        </w:rPr>
        <w:t>Table 4. Principal disagreements in the literature, the evidence on each side and the most plausible explanation for the divergence</w:t>
      </w:r>
    </w:p>
    <w:tbl>
      <w:tblPr>
        <w:tblStyle w:val="TableGrid"/>
        <w:tblW w:w="0" w:type="auto"/>
        <w:jc w:val="center"/>
        <w:tblLayout w:type="fixed"/>
        <w:tblLook w:val="04A0" w:firstRow="1" w:lastRow="0" w:firstColumn="1" w:lastColumn="0" w:noHBand="0" w:noVBand="1"/>
      </w:tblPr>
      <w:tblGrid>
        <w:gridCol w:w="1623"/>
        <w:gridCol w:w="2005"/>
        <w:gridCol w:w="2005"/>
        <w:gridCol w:w="2005"/>
        <w:gridCol w:w="1432"/>
      </w:tblGrid>
      <w:tr w:rsidR="00B87CAA" w14:paraId="4C7035C7" w14:textId="77777777">
        <w:trPr>
          <w:jc w:val="center"/>
        </w:trPr>
        <w:tc>
          <w:tcPr>
            <w:tcW w:w="1623" w:type="dxa"/>
            <w:tcBorders>
              <w:top w:val="single" w:sz="4" w:space="0" w:color="999999"/>
              <w:left w:val="single" w:sz="4" w:space="0" w:color="999999"/>
              <w:bottom w:val="single" w:sz="4" w:space="0" w:color="999999"/>
              <w:right w:val="single" w:sz="4" w:space="0" w:color="999999"/>
            </w:tcBorders>
            <w:shd w:val="clear" w:color="auto" w:fill="EEEEEE"/>
          </w:tcPr>
          <w:p w14:paraId="3C5A17A9" w14:textId="77777777" w:rsidR="00B87CAA" w:rsidRDefault="00F804C3" w:rsidP="0017016D">
            <w:pPr>
              <w:spacing w:after="40" w:line="240" w:lineRule="auto"/>
              <w:jc w:val="both"/>
            </w:pPr>
            <w:r>
              <w:rPr>
                <w:b/>
                <w:sz w:val="18"/>
              </w:rPr>
              <w:t>Point of disagreement</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674A8708" w14:textId="77777777" w:rsidR="00B87CAA" w:rsidRDefault="00F804C3" w:rsidP="0017016D">
            <w:pPr>
              <w:spacing w:after="40" w:line="240" w:lineRule="auto"/>
              <w:jc w:val="both"/>
            </w:pPr>
            <w:r>
              <w:rPr>
                <w:b/>
                <w:sz w:val="18"/>
              </w:rPr>
              <w:t>One position and its evidence</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312B398A" w14:textId="77777777" w:rsidR="00B87CAA" w:rsidRDefault="00F804C3" w:rsidP="0017016D">
            <w:pPr>
              <w:spacing w:after="40" w:line="240" w:lineRule="auto"/>
              <w:jc w:val="both"/>
            </w:pPr>
            <w:r>
              <w:rPr>
                <w:b/>
                <w:sz w:val="18"/>
              </w:rPr>
              <w:t>Opposing position and its evidence</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624B31BB" w14:textId="77777777" w:rsidR="00B87CAA" w:rsidRDefault="00F804C3" w:rsidP="0017016D">
            <w:pPr>
              <w:spacing w:after="40" w:line="240" w:lineRule="auto"/>
              <w:jc w:val="both"/>
            </w:pPr>
            <w:r>
              <w:rPr>
                <w:b/>
                <w:sz w:val="18"/>
              </w:rPr>
              <w:t>Most plausible explanation for divergence</w:t>
            </w:r>
          </w:p>
        </w:tc>
        <w:tc>
          <w:tcPr>
            <w:tcW w:w="1432" w:type="dxa"/>
            <w:tcBorders>
              <w:top w:val="single" w:sz="4" w:space="0" w:color="999999"/>
              <w:left w:val="single" w:sz="4" w:space="0" w:color="999999"/>
              <w:bottom w:val="single" w:sz="4" w:space="0" w:color="999999"/>
              <w:right w:val="single" w:sz="4" w:space="0" w:color="999999"/>
            </w:tcBorders>
            <w:shd w:val="clear" w:color="auto" w:fill="EEEEEE"/>
          </w:tcPr>
          <w:p w14:paraId="79BFC186" w14:textId="77777777" w:rsidR="00B87CAA" w:rsidRDefault="00F804C3" w:rsidP="0017016D">
            <w:pPr>
              <w:spacing w:after="40" w:line="240" w:lineRule="auto"/>
              <w:jc w:val="both"/>
            </w:pPr>
            <w:r>
              <w:rPr>
                <w:b/>
                <w:sz w:val="18"/>
              </w:rPr>
              <w:t>Supporting references</w:t>
            </w:r>
          </w:p>
        </w:tc>
      </w:tr>
      <w:tr w:rsidR="00B87CAA" w14:paraId="1656D242"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07CBF621" w14:textId="77777777" w:rsidR="00B87CAA" w:rsidRDefault="00F804C3" w:rsidP="0017016D">
            <w:pPr>
              <w:spacing w:after="40" w:line="240" w:lineRule="auto"/>
              <w:jc w:val="both"/>
            </w:pPr>
            <w:r>
              <w:rPr>
                <w:sz w:val="18"/>
              </w:rPr>
              <w:t>Whether complex learners materially improve credit decisions</w:t>
            </w:r>
          </w:p>
        </w:tc>
        <w:tc>
          <w:tcPr>
            <w:tcW w:w="2005" w:type="dxa"/>
            <w:tcBorders>
              <w:top w:val="single" w:sz="4" w:space="0" w:color="999999"/>
              <w:left w:val="single" w:sz="4" w:space="0" w:color="999999"/>
              <w:bottom w:val="single" w:sz="4" w:space="0" w:color="999999"/>
              <w:right w:val="single" w:sz="4" w:space="0" w:color="999999"/>
            </w:tcBorders>
          </w:tcPr>
          <w:p w14:paraId="36ADF381" w14:textId="77777777" w:rsidR="00B87CAA" w:rsidRDefault="00F804C3" w:rsidP="0017016D">
            <w:pPr>
              <w:spacing w:after="40" w:line="240" w:lineRule="auto"/>
              <w:jc w:val="both"/>
            </w:pPr>
            <w:r>
              <w:rPr>
                <w:sz w:val="18"/>
              </w:rPr>
              <w:t>Ensembles outperform parametric baselines on discrimination across many datasets</w:t>
            </w:r>
          </w:p>
        </w:tc>
        <w:tc>
          <w:tcPr>
            <w:tcW w:w="2005" w:type="dxa"/>
            <w:tcBorders>
              <w:top w:val="single" w:sz="4" w:space="0" w:color="999999"/>
              <w:left w:val="single" w:sz="4" w:space="0" w:color="999999"/>
              <w:bottom w:val="single" w:sz="4" w:space="0" w:color="999999"/>
              <w:right w:val="single" w:sz="4" w:space="0" w:color="999999"/>
            </w:tcBorders>
          </w:tcPr>
          <w:p w14:paraId="4A637973" w14:textId="77777777" w:rsidR="00B87CAA" w:rsidRDefault="00F804C3" w:rsidP="0017016D">
            <w:pPr>
              <w:spacing w:after="40" w:line="240" w:lineRule="auto"/>
              <w:jc w:val="both"/>
            </w:pPr>
            <w:r>
              <w:rPr>
                <w:sz w:val="18"/>
              </w:rPr>
              <w:t>Margins are modest, unstable across metrics, and have not been shown to change portfolio outcomes</w:t>
            </w:r>
          </w:p>
        </w:tc>
        <w:tc>
          <w:tcPr>
            <w:tcW w:w="2005" w:type="dxa"/>
            <w:tcBorders>
              <w:top w:val="single" w:sz="4" w:space="0" w:color="999999"/>
              <w:left w:val="single" w:sz="4" w:space="0" w:color="999999"/>
              <w:bottom w:val="single" w:sz="4" w:space="0" w:color="999999"/>
              <w:right w:val="single" w:sz="4" w:space="0" w:color="999999"/>
            </w:tcBorders>
          </w:tcPr>
          <w:p w14:paraId="65370598" w14:textId="77777777" w:rsidR="00B87CAA" w:rsidRDefault="00F804C3" w:rsidP="0017016D">
            <w:pPr>
              <w:spacing w:after="40" w:line="240" w:lineRule="auto"/>
              <w:jc w:val="both"/>
            </w:pPr>
            <w:r>
              <w:rPr>
                <w:sz w:val="18"/>
              </w:rPr>
              <w:t>Difference of criterion rather than of finding: statistical and economic evaluations answer different questions, and few studies report both</w:t>
            </w:r>
          </w:p>
        </w:tc>
        <w:tc>
          <w:tcPr>
            <w:tcW w:w="1432" w:type="dxa"/>
            <w:tcBorders>
              <w:top w:val="single" w:sz="4" w:space="0" w:color="999999"/>
              <w:left w:val="single" w:sz="4" w:space="0" w:color="999999"/>
              <w:bottom w:val="single" w:sz="4" w:space="0" w:color="999999"/>
              <w:right w:val="single" w:sz="4" w:space="0" w:color="999999"/>
            </w:tcBorders>
          </w:tcPr>
          <w:p w14:paraId="0ADE89BD" w14:textId="77777777" w:rsidR="00B87CAA" w:rsidRDefault="00F804C3" w:rsidP="0017016D">
            <w:pPr>
              <w:spacing w:after="40" w:line="240" w:lineRule="auto"/>
              <w:jc w:val="both"/>
            </w:pPr>
            <w:r w:rsidRPr="000A6B05">
              <w:rPr>
                <w:sz w:val="18"/>
                <w:lang w:val="nl-BE"/>
              </w:rPr>
              <w:t xml:space="preserve">Kozodoi et al. (2019); Krivorotov (2023); Lessmann et al. </w:t>
            </w:r>
            <w:r>
              <w:rPr>
                <w:sz w:val="18"/>
              </w:rPr>
              <w:t>(2015)</w:t>
            </w:r>
          </w:p>
        </w:tc>
      </w:tr>
      <w:tr w:rsidR="00B87CAA" w14:paraId="793B9D69"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1BCCE31A" w14:textId="77777777" w:rsidR="00B87CAA" w:rsidRDefault="00F804C3" w:rsidP="0017016D">
            <w:pPr>
              <w:spacing w:after="40" w:line="240" w:lineRule="auto"/>
              <w:jc w:val="both"/>
            </w:pPr>
            <w:r>
              <w:rPr>
                <w:sz w:val="18"/>
              </w:rPr>
              <w:t>Whether deep learning is suited to banking data</w:t>
            </w:r>
          </w:p>
        </w:tc>
        <w:tc>
          <w:tcPr>
            <w:tcW w:w="2005" w:type="dxa"/>
            <w:tcBorders>
              <w:top w:val="single" w:sz="4" w:space="0" w:color="999999"/>
              <w:left w:val="single" w:sz="4" w:space="0" w:color="999999"/>
              <w:bottom w:val="single" w:sz="4" w:space="0" w:color="999999"/>
              <w:right w:val="single" w:sz="4" w:space="0" w:color="999999"/>
            </w:tcBorders>
          </w:tcPr>
          <w:p w14:paraId="1E312DF8" w14:textId="77777777" w:rsidR="00B87CAA" w:rsidRDefault="00F804C3" w:rsidP="0017016D">
            <w:pPr>
              <w:spacing w:after="40" w:line="240" w:lineRule="auto"/>
              <w:jc w:val="both"/>
            </w:pPr>
            <w:r>
              <w:rPr>
                <w:sz w:val="18"/>
              </w:rPr>
              <w:t>Deep architectures underperform gradient boosting on credit scoring under systematic comparison</w:t>
            </w:r>
          </w:p>
        </w:tc>
        <w:tc>
          <w:tcPr>
            <w:tcW w:w="2005" w:type="dxa"/>
            <w:tcBorders>
              <w:top w:val="single" w:sz="4" w:space="0" w:color="999999"/>
              <w:left w:val="single" w:sz="4" w:space="0" w:color="999999"/>
              <w:bottom w:val="single" w:sz="4" w:space="0" w:color="999999"/>
              <w:right w:val="single" w:sz="4" w:space="0" w:color="999999"/>
            </w:tcBorders>
          </w:tcPr>
          <w:p w14:paraId="5FBD4E8C" w14:textId="77777777" w:rsidR="00B87CAA" w:rsidRDefault="00F804C3" w:rsidP="0017016D">
            <w:pPr>
              <w:spacing w:after="40" w:line="240" w:lineRule="auto"/>
              <w:jc w:val="both"/>
            </w:pPr>
            <w:r>
              <w:rPr>
                <w:sz w:val="18"/>
              </w:rPr>
              <w:t>Deep architectures add value where inputs are sequential or textual</w:t>
            </w:r>
          </w:p>
        </w:tc>
        <w:tc>
          <w:tcPr>
            <w:tcW w:w="2005" w:type="dxa"/>
            <w:tcBorders>
              <w:top w:val="single" w:sz="4" w:space="0" w:color="999999"/>
              <w:left w:val="single" w:sz="4" w:space="0" w:color="999999"/>
              <w:bottom w:val="single" w:sz="4" w:space="0" w:color="999999"/>
              <w:right w:val="single" w:sz="4" w:space="0" w:color="999999"/>
            </w:tcBorders>
          </w:tcPr>
          <w:p w14:paraId="7C7B2753" w14:textId="77777777" w:rsidR="00B87CAA" w:rsidRDefault="00F804C3" w:rsidP="0017016D">
            <w:pPr>
              <w:spacing w:after="40" w:line="240" w:lineRule="auto"/>
              <w:jc w:val="both"/>
            </w:pPr>
            <w:r>
              <w:rPr>
                <w:sz w:val="18"/>
              </w:rPr>
              <w:t>Genuine but resolved: the disagreement dissolves once data structure is specified, and the positions apply to different input types</w:t>
            </w:r>
          </w:p>
        </w:tc>
        <w:tc>
          <w:tcPr>
            <w:tcW w:w="1432" w:type="dxa"/>
            <w:tcBorders>
              <w:top w:val="single" w:sz="4" w:space="0" w:color="999999"/>
              <w:left w:val="single" w:sz="4" w:space="0" w:color="999999"/>
              <w:bottom w:val="single" w:sz="4" w:space="0" w:color="999999"/>
              <w:right w:val="single" w:sz="4" w:space="0" w:color="999999"/>
            </w:tcBorders>
          </w:tcPr>
          <w:p w14:paraId="1BA08C85" w14:textId="77777777" w:rsidR="00B87CAA" w:rsidRDefault="00F804C3" w:rsidP="0017016D">
            <w:pPr>
              <w:spacing w:after="40" w:line="240" w:lineRule="auto"/>
              <w:jc w:val="both"/>
            </w:pPr>
            <w:r w:rsidRPr="000A6B05">
              <w:rPr>
                <w:sz w:val="18"/>
                <w:lang w:val="nl-BE"/>
              </w:rPr>
              <w:t xml:space="preserve">Gunnarsson et al. (2021); Hayashi (2022); Kriebel &amp; Stitz (2022); Mienye et al. </w:t>
            </w:r>
            <w:r>
              <w:rPr>
                <w:sz w:val="18"/>
              </w:rPr>
              <w:t>(2024)</w:t>
            </w:r>
          </w:p>
        </w:tc>
      </w:tr>
      <w:tr w:rsidR="00B87CAA" w14:paraId="5ECF5274"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7F12AFD7" w14:textId="77777777" w:rsidR="00B87CAA" w:rsidRDefault="00F804C3" w:rsidP="0017016D">
            <w:pPr>
              <w:spacing w:after="40" w:line="240" w:lineRule="auto"/>
              <w:jc w:val="both"/>
            </w:pPr>
            <w:r>
              <w:rPr>
                <w:sz w:val="18"/>
              </w:rPr>
              <w:t>Whether post hoc explanation is adequate for high-stakes credit decisions</w:t>
            </w:r>
          </w:p>
        </w:tc>
        <w:tc>
          <w:tcPr>
            <w:tcW w:w="2005" w:type="dxa"/>
            <w:tcBorders>
              <w:top w:val="single" w:sz="4" w:space="0" w:color="999999"/>
              <w:left w:val="single" w:sz="4" w:space="0" w:color="999999"/>
              <w:bottom w:val="single" w:sz="4" w:space="0" w:color="999999"/>
              <w:right w:val="single" w:sz="4" w:space="0" w:color="999999"/>
            </w:tcBorders>
          </w:tcPr>
          <w:p w14:paraId="0AF0BE20" w14:textId="77777777" w:rsidR="00B87CAA" w:rsidRDefault="00F804C3" w:rsidP="0017016D">
            <w:pPr>
              <w:spacing w:after="40" w:line="240" w:lineRule="auto"/>
              <w:jc w:val="both"/>
            </w:pPr>
            <w:r>
              <w:rPr>
                <w:sz w:val="18"/>
              </w:rPr>
              <w:t>Attribution methods recover meaningful explanations and are widely used in practice</w:t>
            </w:r>
          </w:p>
        </w:tc>
        <w:tc>
          <w:tcPr>
            <w:tcW w:w="2005" w:type="dxa"/>
            <w:tcBorders>
              <w:top w:val="single" w:sz="4" w:space="0" w:color="999999"/>
              <w:left w:val="single" w:sz="4" w:space="0" w:color="999999"/>
              <w:bottom w:val="single" w:sz="4" w:space="0" w:color="999999"/>
              <w:right w:val="single" w:sz="4" w:space="0" w:color="999999"/>
            </w:tcBorders>
          </w:tcPr>
          <w:p w14:paraId="50BA7E35" w14:textId="77777777" w:rsidR="00B87CAA" w:rsidRDefault="00F804C3" w:rsidP="0017016D">
            <w:pPr>
              <w:spacing w:after="40" w:line="240" w:lineRule="auto"/>
              <w:jc w:val="both"/>
            </w:pPr>
            <w:r>
              <w:rPr>
                <w:sz w:val="18"/>
              </w:rPr>
              <w:t>Post hoc explanations approximate rather than describe the model; inherently interpretable models achieve comparable accuracy</w:t>
            </w:r>
          </w:p>
        </w:tc>
        <w:tc>
          <w:tcPr>
            <w:tcW w:w="2005" w:type="dxa"/>
            <w:tcBorders>
              <w:top w:val="single" w:sz="4" w:space="0" w:color="999999"/>
              <w:left w:val="single" w:sz="4" w:space="0" w:color="999999"/>
              <w:bottom w:val="single" w:sz="4" w:space="0" w:color="999999"/>
              <w:right w:val="single" w:sz="4" w:space="0" w:color="999999"/>
            </w:tcBorders>
          </w:tcPr>
          <w:p w14:paraId="1D889404" w14:textId="77777777" w:rsidR="00B87CAA" w:rsidRDefault="00F804C3" w:rsidP="0017016D">
            <w:pPr>
              <w:spacing w:after="40" w:line="240" w:lineRule="auto"/>
              <w:jc w:val="both"/>
            </w:pPr>
            <w:r>
              <w:rPr>
                <w:sz w:val="18"/>
              </w:rPr>
              <w:t>Unresolved. The dispute concerns the required standard of justification rather than model performance, and no agreed criteria for explanation adequacy exist</w:t>
            </w:r>
          </w:p>
        </w:tc>
        <w:tc>
          <w:tcPr>
            <w:tcW w:w="1432" w:type="dxa"/>
            <w:tcBorders>
              <w:top w:val="single" w:sz="4" w:space="0" w:color="999999"/>
              <w:left w:val="single" w:sz="4" w:space="0" w:color="999999"/>
              <w:bottom w:val="single" w:sz="4" w:space="0" w:color="999999"/>
              <w:right w:val="single" w:sz="4" w:space="0" w:color="999999"/>
            </w:tcBorders>
          </w:tcPr>
          <w:p w14:paraId="1BA33259" w14:textId="77777777" w:rsidR="00B87CAA" w:rsidRDefault="00F804C3" w:rsidP="0017016D">
            <w:pPr>
              <w:spacing w:after="40" w:line="240" w:lineRule="auto"/>
              <w:jc w:val="both"/>
            </w:pPr>
            <w:r w:rsidRPr="000A6B05">
              <w:rPr>
                <w:sz w:val="18"/>
                <w:lang w:val="nl-BE"/>
              </w:rPr>
              <w:t xml:space="preserve">Bussmann et al. (2021); Černevičienė &amp; Kabašinskas (2024); Dastile et al. </w:t>
            </w:r>
            <w:r>
              <w:rPr>
                <w:sz w:val="18"/>
              </w:rPr>
              <w:t>(2022); Dumitrescu et al. (2022); Giudici &amp; Raffinetti (2021); Rudin (2019)</w:t>
            </w:r>
          </w:p>
        </w:tc>
      </w:tr>
      <w:tr w:rsidR="00B87CAA" w14:paraId="4AD946A2"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529B08FA" w14:textId="77777777" w:rsidR="00B87CAA" w:rsidRDefault="00F804C3" w:rsidP="0017016D">
            <w:pPr>
              <w:spacing w:after="40" w:line="240" w:lineRule="auto"/>
              <w:jc w:val="both"/>
            </w:pPr>
            <w:r>
              <w:rPr>
                <w:sz w:val="18"/>
              </w:rPr>
              <w:t>Whether algorithmic underwriting improves or worsens equity in credit</w:t>
            </w:r>
          </w:p>
        </w:tc>
        <w:tc>
          <w:tcPr>
            <w:tcW w:w="2005" w:type="dxa"/>
            <w:tcBorders>
              <w:top w:val="single" w:sz="4" w:space="0" w:color="999999"/>
              <w:left w:val="single" w:sz="4" w:space="0" w:color="999999"/>
              <w:bottom w:val="single" w:sz="4" w:space="0" w:color="999999"/>
              <w:right w:val="single" w:sz="4" w:space="0" w:color="999999"/>
            </w:tcBorders>
          </w:tcPr>
          <w:p w14:paraId="20B43AAF" w14:textId="77777777" w:rsidR="00B87CAA" w:rsidRDefault="00F804C3" w:rsidP="0017016D">
            <w:pPr>
              <w:spacing w:after="40" w:line="240" w:lineRule="auto"/>
              <w:jc w:val="both"/>
            </w:pPr>
            <w:r>
              <w:rPr>
                <w:sz w:val="18"/>
              </w:rPr>
              <w:t>Alternative data and flexible estimation extend access to thin-file and excluded populations</w:t>
            </w:r>
          </w:p>
        </w:tc>
        <w:tc>
          <w:tcPr>
            <w:tcW w:w="2005" w:type="dxa"/>
            <w:tcBorders>
              <w:top w:val="single" w:sz="4" w:space="0" w:color="999999"/>
              <w:left w:val="single" w:sz="4" w:space="0" w:color="999999"/>
              <w:bottom w:val="single" w:sz="4" w:space="0" w:color="999999"/>
              <w:right w:val="single" w:sz="4" w:space="0" w:color="999999"/>
            </w:tcBorders>
          </w:tcPr>
          <w:p w14:paraId="3D3C1993" w14:textId="77777777" w:rsidR="00B87CAA" w:rsidRDefault="00F804C3" w:rsidP="0017016D">
            <w:pPr>
              <w:spacing w:after="40" w:line="240" w:lineRule="auto"/>
              <w:jc w:val="both"/>
            </w:pPr>
            <w:r>
              <w:rPr>
                <w:sz w:val="18"/>
              </w:rPr>
              <w:t>Flexible estimation redistributes terms unequally and substantial disparities persist for risk-equivalent borrowers</w:t>
            </w:r>
          </w:p>
        </w:tc>
        <w:tc>
          <w:tcPr>
            <w:tcW w:w="2005" w:type="dxa"/>
            <w:tcBorders>
              <w:top w:val="single" w:sz="4" w:space="0" w:color="999999"/>
              <w:left w:val="single" w:sz="4" w:space="0" w:color="999999"/>
              <w:bottom w:val="single" w:sz="4" w:space="0" w:color="999999"/>
              <w:right w:val="single" w:sz="4" w:space="0" w:color="999999"/>
            </w:tcBorders>
          </w:tcPr>
          <w:p w14:paraId="45ADF99D" w14:textId="77777777" w:rsidR="00B87CAA" w:rsidRDefault="00F804C3" w:rsidP="0017016D">
            <w:pPr>
              <w:spacing w:after="40" w:line="240" w:lineRule="auto"/>
              <w:jc w:val="both"/>
            </w:pPr>
            <w:r>
              <w:rPr>
                <w:sz w:val="18"/>
              </w:rPr>
              <w:t>Unresolved. The two literatures measure different margins, extensive and intensive, and no study measures both in a single market</w:t>
            </w:r>
          </w:p>
        </w:tc>
        <w:tc>
          <w:tcPr>
            <w:tcW w:w="1432" w:type="dxa"/>
            <w:tcBorders>
              <w:top w:val="single" w:sz="4" w:space="0" w:color="999999"/>
              <w:left w:val="single" w:sz="4" w:space="0" w:color="999999"/>
              <w:bottom w:val="single" w:sz="4" w:space="0" w:color="999999"/>
              <w:right w:val="single" w:sz="4" w:space="0" w:color="999999"/>
            </w:tcBorders>
          </w:tcPr>
          <w:p w14:paraId="3E4DD460" w14:textId="77777777" w:rsidR="00B87CAA" w:rsidRDefault="00F804C3" w:rsidP="0017016D">
            <w:pPr>
              <w:spacing w:after="40" w:line="240" w:lineRule="auto"/>
              <w:jc w:val="both"/>
            </w:pPr>
            <w:r w:rsidRPr="000A6B05">
              <w:rPr>
                <w:sz w:val="18"/>
                <w:lang w:val="nl-BE"/>
              </w:rPr>
              <w:t xml:space="preserve">Bartlett et al. (2022); Bazarbash (2019); Berg et al. </w:t>
            </w:r>
            <w:r>
              <w:rPr>
                <w:sz w:val="18"/>
              </w:rPr>
              <w:t>(2020); Fuster et al. (2022); Mhlanga (2021)</w:t>
            </w:r>
          </w:p>
        </w:tc>
      </w:tr>
      <w:tr w:rsidR="00B87CAA" w14:paraId="6E1F160F"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0C7793F0" w14:textId="77777777" w:rsidR="00B87CAA" w:rsidRDefault="00F804C3" w:rsidP="0017016D">
            <w:pPr>
              <w:spacing w:after="40" w:line="240" w:lineRule="auto"/>
              <w:jc w:val="both"/>
            </w:pPr>
            <w:r>
              <w:rPr>
                <w:sz w:val="18"/>
              </w:rPr>
              <w:t>Whether fairness constraints are costly to impose</w:t>
            </w:r>
          </w:p>
        </w:tc>
        <w:tc>
          <w:tcPr>
            <w:tcW w:w="2005" w:type="dxa"/>
            <w:tcBorders>
              <w:top w:val="single" w:sz="4" w:space="0" w:color="999999"/>
              <w:left w:val="single" w:sz="4" w:space="0" w:color="999999"/>
              <w:bottom w:val="single" w:sz="4" w:space="0" w:color="999999"/>
              <w:right w:val="single" w:sz="4" w:space="0" w:color="999999"/>
            </w:tcBorders>
          </w:tcPr>
          <w:p w14:paraId="627324EB" w14:textId="77777777" w:rsidR="00B87CAA" w:rsidRDefault="00F804C3" w:rsidP="0017016D">
            <w:pPr>
              <w:spacing w:after="40" w:line="240" w:lineRule="auto"/>
              <w:jc w:val="both"/>
            </w:pPr>
            <w:r>
              <w:rPr>
                <w:sz w:val="18"/>
              </w:rPr>
              <w:t>Multiple criteria can be approximately satisfied at once and discrimination reduced at relatively low profit cost</w:t>
            </w:r>
          </w:p>
        </w:tc>
        <w:tc>
          <w:tcPr>
            <w:tcW w:w="2005" w:type="dxa"/>
            <w:tcBorders>
              <w:top w:val="single" w:sz="4" w:space="0" w:color="999999"/>
              <w:left w:val="single" w:sz="4" w:space="0" w:color="999999"/>
              <w:bottom w:val="single" w:sz="4" w:space="0" w:color="999999"/>
              <w:right w:val="single" w:sz="4" w:space="0" w:color="999999"/>
            </w:tcBorders>
          </w:tcPr>
          <w:p w14:paraId="765C3731" w14:textId="77777777" w:rsidR="00B87CAA" w:rsidRDefault="00F804C3" w:rsidP="0017016D">
            <w:pPr>
              <w:spacing w:after="40" w:line="240" w:lineRule="auto"/>
              <w:jc w:val="both"/>
            </w:pPr>
            <w:r>
              <w:rPr>
                <w:sz w:val="18"/>
              </w:rPr>
              <w:t>Market evidence shows persistent disparities that model-level mitigation has not removed</w:t>
            </w:r>
          </w:p>
        </w:tc>
        <w:tc>
          <w:tcPr>
            <w:tcW w:w="2005" w:type="dxa"/>
            <w:tcBorders>
              <w:top w:val="single" w:sz="4" w:space="0" w:color="999999"/>
              <w:left w:val="single" w:sz="4" w:space="0" w:color="999999"/>
              <w:bottom w:val="single" w:sz="4" w:space="0" w:color="999999"/>
              <w:right w:val="single" w:sz="4" w:space="0" w:color="999999"/>
            </w:tcBorders>
          </w:tcPr>
          <w:p w14:paraId="4ABE3B40" w14:textId="77777777" w:rsidR="00B87CAA" w:rsidRDefault="00F804C3" w:rsidP="0017016D">
            <w:pPr>
              <w:spacing w:after="40" w:line="240" w:lineRule="auto"/>
              <w:jc w:val="both"/>
            </w:pPr>
            <w:r>
              <w:rPr>
                <w:sz w:val="18"/>
              </w:rPr>
              <w:t>Difference of level rather than of finding: pipeline-level mitigation and market-level outcomes are distinct objects, and the former does not determine the latter</w:t>
            </w:r>
          </w:p>
        </w:tc>
        <w:tc>
          <w:tcPr>
            <w:tcW w:w="1432" w:type="dxa"/>
            <w:tcBorders>
              <w:top w:val="single" w:sz="4" w:space="0" w:color="999999"/>
              <w:left w:val="single" w:sz="4" w:space="0" w:color="999999"/>
              <w:bottom w:val="single" w:sz="4" w:space="0" w:color="999999"/>
              <w:right w:val="single" w:sz="4" w:space="0" w:color="999999"/>
            </w:tcBorders>
          </w:tcPr>
          <w:p w14:paraId="7EF3E82E" w14:textId="77777777" w:rsidR="00B87CAA" w:rsidRDefault="00F804C3" w:rsidP="0017016D">
            <w:pPr>
              <w:spacing w:after="40" w:line="240" w:lineRule="auto"/>
              <w:jc w:val="both"/>
            </w:pPr>
            <w:r w:rsidRPr="000A6B05">
              <w:rPr>
                <w:sz w:val="18"/>
                <w:lang w:val="nl-BE"/>
              </w:rPr>
              <w:t xml:space="preserve">Bartlett et al. (2022); Fuster et al. </w:t>
            </w:r>
            <w:r>
              <w:rPr>
                <w:sz w:val="18"/>
              </w:rPr>
              <w:t xml:space="preserve">(2022); </w:t>
            </w:r>
            <w:proofErr w:type="spellStart"/>
            <w:r>
              <w:rPr>
                <w:sz w:val="18"/>
              </w:rPr>
              <w:t>Kozodoi</w:t>
            </w:r>
            <w:proofErr w:type="spellEnd"/>
            <w:r>
              <w:rPr>
                <w:sz w:val="18"/>
              </w:rPr>
              <w:t xml:space="preserve"> et al. (2022)</w:t>
            </w:r>
          </w:p>
        </w:tc>
      </w:tr>
      <w:tr w:rsidR="00B87CAA" w14:paraId="06157178"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399E2646" w14:textId="77777777" w:rsidR="00B87CAA" w:rsidRDefault="00F804C3" w:rsidP="0017016D">
            <w:pPr>
              <w:spacing w:after="40" w:line="240" w:lineRule="auto"/>
              <w:jc w:val="both"/>
            </w:pPr>
            <w:r>
              <w:rPr>
                <w:sz w:val="18"/>
              </w:rPr>
              <w:lastRenderedPageBreak/>
              <w:t>Whether artificial intelligence adoption improves bank performance</w:t>
            </w:r>
          </w:p>
        </w:tc>
        <w:tc>
          <w:tcPr>
            <w:tcW w:w="2005" w:type="dxa"/>
            <w:tcBorders>
              <w:top w:val="single" w:sz="4" w:space="0" w:color="999999"/>
              <w:left w:val="single" w:sz="4" w:space="0" w:color="999999"/>
              <w:bottom w:val="single" w:sz="4" w:space="0" w:color="999999"/>
              <w:right w:val="single" w:sz="4" w:space="0" w:color="999999"/>
            </w:tcBorders>
          </w:tcPr>
          <w:p w14:paraId="032F29C5" w14:textId="77777777" w:rsidR="00B87CAA" w:rsidRDefault="00F804C3" w:rsidP="0017016D">
            <w:pPr>
              <w:spacing w:after="40" w:line="240" w:lineRule="auto"/>
              <w:jc w:val="both"/>
            </w:pPr>
            <w:r>
              <w:rPr>
                <w:sz w:val="18"/>
              </w:rPr>
              <w:t>Digitalisation is associated with higher profit efficiency and perceived operational benefit</w:t>
            </w:r>
          </w:p>
        </w:tc>
        <w:tc>
          <w:tcPr>
            <w:tcW w:w="2005" w:type="dxa"/>
            <w:tcBorders>
              <w:top w:val="single" w:sz="4" w:space="0" w:color="999999"/>
              <w:left w:val="single" w:sz="4" w:space="0" w:color="999999"/>
              <w:bottom w:val="single" w:sz="4" w:space="0" w:color="999999"/>
              <w:right w:val="single" w:sz="4" w:space="0" w:color="999999"/>
            </w:tcBorders>
          </w:tcPr>
          <w:p w14:paraId="436211FB" w14:textId="77777777" w:rsidR="00B87CAA" w:rsidRDefault="00F804C3" w:rsidP="0017016D">
            <w:pPr>
              <w:spacing w:after="40" w:line="240" w:lineRule="auto"/>
              <w:jc w:val="both"/>
            </w:pPr>
            <w:r>
              <w:rPr>
                <w:sz w:val="18"/>
              </w:rPr>
              <w:t>Adoption is measured by proxies that do not isolate learning systems, and identification is generally weak</w:t>
            </w:r>
          </w:p>
        </w:tc>
        <w:tc>
          <w:tcPr>
            <w:tcW w:w="2005" w:type="dxa"/>
            <w:tcBorders>
              <w:top w:val="single" w:sz="4" w:space="0" w:color="999999"/>
              <w:left w:val="single" w:sz="4" w:space="0" w:color="999999"/>
              <w:bottom w:val="single" w:sz="4" w:space="0" w:color="999999"/>
              <w:right w:val="single" w:sz="4" w:space="0" w:color="999999"/>
            </w:tcBorders>
          </w:tcPr>
          <w:p w14:paraId="2458927E" w14:textId="77777777" w:rsidR="00B87CAA" w:rsidRDefault="00F804C3" w:rsidP="0017016D">
            <w:pPr>
              <w:spacing w:after="40" w:line="240" w:lineRule="auto"/>
              <w:jc w:val="both"/>
            </w:pPr>
            <w:r>
              <w:rPr>
                <w:sz w:val="18"/>
              </w:rPr>
              <w:t>Measurement artefact rather than substantive dispute: the positive association is credible for digitalisation broadly but does not support inference about learning systems</w:t>
            </w:r>
          </w:p>
        </w:tc>
        <w:tc>
          <w:tcPr>
            <w:tcW w:w="1432" w:type="dxa"/>
            <w:tcBorders>
              <w:top w:val="single" w:sz="4" w:space="0" w:color="999999"/>
              <w:left w:val="single" w:sz="4" w:space="0" w:color="999999"/>
              <w:bottom w:val="single" w:sz="4" w:space="0" w:color="999999"/>
              <w:right w:val="single" w:sz="4" w:space="0" w:color="999999"/>
            </w:tcBorders>
          </w:tcPr>
          <w:p w14:paraId="74F8C11D" w14:textId="77777777" w:rsidR="00B87CAA" w:rsidRDefault="00F804C3" w:rsidP="0017016D">
            <w:pPr>
              <w:spacing w:after="40" w:line="240" w:lineRule="auto"/>
              <w:jc w:val="both"/>
            </w:pPr>
            <w:r>
              <w:rPr>
                <w:sz w:val="18"/>
              </w:rPr>
              <w:t>Bank of England &amp; Financial Conduct Authority (2024); Rahman (2023); Ren et al. (2024)</w:t>
            </w:r>
          </w:p>
        </w:tc>
      </w:tr>
      <w:tr w:rsidR="00B87CAA" w14:paraId="18D2DF03" w14:textId="77777777">
        <w:trPr>
          <w:jc w:val="center"/>
        </w:trPr>
        <w:tc>
          <w:tcPr>
            <w:tcW w:w="1623" w:type="dxa"/>
            <w:tcBorders>
              <w:top w:val="single" w:sz="4" w:space="0" w:color="999999"/>
              <w:left w:val="single" w:sz="4" w:space="0" w:color="999999"/>
              <w:bottom w:val="single" w:sz="4" w:space="0" w:color="999999"/>
              <w:right w:val="single" w:sz="4" w:space="0" w:color="999999"/>
            </w:tcBorders>
          </w:tcPr>
          <w:p w14:paraId="7FAECCDA" w14:textId="77777777" w:rsidR="00B87CAA" w:rsidRDefault="00F804C3" w:rsidP="0017016D">
            <w:pPr>
              <w:spacing w:after="40" w:line="240" w:lineRule="auto"/>
              <w:jc w:val="both"/>
            </w:pPr>
            <w:r>
              <w:rPr>
                <w:sz w:val="18"/>
              </w:rPr>
              <w:t>Whether artificial intelligence increases systemic risk</w:t>
            </w:r>
          </w:p>
        </w:tc>
        <w:tc>
          <w:tcPr>
            <w:tcW w:w="2005" w:type="dxa"/>
            <w:tcBorders>
              <w:top w:val="single" w:sz="4" w:space="0" w:color="999999"/>
              <w:left w:val="single" w:sz="4" w:space="0" w:color="999999"/>
              <w:bottom w:val="single" w:sz="4" w:space="0" w:color="999999"/>
              <w:right w:val="single" w:sz="4" w:space="0" w:color="999999"/>
            </w:tcBorders>
          </w:tcPr>
          <w:p w14:paraId="6FF5B33D" w14:textId="77777777" w:rsidR="00B87CAA" w:rsidRDefault="00F804C3" w:rsidP="0017016D">
            <w:pPr>
              <w:spacing w:after="40" w:line="240" w:lineRule="auto"/>
              <w:jc w:val="both"/>
            </w:pPr>
            <w:r>
              <w:rPr>
                <w:sz w:val="18"/>
              </w:rPr>
              <w:t>Concentration in model and data provision and correlated model behaviour are plausible amplification channels identified by supervisors</w:t>
            </w:r>
          </w:p>
        </w:tc>
        <w:tc>
          <w:tcPr>
            <w:tcW w:w="2005" w:type="dxa"/>
            <w:tcBorders>
              <w:top w:val="single" w:sz="4" w:space="0" w:color="999999"/>
              <w:left w:val="single" w:sz="4" w:space="0" w:color="999999"/>
              <w:bottom w:val="single" w:sz="4" w:space="0" w:color="999999"/>
              <w:right w:val="single" w:sz="4" w:space="0" w:color="999999"/>
            </w:tcBorders>
          </w:tcPr>
          <w:p w14:paraId="3FEA28AA" w14:textId="77777777" w:rsidR="00B87CAA" w:rsidRDefault="00F804C3" w:rsidP="0017016D">
            <w:pPr>
              <w:spacing w:after="40" w:line="240" w:lineRule="auto"/>
              <w:jc w:val="both"/>
            </w:pPr>
            <w:r>
              <w:rPr>
                <w:sz w:val="18"/>
              </w:rPr>
              <w:t>The mechanisms remain largely conceptual and have not been demonstrated empirically</w:t>
            </w:r>
          </w:p>
        </w:tc>
        <w:tc>
          <w:tcPr>
            <w:tcW w:w="2005" w:type="dxa"/>
            <w:tcBorders>
              <w:top w:val="single" w:sz="4" w:space="0" w:color="999999"/>
              <w:left w:val="single" w:sz="4" w:space="0" w:color="999999"/>
              <w:bottom w:val="single" w:sz="4" w:space="0" w:color="999999"/>
              <w:right w:val="single" w:sz="4" w:space="0" w:color="999999"/>
            </w:tcBorders>
          </w:tcPr>
          <w:p w14:paraId="1526E531" w14:textId="77777777" w:rsidR="00B87CAA" w:rsidRDefault="00F804C3" w:rsidP="0017016D">
            <w:pPr>
              <w:spacing w:after="40" w:line="240" w:lineRule="auto"/>
              <w:jc w:val="both"/>
            </w:pPr>
            <w:r>
              <w:rPr>
                <w:sz w:val="18"/>
              </w:rPr>
              <w:t>Unresolved and empirically open: supervisory concern rests on structural observation while academic evidence on the mechanisms is minimal</w:t>
            </w:r>
          </w:p>
        </w:tc>
        <w:tc>
          <w:tcPr>
            <w:tcW w:w="1432" w:type="dxa"/>
            <w:tcBorders>
              <w:top w:val="single" w:sz="4" w:space="0" w:color="999999"/>
              <w:left w:val="single" w:sz="4" w:space="0" w:color="999999"/>
              <w:bottom w:val="single" w:sz="4" w:space="0" w:color="999999"/>
              <w:right w:val="single" w:sz="4" w:space="0" w:color="999999"/>
            </w:tcBorders>
          </w:tcPr>
          <w:p w14:paraId="10333DB4" w14:textId="77777777" w:rsidR="00B87CAA" w:rsidRDefault="00F804C3" w:rsidP="0017016D">
            <w:pPr>
              <w:spacing w:after="40" w:line="240" w:lineRule="auto"/>
              <w:jc w:val="both"/>
            </w:pPr>
            <w:r>
              <w:rPr>
                <w:sz w:val="18"/>
              </w:rPr>
              <w:t>Daníelsson et al. (2022); Financial Stability Board (2024); Liu &amp; Pun (2022)</w:t>
            </w:r>
          </w:p>
        </w:tc>
      </w:tr>
    </w:tbl>
    <w:p w14:paraId="6CC2278A" w14:textId="77777777" w:rsidR="00B87CAA" w:rsidRDefault="00F804C3" w:rsidP="0017016D">
      <w:pPr>
        <w:spacing w:before="80" w:after="240" w:line="240" w:lineRule="auto"/>
        <w:jc w:val="both"/>
      </w:pPr>
      <w:r>
        <w:rPr>
          <w:sz w:val="18"/>
        </w:rPr>
        <w:t>Note. Disagreements are classified as resolved, artefactual or unresolved on the basis of whether the divergence survives examination of the question, population, level of analysis and measurement choices adopted by the studies concerned, following the procedure described in Section 2.6.</w:t>
      </w:r>
    </w:p>
    <w:p w14:paraId="6F73D4D6" w14:textId="77777777" w:rsidR="00B87CAA" w:rsidRDefault="00F804C3" w:rsidP="0017016D">
      <w:pPr>
        <w:spacing w:before="280" w:line="276" w:lineRule="auto"/>
        <w:jc w:val="both"/>
      </w:pPr>
      <w:r>
        <w:rPr>
          <w:b/>
          <w:sz w:val="26"/>
        </w:rPr>
        <w:t>7. Structural Asymmetries in the Evidence Base</w:t>
      </w:r>
    </w:p>
    <w:p w14:paraId="49B911C0" w14:textId="77777777" w:rsidR="00B87CAA" w:rsidRDefault="00F804C3" w:rsidP="0017016D">
      <w:pPr>
        <w:jc w:val="both"/>
      </w:pPr>
      <w:r>
        <w:t>The gaps identified in the preceding sections are not randomly distributed. They follow from the structure of the field, and understanding that structure is necessary for a research agenda that is more than a list of topics.</w:t>
      </w:r>
    </w:p>
    <w:p w14:paraId="5BEABDE7" w14:textId="77777777" w:rsidR="00B87CAA" w:rsidRDefault="00F804C3" w:rsidP="0017016D">
      <w:pPr>
        <w:jc w:val="both"/>
      </w:pPr>
      <w:r>
        <w:t>The first asymmetry is between retrospective and prospective evidence. Almost the entire literature evaluates models on historical data. Almost none evaluates deployed systems prospectively. The distinction matters because a deployed model changes the population it scores: applicants respond to observed decision rules, staff exercise discretion around model output, portfolios shift composition in response to acceptance policy, and adversaries adapt to detection. None of these feedback effects is observable in retrospective evaluation, and all of them can reverse conclusions drawn from it. Fraisse and Laporte (2022) examined return on artificial intelligence investment through the capital requirement channel and represent one of the few studies connecting model deployment to a realised institutional outcome. The near-absence of prospective evaluation is the single largest gap in the evidence base.</w:t>
      </w:r>
    </w:p>
    <w:p w14:paraId="578427E0" w14:textId="77777777" w:rsidR="00B87CAA" w:rsidRDefault="00F804C3" w:rsidP="0017016D">
      <w:pPr>
        <w:jc w:val="both"/>
      </w:pPr>
      <w:r>
        <w:t xml:space="preserve">The second asymmetry is between technical and welfare outcomes. Predictive discrimination is measured routinely; portfolio return is measured occasionally; consumer outcomes such as access, pricing, default experience and complaint incidence are measured rarely, and then almost exclusively in mortgage markets in the United States (Bartlett et al., 2022; Fuster et al., 2022). Whether the distributional findings from that setting generalise to unsecured consumer credit, to small business lending, or to jurisdictions with different fair lending regimes and credit reporting infrastructure is unknown. No study identified in this review examines those </w:t>
      </w:r>
      <w:r>
        <w:lastRenderedPageBreak/>
        <w:t>questions in a European, African or Asian retail credit market with comparable identification rigour.</w:t>
      </w:r>
    </w:p>
    <w:p w14:paraId="03FA97DE" w14:textId="77777777" w:rsidR="00B87CAA" w:rsidRDefault="00F804C3" w:rsidP="0017016D">
      <w:pPr>
        <w:jc w:val="both"/>
      </w:pPr>
      <w:r>
        <w:t>The third asymmetry is geographical and follows from data availability. Institutional-data studies cluster where data access has been negotiated, and firm-level performance studies cluster where disclosure practices permit proxy construction. Neither pattern reflects the distribution of banking activity. Emerging-market evidence exists (Bazarbash, 2019; Boustani, 2022; Mhlanga, 2021; Ozgur et al., 2021) but is thinner and less frequently based on transaction-level institutional data. The financial inclusion argument for algorithmic credit assessment is made most strongly in relation to markets from which the least rigorous evidence originates, which is an uncomfortable position for the argument.</w:t>
      </w:r>
    </w:p>
    <w:p w14:paraId="3FA0CACF" w14:textId="77777777" w:rsidR="00B87CAA" w:rsidRDefault="00F804C3" w:rsidP="0017016D">
      <w:pPr>
        <w:jc w:val="both"/>
      </w:pPr>
      <w:r>
        <w:t>The fourth asymmetry concerns the unit of analysis. The technical literature studies models; the finance literature studies firms and markets; the supervisory literature studies firms and systems. The intermediate unit, the decision process within which a model operates alongside human judgement, policy rules and operational constraint, is studied by almost no one. Yet supervisory data indicate that this is where most deployment actually sits, with 55 per cent of use cases involving some automated decision-making but only 2 per cent fully autonomous (Bank of England &amp; Financial Conduct Authority, 2024). A literature that studies either isolated models or aggregate firm outcomes has no purchase on the sociotechnical system in which the great majority of banking artificial intelligence operates.</w:t>
      </w:r>
    </w:p>
    <w:p w14:paraId="169132A8" w14:textId="77777777" w:rsidR="00B87CAA" w:rsidRDefault="00F804C3" w:rsidP="0017016D">
      <w:pPr>
        <w:jc w:val="both"/>
      </w:pPr>
      <w:r>
        <w:t>Table 5 translates these asymmetries into research priorities, stating for each the unresolved problem, why current evidence is inadequate and the design that would materially advance the question. The priorities are ordered by the expected reduction in decision-relevant uncertainty rather than by tractability, and the immediate priorities are distinguished from those requiring longer-term infrastructure.</w:t>
      </w:r>
    </w:p>
    <w:p w14:paraId="5B510722" w14:textId="77777777" w:rsidR="00B87CAA" w:rsidRDefault="00F804C3" w:rsidP="0017016D">
      <w:pPr>
        <w:spacing w:before="200" w:after="80" w:line="240" w:lineRule="auto"/>
        <w:jc w:val="both"/>
      </w:pPr>
      <w:r>
        <w:rPr>
          <w:b/>
          <w:sz w:val="22"/>
        </w:rPr>
        <w:t>Table 5. Prioritised research agenda: unresolved problems, inadequacy of current evidence, appropriate designs and expected contribution</w:t>
      </w:r>
    </w:p>
    <w:tbl>
      <w:tblPr>
        <w:tblStyle w:val="TableGrid"/>
        <w:tblW w:w="0" w:type="auto"/>
        <w:jc w:val="center"/>
        <w:tblLayout w:type="fixed"/>
        <w:tblLook w:val="04A0" w:firstRow="1" w:lastRow="0" w:firstColumn="1" w:lastColumn="0" w:noHBand="0" w:noVBand="1"/>
      </w:tblPr>
      <w:tblGrid>
        <w:gridCol w:w="1432"/>
        <w:gridCol w:w="2005"/>
        <w:gridCol w:w="2196"/>
        <w:gridCol w:w="1337"/>
        <w:gridCol w:w="2101"/>
      </w:tblGrid>
      <w:tr w:rsidR="00B87CAA" w14:paraId="5A2AE7FD" w14:textId="77777777">
        <w:trPr>
          <w:jc w:val="center"/>
        </w:trPr>
        <w:tc>
          <w:tcPr>
            <w:tcW w:w="1432" w:type="dxa"/>
            <w:tcBorders>
              <w:top w:val="single" w:sz="4" w:space="0" w:color="999999"/>
              <w:left w:val="single" w:sz="4" w:space="0" w:color="999999"/>
              <w:bottom w:val="single" w:sz="4" w:space="0" w:color="999999"/>
              <w:right w:val="single" w:sz="4" w:space="0" w:color="999999"/>
            </w:tcBorders>
            <w:shd w:val="clear" w:color="auto" w:fill="EEEEEE"/>
          </w:tcPr>
          <w:p w14:paraId="4E8B94B8" w14:textId="77777777" w:rsidR="00B87CAA" w:rsidRDefault="00F804C3" w:rsidP="0017016D">
            <w:pPr>
              <w:spacing w:after="40" w:line="240" w:lineRule="auto"/>
              <w:jc w:val="both"/>
            </w:pPr>
            <w:r>
              <w:rPr>
                <w:b/>
                <w:sz w:val="18"/>
              </w:rPr>
              <w:t>Priority and horizon</w:t>
            </w:r>
          </w:p>
        </w:tc>
        <w:tc>
          <w:tcPr>
            <w:tcW w:w="2005" w:type="dxa"/>
            <w:tcBorders>
              <w:top w:val="single" w:sz="4" w:space="0" w:color="999999"/>
              <w:left w:val="single" w:sz="4" w:space="0" w:color="999999"/>
              <w:bottom w:val="single" w:sz="4" w:space="0" w:color="999999"/>
              <w:right w:val="single" w:sz="4" w:space="0" w:color="999999"/>
            </w:tcBorders>
            <w:shd w:val="clear" w:color="auto" w:fill="EEEEEE"/>
          </w:tcPr>
          <w:p w14:paraId="5BD529DD" w14:textId="77777777" w:rsidR="00B87CAA" w:rsidRDefault="00F804C3" w:rsidP="0017016D">
            <w:pPr>
              <w:spacing w:after="40" w:line="240" w:lineRule="auto"/>
              <w:jc w:val="both"/>
            </w:pPr>
            <w:r>
              <w:rPr>
                <w:b/>
                <w:sz w:val="18"/>
              </w:rPr>
              <w:t>Unresolved problem and why current evidence is inadequate</w:t>
            </w:r>
          </w:p>
        </w:tc>
        <w:tc>
          <w:tcPr>
            <w:tcW w:w="2196" w:type="dxa"/>
            <w:tcBorders>
              <w:top w:val="single" w:sz="4" w:space="0" w:color="999999"/>
              <w:left w:val="single" w:sz="4" w:space="0" w:color="999999"/>
              <w:bottom w:val="single" w:sz="4" w:space="0" w:color="999999"/>
              <w:right w:val="single" w:sz="4" w:space="0" w:color="999999"/>
            </w:tcBorders>
            <w:shd w:val="clear" w:color="auto" w:fill="EEEEEE"/>
          </w:tcPr>
          <w:p w14:paraId="1BB3E704" w14:textId="77777777" w:rsidR="00B87CAA" w:rsidRDefault="00F804C3" w:rsidP="0017016D">
            <w:pPr>
              <w:spacing w:after="40" w:line="240" w:lineRule="auto"/>
              <w:jc w:val="both"/>
            </w:pPr>
            <w:r>
              <w:rPr>
                <w:b/>
                <w:sz w:val="18"/>
              </w:rPr>
              <w:t>Appropriate design and outcome measures</w:t>
            </w:r>
          </w:p>
        </w:tc>
        <w:tc>
          <w:tcPr>
            <w:tcW w:w="1337" w:type="dxa"/>
            <w:tcBorders>
              <w:top w:val="single" w:sz="4" w:space="0" w:color="999999"/>
              <w:left w:val="single" w:sz="4" w:space="0" w:color="999999"/>
              <w:bottom w:val="single" w:sz="4" w:space="0" w:color="999999"/>
              <w:right w:val="single" w:sz="4" w:space="0" w:color="999999"/>
            </w:tcBorders>
            <w:shd w:val="clear" w:color="auto" w:fill="EEEEEE"/>
          </w:tcPr>
          <w:p w14:paraId="5FB25539" w14:textId="77777777" w:rsidR="00B87CAA" w:rsidRDefault="00F804C3" w:rsidP="0017016D">
            <w:pPr>
              <w:spacing w:after="40" w:line="240" w:lineRule="auto"/>
              <w:jc w:val="both"/>
            </w:pPr>
            <w:r>
              <w:rPr>
                <w:b/>
                <w:sz w:val="18"/>
              </w:rPr>
              <w:t>Context and scale required</w:t>
            </w:r>
          </w:p>
        </w:tc>
        <w:tc>
          <w:tcPr>
            <w:tcW w:w="2101" w:type="dxa"/>
            <w:tcBorders>
              <w:top w:val="single" w:sz="4" w:space="0" w:color="999999"/>
              <w:left w:val="single" w:sz="4" w:space="0" w:color="999999"/>
              <w:bottom w:val="single" w:sz="4" w:space="0" w:color="999999"/>
              <w:right w:val="single" w:sz="4" w:space="0" w:color="999999"/>
            </w:tcBorders>
            <w:shd w:val="clear" w:color="auto" w:fill="EEEEEE"/>
          </w:tcPr>
          <w:p w14:paraId="577C6491" w14:textId="77777777" w:rsidR="00B87CAA" w:rsidRDefault="00F804C3" w:rsidP="0017016D">
            <w:pPr>
              <w:spacing w:after="40" w:line="240" w:lineRule="auto"/>
              <w:jc w:val="both"/>
            </w:pPr>
            <w:r>
              <w:rPr>
                <w:b/>
                <w:sz w:val="18"/>
              </w:rPr>
              <w:t>Supporting references</w:t>
            </w:r>
          </w:p>
        </w:tc>
      </w:tr>
      <w:tr w:rsidR="00B87CAA" w14:paraId="75F1BC0D"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3B12C288" w14:textId="77777777" w:rsidR="00B87CAA" w:rsidRDefault="00F804C3" w:rsidP="0017016D">
            <w:pPr>
              <w:spacing w:after="40" w:line="240" w:lineRule="auto"/>
              <w:jc w:val="both"/>
            </w:pPr>
            <w:r>
              <w:rPr>
                <w:sz w:val="18"/>
              </w:rPr>
              <w:t>Prospective evaluation of deployed models (immediate)</w:t>
            </w:r>
          </w:p>
        </w:tc>
        <w:tc>
          <w:tcPr>
            <w:tcW w:w="2005" w:type="dxa"/>
            <w:tcBorders>
              <w:top w:val="single" w:sz="4" w:space="0" w:color="999999"/>
              <w:left w:val="single" w:sz="4" w:space="0" w:color="999999"/>
              <w:bottom w:val="single" w:sz="4" w:space="0" w:color="999999"/>
              <w:right w:val="single" w:sz="4" w:space="0" w:color="999999"/>
            </w:tcBorders>
          </w:tcPr>
          <w:p w14:paraId="59BDAB47" w14:textId="77777777" w:rsidR="00B87CAA" w:rsidRDefault="00F804C3" w:rsidP="0017016D">
            <w:pPr>
              <w:spacing w:after="40" w:line="240" w:lineRule="auto"/>
              <w:jc w:val="both"/>
            </w:pPr>
            <w:r>
              <w:rPr>
                <w:sz w:val="18"/>
              </w:rPr>
              <w:t>No reliable estimate of how much retrospectively measured advantage survives deployment; retrospective designs cannot observe applicant response, staff override or adversarial adaptation</w:t>
            </w:r>
          </w:p>
        </w:tc>
        <w:tc>
          <w:tcPr>
            <w:tcW w:w="2196" w:type="dxa"/>
            <w:tcBorders>
              <w:top w:val="single" w:sz="4" w:space="0" w:color="999999"/>
              <w:left w:val="single" w:sz="4" w:space="0" w:color="999999"/>
              <w:bottom w:val="single" w:sz="4" w:space="0" w:color="999999"/>
              <w:right w:val="single" w:sz="4" w:space="0" w:color="999999"/>
            </w:tcBorders>
          </w:tcPr>
          <w:p w14:paraId="5C60B4C2" w14:textId="77777777" w:rsidR="00B87CAA" w:rsidRDefault="00F804C3" w:rsidP="0017016D">
            <w:pPr>
              <w:spacing w:after="40" w:line="240" w:lineRule="auto"/>
              <w:jc w:val="both"/>
            </w:pPr>
            <w:r>
              <w:rPr>
                <w:sz w:val="18"/>
              </w:rPr>
              <w:t>Prospective cohort or staged rollout scoring the same applicant flow with incumbent and learning-based models; realised portfolio return, default at fixed acceptance rate, override frequency and direction, complaint incidence</w:t>
            </w:r>
          </w:p>
        </w:tc>
        <w:tc>
          <w:tcPr>
            <w:tcW w:w="1337" w:type="dxa"/>
            <w:tcBorders>
              <w:top w:val="single" w:sz="4" w:space="0" w:color="999999"/>
              <w:left w:val="single" w:sz="4" w:space="0" w:color="999999"/>
              <w:bottom w:val="single" w:sz="4" w:space="0" w:color="999999"/>
              <w:right w:val="single" w:sz="4" w:space="0" w:color="999999"/>
            </w:tcBorders>
          </w:tcPr>
          <w:p w14:paraId="05035AE2" w14:textId="77777777" w:rsidR="00B87CAA" w:rsidRDefault="00F804C3" w:rsidP="0017016D">
            <w:pPr>
              <w:spacing w:after="40" w:line="240" w:lineRule="auto"/>
              <w:jc w:val="both"/>
            </w:pPr>
            <w:r>
              <w:rPr>
                <w:sz w:val="18"/>
              </w:rPr>
              <w:t>One or more operating banks over a full outcome cycle; supervisory or institutional sponsorship permitting publication</w:t>
            </w:r>
          </w:p>
        </w:tc>
        <w:tc>
          <w:tcPr>
            <w:tcW w:w="2101" w:type="dxa"/>
            <w:tcBorders>
              <w:top w:val="single" w:sz="4" w:space="0" w:color="999999"/>
              <w:left w:val="single" w:sz="4" w:space="0" w:color="999999"/>
              <w:bottom w:val="single" w:sz="4" w:space="0" w:color="999999"/>
              <w:right w:val="single" w:sz="4" w:space="0" w:color="999999"/>
            </w:tcBorders>
          </w:tcPr>
          <w:p w14:paraId="6CC252DC" w14:textId="77777777" w:rsidR="00B87CAA" w:rsidRDefault="00F804C3" w:rsidP="0017016D">
            <w:pPr>
              <w:spacing w:after="40" w:line="240" w:lineRule="auto"/>
              <w:jc w:val="both"/>
            </w:pPr>
            <w:r w:rsidRPr="000A6B05">
              <w:rPr>
                <w:sz w:val="18"/>
                <w:lang w:val="nl-BE"/>
              </w:rPr>
              <w:t xml:space="preserve">Fraisse &amp; Laporte (2022); Lessmann et al. </w:t>
            </w:r>
            <w:r>
              <w:rPr>
                <w:sz w:val="18"/>
              </w:rPr>
              <w:t>(2015); Petropoulos et al. (2020)</w:t>
            </w:r>
          </w:p>
        </w:tc>
      </w:tr>
      <w:tr w:rsidR="00B87CAA" w14:paraId="7B3261D2"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55C841EC" w14:textId="77777777" w:rsidR="00B87CAA" w:rsidRDefault="00F804C3" w:rsidP="0017016D">
            <w:pPr>
              <w:spacing w:after="40" w:line="240" w:lineRule="auto"/>
              <w:jc w:val="both"/>
            </w:pPr>
            <w:r>
              <w:rPr>
                <w:sz w:val="18"/>
              </w:rPr>
              <w:lastRenderedPageBreak/>
              <w:t>Temporal validation standards and leakage quantification (immediate)</w:t>
            </w:r>
          </w:p>
        </w:tc>
        <w:tc>
          <w:tcPr>
            <w:tcW w:w="2005" w:type="dxa"/>
            <w:tcBorders>
              <w:top w:val="single" w:sz="4" w:space="0" w:color="999999"/>
              <w:left w:val="single" w:sz="4" w:space="0" w:color="999999"/>
              <w:bottom w:val="single" w:sz="4" w:space="0" w:color="999999"/>
              <w:right w:val="single" w:sz="4" w:space="0" w:color="999999"/>
            </w:tcBorders>
          </w:tcPr>
          <w:p w14:paraId="7E95D6AB" w14:textId="77777777" w:rsidR="00B87CAA" w:rsidRDefault="00F804C3" w:rsidP="0017016D">
            <w:pPr>
              <w:spacing w:after="40" w:line="240" w:lineRule="auto"/>
              <w:jc w:val="both"/>
            </w:pPr>
            <w:r>
              <w:rPr>
                <w:sz w:val="18"/>
              </w:rPr>
              <w:t>Reported differences are not comparable across studies because validation protocols differ and are frequently unreported; leakage-induced inflation in banking research has never been estimated</w:t>
            </w:r>
          </w:p>
        </w:tc>
        <w:tc>
          <w:tcPr>
            <w:tcW w:w="2196" w:type="dxa"/>
            <w:tcBorders>
              <w:top w:val="single" w:sz="4" w:space="0" w:color="999999"/>
              <w:left w:val="single" w:sz="4" w:space="0" w:color="999999"/>
              <w:bottom w:val="single" w:sz="4" w:space="0" w:color="999999"/>
              <w:right w:val="single" w:sz="4" w:space="0" w:color="999999"/>
            </w:tcBorders>
          </w:tcPr>
          <w:p w14:paraId="55595974" w14:textId="77777777" w:rsidR="00B87CAA" w:rsidRDefault="00F804C3" w:rsidP="0017016D">
            <w:pPr>
              <w:spacing w:after="40" w:line="240" w:lineRule="auto"/>
              <w:jc w:val="both"/>
            </w:pPr>
            <w:r>
              <w:rPr>
                <w:sz w:val="18"/>
              </w:rPr>
              <w:t>Re-evaluation of published banking models under strictly temporal validation; reporting convention covering observation window, split point, position of preprocessing and tuning, and treatment of rejected applicants</w:t>
            </w:r>
          </w:p>
        </w:tc>
        <w:tc>
          <w:tcPr>
            <w:tcW w:w="1337" w:type="dxa"/>
            <w:tcBorders>
              <w:top w:val="single" w:sz="4" w:space="0" w:color="999999"/>
              <w:left w:val="single" w:sz="4" w:space="0" w:color="999999"/>
              <w:bottom w:val="single" w:sz="4" w:space="0" w:color="999999"/>
              <w:right w:val="single" w:sz="4" w:space="0" w:color="999999"/>
            </w:tcBorders>
          </w:tcPr>
          <w:p w14:paraId="5FC99061" w14:textId="77777777" w:rsidR="00B87CAA" w:rsidRDefault="00F804C3" w:rsidP="0017016D">
            <w:pPr>
              <w:spacing w:after="40" w:line="240" w:lineRule="auto"/>
              <w:jc w:val="both"/>
            </w:pPr>
            <w:r>
              <w:rPr>
                <w:sz w:val="18"/>
              </w:rPr>
              <w:t>Multi-study methodological programme; adoption by journals in operational research and applied computing</w:t>
            </w:r>
          </w:p>
        </w:tc>
        <w:tc>
          <w:tcPr>
            <w:tcW w:w="2101" w:type="dxa"/>
            <w:tcBorders>
              <w:top w:val="single" w:sz="4" w:space="0" w:color="999999"/>
              <w:left w:val="single" w:sz="4" w:space="0" w:color="999999"/>
              <w:bottom w:val="single" w:sz="4" w:space="0" w:color="999999"/>
              <w:right w:val="single" w:sz="4" w:space="0" w:color="999999"/>
            </w:tcBorders>
          </w:tcPr>
          <w:p w14:paraId="52B4BFE4" w14:textId="77777777" w:rsidR="00B87CAA" w:rsidRDefault="00F804C3" w:rsidP="0017016D">
            <w:pPr>
              <w:spacing w:after="40" w:line="240" w:lineRule="auto"/>
              <w:jc w:val="both"/>
            </w:pPr>
            <w:r w:rsidRPr="000A6B05">
              <w:rPr>
                <w:sz w:val="18"/>
                <w:lang w:val="nl-BE"/>
              </w:rPr>
              <w:t xml:space="preserve">Kapoor &amp; Narayanan (2023); Petropoulos et al. </w:t>
            </w:r>
            <w:r>
              <w:rPr>
                <w:sz w:val="18"/>
              </w:rPr>
              <w:t>(2020)</w:t>
            </w:r>
          </w:p>
        </w:tc>
      </w:tr>
      <w:tr w:rsidR="00B87CAA" w14:paraId="477E8BE6"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56DFA6E1" w14:textId="77777777" w:rsidR="00B87CAA" w:rsidRDefault="00F804C3" w:rsidP="0017016D">
            <w:pPr>
              <w:spacing w:after="40" w:line="240" w:lineRule="auto"/>
              <w:jc w:val="both"/>
            </w:pPr>
            <w:r>
              <w:rPr>
                <w:sz w:val="18"/>
              </w:rPr>
              <w:t>Routine economic evaluation of model choice (immediate)</w:t>
            </w:r>
          </w:p>
        </w:tc>
        <w:tc>
          <w:tcPr>
            <w:tcW w:w="2005" w:type="dxa"/>
            <w:tcBorders>
              <w:top w:val="single" w:sz="4" w:space="0" w:color="999999"/>
              <w:left w:val="single" w:sz="4" w:space="0" w:color="999999"/>
              <w:bottom w:val="single" w:sz="4" w:space="0" w:color="999999"/>
              <w:right w:val="single" w:sz="4" w:space="0" w:color="999999"/>
            </w:tcBorders>
          </w:tcPr>
          <w:p w14:paraId="5D11EDAA" w14:textId="77777777" w:rsidR="00B87CAA" w:rsidRDefault="00F804C3" w:rsidP="0017016D">
            <w:pPr>
              <w:spacing w:after="40" w:line="240" w:lineRule="auto"/>
              <w:jc w:val="both"/>
            </w:pPr>
            <w:r>
              <w:rPr>
                <w:sz w:val="18"/>
              </w:rPr>
              <w:t>Discrimination measures do not identify which model produces better lending; profit-aware evaluation is demonstrated but not normalised</w:t>
            </w:r>
          </w:p>
        </w:tc>
        <w:tc>
          <w:tcPr>
            <w:tcW w:w="2196" w:type="dxa"/>
            <w:tcBorders>
              <w:top w:val="single" w:sz="4" w:space="0" w:color="999999"/>
              <w:left w:val="single" w:sz="4" w:space="0" w:color="999999"/>
              <w:bottom w:val="single" w:sz="4" w:space="0" w:color="999999"/>
              <w:right w:val="single" w:sz="4" w:space="0" w:color="999999"/>
            </w:tcBorders>
          </w:tcPr>
          <w:p w14:paraId="13D76A21" w14:textId="77777777" w:rsidR="00B87CAA" w:rsidRDefault="00F804C3" w:rsidP="0017016D">
            <w:pPr>
              <w:spacing w:after="40" w:line="240" w:lineRule="auto"/>
              <w:jc w:val="both"/>
            </w:pPr>
            <w:r>
              <w:rPr>
                <w:sz w:val="18"/>
              </w:rPr>
              <w:t>Expected profit or cost-sensitive measures reported alongside discrimination, with stated cost structure and acceptance rate and sensitivity of method ranking to both</w:t>
            </w:r>
          </w:p>
        </w:tc>
        <w:tc>
          <w:tcPr>
            <w:tcW w:w="1337" w:type="dxa"/>
            <w:tcBorders>
              <w:top w:val="single" w:sz="4" w:space="0" w:color="999999"/>
              <w:left w:val="single" w:sz="4" w:space="0" w:color="999999"/>
              <w:bottom w:val="single" w:sz="4" w:space="0" w:color="999999"/>
              <w:right w:val="single" w:sz="4" w:space="0" w:color="999999"/>
            </w:tcBorders>
          </w:tcPr>
          <w:p w14:paraId="4A0F1F85" w14:textId="77777777" w:rsidR="00B87CAA" w:rsidRDefault="00F804C3" w:rsidP="0017016D">
            <w:pPr>
              <w:spacing w:after="40" w:line="240" w:lineRule="auto"/>
              <w:jc w:val="both"/>
            </w:pPr>
            <w:r>
              <w:rPr>
                <w:sz w:val="18"/>
              </w:rPr>
              <w:t>Applicable to existing datasets; no new data required</w:t>
            </w:r>
          </w:p>
        </w:tc>
        <w:tc>
          <w:tcPr>
            <w:tcW w:w="2101" w:type="dxa"/>
            <w:tcBorders>
              <w:top w:val="single" w:sz="4" w:space="0" w:color="999999"/>
              <w:left w:val="single" w:sz="4" w:space="0" w:color="999999"/>
              <w:bottom w:val="single" w:sz="4" w:space="0" w:color="999999"/>
              <w:right w:val="single" w:sz="4" w:space="0" w:color="999999"/>
            </w:tcBorders>
          </w:tcPr>
          <w:p w14:paraId="41391F9C" w14:textId="77777777" w:rsidR="00B87CAA" w:rsidRDefault="00F804C3" w:rsidP="0017016D">
            <w:pPr>
              <w:spacing w:after="40" w:line="240" w:lineRule="auto"/>
              <w:jc w:val="both"/>
            </w:pPr>
            <w:r w:rsidRPr="000A6B05">
              <w:rPr>
                <w:sz w:val="18"/>
                <w:lang w:val="nl-BE"/>
              </w:rPr>
              <w:t xml:space="preserve">Kozodoi et al. (2019); Krivorotov (2023); Óskarsdóttir et al. </w:t>
            </w:r>
            <w:r>
              <w:rPr>
                <w:sz w:val="18"/>
              </w:rPr>
              <w:t>(2019)</w:t>
            </w:r>
          </w:p>
        </w:tc>
      </w:tr>
      <w:tr w:rsidR="00B87CAA" w14:paraId="55C6D7B1"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5CC9C36E" w14:textId="77777777" w:rsidR="00B87CAA" w:rsidRDefault="00F804C3" w:rsidP="0017016D">
            <w:pPr>
              <w:spacing w:after="40" w:line="240" w:lineRule="auto"/>
              <w:jc w:val="both"/>
            </w:pPr>
            <w:r>
              <w:rPr>
                <w:sz w:val="18"/>
              </w:rPr>
              <w:t>Operational evidence on customer-facing automation (immediate)</w:t>
            </w:r>
          </w:p>
        </w:tc>
        <w:tc>
          <w:tcPr>
            <w:tcW w:w="2005" w:type="dxa"/>
            <w:tcBorders>
              <w:top w:val="single" w:sz="4" w:space="0" w:color="999999"/>
              <w:left w:val="single" w:sz="4" w:space="0" w:color="999999"/>
              <w:bottom w:val="single" w:sz="4" w:space="0" w:color="999999"/>
              <w:right w:val="single" w:sz="4" w:space="0" w:color="999999"/>
            </w:tcBorders>
          </w:tcPr>
          <w:p w14:paraId="435B3ABD" w14:textId="77777777" w:rsidR="00B87CAA" w:rsidRDefault="00F804C3" w:rsidP="0017016D">
            <w:pPr>
              <w:spacing w:after="40" w:line="240" w:lineRule="auto"/>
              <w:jc w:val="both"/>
            </w:pPr>
            <w:r>
              <w:rPr>
                <w:sz w:val="18"/>
              </w:rPr>
              <w:t>Deployment is expanding while evidence is confined to adoption intention and average satisfaction; attitudinal measures do not predict outcomes and do not address differential experience</w:t>
            </w:r>
          </w:p>
        </w:tc>
        <w:tc>
          <w:tcPr>
            <w:tcW w:w="2196" w:type="dxa"/>
            <w:tcBorders>
              <w:top w:val="single" w:sz="4" w:space="0" w:color="999999"/>
              <w:left w:val="single" w:sz="4" w:space="0" w:color="999999"/>
              <w:bottom w:val="single" w:sz="4" w:space="0" w:color="999999"/>
              <w:right w:val="single" w:sz="4" w:space="0" w:color="999999"/>
            </w:tcBorders>
          </w:tcPr>
          <w:p w14:paraId="1DE92E18" w14:textId="77777777" w:rsidR="00B87CAA" w:rsidRDefault="00F804C3" w:rsidP="0017016D">
            <w:pPr>
              <w:spacing w:after="40" w:line="240" w:lineRule="auto"/>
              <w:jc w:val="both"/>
            </w:pPr>
            <w:r>
              <w:rPr>
                <w:sz w:val="18"/>
              </w:rPr>
              <w:t>Operational channel data comparing resolution rate, escalation, time to resolution, repeat contact and complaints between automated and human channels, disaggregated by customer characteristics including vulnerability indicators</w:t>
            </w:r>
          </w:p>
        </w:tc>
        <w:tc>
          <w:tcPr>
            <w:tcW w:w="1337" w:type="dxa"/>
            <w:tcBorders>
              <w:top w:val="single" w:sz="4" w:space="0" w:color="999999"/>
              <w:left w:val="single" w:sz="4" w:space="0" w:color="999999"/>
              <w:bottom w:val="single" w:sz="4" w:space="0" w:color="999999"/>
              <w:right w:val="single" w:sz="4" w:space="0" w:color="999999"/>
            </w:tcBorders>
          </w:tcPr>
          <w:p w14:paraId="159A027F" w14:textId="77777777" w:rsidR="00B87CAA" w:rsidRDefault="00F804C3" w:rsidP="0017016D">
            <w:pPr>
              <w:spacing w:after="40" w:line="240" w:lineRule="auto"/>
              <w:jc w:val="both"/>
            </w:pPr>
            <w:r>
              <w:rPr>
                <w:sz w:val="18"/>
              </w:rPr>
              <w:t>Retail banks with deployed conversational channels; conduct regulator engagement</w:t>
            </w:r>
          </w:p>
        </w:tc>
        <w:tc>
          <w:tcPr>
            <w:tcW w:w="2101" w:type="dxa"/>
            <w:tcBorders>
              <w:top w:val="single" w:sz="4" w:space="0" w:color="999999"/>
              <w:left w:val="single" w:sz="4" w:space="0" w:color="999999"/>
              <w:bottom w:val="single" w:sz="4" w:space="0" w:color="999999"/>
              <w:right w:val="single" w:sz="4" w:space="0" w:color="999999"/>
            </w:tcBorders>
          </w:tcPr>
          <w:p w14:paraId="505E8951" w14:textId="77777777" w:rsidR="00B87CAA" w:rsidRDefault="00F804C3" w:rsidP="0017016D">
            <w:pPr>
              <w:spacing w:after="40" w:line="240" w:lineRule="auto"/>
              <w:jc w:val="both"/>
            </w:pPr>
            <w:r w:rsidRPr="000A6B05">
              <w:rPr>
                <w:sz w:val="18"/>
                <w:lang w:val="nl-BE"/>
              </w:rPr>
              <w:t xml:space="preserve">Hentzen et al. (2022); Huang et al. </w:t>
            </w:r>
            <w:r>
              <w:rPr>
                <w:sz w:val="18"/>
              </w:rPr>
              <w:t xml:space="preserve">(2024); </w:t>
            </w:r>
            <w:proofErr w:type="spellStart"/>
            <w:r>
              <w:rPr>
                <w:sz w:val="18"/>
              </w:rPr>
              <w:t>Piehlmaier</w:t>
            </w:r>
            <w:proofErr w:type="spellEnd"/>
            <w:r>
              <w:rPr>
                <w:sz w:val="18"/>
              </w:rPr>
              <w:t xml:space="preserve"> (2022)</w:t>
            </w:r>
          </w:p>
        </w:tc>
      </w:tr>
      <w:tr w:rsidR="00B87CAA" w14:paraId="2895ED10"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484D9763" w14:textId="77777777" w:rsidR="00B87CAA" w:rsidRDefault="00F804C3" w:rsidP="0017016D">
            <w:pPr>
              <w:spacing w:after="40" w:line="240" w:lineRule="auto"/>
              <w:jc w:val="both"/>
            </w:pPr>
            <w:r>
              <w:rPr>
                <w:sz w:val="18"/>
              </w:rPr>
              <w:t>Net distributional effect of algorithmic underwriting (longer term)</w:t>
            </w:r>
          </w:p>
        </w:tc>
        <w:tc>
          <w:tcPr>
            <w:tcW w:w="2005" w:type="dxa"/>
            <w:tcBorders>
              <w:top w:val="single" w:sz="4" w:space="0" w:color="999999"/>
              <w:left w:val="single" w:sz="4" w:space="0" w:color="999999"/>
              <w:bottom w:val="single" w:sz="4" w:space="0" w:color="999999"/>
              <w:right w:val="single" w:sz="4" w:space="0" w:color="999999"/>
            </w:tcBorders>
          </w:tcPr>
          <w:p w14:paraId="63B594FE" w14:textId="77777777" w:rsidR="00B87CAA" w:rsidRDefault="00F804C3" w:rsidP="0017016D">
            <w:pPr>
              <w:spacing w:after="40" w:line="240" w:lineRule="auto"/>
              <w:jc w:val="both"/>
            </w:pPr>
            <w:r>
              <w:rPr>
                <w:sz w:val="18"/>
              </w:rPr>
              <w:t>Access extension and term redistribution have never been measured together in one market, so the net welfare effect is undetermined and both optimistic and pessimistic claims exceed the evidence</w:t>
            </w:r>
          </w:p>
        </w:tc>
        <w:tc>
          <w:tcPr>
            <w:tcW w:w="2196" w:type="dxa"/>
            <w:tcBorders>
              <w:top w:val="single" w:sz="4" w:space="0" w:color="999999"/>
              <w:left w:val="single" w:sz="4" w:space="0" w:color="999999"/>
              <w:bottom w:val="single" w:sz="4" w:space="0" w:color="999999"/>
              <w:right w:val="single" w:sz="4" w:space="0" w:color="999999"/>
            </w:tcBorders>
          </w:tcPr>
          <w:p w14:paraId="4821C0EB" w14:textId="77777777" w:rsidR="00B87CAA" w:rsidRDefault="00F804C3" w:rsidP="0017016D">
            <w:pPr>
              <w:spacing w:after="40" w:line="240" w:lineRule="auto"/>
              <w:jc w:val="both"/>
            </w:pPr>
            <w:r>
              <w:rPr>
                <w:sz w:val="18"/>
              </w:rPr>
              <w:t>Application-level data including declined applicants, with realised pricing and performance outcomes, spanning a change in underwriting methodology, in a market permitting observation or credible imputation of protected characteristics</w:t>
            </w:r>
          </w:p>
        </w:tc>
        <w:tc>
          <w:tcPr>
            <w:tcW w:w="1337" w:type="dxa"/>
            <w:tcBorders>
              <w:top w:val="single" w:sz="4" w:space="0" w:color="999999"/>
              <w:left w:val="single" w:sz="4" w:space="0" w:color="999999"/>
              <w:bottom w:val="single" w:sz="4" w:space="0" w:color="999999"/>
              <w:right w:val="single" w:sz="4" w:space="0" w:color="999999"/>
            </w:tcBorders>
          </w:tcPr>
          <w:p w14:paraId="51F2DFBF" w14:textId="77777777" w:rsidR="00B87CAA" w:rsidRDefault="00F804C3" w:rsidP="0017016D">
            <w:pPr>
              <w:spacing w:after="40" w:line="240" w:lineRule="auto"/>
              <w:jc w:val="both"/>
            </w:pPr>
            <w:r>
              <w:rPr>
                <w:sz w:val="18"/>
              </w:rPr>
              <w:t>Market-wide data; most plausible as a supervisory or central bank undertaking</w:t>
            </w:r>
          </w:p>
        </w:tc>
        <w:tc>
          <w:tcPr>
            <w:tcW w:w="2101" w:type="dxa"/>
            <w:tcBorders>
              <w:top w:val="single" w:sz="4" w:space="0" w:color="999999"/>
              <w:left w:val="single" w:sz="4" w:space="0" w:color="999999"/>
              <w:bottom w:val="single" w:sz="4" w:space="0" w:color="999999"/>
              <w:right w:val="single" w:sz="4" w:space="0" w:color="999999"/>
            </w:tcBorders>
          </w:tcPr>
          <w:p w14:paraId="6D7E7D33" w14:textId="77777777" w:rsidR="00B87CAA" w:rsidRDefault="00F804C3" w:rsidP="0017016D">
            <w:pPr>
              <w:spacing w:after="40" w:line="240" w:lineRule="auto"/>
              <w:jc w:val="both"/>
            </w:pPr>
            <w:r w:rsidRPr="000A6B05">
              <w:rPr>
                <w:sz w:val="18"/>
                <w:lang w:val="nl-BE"/>
              </w:rPr>
              <w:t xml:space="preserve">Bartlett et al. (2022); Berg et al. (2020); Fuster et al. (2022); Kozodoi et al. </w:t>
            </w:r>
            <w:r>
              <w:rPr>
                <w:sz w:val="18"/>
              </w:rPr>
              <w:t>(2022)</w:t>
            </w:r>
          </w:p>
        </w:tc>
      </w:tr>
      <w:tr w:rsidR="00B87CAA" w14:paraId="5CD84F25"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1AB44912" w14:textId="77777777" w:rsidR="00B87CAA" w:rsidRDefault="00F804C3" w:rsidP="0017016D">
            <w:pPr>
              <w:spacing w:after="40" w:line="240" w:lineRule="auto"/>
              <w:jc w:val="both"/>
            </w:pPr>
            <w:r>
              <w:rPr>
                <w:sz w:val="18"/>
              </w:rPr>
              <w:t>Model risk governance for procured systems (longer term)</w:t>
            </w:r>
          </w:p>
        </w:tc>
        <w:tc>
          <w:tcPr>
            <w:tcW w:w="2005" w:type="dxa"/>
            <w:tcBorders>
              <w:top w:val="single" w:sz="4" w:space="0" w:color="999999"/>
              <w:left w:val="single" w:sz="4" w:space="0" w:color="999999"/>
              <w:bottom w:val="single" w:sz="4" w:space="0" w:color="999999"/>
              <w:right w:val="single" w:sz="4" w:space="0" w:color="999999"/>
            </w:tcBorders>
          </w:tcPr>
          <w:p w14:paraId="1163EB3E" w14:textId="77777777" w:rsidR="00B87CAA" w:rsidRDefault="00F804C3" w:rsidP="0017016D">
            <w:pPr>
              <w:spacing w:after="40" w:line="240" w:lineRule="auto"/>
              <w:jc w:val="both"/>
            </w:pPr>
            <w:r>
              <w:rPr>
                <w:sz w:val="18"/>
              </w:rPr>
              <w:t>Accountability frameworks assume the accountable firm understands the model, and supervisory evidence indicates this frequently fails for third-party implementations whose share and concentration are rising</w:t>
            </w:r>
          </w:p>
        </w:tc>
        <w:tc>
          <w:tcPr>
            <w:tcW w:w="2196" w:type="dxa"/>
            <w:tcBorders>
              <w:top w:val="single" w:sz="4" w:space="0" w:color="999999"/>
              <w:left w:val="single" w:sz="4" w:space="0" w:color="999999"/>
              <w:bottom w:val="single" w:sz="4" w:space="0" w:color="999999"/>
              <w:right w:val="single" w:sz="4" w:space="0" w:color="999999"/>
            </w:tcBorders>
          </w:tcPr>
          <w:p w14:paraId="414469BD" w14:textId="77777777" w:rsidR="00B87CAA" w:rsidRDefault="00F804C3" w:rsidP="0017016D">
            <w:pPr>
              <w:spacing w:after="40" w:line="240" w:lineRule="auto"/>
              <w:jc w:val="both"/>
            </w:pPr>
            <w:r>
              <w:rPr>
                <w:sz w:val="18"/>
              </w:rPr>
              <w:t>Comparative qualitative study of validation practice, contractual arrangements, testing access and escalation across institutions and providers, followed by quantitative assessment of behavioural correlation under common model provision</w:t>
            </w:r>
          </w:p>
        </w:tc>
        <w:tc>
          <w:tcPr>
            <w:tcW w:w="1337" w:type="dxa"/>
            <w:tcBorders>
              <w:top w:val="single" w:sz="4" w:space="0" w:color="999999"/>
              <w:left w:val="single" w:sz="4" w:space="0" w:color="999999"/>
              <w:bottom w:val="single" w:sz="4" w:space="0" w:color="999999"/>
              <w:right w:val="single" w:sz="4" w:space="0" w:color="999999"/>
            </w:tcBorders>
          </w:tcPr>
          <w:p w14:paraId="789944AF" w14:textId="77777777" w:rsidR="00B87CAA" w:rsidRDefault="00F804C3" w:rsidP="0017016D">
            <w:pPr>
              <w:spacing w:after="40" w:line="240" w:lineRule="auto"/>
              <w:jc w:val="both"/>
            </w:pPr>
            <w:r>
              <w:rPr>
                <w:sz w:val="18"/>
              </w:rPr>
              <w:t>Cross-institutional access; supervisory facilitation</w:t>
            </w:r>
          </w:p>
        </w:tc>
        <w:tc>
          <w:tcPr>
            <w:tcW w:w="2101" w:type="dxa"/>
            <w:tcBorders>
              <w:top w:val="single" w:sz="4" w:space="0" w:color="999999"/>
              <w:left w:val="single" w:sz="4" w:space="0" w:color="999999"/>
              <w:bottom w:val="single" w:sz="4" w:space="0" w:color="999999"/>
              <w:right w:val="single" w:sz="4" w:space="0" w:color="999999"/>
            </w:tcBorders>
          </w:tcPr>
          <w:p w14:paraId="2AECE34A" w14:textId="77777777" w:rsidR="00B87CAA" w:rsidRDefault="00F804C3" w:rsidP="0017016D">
            <w:pPr>
              <w:spacing w:after="40" w:line="240" w:lineRule="auto"/>
              <w:jc w:val="both"/>
            </w:pPr>
            <w:r>
              <w:rPr>
                <w:sz w:val="18"/>
              </w:rPr>
              <w:t>Bank of England &amp; Financial Conduct Authority (2024); Daníelsson et al. (2022); Financial Stability Board (2024); McCarthy (2023)</w:t>
            </w:r>
          </w:p>
        </w:tc>
      </w:tr>
      <w:tr w:rsidR="00B87CAA" w14:paraId="310E96DB" w14:textId="77777777">
        <w:trPr>
          <w:jc w:val="center"/>
        </w:trPr>
        <w:tc>
          <w:tcPr>
            <w:tcW w:w="1432" w:type="dxa"/>
            <w:tcBorders>
              <w:top w:val="single" w:sz="4" w:space="0" w:color="999999"/>
              <w:left w:val="single" w:sz="4" w:space="0" w:color="999999"/>
              <w:bottom w:val="single" w:sz="4" w:space="0" w:color="999999"/>
              <w:right w:val="single" w:sz="4" w:space="0" w:color="999999"/>
            </w:tcBorders>
          </w:tcPr>
          <w:p w14:paraId="7161204C" w14:textId="77777777" w:rsidR="00B87CAA" w:rsidRDefault="00F804C3" w:rsidP="0017016D">
            <w:pPr>
              <w:spacing w:after="40" w:line="240" w:lineRule="auto"/>
              <w:jc w:val="both"/>
            </w:pPr>
            <w:r>
              <w:rPr>
                <w:sz w:val="18"/>
              </w:rPr>
              <w:t>Geographical extension of institutional-data evidence (longer term)</w:t>
            </w:r>
          </w:p>
        </w:tc>
        <w:tc>
          <w:tcPr>
            <w:tcW w:w="2005" w:type="dxa"/>
            <w:tcBorders>
              <w:top w:val="single" w:sz="4" w:space="0" w:color="999999"/>
              <w:left w:val="single" w:sz="4" w:space="0" w:color="999999"/>
              <w:bottom w:val="single" w:sz="4" w:space="0" w:color="999999"/>
              <w:right w:val="single" w:sz="4" w:space="0" w:color="999999"/>
            </w:tcBorders>
          </w:tcPr>
          <w:p w14:paraId="3620E5FE" w14:textId="77777777" w:rsidR="00B87CAA" w:rsidRDefault="00F804C3" w:rsidP="0017016D">
            <w:pPr>
              <w:spacing w:after="40" w:line="240" w:lineRule="auto"/>
              <w:jc w:val="both"/>
            </w:pPr>
            <w:r>
              <w:rPr>
                <w:sz w:val="18"/>
              </w:rPr>
              <w:t>Conclusions drawn from a small set of markets are applied to banking generally, and inclusion claims are strongest where evidence is weakest; access rather than method has determined where research occurs</w:t>
            </w:r>
          </w:p>
        </w:tc>
        <w:tc>
          <w:tcPr>
            <w:tcW w:w="2196" w:type="dxa"/>
            <w:tcBorders>
              <w:top w:val="single" w:sz="4" w:space="0" w:color="999999"/>
              <w:left w:val="single" w:sz="4" w:space="0" w:color="999999"/>
              <w:bottom w:val="single" w:sz="4" w:space="0" w:color="999999"/>
              <w:right w:val="single" w:sz="4" w:space="0" w:color="999999"/>
            </w:tcBorders>
          </w:tcPr>
          <w:p w14:paraId="272407C8" w14:textId="77777777" w:rsidR="00B87CAA" w:rsidRDefault="00F804C3" w:rsidP="0017016D">
            <w:pPr>
              <w:spacing w:after="40" w:line="240" w:lineRule="auto"/>
              <w:jc w:val="both"/>
            </w:pPr>
            <w:r>
              <w:rPr>
                <w:sz w:val="18"/>
              </w:rPr>
              <w:t>Replication of established designs on portfolios outside currently represented jurisdictions, enabling cross-market comparison rather than new method development</w:t>
            </w:r>
          </w:p>
        </w:tc>
        <w:tc>
          <w:tcPr>
            <w:tcW w:w="1337" w:type="dxa"/>
            <w:tcBorders>
              <w:top w:val="single" w:sz="4" w:space="0" w:color="999999"/>
              <w:left w:val="single" w:sz="4" w:space="0" w:color="999999"/>
              <w:bottom w:val="single" w:sz="4" w:space="0" w:color="999999"/>
              <w:right w:val="single" w:sz="4" w:space="0" w:color="999999"/>
            </w:tcBorders>
          </w:tcPr>
          <w:p w14:paraId="2C4B5A93" w14:textId="77777777" w:rsidR="00B87CAA" w:rsidRDefault="00F804C3" w:rsidP="0017016D">
            <w:pPr>
              <w:spacing w:after="40" w:line="240" w:lineRule="auto"/>
              <w:jc w:val="both"/>
            </w:pPr>
            <w:r>
              <w:rPr>
                <w:sz w:val="18"/>
              </w:rPr>
              <w:t>Data-access infrastructure through supervisory intermediation, secure research environments or privacy-preserving computation</w:t>
            </w:r>
          </w:p>
        </w:tc>
        <w:tc>
          <w:tcPr>
            <w:tcW w:w="2101" w:type="dxa"/>
            <w:tcBorders>
              <w:top w:val="single" w:sz="4" w:space="0" w:color="999999"/>
              <w:left w:val="single" w:sz="4" w:space="0" w:color="999999"/>
              <w:bottom w:val="single" w:sz="4" w:space="0" w:color="999999"/>
              <w:right w:val="single" w:sz="4" w:space="0" w:color="999999"/>
            </w:tcBorders>
          </w:tcPr>
          <w:p w14:paraId="61DE87DA" w14:textId="77777777" w:rsidR="00B87CAA" w:rsidRDefault="00F804C3" w:rsidP="0017016D">
            <w:pPr>
              <w:spacing w:after="40" w:line="240" w:lineRule="auto"/>
              <w:jc w:val="both"/>
            </w:pPr>
            <w:r w:rsidRPr="000A6B05">
              <w:rPr>
                <w:sz w:val="18"/>
                <w:lang w:val="nl-BE"/>
              </w:rPr>
              <w:t xml:space="preserve">Bazarbash (2019); Boustani (2022); Mhlanga (2021); Ozgur et al. </w:t>
            </w:r>
            <w:r>
              <w:rPr>
                <w:sz w:val="18"/>
              </w:rPr>
              <w:t>(2021)</w:t>
            </w:r>
          </w:p>
        </w:tc>
      </w:tr>
    </w:tbl>
    <w:p w14:paraId="17BE0F2D" w14:textId="77777777" w:rsidR="00B87CAA" w:rsidRDefault="00F804C3" w:rsidP="0017016D">
      <w:pPr>
        <w:spacing w:before="80" w:after="240" w:line="240" w:lineRule="auto"/>
        <w:jc w:val="both"/>
      </w:pPr>
      <w:r>
        <w:rPr>
          <w:sz w:val="18"/>
        </w:rPr>
        <w:t>Note. Horizon denotes whether the priority is pursuable with existing data and institutional relationships (immediate) or requires new data access arrangements or market-wide evidence (longer term). Priorities are ordered by expected reduction in decision-relevant uncertainty rather than by tractability.</w:t>
      </w:r>
    </w:p>
    <w:p w14:paraId="7158ECFD" w14:textId="77777777" w:rsidR="00B87CAA" w:rsidRDefault="00F804C3" w:rsidP="0017016D">
      <w:pPr>
        <w:spacing w:before="280" w:line="276" w:lineRule="auto"/>
        <w:jc w:val="both"/>
      </w:pPr>
      <w:r>
        <w:rPr>
          <w:b/>
          <w:sz w:val="26"/>
        </w:rPr>
        <w:t>8. Future Directions</w:t>
      </w:r>
    </w:p>
    <w:p w14:paraId="7B889639" w14:textId="77777777" w:rsidR="00B87CAA" w:rsidRDefault="00F804C3" w:rsidP="0017016D">
      <w:pPr>
        <w:jc w:val="both"/>
      </w:pPr>
      <w:r>
        <w:lastRenderedPageBreak/>
        <w:t>Four priorities are immediate in the sense that they can be pursued with existing data and institutional relationships. The first is prospective evaluation of deployed models. The unresolved problem is that no reliable estimate exists of how much of the retrospectively measured performance advantage of learning systems survives deployment. Current evidence is inadequate because retrospective evaluation cannot observe feedback between decision rule and applicant population, cannot capture staff override behaviour, and cannot represent adversarial adaptation in fraud settings. The appropriate design is a prospective cohort study within a bank in which a learning-based and an incumbent model score the same applicant flow over a defined period, with realised outcomes tracked to maturity for both, or a staged rollout with cohort comparison where randomisation is not feasible. Relevant outcome measures are realised portfolio return, default rate at fixed acceptance rate, override frequency and direction, and complaint and dispute incidence. Such a study requires a supervisory or institutional sponsor willing to permit publication, and the implication for policy is that supervisors could require or encourage disclosure of such evaluations as a condition of model approval for high-materiality applications.</w:t>
      </w:r>
    </w:p>
    <w:p w14:paraId="41F813B3" w14:textId="77777777" w:rsidR="00B87CAA" w:rsidRDefault="00F804C3" w:rsidP="0017016D">
      <w:pPr>
        <w:jc w:val="both"/>
      </w:pPr>
      <w:r>
        <w:t>The second immediate priority is standardisation of temporal validation and its reporting. The problem is that reported performance differences are not comparable across studies because validation protocols differ and are frequently unreported. Existing evidence is inadequate because the magnitude of leakage-induced inflation in banking research has never been estimated, though its existence across machine-learning-based science is documented (Kapoor &amp; Narayanan, 2023). The appropriate response combines a methodological study re-evaluating a set of published banking models under strictly temporal validation to quantify the inflation, and a reporting convention specifying the observation window, the temporal split point, the position of preprocessing and hyperparameter selection relative to the split, and the treatment of rejected applicants. Journals in operational research and applied computing are positioned to require this, and the effect would be to make subsequent comparisons interpretable.</w:t>
      </w:r>
    </w:p>
    <w:p w14:paraId="651891C4" w14:textId="77777777" w:rsidR="00B87CAA" w:rsidRDefault="00F804C3" w:rsidP="0017016D">
      <w:pPr>
        <w:jc w:val="both"/>
      </w:pPr>
      <w:r>
        <w:t xml:space="preserve">The third immediate priority is routine economic evaluation. The problem is that discrimination measures do not identify which model produces better lending. The evidence is inadequate because profit-aware evaluation exists as a demonstrated capability (Kozodoi et al., 2019; Krivorotov, 2023; Lessmann et al., 2015; Óskarsdóttir et al., 2019) but not as a norm, so most reported improvements cannot be translated into institutional outcomes. The appropriate design is straightforward: report expected profit or an equivalent cost-sensitive </w:t>
      </w:r>
      <w:r>
        <w:lastRenderedPageBreak/>
        <w:t>measure alongside discrimination measures, with explicit statement of the cost structure and acceptance rate assumed, and report sensitivity of the model ranking to those assumptions. The finding of greatest interest is not the profit figure but whether the ranking of methods changes when the criterion changes, since a ranking that is not stable across criteria does not support a method recommendation.</w:t>
      </w:r>
    </w:p>
    <w:p w14:paraId="7A9D00F0" w14:textId="77777777" w:rsidR="00B87CAA" w:rsidRDefault="00F804C3" w:rsidP="0017016D">
      <w:pPr>
        <w:jc w:val="both"/>
      </w:pPr>
      <w:r>
        <w:t>The fourth immediate priority is evidence on customer-facing automation. The problem is that deployment of conversational and automated advisory systems is expanding rapidly while evidence on service outcomes is confined largely to adoption intention and satisfaction. Existing evidence is inadequate because attitudinal measurement on respondents who have not used the system does not predict outcomes for those who have, and because the relevant question concerns differential experience across customer segments rather than average satisfaction. The appropriate design uses operational data from deployed channels, comparing resolution rate, escalation rate, time to resolution, repeat contact and complaint incidence between automated and human channels, disaggregated by customer characteristics with particular attention to indicators of vulnerability. Huang et al. (2024) and Hentzen et al. (2022) establish the framing; the operational evidence remains to be produced. The policy implication concerns conduct regulation, since differential service quality across segments is a conduct matter irrespective of average performance.</w:t>
      </w:r>
    </w:p>
    <w:p w14:paraId="7439F73D" w14:textId="77777777" w:rsidR="00B87CAA" w:rsidRDefault="00F804C3" w:rsidP="0017016D">
      <w:pPr>
        <w:jc w:val="both"/>
      </w:pPr>
      <w:r>
        <w:t>Three further priorities require longer horizons or new infrastructure. The first is measurement of the net distributional effect of algorithmic underwriting in a single market. The unresolved question is whether extension of credit access at the extensive margin and redistribution of terms at the intensive margin net to an improvement or a deterioration in aggregate consumer welfare, and for which groups. Current evidence measures one margin or the other but never both in the same market with a common framework, which is why the inclusion literature and the disparity literature reach opposing impressions from non-contradictory findings. The appropriate design combines application-level data including declined applicants with realised pricing and performance outcomes, over a period spanning a change in underwriting methodology, in a market where protected characteristics can be observed or credibly imputed. The evidence requirements are demanding and the study is most plausible as a supervisory or central bank undertaking rather than an academic one.</w:t>
      </w:r>
    </w:p>
    <w:p w14:paraId="6ECEC955" w14:textId="77777777" w:rsidR="00B87CAA" w:rsidRDefault="00F804C3" w:rsidP="0017016D">
      <w:pPr>
        <w:jc w:val="both"/>
      </w:pPr>
      <w:r>
        <w:t xml:space="preserve">The second longer-term priority is model risk governance for procured systems. The problem is that accountability frameworks assume the accountable firm understands the model, and supervisory evidence indicates that this assumption frequently fails for third-party </w:t>
      </w:r>
      <w:r>
        <w:lastRenderedPageBreak/>
        <w:t>implementations, whose share is rising alongside concentration among providers (Bank of England &amp; Financial Conduct Authority, 2024; Financial Stability Board, 2024). Current academic evidence is close to absent, since the model risk literature addresses internally developed models. Appropriate research is comparative and qualitative in the first instance, examining validation practice, contractual arrangements, testing access and escalation procedures across institutions and provider relationships, followed by quantitative work on whether concentration in model provision produces correlation in institutional behaviour. Daníelsson et al. (2022) motivate the systemic question; the firm-level mechanism requires separate investigation.</w:t>
      </w:r>
    </w:p>
    <w:p w14:paraId="0E0EAA8F" w14:textId="77777777" w:rsidR="00B87CAA" w:rsidRDefault="00F804C3" w:rsidP="0017016D">
      <w:pPr>
        <w:jc w:val="both"/>
      </w:pPr>
      <w:r>
        <w:t>The third longer-term priority is geographical extension of institutional-data evidence. The problem is that conclusions drawn from a small set of credit markets are applied to banking generally, and the markets where financial inclusion claims are strongest are those with the least rigorous supporting evidence. Existing evidence is inadequate because access to institutional data has determined where research occurs. The appropriate response is infrastructural rather than methodological: the establishment of data-access arrangements, whether through supervisory intermediation, secure research environments or privacy-preserving computation, that permit evaluation on portfolios outside the small number of jurisdictions currently represented. The methodological requirement is that such studies replicate established designs rather than introduce new ones, so that cross-market comparison becomes possible. Without this, the field will continue to generalise from an unrepresentative sample of the world's banking systems.</w:t>
      </w:r>
    </w:p>
    <w:p w14:paraId="63B1D9FB" w14:textId="77777777" w:rsidR="00B87CAA" w:rsidRDefault="00F804C3" w:rsidP="0017016D">
      <w:pPr>
        <w:jc w:val="both"/>
      </w:pPr>
      <w:r>
        <w:t>The rapid diffusion of foundation models, which already account for 17 per cent of reported use cases in one supervised population (Bank of England &amp; Financial Conduct Authority, 2024), cuts across all of these priorities and does not yet have an evidence base of its own within banking. Later reviews have begun to address the broader landscape (Singh et al., 2025), but the specific questions of validation, explanation and model risk governance for systems whose behaviour is not fully characterised by their developers remain open. Applying the four immediate priorities above to foundation model deployments as they mature is likely to be more productive than developing a parallel research agenda for them.</w:t>
      </w:r>
    </w:p>
    <w:p w14:paraId="39046E91" w14:textId="77777777" w:rsidR="00B87CAA" w:rsidRDefault="00F804C3" w:rsidP="0017016D">
      <w:pPr>
        <w:spacing w:before="280" w:line="276" w:lineRule="auto"/>
        <w:jc w:val="both"/>
      </w:pPr>
      <w:r>
        <w:rPr>
          <w:b/>
          <w:sz w:val="26"/>
        </w:rPr>
        <w:t>9. Conclusions</w:t>
      </w:r>
    </w:p>
    <w:p w14:paraId="7A12783B" w14:textId="77777777" w:rsidR="00B87CAA" w:rsidRDefault="00F804C3" w:rsidP="0017016D">
      <w:pPr>
        <w:jc w:val="both"/>
      </w:pPr>
      <w:r>
        <w:t xml:space="preserve">This review set out to characterise the application domains of artificial intelligence and machine learning in banking between 2015 and 2024, to assess comparative performance </w:t>
      </w:r>
      <w:r>
        <w:lastRenderedPageBreak/>
        <w:t>claims, to identify the methodological weaknesses limiting their interpretation, and to derive research priorities. The evidence supports firm conclusions on some of these questions and only provisional ones on others, and distinguishing between the two is the review's principal contribution.</w:t>
      </w:r>
    </w:p>
    <w:p w14:paraId="319B5B2F" w14:textId="77777777" w:rsidR="00B87CAA" w:rsidRDefault="00F804C3" w:rsidP="0017016D">
      <w:pPr>
        <w:jc w:val="both"/>
      </w:pPr>
      <w:r>
        <w:t>The strongest conclusion concerns the relative contribution of data and estimator. Improvements attributable to new information sources exceed, by a considerable margin, improvements attributable to new estimators applied to existing information. This finding rests on multiple independent studies using institutional data across different markets and information types, and it is the most robust result in the domain. Its implication is that the field's concentration on algorithmic comparison has been disproportionate to the return, and that the questions of consent, proxy discrimination, coverage and stability raised by alternative data are correspondingly more important than the questions raised by model selection.</w:t>
      </w:r>
    </w:p>
    <w:p w14:paraId="3005D558" w14:textId="77777777" w:rsidR="00B87CAA" w:rsidRDefault="00F804C3" w:rsidP="0017016D">
      <w:pPr>
        <w:jc w:val="both"/>
      </w:pPr>
      <w:r>
        <w:t>A second firm conclusion is that tree-based ensembles, and gradient boosting in particular, outperform regularised parametric models on discrimination measures in retail credit applications, that deep architectures do not offer a general advantage on tabular banking data, and that architecture choice should follow data structure rather than novelty. The margin of the ensemble advantage is modest and its stability across evaluation criteria has not been demonstrated, so the conclusion supports method preference but not the claim that method selection is a major determinant of lending outcomes.</w:t>
      </w:r>
    </w:p>
    <w:p w14:paraId="6AD65E71" w14:textId="77777777" w:rsidR="00B87CAA" w:rsidRDefault="00F804C3" w:rsidP="0017016D">
      <w:pPr>
        <w:jc w:val="both"/>
      </w:pPr>
      <w:r>
        <w:t>A third conclusion, held with moderate confidence, is that the accuracy-interpretability trade-off has been overstated for structured banking data. Methods that retain the interpretability of parametric forms while capturing non-linear structure have achieved performance competitive with opaque ensembles in credit scoring. Whether inherent interpretability or post hoc explanation is the appropriate approach cannot be settled on current evidence, because the field lacks agreed criteria for judging explanation adequacy and because the answer depends on a justification standard that is legal rather than statistical, and that has recently changed.</w:t>
      </w:r>
    </w:p>
    <w:p w14:paraId="3CF20E36" w14:textId="77777777" w:rsidR="00B87CAA" w:rsidRDefault="00F804C3" w:rsidP="0017016D">
      <w:pPr>
        <w:jc w:val="both"/>
      </w:pPr>
      <w:r>
        <w:t xml:space="preserve">The distributional conclusions are the most consequential and the least settled. That flexible estimation redistributes credit terms across borrower groups is demonstrated for United States mortgage markets. That fairness constraints can be imposed within model development at modest cost to profit is demonstrated on real credit data. That algorithmic assessment extends credit access to populations excluded by thin-file scoring is supported for several settings. These findings are not contradictory, but no study has measured access extension and term </w:t>
      </w:r>
      <w:r>
        <w:lastRenderedPageBreak/>
        <w:t>redistribution together in a single market, so the net welfare effect of algorithmic underwriting is unknown. Assertions in either direction currently exceed the evidence.</w:t>
      </w:r>
    </w:p>
    <w:p w14:paraId="2D17FC85" w14:textId="77777777" w:rsidR="00B87CAA" w:rsidRDefault="00F804C3" w:rsidP="0017016D">
      <w:pPr>
        <w:jc w:val="both"/>
      </w:pPr>
      <w:r>
        <w:t>Across all domains, confidence in reported performance differences is limited by evaluation practices that are not aligned with banking objectives, by validation protocols that frequently do not respect the temporal structure of the data-generating process, by repeated evaluation on small and dated public benchmarks, and by inconsistent treatment of the selection induced by historical acceptance policy. Each weakness has a demonstrated remedy in the literature, and each remedy remains a minority practice. The distribution of evidence across domains is also markedly uneven, with credit assessment and payment fraud detection supporting cautious generalisation while customer-facing automation, procured model governance and firm-level performance do not. General claims about the value of artificial intelligence in banking that draw on all domains as though they were equally evidenced are not defensible, and the broader significance of this synthesis is that the field's principal deficit is not algorithmic but evidential: what is missing is prospective, economically evaluated, temporally valid evidence from deployed systems across a representative range of banking markets.</w:t>
      </w:r>
    </w:p>
    <w:p w14:paraId="0C3F3810" w14:textId="77777777" w:rsidR="00B87CAA" w:rsidRDefault="00F804C3" w:rsidP="0017016D">
      <w:pPr>
        <w:spacing w:before="280" w:line="276" w:lineRule="auto"/>
        <w:jc w:val="both"/>
      </w:pPr>
      <w:r>
        <w:rPr>
          <w:b/>
          <w:sz w:val="26"/>
        </w:rPr>
        <w:t>10. Limitations</w:t>
      </w:r>
    </w:p>
    <w:p w14:paraId="705664B3" w14:textId="77777777" w:rsidR="00B87CAA" w:rsidRDefault="00F804C3" w:rsidP="0017016D">
      <w:pPr>
        <w:jc w:val="both"/>
      </w:pPr>
      <w:r>
        <w:t>The limitations of a critical narrative review begin with the design itself. Selection of sources was purposive rather than exhaustive, and the appraisal that structures the synthesis is interpretive. Another reviewer applying the same scope to the same literature could reasonably select a partly different set of studies and reach somewhat different emphases, particularly in judging which disagreements are genuine and which are artefacts of measurement. The search was designed for breadth across a multidisciplinary literature and was documented transparently, but the absence of independent duplicate screening means that the possibility of selection and interpretive bias cannot be excluded, and no formal assessment of inter-reviewer agreement was possible.</w:t>
      </w:r>
    </w:p>
    <w:p w14:paraId="3D620B48" w14:textId="77777777" w:rsidR="00B87CAA" w:rsidRDefault="00F804C3" w:rsidP="0017016D">
      <w:pPr>
        <w:jc w:val="both"/>
      </w:pPr>
      <w:r>
        <w:t xml:space="preserve">Access to subscription-only bibliographic indexes was not available during preparation, so coverage depended on open and freely accessible scholarly databases together with citation tracking and institutional sources. Relevant work indexed only in restricted databases may therefore have been missed, and the risk is greatest for journals with limited open metadata deposit. The restriction to English-language publications compounds this and is likely to have reduced representation of research published in the languages of banking systems that are </w:t>
      </w:r>
      <w:r>
        <w:lastRenderedPageBreak/>
        <w:t>already under-represented in the synthesis, which weakens the geographical claims more than the methodological ones.</w:t>
      </w:r>
    </w:p>
    <w:p w14:paraId="7557A47E" w14:textId="77777777" w:rsidR="00B87CAA" w:rsidRDefault="00F804C3" w:rsidP="0017016D">
      <w:pPr>
        <w:jc w:val="both"/>
      </w:pPr>
      <w:r>
        <w:t>Substantive limitations arise from the material. The studies reviewed employ incompatible designs, outcome definitions, populations and evaluation criteria, which prevents quantitative synthesis and means that comparative statements about the magnitude of effects are necessarily qualitative. Reporting detail was frequently insufficient to determine validation protocol, treatment of class imbalance or handling of rejected applicants, so appraisal on those dimensions rested on what authors chose to disclose, and absence of a reported safeguard was not treated as evidence of its absence. Geographical representation in the underlying evidence is uneven, and firm-level performance evidence in particular is concentrated in a small number of jurisdictions. Much of the strongest evidence rests on proprietary institutional data that cannot be independently verified or replicated, which constrains confidence in single-institution findings in fraud and anti-money laundering especially.</w:t>
      </w:r>
    </w:p>
    <w:p w14:paraId="3E4E5FB9" w14:textId="77777777" w:rsidR="00B87CAA" w:rsidRDefault="00F804C3" w:rsidP="0017016D">
      <w:pPr>
        <w:jc w:val="both"/>
      </w:pPr>
      <w:r>
        <w:t>The evidence is also predominantly retrospective and observational. Prospective evaluation of deployed systems is nearly absent, long-term outcome evidence is scarce, and causal interpretation of firm-level associations is generally not supported by the identification strategies employed. The field develops rapidly, and material published after the close of the substantive window may have altered the balance of evidence on questions treated here as open, particularly in relation to foundation models and to governance requirements that continue to be implemented. Conclusions concerning method performance are stated for the settings and data types in which they were tested and should not be extended to settings with different data structures, decision consequences or regulatory environments.</w:t>
      </w:r>
    </w:p>
    <w:p w14:paraId="5FBB100D" w14:textId="77777777" w:rsidR="00F804C3" w:rsidRDefault="00F804C3" w:rsidP="0017016D">
      <w:pPr>
        <w:jc w:val="both"/>
      </w:pPr>
    </w:p>
    <w:p w14:paraId="2663A661" w14:textId="77777777" w:rsidR="00F804C3" w:rsidRPr="002D08AC" w:rsidRDefault="00F804C3" w:rsidP="0017016D">
      <w:pPr>
        <w:spacing w:after="0" w:line="240" w:lineRule="auto"/>
        <w:jc w:val="both"/>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57F2A10B" w14:textId="77777777" w:rsidR="00F804C3" w:rsidRPr="002D08AC" w:rsidRDefault="00F804C3" w:rsidP="0017016D">
      <w:pPr>
        <w:spacing w:after="0" w:line="240" w:lineRule="auto"/>
        <w:jc w:val="both"/>
        <w:rPr>
          <w:rFonts w:ascii="Arial" w:hAnsi="Arial" w:cs="Arial"/>
          <w:sz w:val="20"/>
          <w:szCs w:val="20"/>
        </w:rPr>
      </w:pPr>
    </w:p>
    <w:p w14:paraId="1218F99E" w14:textId="77777777" w:rsidR="00F804C3" w:rsidRPr="002D08AC" w:rsidRDefault="00F804C3" w:rsidP="0017016D">
      <w:pPr>
        <w:spacing w:after="0" w:line="240" w:lineRule="auto"/>
        <w:jc w:val="both"/>
        <w:rPr>
          <w:rFonts w:ascii="Arial" w:hAnsi="Arial" w:cs="Arial"/>
          <w:sz w:val="20"/>
          <w:szCs w:val="20"/>
        </w:rPr>
      </w:pPr>
      <w:bookmarkStart w:id="2"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p w14:paraId="632CD4F9" w14:textId="77777777" w:rsidR="00F804C3" w:rsidRDefault="00F804C3" w:rsidP="0017016D">
      <w:pPr>
        <w:jc w:val="both"/>
      </w:pPr>
    </w:p>
    <w:p w14:paraId="49F34599" w14:textId="77777777" w:rsidR="00B87CAA" w:rsidRDefault="00F804C3" w:rsidP="0017016D">
      <w:pPr>
        <w:spacing w:before="320" w:after="160" w:line="276" w:lineRule="auto"/>
        <w:jc w:val="both"/>
      </w:pPr>
      <w:r>
        <w:rPr>
          <w:b/>
          <w:sz w:val="26"/>
        </w:rPr>
        <w:t>References</w:t>
      </w:r>
    </w:p>
    <w:p w14:paraId="409379A1" w14:textId="4D5F3D01"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Ahmed, S., </w:t>
      </w:r>
      <w:proofErr w:type="spellStart"/>
      <w:r w:rsidRPr="000A6B05">
        <w:rPr>
          <w:rFonts w:cs="Times New Roman"/>
          <w:szCs w:val="24"/>
        </w:rPr>
        <w:t>Alshater</w:t>
      </w:r>
      <w:proofErr w:type="spellEnd"/>
      <w:r w:rsidRPr="000A6B05">
        <w:rPr>
          <w:rFonts w:cs="Times New Roman"/>
          <w:szCs w:val="24"/>
        </w:rPr>
        <w:t xml:space="preserve">, M. M., El Ammari, A., &amp; Hammami, H. (2022). Artificial intelligence and machine learning in finance: A bibliometric review. </w:t>
      </w:r>
      <w:r w:rsidRPr="000A6B05">
        <w:rPr>
          <w:rFonts w:cs="Times New Roman"/>
          <w:i/>
          <w:iCs/>
          <w:szCs w:val="24"/>
        </w:rPr>
        <w:t>Research in International Business and Finance, 61</w:t>
      </w:r>
      <w:r w:rsidRPr="000A6B05">
        <w:rPr>
          <w:rFonts w:cs="Times New Roman"/>
          <w:szCs w:val="24"/>
        </w:rPr>
        <w:t xml:space="preserve">, 101646. </w:t>
      </w:r>
      <w:hyperlink r:id="rId8" w:history="1">
        <w:r w:rsidRPr="000A6B05">
          <w:rPr>
            <w:rFonts w:cs="Times New Roman"/>
            <w:color w:val="0000FF"/>
            <w:szCs w:val="24"/>
            <w:u w:val="single"/>
          </w:rPr>
          <w:t>https://doi.org/10.1016/j.ribaf.2022.101646</w:t>
        </w:r>
      </w:hyperlink>
    </w:p>
    <w:p w14:paraId="74ADDDA4" w14:textId="4C30B266"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lastRenderedPageBreak/>
        <w:t>Bahoo</w:t>
      </w:r>
      <w:proofErr w:type="spellEnd"/>
      <w:r w:rsidRPr="000A6B05">
        <w:rPr>
          <w:rFonts w:cs="Times New Roman"/>
          <w:szCs w:val="24"/>
        </w:rPr>
        <w:t xml:space="preserve">, S., Cucculelli, M., Goga, X., &amp; </w:t>
      </w:r>
      <w:proofErr w:type="spellStart"/>
      <w:r w:rsidRPr="000A6B05">
        <w:rPr>
          <w:rFonts w:cs="Times New Roman"/>
          <w:szCs w:val="24"/>
        </w:rPr>
        <w:t>Mondolo</w:t>
      </w:r>
      <w:proofErr w:type="spellEnd"/>
      <w:r w:rsidRPr="000A6B05">
        <w:rPr>
          <w:rFonts w:cs="Times New Roman"/>
          <w:szCs w:val="24"/>
        </w:rPr>
        <w:t xml:space="preserve">, J. (2024). Artificial intelligence in finance: A comprehensive review through bibliometric and content analysis. </w:t>
      </w:r>
      <w:r w:rsidRPr="000A6B05">
        <w:rPr>
          <w:rFonts w:cs="Times New Roman"/>
          <w:i/>
          <w:iCs/>
          <w:szCs w:val="24"/>
        </w:rPr>
        <w:t>SN Business &amp; Economics, 4</w:t>
      </w:r>
      <w:r w:rsidRPr="000A6B05">
        <w:rPr>
          <w:rFonts w:cs="Times New Roman"/>
          <w:szCs w:val="24"/>
        </w:rPr>
        <w:t xml:space="preserve">, 23. </w:t>
      </w:r>
      <w:hyperlink r:id="rId9" w:history="1">
        <w:r w:rsidRPr="000A6B05">
          <w:rPr>
            <w:rFonts w:cs="Times New Roman"/>
            <w:color w:val="0000FF"/>
            <w:szCs w:val="24"/>
            <w:u w:val="single"/>
          </w:rPr>
          <w:t>https://doi.org/10.1007/s43546-023-00618-x</w:t>
        </w:r>
      </w:hyperlink>
    </w:p>
    <w:p w14:paraId="4D1CD9B5" w14:textId="77FBC39A"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Bank of England, &amp; Financial Conduct Authority. (2024). </w:t>
      </w:r>
      <w:r w:rsidRPr="000A6B05">
        <w:rPr>
          <w:rFonts w:cs="Times New Roman"/>
          <w:i/>
          <w:iCs/>
          <w:szCs w:val="24"/>
        </w:rPr>
        <w:t>Artificial intelligence in UK financial services – 2024</w:t>
      </w:r>
      <w:r w:rsidRPr="000A6B05">
        <w:rPr>
          <w:rFonts w:cs="Times New Roman"/>
          <w:szCs w:val="24"/>
        </w:rPr>
        <w:t xml:space="preserve">. Bank of England. </w:t>
      </w:r>
      <w:hyperlink r:id="rId10" w:history="1">
        <w:r w:rsidRPr="000A6B05">
          <w:rPr>
            <w:rFonts w:cs="Times New Roman"/>
            <w:color w:val="0000FF"/>
            <w:szCs w:val="24"/>
            <w:u w:val="single"/>
          </w:rPr>
          <w:t>https://www.bankofengland.co.uk/report/2024/artificial-intelligence-in-uk-financial-services-2024</w:t>
        </w:r>
      </w:hyperlink>
    </w:p>
    <w:p w14:paraId="66D8DBC7" w14:textId="65F84BC9"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Bartlett, R. P., Morse, A., Stanton, R., &amp; Wallace, N. (2022). Consumer-lending discrimination in the FinTech era. </w:t>
      </w:r>
      <w:r w:rsidRPr="000A6B05">
        <w:rPr>
          <w:rFonts w:cs="Times New Roman"/>
          <w:i/>
          <w:iCs/>
          <w:szCs w:val="24"/>
        </w:rPr>
        <w:t>Journal of Financial Economics, 143</w:t>
      </w:r>
      <w:r w:rsidRPr="000A6B05">
        <w:rPr>
          <w:rFonts w:cs="Times New Roman"/>
          <w:szCs w:val="24"/>
        </w:rPr>
        <w:t xml:space="preserve">(1), 30–56. </w:t>
      </w:r>
      <w:hyperlink r:id="rId11" w:history="1">
        <w:r w:rsidRPr="000A6B05">
          <w:rPr>
            <w:rFonts w:cs="Times New Roman"/>
            <w:color w:val="0000FF"/>
            <w:szCs w:val="24"/>
            <w:u w:val="single"/>
          </w:rPr>
          <w:t>https://doi.org/10.1016/j.jfineco.2021.05.047</w:t>
        </w:r>
      </w:hyperlink>
    </w:p>
    <w:p w14:paraId="28745822" w14:textId="207388F5"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Bazarbash</w:t>
      </w:r>
      <w:proofErr w:type="spellEnd"/>
      <w:r w:rsidRPr="000A6B05">
        <w:rPr>
          <w:rFonts w:cs="Times New Roman"/>
          <w:szCs w:val="24"/>
        </w:rPr>
        <w:t xml:space="preserve">, M. (2019). </w:t>
      </w:r>
      <w:r w:rsidRPr="000A6B05">
        <w:rPr>
          <w:rFonts w:cs="Times New Roman"/>
          <w:i/>
          <w:iCs/>
          <w:szCs w:val="24"/>
        </w:rPr>
        <w:t>FinTech in financial inclusion: Machine learning applications in assessing credit risk</w:t>
      </w:r>
      <w:r w:rsidRPr="000A6B05">
        <w:rPr>
          <w:rFonts w:cs="Times New Roman"/>
          <w:szCs w:val="24"/>
        </w:rPr>
        <w:t xml:space="preserve"> (IMF Working Paper No. 2019/109). International Monetary Fund. </w:t>
      </w:r>
      <w:hyperlink r:id="rId12" w:history="1">
        <w:r w:rsidRPr="000A6B05">
          <w:rPr>
            <w:rFonts w:cs="Times New Roman"/>
            <w:color w:val="0000FF"/>
            <w:szCs w:val="24"/>
            <w:u w:val="single"/>
          </w:rPr>
          <w:t>https://doi.org/10.5089/9781498314428.001</w:t>
        </w:r>
      </w:hyperlink>
    </w:p>
    <w:p w14:paraId="1265C6FA" w14:textId="20FCA587"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Berg, T., Burg, V., Gombović, A., &amp; Puri, M. (2020). On the rise of </w:t>
      </w:r>
      <w:proofErr w:type="spellStart"/>
      <w:r w:rsidRPr="000A6B05">
        <w:rPr>
          <w:rFonts w:cs="Times New Roman"/>
          <w:szCs w:val="24"/>
        </w:rPr>
        <w:t>FinTechs</w:t>
      </w:r>
      <w:proofErr w:type="spellEnd"/>
      <w:r w:rsidRPr="000A6B05">
        <w:rPr>
          <w:rFonts w:cs="Times New Roman"/>
          <w:szCs w:val="24"/>
        </w:rPr>
        <w:t xml:space="preserve">: Credit scoring using digital footprints. </w:t>
      </w:r>
      <w:r w:rsidRPr="000A6B05">
        <w:rPr>
          <w:rFonts w:cs="Times New Roman"/>
          <w:i/>
          <w:iCs/>
          <w:szCs w:val="24"/>
        </w:rPr>
        <w:t>The Review of Financial Studies, 33</w:t>
      </w:r>
      <w:r w:rsidRPr="000A6B05">
        <w:rPr>
          <w:rFonts w:cs="Times New Roman"/>
          <w:szCs w:val="24"/>
        </w:rPr>
        <w:t xml:space="preserve">(7), 2845–2897. </w:t>
      </w:r>
      <w:hyperlink r:id="rId13" w:history="1">
        <w:r w:rsidRPr="000A6B05">
          <w:rPr>
            <w:rFonts w:cs="Times New Roman"/>
            <w:color w:val="0000FF"/>
            <w:szCs w:val="24"/>
            <w:u w:val="single"/>
          </w:rPr>
          <w:t>https://doi.org/10.1093/rfs/hhz099</w:t>
        </w:r>
      </w:hyperlink>
    </w:p>
    <w:p w14:paraId="658F2841" w14:textId="1974E5F2"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Bitetto, A., </w:t>
      </w:r>
      <w:proofErr w:type="spellStart"/>
      <w:r w:rsidRPr="000A6B05">
        <w:rPr>
          <w:rFonts w:cs="Times New Roman"/>
          <w:szCs w:val="24"/>
        </w:rPr>
        <w:t>Cerchiello</w:t>
      </w:r>
      <w:proofErr w:type="spellEnd"/>
      <w:r w:rsidRPr="000A6B05">
        <w:rPr>
          <w:rFonts w:cs="Times New Roman"/>
          <w:szCs w:val="24"/>
        </w:rPr>
        <w:t xml:space="preserve">, P., </w:t>
      </w:r>
      <w:proofErr w:type="spellStart"/>
      <w:r w:rsidRPr="000A6B05">
        <w:rPr>
          <w:rFonts w:cs="Times New Roman"/>
          <w:szCs w:val="24"/>
        </w:rPr>
        <w:t>Filomeni</w:t>
      </w:r>
      <w:proofErr w:type="spellEnd"/>
      <w:r w:rsidRPr="000A6B05">
        <w:rPr>
          <w:rFonts w:cs="Times New Roman"/>
          <w:szCs w:val="24"/>
        </w:rPr>
        <w:t xml:space="preserve">, S., Tanda, A., &amp; Tarantino, B. (2023). Machine learning and credit risk: Empirical evidence from small- and mid-sized businesses. </w:t>
      </w:r>
      <w:r w:rsidRPr="000A6B05">
        <w:rPr>
          <w:rFonts w:cs="Times New Roman"/>
          <w:i/>
          <w:iCs/>
          <w:szCs w:val="24"/>
        </w:rPr>
        <w:t>Socio-Economic Planning Sciences, 90</w:t>
      </w:r>
      <w:r w:rsidRPr="000A6B05">
        <w:rPr>
          <w:rFonts w:cs="Times New Roman"/>
          <w:szCs w:val="24"/>
        </w:rPr>
        <w:t xml:space="preserve">, 101746. </w:t>
      </w:r>
      <w:hyperlink r:id="rId14" w:history="1">
        <w:r w:rsidRPr="000A6B05">
          <w:rPr>
            <w:rFonts w:cs="Times New Roman"/>
            <w:color w:val="0000FF"/>
            <w:szCs w:val="24"/>
            <w:u w:val="single"/>
          </w:rPr>
          <w:t>https://doi.org/10.1016/j.seps.2023.101746</w:t>
        </w:r>
      </w:hyperlink>
    </w:p>
    <w:p w14:paraId="400831BC" w14:textId="480C7B03"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Boustani, N. M. (2022). Artificial intelligence impact on banks clients and employees in an Asian developing country. </w:t>
      </w:r>
      <w:r w:rsidRPr="000A6B05">
        <w:rPr>
          <w:rFonts w:cs="Times New Roman"/>
          <w:i/>
          <w:iCs/>
          <w:szCs w:val="24"/>
        </w:rPr>
        <w:t>Journal of Asia Business Studies, 16</w:t>
      </w:r>
      <w:r w:rsidRPr="000A6B05">
        <w:rPr>
          <w:rFonts w:cs="Times New Roman"/>
          <w:szCs w:val="24"/>
        </w:rPr>
        <w:t xml:space="preserve">(2), 267–278. </w:t>
      </w:r>
      <w:hyperlink r:id="rId15" w:history="1">
        <w:r w:rsidRPr="000A6B05">
          <w:rPr>
            <w:rFonts w:cs="Times New Roman"/>
            <w:color w:val="0000FF"/>
            <w:szCs w:val="24"/>
            <w:u w:val="single"/>
          </w:rPr>
          <w:t>https://doi.org/10.1108/JABS-09-2020-0376</w:t>
        </w:r>
      </w:hyperlink>
    </w:p>
    <w:p w14:paraId="1568D743" w14:textId="34D2C74B"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Bussmann, N., Giudici, P., Marinelli, D., &amp; Papenbrock, J. (2021). </w:t>
      </w:r>
      <w:r w:rsidRPr="000A6B05">
        <w:rPr>
          <w:rFonts w:cs="Times New Roman"/>
          <w:szCs w:val="24"/>
        </w:rPr>
        <w:t xml:space="preserve">Explainable machine learning in credit risk management. </w:t>
      </w:r>
      <w:r w:rsidRPr="000A6B05">
        <w:rPr>
          <w:rFonts w:cs="Times New Roman"/>
          <w:i/>
          <w:iCs/>
          <w:szCs w:val="24"/>
        </w:rPr>
        <w:t>Computational Economics, 57</w:t>
      </w:r>
      <w:r w:rsidRPr="000A6B05">
        <w:rPr>
          <w:rFonts w:cs="Times New Roman"/>
          <w:szCs w:val="24"/>
        </w:rPr>
        <w:t xml:space="preserve">(1), 203–216. </w:t>
      </w:r>
      <w:hyperlink r:id="rId16" w:history="1">
        <w:r w:rsidRPr="000A6B05">
          <w:rPr>
            <w:rFonts w:cs="Times New Roman"/>
            <w:color w:val="0000FF"/>
            <w:szCs w:val="24"/>
            <w:u w:val="single"/>
          </w:rPr>
          <w:t>https://doi.org/10.1007/s10614-020-10042-0</w:t>
        </w:r>
      </w:hyperlink>
    </w:p>
    <w:p w14:paraId="7216D045" w14:textId="1381AF64"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Carcillo</w:t>
      </w:r>
      <w:proofErr w:type="spellEnd"/>
      <w:r w:rsidRPr="000A6B05">
        <w:rPr>
          <w:rFonts w:cs="Times New Roman"/>
          <w:szCs w:val="24"/>
        </w:rPr>
        <w:t xml:space="preserve">, F., Le Borgne, Y.-A., Caelen, O., Kessaci, Y., </w:t>
      </w:r>
      <w:proofErr w:type="spellStart"/>
      <w:r w:rsidRPr="000A6B05">
        <w:rPr>
          <w:rFonts w:cs="Times New Roman"/>
          <w:szCs w:val="24"/>
        </w:rPr>
        <w:t>Oblé</w:t>
      </w:r>
      <w:proofErr w:type="spellEnd"/>
      <w:r w:rsidRPr="000A6B05">
        <w:rPr>
          <w:rFonts w:cs="Times New Roman"/>
          <w:szCs w:val="24"/>
        </w:rPr>
        <w:t xml:space="preserve">, F., &amp; Bontempi, G. (2021). Combining unsupervised and supervised learning in credit card fraud detection. </w:t>
      </w:r>
      <w:r w:rsidRPr="000A6B05">
        <w:rPr>
          <w:rFonts w:cs="Times New Roman"/>
          <w:i/>
          <w:iCs/>
          <w:szCs w:val="24"/>
        </w:rPr>
        <w:t>Information Sciences, 557</w:t>
      </w:r>
      <w:r w:rsidRPr="000A6B05">
        <w:rPr>
          <w:rFonts w:cs="Times New Roman"/>
          <w:szCs w:val="24"/>
        </w:rPr>
        <w:t xml:space="preserve">, 317–331. </w:t>
      </w:r>
      <w:hyperlink r:id="rId17" w:history="1">
        <w:r w:rsidRPr="000A6B05">
          <w:rPr>
            <w:rFonts w:cs="Times New Roman"/>
            <w:color w:val="0000FF"/>
            <w:szCs w:val="24"/>
            <w:u w:val="single"/>
          </w:rPr>
          <w:t>https://doi.org/10.1016/j.ins.2019.05.042</w:t>
        </w:r>
      </w:hyperlink>
    </w:p>
    <w:p w14:paraId="7040EA57" w14:textId="072E7D3B"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Černevičienė</w:t>
      </w:r>
      <w:proofErr w:type="spellEnd"/>
      <w:r w:rsidRPr="000A6B05">
        <w:rPr>
          <w:rFonts w:cs="Times New Roman"/>
          <w:szCs w:val="24"/>
        </w:rPr>
        <w:t xml:space="preserve">, J., &amp; </w:t>
      </w:r>
      <w:proofErr w:type="spellStart"/>
      <w:r w:rsidRPr="000A6B05">
        <w:rPr>
          <w:rFonts w:cs="Times New Roman"/>
          <w:szCs w:val="24"/>
        </w:rPr>
        <w:t>Kabašinskas</w:t>
      </w:r>
      <w:proofErr w:type="spellEnd"/>
      <w:r w:rsidRPr="000A6B05">
        <w:rPr>
          <w:rFonts w:cs="Times New Roman"/>
          <w:szCs w:val="24"/>
        </w:rPr>
        <w:t xml:space="preserve">, A. (2024). Explainable artificial intelligence (XAI) in finance: A systematic literature review. </w:t>
      </w:r>
      <w:r w:rsidRPr="000A6B05">
        <w:rPr>
          <w:rFonts w:cs="Times New Roman"/>
          <w:i/>
          <w:iCs/>
          <w:szCs w:val="24"/>
        </w:rPr>
        <w:t>Artificial Intelligence Review, 57</w:t>
      </w:r>
      <w:r w:rsidRPr="000A6B05">
        <w:rPr>
          <w:rFonts w:cs="Times New Roman"/>
          <w:szCs w:val="24"/>
        </w:rPr>
        <w:t xml:space="preserve">(8), 216. </w:t>
      </w:r>
      <w:hyperlink r:id="rId18" w:history="1">
        <w:r w:rsidRPr="000A6B05">
          <w:rPr>
            <w:rFonts w:cs="Times New Roman"/>
            <w:color w:val="0000FF"/>
            <w:szCs w:val="24"/>
            <w:u w:val="single"/>
          </w:rPr>
          <w:t>https://doi.org/10.1007/s10462-024-10854-8</w:t>
        </w:r>
      </w:hyperlink>
    </w:p>
    <w:p w14:paraId="056AEE71" w14:textId="2D597B8B"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Chen, Y., Calabrese, R., &amp; Martin-Barragan, B. (2024). Interpretable machine learning for imbalanced credit scoring datasets. </w:t>
      </w:r>
      <w:r w:rsidRPr="000A6B05">
        <w:rPr>
          <w:rFonts w:cs="Times New Roman"/>
          <w:i/>
          <w:iCs/>
          <w:szCs w:val="24"/>
        </w:rPr>
        <w:t>European Journal of Operational Research, 312</w:t>
      </w:r>
      <w:r w:rsidRPr="000A6B05">
        <w:rPr>
          <w:rFonts w:cs="Times New Roman"/>
          <w:szCs w:val="24"/>
        </w:rPr>
        <w:t xml:space="preserve">(1), 357–372. </w:t>
      </w:r>
      <w:hyperlink r:id="rId19" w:history="1">
        <w:r w:rsidRPr="000A6B05">
          <w:rPr>
            <w:rFonts w:cs="Times New Roman"/>
            <w:color w:val="0000FF"/>
            <w:szCs w:val="24"/>
            <w:u w:val="single"/>
          </w:rPr>
          <w:t>https://doi.org/10.1016/j.ejor.2023.06.036</w:t>
        </w:r>
      </w:hyperlink>
    </w:p>
    <w:p w14:paraId="724A08A4" w14:textId="5AB9172D"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Chen, Z., Van Khoa, L. D., Teoh, E. N., Nazir, A., Karuppiah, E. K., &amp; Lam, K. S. (2018). </w:t>
      </w:r>
      <w:r w:rsidRPr="000A6B05">
        <w:rPr>
          <w:rFonts w:cs="Times New Roman"/>
          <w:szCs w:val="24"/>
        </w:rPr>
        <w:t xml:space="preserve">Machine learning techniques for anti-money laundering (AML) solutions in suspicious transaction detection: A review. </w:t>
      </w:r>
      <w:r w:rsidRPr="000A6B05">
        <w:rPr>
          <w:rFonts w:cs="Times New Roman"/>
          <w:i/>
          <w:iCs/>
          <w:szCs w:val="24"/>
        </w:rPr>
        <w:t>Knowledge and Information Systems, 57</w:t>
      </w:r>
      <w:r w:rsidRPr="000A6B05">
        <w:rPr>
          <w:rFonts w:cs="Times New Roman"/>
          <w:szCs w:val="24"/>
        </w:rPr>
        <w:t xml:space="preserve">(2), 245–285. </w:t>
      </w:r>
      <w:hyperlink r:id="rId20" w:history="1">
        <w:r w:rsidRPr="000A6B05">
          <w:rPr>
            <w:rFonts w:cs="Times New Roman"/>
            <w:color w:val="0000FF"/>
            <w:szCs w:val="24"/>
            <w:u w:val="single"/>
          </w:rPr>
          <w:t>https://doi.org/10.1007/s10115-017-1144-z</w:t>
        </w:r>
      </w:hyperlink>
    </w:p>
    <w:p w14:paraId="1D3A6022" w14:textId="4BAED3DC"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Dal Pozzolo, A., </w:t>
      </w:r>
      <w:proofErr w:type="spellStart"/>
      <w:r w:rsidRPr="000A6B05">
        <w:rPr>
          <w:rFonts w:cs="Times New Roman"/>
          <w:szCs w:val="24"/>
        </w:rPr>
        <w:t>Boracchi</w:t>
      </w:r>
      <w:proofErr w:type="spellEnd"/>
      <w:r w:rsidRPr="000A6B05">
        <w:rPr>
          <w:rFonts w:cs="Times New Roman"/>
          <w:szCs w:val="24"/>
        </w:rPr>
        <w:t xml:space="preserve">, G., Caelen, O., Alippi, C., &amp; Bontempi, G. (2018). Credit card fraud detection: A realistic modeling and a novel learning strategy. </w:t>
      </w:r>
      <w:r w:rsidRPr="000A6B05">
        <w:rPr>
          <w:rFonts w:cs="Times New Roman"/>
          <w:i/>
          <w:iCs/>
          <w:szCs w:val="24"/>
        </w:rPr>
        <w:t>IEEE Transactions on Neural Networks and Learning Systems, 29</w:t>
      </w:r>
      <w:r w:rsidRPr="000A6B05">
        <w:rPr>
          <w:rFonts w:cs="Times New Roman"/>
          <w:szCs w:val="24"/>
        </w:rPr>
        <w:t xml:space="preserve">(8), 3784–3797. </w:t>
      </w:r>
      <w:hyperlink r:id="rId21" w:history="1">
        <w:r w:rsidRPr="000A6B05">
          <w:rPr>
            <w:rFonts w:cs="Times New Roman"/>
            <w:color w:val="0000FF"/>
            <w:szCs w:val="24"/>
            <w:u w:val="single"/>
          </w:rPr>
          <w:t>https://doi.org/10.1109/TNNLS.2017.2736643</w:t>
        </w:r>
      </w:hyperlink>
    </w:p>
    <w:p w14:paraId="6386C933" w14:textId="39662810"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Daníelsson, J., Macrae, R., &amp; </w:t>
      </w:r>
      <w:proofErr w:type="spellStart"/>
      <w:r w:rsidRPr="000A6B05">
        <w:rPr>
          <w:rFonts w:cs="Times New Roman"/>
          <w:szCs w:val="24"/>
        </w:rPr>
        <w:t>Uthemann</w:t>
      </w:r>
      <w:proofErr w:type="spellEnd"/>
      <w:r w:rsidRPr="000A6B05">
        <w:rPr>
          <w:rFonts w:cs="Times New Roman"/>
          <w:szCs w:val="24"/>
        </w:rPr>
        <w:t xml:space="preserve">, A. (2022). Artificial intelligence and systemic risk. </w:t>
      </w:r>
      <w:r w:rsidRPr="000A6B05">
        <w:rPr>
          <w:rFonts w:cs="Times New Roman"/>
          <w:i/>
          <w:iCs/>
          <w:szCs w:val="24"/>
        </w:rPr>
        <w:t>Journal of Banking &amp; Finance, 140</w:t>
      </w:r>
      <w:r w:rsidRPr="000A6B05">
        <w:rPr>
          <w:rFonts w:cs="Times New Roman"/>
          <w:szCs w:val="24"/>
        </w:rPr>
        <w:t xml:space="preserve">, 106290. </w:t>
      </w:r>
      <w:hyperlink r:id="rId22" w:history="1">
        <w:r w:rsidRPr="000A6B05">
          <w:rPr>
            <w:rFonts w:cs="Times New Roman"/>
            <w:color w:val="0000FF"/>
            <w:szCs w:val="24"/>
            <w:u w:val="single"/>
          </w:rPr>
          <w:t>https://doi.org/10.1016/j.jbankfin.2021.106290</w:t>
        </w:r>
      </w:hyperlink>
    </w:p>
    <w:p w14:paraId="44E182FE" w14:textId="2D1B003A"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Dastile, X., Celik, T., &amp; Vandierendonck, H. (2022). </w:t>
      </w:r>
      <w:r w:rsidRPr="000A6B05">
        <w:rPr>
          <w:rFonts w:cs="Times New Roman"/>
          <w:szCs w:val="24"/>
        </w:rPr>
        <w:t xml:space="preserve">Model-agnostic counterfactual explanations in credit scoring. </w:t>
      </w:r>
      <w:r w:rsidRPr="000A6B05">
        <w:rPr>
          <w:rFonts w:cs="Times New Roman"/>
          <w:i/>
          <w:iCs/>
          <w:szCs w:val="24"/>
        </w:rPr>
        <w:t>IEEE Access, 10</w:t>
      </w:r>
      <w:r w:rsidRPr="000A6B05">
        <w:rPr>
          <w:rFonts w:cs="Times New Roman"/>
          <w:szCs w:val="24"/>
        </w:rPr>
        <w:t xml:space="preserve">, 69543–69554. </w:t>
      </w:r>
      <w:hyperlink r:id="rId23" w:history="1">
        <w:r w:rsidRPr="000A6B05">
          <w:rPr>
            <w:rFonts w:cs="Times New Roman"/>
            <w:color w:val="0000FF"/>
            <w:szCs w:val="24"/>
            <w:u w:val="single"/>
          </w:rPr>
          <w:t>https://doi.org/10.1109/ACCESS.2022.3177783</w:t>
        </w:r>
      </w:hyperlink>
    </w:p>
    <w:p w14:paraId="1A6B1F78" w14:textId="62FD1D3B"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Dumitrescu, E., </w:t>
      </w:r>
      <w:proofErr w:type="spellStart"/>
      <w:r w:rsidRPr="000A6B05">
        <w:rPr>
          <w:rFonts w:cs="Times New Roman"/>
          <w:szCs w:val="24"/>
        </w:rPr>
        <w:t>Hué</w:t>
      </w:r>
      <w:proofErr w:type="spellEnd"/>
      <w:r w:rsidRPr="000A6B05">
        <w:rPr>
          <w:rFonts w:cs="Times New Roman"/>
          <w:szCs w:val="24"/>
        </w:rPr>
        <w:t xml:space="preserve">, S., Hurlin, C., &amp; </w:t>
      </w:r>
      <w:proofErr w:type="spellStart"/>
      <w:r w:rsidRPr="000A6B05">
        <w:rPr>
          <w:rFonts w:cs="Times New Roman"/>
          <w:szCs w:val="24"/>
        </w:rPr>
        <w:t>Tokpavi</w:t>
      </w:r>
      <w:proofErr w:type="spellEnd"/>
      <w:r w:rsidRPr="000A6B05">
        <w:rPr>
          <w:rFonts w:cs="Times New Roman"/>
          <w:szCs w:val="24"/>
        </w:rPr>
        <w:t xml:space="preserve">, S. (2022). Machine learning for credit scoring: Improving logistic regression with non-linear decision-tree effects. </w:t>
      </w:r>
      <w:r w:rsidRPr="000A6B05">
        <w:rPr>
          <w:rFonts w:cs="Times New Roman"/>
          <w:i/>
          <w:iCs/>
          <w:szCs w:val="24"/>
        </w:rPr>
        <w:t xml:space="preserve">European </w:t>
      </w:r>
      <w:r w:rsidRPr="000A6B05">
        <w:rPr>
          <w:rFonts w:cs="Times New Roman"/>
          <w:i/>
          <w:iCs/>
          <w:szCs w:val="24"/>
        </w:rPr>
        <w:lastRenderedPageBreak/>
        <w:t>Journal of Operational Research, 297</w:t>
      </w:r>
      <w:r w:rsidRPr="000A6B05">
        <w:rPr>
          <w:rFonts w:cs="Times New Roman"/>
          <w:szCs w:val="24"/>
        </w:rPr>
        <w:t xml:space="preserve">(3), 1178–1192. </w:t>
      </w:r>
      <w:hyperlink r:id="rId24" w:history="1">
        <w:r w:rsidRPr="000A6B05">
          <w:rPr>
            <w:rFonts w:cs="Times New Roman"/>
            <w:color w:val="0000FF"/>
            <w:szCs w:val="24"/>
            <w:u w:val="single"/>
          </w:rPr>
          <w:t>https://doi.org/10.1016/j.ejor.2021.06.053</w:t>
        </w:r>
      </w:hyperlink>
    </w:p>
    <w:p w14:paraId="1AA3063A" w14:textId="18CDE49D"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Financial Stability Board. (2017). </w:t>
      </w:r>
      <w:r w:rsidRPr="000A6B05">
        <w:rPr>
          <w:rFonts w:cs="Times New Roman"/>
          <w:i/>
          <w:iCs/>
          <w:szCs w:val="24"/>
        </w:rPr>
        <w:t>Artificial intelligence and machine learning in financial services: Market developments and financial stability implications</w:t>
      </w:r>
      <w:r w:rsidRPr="000A6B05">
        <w:rPr>
          <w:rFonts w:cs="Times New Roman"/>
          <w:szCs w:val="24"/>
        </w:rPr>
        <w:t xml:space="preserve">. </w:t>
      </w:r>
      <w:hyperlink r:id="rId25" w:history="1">
        <w:r w:rsidRPr="000A6B05">
          <w:rPr>
            <w:rFonts w:cs="Times New Roman"/>
            <w:color w:val="0000FF"/>
            <w:szCs w:val="24"/>
            <w:u w:val="single"/>
          </w:rPr>
          <w:t>https://www.fsb.org/2017/11/artificial-intelligence-and-machine-learning-in-financial-service/</w:t>
        </w:r>
      </w:hyperlink>
    </w:p>
    <w:p w14:paraId="7B32AB6B" w14:textId="0A50116F"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Financial Stability Board. (2024). </w:t>
      </w:r>
      <w:r w:rsidRPr="000A6B05">
        <w:rPr>
          <w:rFonts w:cs="Times New Roman"/>
          <w:i/>
          <w:iCs/>
          <w:szCs w:val="24"/>
        </w:rPr>
        <w:t>The financial stability implications of artificial intelligence</w:t>
      </w:r>
      <w:r w:rsidRPr="000A6B05">
        <w:rPr>
          <w:rFonts w:cs="Times New Roman"/>
          <w:szCs w:val="24"/>
        </w:rPr>
        <w:t xml:space="preserve">. </w:t>
      </w:r>
      <w:hyperlink r:id="rId26" w:history="1">
        <w:r w:rsidRPr="000A6B05">
          <w:rPr>
            <w:rFonts w:cs="Times New Roman"/>
            <w:color w:val="0000FF"/>
            <w:szCs w:val="24"/>
            <w:u w:val="single"/>
          </w:rPr>
          <w:t>https://www.fsb.org/2024/11/the-financial-stability-implications-of-artificial-intelligence/</w:t>
        </w:r>
      </w:hyperlink>
    </w:p>
    <w:p w14:paraId="61E72B98" w14:textId="5B63DC0A"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Fraisse, H., &amp; Laporte, M. (2022). Return on investment on artificial intelligence: The case of bank capital requirement. </w:t>
      </w:r>
      <w:r w:rsidRPr="000A6B05">
        <w:rPr>
          <w:rFonts w:cs="Times New Roman"/>
          <w:i/>
          <w:iCs/>
          <w:szCs w:val="24"/>
        </w:rPr>
        <w:t>Journal of Banking &amp; Finance, 138</w:t>
      </w:r>
      <w:r w:rsidRPr="000A6B05">
        <w:rPr>
          <w:rFonts w:cs="Times New Roman"/>
          <w:szCs w:val="24"/>
        </w:rPr>
        <w:t xml:space="preserve">, 106401. </w:t>
      </w:r>
      <w:hyperlink r:id="rId27" w:history="1">
        <w:r w:rsidRPr="000A6B05">
          <w:rPr>
            <w:rFonts w:cs="Times New Roman"/>
            <w:color w:val="0000FF"/>
            <w:szCs w:val="24"/>
            <w:u w:val="single"/>
          </w:rPr>
          <w:t>https://doi.org/10.1016/j.jbankfin.2022.106401</w:t>
        </w:r>
      </w:hyperlink>
    </w:p>
    <w:p w14:paraId="7C804CA4" w14:textId="2A374A47"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Fuster, A., Goldsmith-Pinkham, P., </w:t>
      </w:r>
      <w:proofErr w:type="spellStart"/>
      <w:r w:rsidRPr="000A6B05">
        <w:rPr>
          <w:rFonts w:cs="Times New Roman"/>
          <w:szCs w:val="24"/>
        </w:rPr>
        <w:t>Ramadorai</w:t>
      </w:r>
      <w:proofErr w:type="spellEnd"/>
      <w:r w:rsidRPr="000A6B05">
        <w:rPr>
          <w:rFonts w:cs="Times New Roman"/>
          <w:szCs w:val="24"/>
        </w:rPr>
        <w:t xml:space="preserve">, T., &amp; Walther, A. (2022). Predictably unequal? The effects of machine learning on credit markets. </w:t>
      </w:r>
      <w:r w:rsidRPr="000A6B05">
        <w:rPr>
          <w:rFonts w:cs="Times New Roman"/>
          <w:i/>
          <w:iCs/>
          <w:szCs w:val="24"/>
        </w:rPr>
        <w:t>The Journal of Finance, 77</w:t>
      </w:r>
      <w:r w:rsidRPr="000A6B05">
        <w:rPr>
          <w:rFonts w:cs="Times New Roman"/>
          <w:szCs w:val="24"/>
        </w:rPr>
        <w:t xml:space="preserve">(1), 5–47. </w:t>
      </w:r>
      <w:hyperlink r:id="rId28" w:history="1">
        <w:r w:rsidRPr="000A6B05">
          <w:rPr>
            <w:rFonts w:cs="Times New Roman"/>
            <w:color w:val="0000FF"/>
            <w:szCs w:val="24"/>
            <w:u w:val="single"/>
          </w:rPr>
          <w:t>https://doi.org/10.1111/jofi.13090</w:t>
        </w:r>
      </w:hyperlink>
    </w:p>
    <w:p w14:paraId="61093B65" w14:textId="2CAF161D"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Gao, H., Kou, G., Liang, H., Zhang, H., Chao, X., Li, C.-C., &amp; Dong, Y. (2024). Machine learning in business and finance: A literature review and research opportunities. </w:t>
      </w:r>
      <w:r w:rsidRPr="000A6B05">
        <w:rPr>
          <w:rFonts w:cs="Times New Roman"/>
          <w:i/>
          <w:iCs/>
          <w:szCs w:val="24"/>
        </w:rPr>
        <w:t>Financial Innovation, 10</w:t>
      </w:r>
      <w:r w:rsidRPr="000A6B05">
        <w:rPr>
          <w:rFonts w:cs="Times New Roman"/>
          <w:szCs w:val="24"/>
        </w:rPr>
        <w:t xml:space="preserve">, 86. </w:t>
      </w:r>
      <w:hyperlink r:id="rId29" w:history="1">
        <w:r w:rsidRPr="000A6B05">
          <w:rPr>
            <w:rFonts w:cs="Times New Roman"/>
            <w:color w:val="0000FF"/>
            <w:szCs w:val="24"/>
            <w:u w:val="single"/>
          </w:rPr>
          <w:t>https://doi.org/10.1186/s40854-024-00629-z</w:t>
        </w:r>
      </w:hyperlink>
    </w:p>
    <w:p w14:paraId="3A38696F" w14:textId="03F449B4"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Ghandour, A. (2021). Opportunities and challenges of artificial intelligence in banking: Systematic literature review. </w:t>
      </w:r>
      <w:r w:rsidRPr="000A6B05">
        <w:rPr>
          <w:rFonts w:cs="Times New Roman"/>
          <w:i/>
          <w:iCs/>
          <w:szCs w:val="24"/>
        </w:rPr>
        <w:t>TEM Journal, 10</w:t>
      </w:r>
      <w:r w:rsidRPr="000A6B05">
        <w:rPr>
          <w:rFonts w:cs="Times New Roman"/>
          <w:szCs w:val="24"/>
        </w:rPr>
        <w:t xml:space="preserve">(4), 1581–1587. </w:t>
      </w:r>
      <w:hyperlink r:id="rId30" w:history="1">
        <w:r w:rsidRPr="000A6B05">
          <w:rPr>
            <w:rFonts w:cs="Times New Roman"/>
            <w:color w:val="0000FF"/>
            <w:szCs w:val="24"/>
            <w:u w:val="single"/>
          </w:rPr>
          <w:t>https://doi.org/10.18421/TEM104-12</w:t>
        </w:r>
      </w:hyperlink>
    </w:p>
    <w:p w14:paraId="213195B4" w14:textId="177773FD"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Giudici, P., &amp; Raffinetti, E. (2021). Shapley-Lorenz </w:t>
      </w:r>
      <w:proofErr w:type="spellStart"/>
      <w:r w:rsidRPr="000A6B05">
        <w:rPr>
          <w:rFonts w:cs="Times New Roman"/>
          <w:szCs w:val="24"/>
        </w:rPr>
        <w:t>eXplainable</w:t>
      </w:r>
      <w:proofErr w:type="spellEnd"/>
      <w:r w:rsidRPr="000A6B05">
        <w:rPr>
          <w:rFonts w:cs="Times New Roman"/>
          <w:szCs w:val="24"/>
        </w:rPr>
        <w:t xml:space="preserve"> artificial intelligence. </w:t>
      </w:r>
      <w:r w:rsidRPr="000A6B05">
        <w:rPr>
          <w:rFonts w:cs="Times New Roman"/>
          <w:i/>
          <w:iCs/>
          <w:szCs w:val="24"/>
        </w:rPr>
        <w:t>Expert Systems with Applications, 167</w:t>
      </w:r>
      <w:r w:rsidRPr="000A6B05">
        <w:rPr>
          <w:rFonts w:cs="Times New Roman"/>
          <w:szCs w:val="24"/>
        </w:rPr>
        <w:t xml:space="preserve">, 114104. </w:t>
      </w:r>
      <w:hyperlink r:id="rId31" w:history="1">
        <w:r w:rsidRPr="000A6B05">
          <w:rPr>
            <w:rFonts w:cs="Times New Roman"/>
            <w:color w:val="0000FF"/>
            <w:szCs w:val="24"/>
            <w:u w:val="single"/>
          </w:rPr>
          <w:t>https://doi.org/10.1016/j.eswa.2020.114104</w:t>
        </w:r>
      </w:hyperlink>
    </w:p>
    <w:p w14:paraId="0648CDB8" w14:textId="673B5A52"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Gogas, P., Papadimitriou, T., &amp; </w:t>
      </w:r>
      <w:proofErr w:type="spellStart"/>
      <w:r w:rsidRPr="000A6B05">
        <w:rPr>
          <w:rFonts w:cs="Times New Roman"/>
          <w:szCs w:val="24"/>
        </w:rPr>
        <w:t>Agrapetidou</w:t>
      </w:r>
      <w:proofErr w:type="spellEnd"/>
      <w:r w:rsidRPr="000A6B05">
        <w:rPr>
          <w:rFonts w:cs="Times New Roman"/>
          <w:szCs w:val="24"/>
        </w:rPr>
        <w:t xml:space="preserve">, A. (2018). Forecasting bank failures and stress testing: A machine learning approach. </w:t>
      </w:r>
      <w:r w:rsidRPr="000A6B05">
        <w:rPr>
          <w:rFonts w:cs="Times New Roman"/>
          <w:i/>
          <w:iCs/>
          <w:szCs w:val="24"/>
        </w:rPr>
        <w:t>International Journal of Forecasting, 34</w:t>
      </w:r>
      <w:r w:rsidRPr="000A6B05">
        <w:rPr>
          <w:rFonts w:cs="Times New Roman"/>
          <w:szCs w:val="24"/>
        </w:rPr>
        <w:t xml:space="preserve">(3), 440–455. </w:t>
      </w:r>
      <w:hyperlink r:id="rId32" w:history="1">
        <w:r w:rsidRPr="000A6B05">
          <w:rPr>
            <w:rFonts w:cs="Times New Roman"/>
            <w:color w:val="0000FF"/>
            <w:szCs w:val="24"/>
            <w:u w:val="single"/>
          </w:rPr>
          <w:t>https://doi.org/10.1016/j.ijforecast.2018.01.009</w:t>
        </w:r>
      </w:hyperlink>
    </w:p>
    <w:p w14:paraId="3208CF95" w14:textId="6393E580"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Goodell, J. W., Kumar, S., Lim, W. M., &amp; </w:t>
      </w:r>
      <w:proofErr w:type="spellStart"/>
      <w:r w:rsidRPr="000A6B05">
        <w:rPr>
          <w:rFonts w:cs="Times New Roman"/>
          <w:szCs w:val="24"/>
        </w:rPr>
        <w:t>Pattnaik</w:t>
      </w:r>
      <w:proofErr w:type="spellEnd"/>
      <w:r w:rsidRPr="000A6B05">
        <w:rPr>
          <w:rFonts w:cs="Times New Roman"/>
          <w:szCs w:val="24"/>
        </w:rPr>
        <w:t xml:space="preserve">, D. (2021). Artificial intelligence and machine learning in finance: Identifying foundations, themes, and research clusters from bibliometric analysis. </w:t>
      </w:r>
      <w:r w:rsidRPr="000A6B05">
        <w:rPr>
          <w:rFonts w:cs="Times New Roman"/>
          <w:i/>
          <w:iCs/>
          <w:szCs w:val="24"/>
        </w:rPr>
        <w:t>Journal of Behavioral and Experimental Finance, 32</w:t>
      </w:r>
      <w:r w:rsidRPr="000A6B05">
        <w:rPr>
          <w:rFonts w:cs="Times New Roman"/>
          <w:szCs w:val="24"/>
        </w:rPr>
        <w:t xml:space="preserve">, 100577. </w:t>
      </w:r>
      <w:hyperlink r:id="rId33" w:history="1">
        <w:r w:rsidRPr="000A6B05">
          <w:rPr>
            <w:rFonts w:cs="Times New Roman"/>
            <w:color w:val="0000FF"/>
            <w:szCs w:val="24"/>
            <w:u w:val="single"/>
          </w:rPr>
          <w:t>https://doi.org/10.1016/j.jbef.2021.100577</w:t>
        </w:r>
      </w:hyperlink>
    </w:p>
    <w:p w14:paraId="17104266" w14:textId="207CA027"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Guerra, P., &amp; Castelli, M. (2021). Machine learning applied to banking supervision: A literature review. </w:t>
      </w:r>
      <w:r w:rsidRPr="000A6B05">
        <w:rPr>
          <w:rFonts w:cs="Times New Roman"/>
          <w:i/>
          <w:iCs/>
          <w:szCs w:val="24"/>
        </w:rPr>
        <w:t>Risks, 9</w:t>
      </w:r>
      <w:r w:rsidRPr="000A6B05">
        <w:rPr>
          <w:rFonts w:cs="Times New Roman"/>
          <w:szCs w:val="24"/>
        </w:rPr>
        <w:t xml:space="preserve">(7), 136. </w:t>
      </w:r>
      <w:hyperlink r:id="rId34" w:history="1">
        <w:r w:rsidRPr="000A6B05">
          <w:rPr>
            <w:rFonts w:cs="Times New Roman"/>
            <w:color w:val="0000FF"/>
            <w:szCs w:val="24"/>
            <w:u w:val="single"/>
          </w:rPr>
          <w:t>https://doi.org/10.3390/risks9070136</w:t>
        </w:r>
      </w:hyperlink>
    </w:p>
    <w:p w14:paraId="65D01087" w14:textId="53AB6CC6"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Gunnarsson, B. R., vanden Broucke, S., Baesens, B., Óskarsdóttir, M., &amp; Lemahieu, W. (2021). </w:t>
      </w:r>
      <w:r w:rsidRPr="000A6B05">
        <w:rPr>
          <w:rFonts w:cs="Times New Roman"/>
          <w:szCs w:val="24"/>
        </w:rPr>
        <w:t xml:space="preserve">Deep learning for credit scoring: Do or don’t? </w:t>
      </w:r>
      <w:r w:rsidRPr="000A6B05">
        <w:rPr>
          <w:rFonts w:cs="Times New Roman"/>
          <w:i/>
          <w:iCs/>
          <w:szCs w:val="24"/>
        </w:rPr>
        <w:t>European Journal of Operational Research, 295</w:t>
      </w:r>
      <w:r w:rsidRPr="000A6B05">
        <w:rPr>
          <w:rFonts w:cs="Times New Roman"/>
          <w:szCs w:val="24"/>
        </w:rPr>
        <w:t xml:space="preserve">(1), 292–305. </w:t>
      </w:r>
      <w:hyperlink r:id="rId35" w:history="1">
        <w:r w:rsidRPr="000A6B05">
          <w:rPr>
            <w:rFonts w:cs="Times New Roman"/>
            <w:color w:val="0000FF"/>
            <w:szCs w:val="24"/>
            <w:u w:val="single"/>
          </w:rPr>
          <w:t>https://doi.org/10.1016/j.ejor.2021.03.006</w:t>
        </w:r>
      </w:hyperlink>
    </w:p>
    <w:p w14:paraId="7A170433" w14:textId="0E5E74B9"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Gupta, A., Dwivedi, D. N., Shah, J., &amp; Jain, A. (2022). Data quality issues leading to sub optimal machine learning for money laundering models. </w:t>
      </w:r>
      <w:r w:rsidRPr="000A6B05">
        <w:rPr>
          <w:rFonts w:cs="Times New Roman"/>
          <w:i/>
          <w:iCs/>
          <w:szCs w:val="24"/>
        </w:rPr>
        <w:t>Journal of Money Laundering Control, 25</w:t>
      </w:r>
      <w:r w:rsidRPr="000A6B05">
        <w:rPr>
          <w:rFonts w:cs="Times New Roman"/>
          <w:szCs w:val="24"/>
        </w:rPr>
        <w:t xml:space="preserve">(3), 551–555. </w:t>
      </w:r>
      <w:hyperlink r:id="rId36" w:history="1">
        <w:r w:rsidRPr="000A6B05">
          <w:rPr>
            <w:rFonts w:cs="Times New Roman"/>
            <w:color w:val="0000FF"/>
            <w:szCs w:val="24"/>
            <w:u w:val="single"/>
          </w:rPr>
          <w:t>https://doi.org/10.1108/JMLC-05-2021-0049</w:t>
        </w:r>
      </w:hyperlink>
    </w:p>
    <w:p w14:paraId="60090DB7" w14:textId="2A9DC675" w:rsidR="000A6B05" w:rsidRPr="000A6B05" w:rsidRDefault="000A6B05" w:rsidP="000A6B05">
      <w:pPr>
        <w:spacing w:after="0" w:line="240" w:lineRule="auto"/>
        <w:ind w:left="540" w:hanging="540"/>
        <w:jc w:val="both"/>
        <w:rPr>
          <w:rFonts w:cs="Times New Roman"/>
          <w:szCs w:val="24"/>
          <w:lang w:val="nl-BE"/>
        </w:rPr>
      </w:pPr>
      <w:r w:rsidRPr="000A6B05">
        <w:rPr>
          <w:rFonts w:cs="Times New Roman"/>
          <w:szCs w:val="24"/>
        </w:rPr>
        <w:t xml:space="preserve">Hayashi, Y. (2022). Emerging trends in deep learning for credit scoring: A review. </w:t>
      </w:r>
      <w:r w:rsidRPr="000A6B05">
        <w:rPr>
          <w:rFonts w:cs="Times New Roman"/>
          <w:i/>
          <w:iCs/>
          <w:szCs w:val="24"/>
          <w:lang w:val="nl-BE"/>
        </w:rPr>
        <w:t>Electronics, 11</w:t>
      </w:r>
      <w:r w:rsidRPr="000A6B05">
        <w:rPr>
          <w:rFonts w:cs="Times New Roman"/>
          <w:szCs w:val="24"/>
          <w:lang w:val="nl-BE"/>
        </w:rPr>
        <w:t xml:space="preserve">(19), 3181. </w:t>
      </w:r>
      <w:r w:rsidRPr="000A6B05">
        <w:rPr>
          <w:rFonts w:cs="Times New Roman"/>
          <w:szCs w:val="24"/>
        </w:rPr>
        <w:fldChar w:fldCharType="begin"/>
      </w:r>
      <w:r w:rsidRPr="000A6B05">
        <w:rPr>
          <w:rFonts w:cs="Times New Roman"/>
          <w:szCs w:val="24"/>
          <w:lang w:val="nl-BE"/>
        </w:rPr>
        <w:instrText>HYPERLINK "https://doi.org/10.3390/electronics11193181"</w:instrText>
      </w:r>
      <w:r w:rsidRPr="000A6B05">
        <w:rPr>
          <w:rFonts w:cs="Times New Roman"/>
          <w:szCs w:val="24"/>
        </w:rPr>
        <w:fldChar w:fldCharType="separate"/>
      </w:r>
      <w:r w:rsidRPr="000A6B05">
        <w:rPr>
          <w:rFonts w:cs="Times New Roman"/>
          <w:color w:val="0000FF"/>
          <w:szCs w:val="24"/>
          <w:u w:val="single"/>
          <w:lang w:val="nl-BE"/>
        </w:rPr>
        <w:t>https://doi.org/10.3390/electronics11193181</w:t>
      </w:r>
      <w:r w:rsidRPr="000A6B05">
        <w:rPr>
          <w:rFonts w:cs="Times New Roman"/>
          <w:szCs w:val="24"/>
        </w:rPr>
        <w:fldChar w:fldCharType="end"/>
      </w:r>
    </w:p>
    <w:p w14:paraId="5660029E" w14:textId="4C2087A8"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Heger, J., Min, A., &amp; Zagst, R. (2024). </w:t>
      </w:r>
      <w:r w:rsidRPr="000A6B05">
        <w:rPr>
          <w:rFonts w:cs="Times New Roman"/>
          <w:szCs w:val="24"/>
        </w:rPr>
        <w:t xml:space="preserve">Analyzing credit spread changes using explainable artificial intelligence. </w:t>
      </w:r>
      <w:r w:rsidRPr="000A6B05">
        <w:rPr>
          <w:rFonts w:cs="Times New Roman"/>
          <w:i/>
          <w:iCs/>
          <w:szCs w:val="24"/>
        </w:rPr>
        <w:t>International Review of Financial Analysis, 94</w:t>
      </w:r>
      <w:r w:rsidRPr="000A6B05">
        <w:rPr>
          <w:rFonts w:cs="Times New Roman"/>
          <w:szCs w:val="24"/>
        </w:rPr>
        <w:t xml:space="preserve">, 103315. </w:t>
      </w:r>
      <w:hyperlink r:id="rId37" w:history="1">
        <w:r w:rsidRPr="000A6B05">
          <w:rPr>
            <w:rFonts w:cs="Times New Roman"/>
            <w:color w:val="0000FF"/>
            <w:szCs w:val="24"/>
            <w:u w:val="single"/>
          </w:rPr>
          <w:t>https://doi.org/10.1016/j.irfa.2024.103315</w:t>
        </w:r>
      </w:hyperlink>
    </w:p>
    <w:p w14:paraId="3C5138C5" w14:textId="10C9C12B"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Hentzen, J. K., Hoffmann, A., Dolan, R., &amp; Pala, E. (2022). </w:t>
      </w:r>
      <w:r w:rsidRPr="000A6B05">
        <w:rPr>
          <w:rFonts w:cs="Times New Roman"/>
          <w:szCs w:val="24"/>
        </w:rPr>
        <w:t xml:space="preserve">Artificial intelligence in customer-facing financial services: A systematic literature review and agenda for future research. </w:t>
      </w:r>
      <w:r w:rsidRPr="000A6B05">
        <w:rPr>
          <w:rFonts w:cs="Times New Roman"/>
          <w:i/>
          <w:iCs/>
          <w:szCs w:val="24"/>
        </w:rPr>
        <w:t>International Journal of Bank Marketing, 40</w:t>
      </w:r>
      <w:r w:rsidRPr="000A6B05">
        <w:rPr>
          <w:rFonts w:cs="Times New Roman"/>
          <w:szCs w:val="24"/>
        </w:rPr>
        <w:t xml:space="preserve">(6), 1299–1336. </w:t>
      </w:r>
      <w:hyperlink r:id="rId38" w:history="1">
        <w:r w:rsidRPr="000A6B05">
          <w:rPr>
            <w:rFonts w:cs="Times New Roman"/>
            <w:color w:val="0000FF"/>
            <w:szCs w:val="24"/>
            <w:u w:val="single"/>
          </w:rPr>
          <w:t>https://doi.org/10.1108/IJBM-09-2021-0417</w:t>
        </w:r>
      </w:hyperlink>
    </w:p>
    <w:p w14:paraId="12FBC173" w14:textId="2344DF1F" w:rsidR="000A6B05" w:rsidRPr="000A6B05" w:rsidRDefault="000A6B05" w:rsidP="000A6B05">
      <w:pPr>
        <w:spacing w:after="0" w:line="240" w:lineRule="auto"/>
        <w:ind w:left="540" w:hanging="540"/>
        <w:jc w:val="both"/>
        <w:rPr>
          <w:rFonts w:cs="Times New Roman"/>
          <w:szCs w:val="24"/>
          <w:lang w:val="nl-BE"/>
        </w:rPr>
      </w:pPr>
      <w:r w:rsidRPr="000A6B05">
        <w:rPr>
          <w:rFonts w:cs="Times New Roman"/>
          <w:szCs w:val="24"/>
        </w:rPr>
        <w:t xml:space="preserve">Huang, D., Markovitch, D. G., &amp; Stough, R. A. (2024). Can chatbot customer service match human service agents on customer satisfaction? An investigation in the role of trust. </w:t>
      </w:r>
      <w:r w:rsidRPr="000A6B05">
        <w:rPr>
          <w:rFonts w:cs="Times New Roman"/>
          <w:i/>
          <w:iCs/>
          <w:szCs w:val="24"/>
        </w:rPr>
        <w:lastRenderedPageBreak/>
        <w:t>Journal of Retailing and Consumer Services, 76</w:t>
      </w:r>
      <w:r w:rsidRPr="000A6B05">
        <w:rPr>
          <w:rFonts w:cs="Times New Roman"/>
          <w:szCs w:val="24"/>
        </w:rPr>
        <w:t xml:space="preserve">, 103600. </w:t>
      </w:r>
      <w:hyperlink r:id="rId39" w:history="1">
        <w:r w:rsidRPr="000A6B05">
          <w:rPr>
            <w:rFonts w:cs="Times New Roman"/>
            <w:color w:val="0000FF"/>
            <w:szCs w:val="24"/>
            <w:u w:val="single"/>
            <w:lang w:val="nl-BE"/>
          </w:rPr>
          <w:t>https://doi.org/10.1016/j.jretconser.2023.103600</w:t>
        </w:r>
      </w:hyperlink>
    </w:p>
    <w:p w14:paraId="5F39111F" w14:textId="2172FC4F"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Jiang, C., Lu, W., Wang, Z., &amp; Ding, Y. (2023). </w:t>
      </w:r>
      <w:r w:rsidRPr="000A6B05">
        <w:rPr>
          <w:rFonts w:cs="Times New Roman"/>
          <w:szCs w:val="24"/>
        </w:rPr>
        <w:t xml:space="preserve">Benchmarking state-of-the-art imbalanced data learning approaches for credit scoring. </w:t>
      </w:r>
      <w:r w:rsidRPr="000A6B05">
        <w:rPr>
          <w:rFonts w:cs="Times New Roman"/>
          <w:i/>
          <w:iCs/>
          <w:szCs w:val="24"/>
        </w:rPr>
        <w:t>Expert Systems with Applications, 213</w:t>
      </w:r>
      <w:r w:rsidRPr="000A6B05">
        <w:rPr>
          <w:rFonts w:cs="Times New Roman"/>
          <w:szCs w:val="24"/>
        </w:rPr>
        <w:t xml:space="preserve">, 118878. </w:t>
      </w:r>
      <w:hyperlink r:id="rId40" w:history="1">
        <w:r w:rsidRPr="000A6B05">
          <w:rPr>
            <w:rFonts w:cs="Times New Roman"/>
            <w:color w:val="0000FF"/>
            <w:szCs w:val="24"/>
            <w:u w:val="single"/>
          </w:rPr>
          <w:t>https://doi.org/10.1016/j.eswa.2022.118878</w:t>
        </w:r>
      </w:hyperlink>
    </w:p>
    <w:p w14:paraId="2B52C2E1" w14:textId="0D3F663C"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Kalyani, S., &amp; Gupta, N. (2023). Is artificial intelligence and machine learning changing the ways of banking: A systematic literature review and </w:t>
      </w:r>
      <w:proofErr w:type="spellStart"/>
      <w:proofErr w:type="gramStart"/>
      <w:r w:rsidRPr="000A6B05">
        <w:rPr>
          <w:rFonts w:cs="Times New Roman"/>
          <w:szCs w:val="24"/>
        </w:rPr>
        <w:t>meta analysis</w:t>
      </w:r>
      <w:proofErr w:type="spellEnd"/>
      <w:proofErr w:type="gramEnd"/>
      <w:r w:rsidRPr="000A6B05">
        <w:rPr>
          <w:rFonts w:cs="Times New Roman"/>
          <w:szCs w:val="24"/>
        </w:rPr>
        <w:t xml:space="preserve">. </w:t>
      </w:r>
      <w:r w:rsidRPr="000A6B05">
        <w:rPr>
          <w:rFonts w:cs="Times New Roman"/>
          <w:i/>
          <w:iCs/>
          <w:szCs w:val="24"/>
        </w:rPr>
        <w:t>Discover Artificial Intelligence, 3</w:t>
      </w:r>
      <w:r w:rsidRPr="000A6B05">
        <w:rPr>
          <w:rFonts w:cs="Times New Roman"/>
          <w:szCs w:val="24"/>
        </w:rPr>
        <w:t xml:space="preserve">(1), 41. </w:t>
      </w:r>
      <w:hyperlink r:id="rId41" w:history="1">
        <w:r w:rsidRPr="000A6B05">
          <w:rPr>
            <w:rFonts w:cs="Times New Roman"/>
            <w:color w:val="0000FF"/>
            <w:szCs w:val="24"/>
            <w:u w:val="single"/>
          </w:rPr>
          <w:t>https://doi.org/10.1007/s44163-023-00094-0</w:t>
        </w:r>
      </w:hyperlink>
    </w:p>
    <w:p w14:paraId="210B0BCE" w14:textId="7C0A0F11"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Kapoor, S., &amp; Narayanan, A. (2023). Leakage and the reproducibility crisis in machine-learning-based science. </w:t>
      </w:r>
      <w:r w:rsidRPr="000A6B05">
        <w:rPr>
          <w:rFonts w:cs="Times New Roman"/>
          <w:i/>
          <w:iCs/>
          <w:szCs w:val="24"/>
        </w:rPr>
        <w:t>Patterns, 4</w:t>
      </w:r>
      <w:r w:rsidRPr="000A6B05">
        <w:rPr>
          <w:rFonts w:cs="Times New Roman"/>
          <w:szCs w:val="24"/>
        </w:rPr>
        <w:t xml:space="preserve">(9), 100804. </w:t>
      </w:r>
      <w:hyperlink r:id="rId42" w:history="1">
        <w:r w:rsidRPr="000A6B05">
          <w:rPr>
            <w:rFonts w:cs="Times New Roman"/>
            <w:color w:val="0000FF"/>
            <w:szCs w:val="24"/>
            <w:u w:val="single"/>
          </w:rPr>
          <w:t>https://doi.org/10.1016/j.patter.2023.100804</w:t>
        </w:r>
      </w:hyperlink>
    </w:p>
    <w:p w14:paraId="3FD09E0D" w14:textId="3F411525"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Khandani</w:t>
      </w:r>
      <w:proofErr w:type="spellEnd"/>
      <w:r w:rsidRPr="000A6B05">
        <w:rPr>
          <w:rFonts w:cs="Times New Roman"/>
          <w:szCs w:val="24"/>
        </w:rPr>
        <w:t xml:space="preserve">, A. E., Kim, A. J., &amp; Lo, A. W. (2010). Consumer credit-risk models via machine-learning algorithms. </w:t>
      </w:r>
      <w:r w:rsidRPr="000A6B05">
        <w:rPr>
          <w:rFonts w:cs="Times New Roman"/>
          <w:i/>
          <w:iCs/>
          <w:szCs w:val="24"/>
        </w:rPr>
        <w:t>Journal of Banking &amp; Finance, 34</w:t>
      </w:r>
      <w:r w:rsidRPr="000A6B05">
        <w:rPr>
          <w:rFonts w:cs="Times New Roman"/>
          <w:szCs w:val="24"/>
        </w:rPr>
        <w:t xml:space="preserve">(11), 2767–2787. </w:t>
      </w:r>
      <w:hyperlink r:id="rId43" w:history="1">
        <w:r w:rsidRPr="000A6B05">
          <w:rPr>
            <w:rFonts w:cs="Times New Roman"/>
            <w:color w:val="0000FF"/>
            <w:szCs w:val="24"/>
            <w:u w:val="single"/>
          </w:rPr>
          <w:t>https://doi.org/10.1016/j.jbankfin.2010.06.001</w:t>
        </w:r>
      </w:hyperlink>
    </w:p>
    <w:p w14:paraId="414C25C0" w14:textId="42FB5CFD"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Königstorfer</w:t>
      </w:r>
      <w:proofErr w:type="spellEnd"/>
      <w:r w:rsidRPr="000A6B05">
        <w:rPr>
          <w:rFonts w:cs="Times New Roman"/>
          <w:szCs w:val="24"/>
        </w:rPr>
        <w:t xml:space="preserve">, F., &amp; Thalmann, S. (2020). Applications of artificial intelligence in commercial banks – A research agenda for behavioral finance. </w:t>
      </w:r>
      <w:r w:rsidRPr="000A6B05">
        <w:rPr>
          <w:rFonts w:cs="Times New Roman"/>
          <w:i/>
          <w:iCs/>
          <w:szCs w:val="24"/>
        </w:rPr>
        <w:t>Journal of Behavioral and Experimental Finance, 27</w:t>
      </w:r>
      <w:r w:rsidRPr="000A6B05">
        <w:rPr>
          <w:rFonts w:cs="Times New Roman"/>
          <w:szCs w:val="24"/>
        </w:rPr>
        <w:t xml:space="preserve">, 100352. </w:t>
      </w:r>
      <w:hyperlink r:id="rId44" w:history="1">
        <w:r w:rsidRPr="000A6B05">
          <w:rPr>
            <w:rFonts w:cs="Times New Roman"/>
            <w:color w:val="0000FF"/>
            <w:szCs w:val="24"/>
            <w:u w:val="single"/>
          </w:rPr>
          <w:t>https://doi.org/10.1016/j.jbef.2020.100352</w:t>
        </w:r>
      </w:hyperlink>
    </w:p>
    <w:p w14:paraId="2151061A" w14:textId="2E70C0E0"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Kou, G., Chao, X., Peng, Y., Alsaadi, F. E., &amp; Herrera-</w:t>
      </w:r>
      <w:proofErr w:type="spellStart"/>
      <w:r w:rsidRPr="000A6B05">
        <w:rPr>
          <w:rFonts w:cs="Times New Roman"/>
          <w:szCs w:val="24"/>
        </w:rPr>
        <w:t>Viedma</w:t>
      </w:r>
      <w:proofErr w:type="spellEnd"/>
      <w:r w:rsidRPr="000A6B05">
        <w:rPr>
          <w:rFonts w:cs="Times New Roman"/>
          <w:szCs w:val="24"/>
        </w:rPr>
        <w:t xml:space="preserve">, E. (2019). Machine learning methods for systemic risk analysis in financial sectors. </w:t>
      </w:r>
      <w:r w:rsidRPr="000A6B05">
        <w:rPr>
          <w:rFonts w:cs="Times New Roman"/>
          <w:i/>
          <w:iCs/>
          <w:szCs w:val="24"/>
        </w:rPr>
        <w:t>Technological and Economic Development of Economy, 25</w:t>
      </w:r>
      <w:r w:rsidRPr="000A6B05">
        <w:rPr>
          <w:rFonts w:cs="Times New Roman"/>
          <w:szCs w:val="24"/>
        </w:rPr>
        <w:t xml:space="preserve">(5), 716–742. </w:t>
      </w:r>
      <w:hyperlink r:id="rId45" w:history="1">
        <w:r w:rsidRPr="000A6B05">
          <w:rPr>
            <w:rFonts w:cs="Times New Roman"/>
            <w:color w:val="0000FF"/>
            <w:szCs w:val="24"/>
            <w:u w:val="single"/>
          </w:rPr>
          <w:t>https://doi.org/10.3846/tede.2019.8740</w:t>
        </w:r>
      </w:hyperlink>
    </w:p>
    <w:p w14:paraId="3C63D4A2" w14:textId="4A446645"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Kozodoi</w:t>
      </w:r>
      <w:proofErr w:type="spellEnd"/>
      <w:r w:rsidRPr="000A6B05">
        <w:rPr>
          <w:rFonts w:cs="Times New Roman"/>
          <w:szCs w:val="24"/>
        </w:rPr>
        <w:t xml:space="preserve">, N., Jacob, J., &amp; Lessmann, S. (2022). Fairness in credit scoring: Assessment, implementation and profit implications. </w:t>
      </w:r>
      <w:r w:rsidRPr="000A6B05">
        <w:rPr>
          <w:rFonts w:cs="Times New Roman"/>
          <w:i/>
          <w:iCs/>
          <w:szCs w:val="24"/>
        </w:rPr>
        <w:t>European Journal of Operational Research, 297</w:t>
      </w:r>
      <w:r w:rsidRPr="000A6B05">
        <w:rPr>
          <w:rFonts w:cs="Times New Roman"/>
          <w:szCs w:val="24"/>
        </w:rPr>
        <w:t xml:space="preserve">(3), 1083–1094. </w:t>
      </w:r>
      <w:hyperlink r:id="rId46" w:history="1">
        <w:r w:rsidRPr="000A6B05">
          <w:rPr>
            <w:rFonts w:cs="Times New Roman"/>
            <w:color w:val="0000FF"/>
            <w:szCs w:val="24"/>
            <w:u w:val="single"/>
          </w:rPr>
          <w:t>https://doi.org/10.1016/j.ejor.2021.06.023</w:t>
        </w:r>
      </w:hyperlink>
    </w:p>
    <w:p w14:paraId="5CE125BD" w14:textId="6B8EA040"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Kozodoi</w:t>
      </w:r>
      <w:proofErr w:type="spellEnd"/>
      <w:r w:rsidRPr="000A6B05">
        <w:rPr>
          <w:rFonts w:cs="Times New Roman"/>
          <w:szCs w:val="24"/>
        </w:rPr>
        <w:t xml:space="preserve">, N., Lessmann, S., Papakonstantinou, K., </w:t>
      </w:r>
      <w:proofErr w:type="spellStart"/>
      <w:r w:rsidRPr="000A6B05">
        <w:rPr>
          <w:rFonts w:cs="Times New Roman"/>
          <w:szCs w:val="24"/>
        </w:rPr>
        <w:t>Gatsoulis</w:t>
      </w:r>
      <w:proofErr w:type="spellEnd"/>
      <w:r w:rsidRPr="000A6B05">
        <w:rPr>
          <w:rFonts w:cs="Times New Roman"/>
          <w:szCs w:val="24"/>
        </w:rPr>
        <w:t xml:space="preserve">, Y., &amp; </w:t>
      </w:r>
      <w:proofErr w:type="spellStart"/>
      <w:r w:rsidRPr="000A6B05">
        <w:rPr>
          <w:rFonts w:cs="Times New Roman"/>
          <w:szCs w:val="24"/>
        </w:rPr>
        <w:t>Baesens</w:t>
      </w:r>
      <w:proofErr w:type="spellEnd"/>
      <w:r w:rsidRPr="000A6B05">
        <w:rPr>
          <w:rFonts w:cs="Times New Roman"/>
          <w:szCs w:val="24"/>
        </w:rPr>
        <w:t xml:space="preserve">, B. (2019). A multi-objective approach for profit-driven feature selection in credit scoring. </w:t>
      </w:r>
      <w:r w:rsidRPr="000A6B05">
        <w:rPr>
          <w:rFonts w:cs="Times New Roman"/>
          <w:i/>
          <w:iCs/>
          <w:szCs w:val="24"/>
        </w:rPr>
        <w:t>Decision Support Systems, 120</w:t>
      </w:r>
      <w:r w:rsidRPr="000A6B05">
        <w:rPr>
          <w:rFonts w:cs="Times New Roman"/>
          <w:szCs w:val="24"/>
        </w:rPr>
        <w:t xml:space="preserve">, 106–117. </w:t>
      </w:r>
      <w:hyperlink r:id="rId47" w:history="1">
        <w:r w:rsidRPr="000A6B05">
          <w:rPr>
            <w:rFonts w:cs="Times New Roman"/>
            <w:color w:val="0000FF"/>
            <w:szCs w:val="24"/>
            <w:u w:val="single"/>
          </w:rPr>
          <w:t>https://doi.org/10.1016/j.dss.2019.03.011</w:t>
        </w:r>
      </w:hyperlink>
    </w:p>
    <w:p w14:paraId="4471AA2A" w14:textId="22185408"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Kriebel, J., &amp; Stitz, L. (2022). Credit default prediction from user-generated text in peer-to-peer lending using deep learning. </w:t>
      </w:r>
      <w:r w:rsidRPr="000A6B05">
        <w:rPr>
          <w:rFonts w:cs="Times New Roman"/>
          <w:i/>
          <w:iCs/>
          <w:szCs w:val="24"/>
        </w:rPr>
        <w:t>European Journal of Operational Research, 302</w:t>
      </w:r>
      <w:r w:rsidRPr="000A6B05">
        <w:rPr>
          <w:rFonts w:cs="Times New Roman"/>
          <w:szCs w:val="24"/>
        </w:rPr>
        <w:t xml:space="preserve">(1), 309–323. </w:t>
      </w:r>
      <w:hyperlink r:id="rId48" w:history="1">
        <w:r w:rsidRPr="000A6B05">
          <w:rPr>
            <w:rFonts w:cs="Times New Roman"/>
            <w:color w:val="0000FF"/>
            <w:szCs w:val="24"/>
            <w:u w:val="single"/>
          </w:rPr>
          <w:t>https://doi.org/10.1016/j.ejor.2021.12.024</w:t>
        </w:r>
      </w:hyperlink>
    </w:p>
    <w:p w14:paraId="5799D351" w14:textId="737CEA18"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Krivorotov, G. (2023). Machine learning-based profit modeling for credit card underwriting – Implications for credit risk. </w:t>
      </w:r>
      <w:r w:rsidRPr="000A6B05">
        <w:rPr>
          <w:rFonts w:cs="Times New Roman"/>
          <w:i/>
          <w:iCs/>
          <w:szCs w:val="24"/>
        </w:rPr>
        <w:t>Journal of Banking &amp; Finance, 149</w:t>
      </w:r>
      <w:r w:rsidRPr="000A6B05">
        <w:rPr>
          <w:rFonts w:cs="Times New Roman"/>
          <w:szCs w:val="24"/>
        </w:rPr>
        <w:t xml:space="preserve">, 106785. </w:t>
      </w:r>
      <w:hyperlink r:id="rId49" w:history="1">
        <w:r w:rsidRPr="000A6B05">
          <w:rPr>
            <w:rFonts w:cs="Times New Roman"/>
            <w:color w:val="0000FF"/>
            <w:szCs w:val="24"/>
            <w:u w:val="single"/>
          </w:rPr>
          <w:t>https://doi.org/10.1016/j.jbankfin.2023.106785</w:t>
        </w:r>
      </w:hyperlink>
    </w:p>
    <w:p w14:paraId="434C9DE5" w14:textId="128CE30D"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Leo, M., Sharma, S., &amp; </w:t>
      </w:r>
      <w:proofErr w:type="spellStart"/>
      <w:r w:rsidRPr="000A6B05">
        <w:rPr>
          <w:rFonts w:cs="Times New Roman"/>
          <w:szCs w:val="24"/>
        </w:rPr>
        <w:t>Maddulety</w:t>
      </w:r>
      <w:proofErr w:type="spellEnd"/>
      <w:r w:rsidRPr="000A6B05">
        <w:rPr>
          <w:rFonts w:cs="Times New Roman"/>
          <w:szCs w:val="24"/>
        </w:rPr>
        <w:t xml:space="preserve">, K. (2019). Machine learning in banking risk management: A literature review. </w:t>
      </w:r>
      <w:r w:rsidRPr="000A6B05">
        <w:rPr>
          <w:rFonts w:cs="Times New Roman"/>
          <w:i/>
          <w:iCs/>
          <w:szCs w:val="24"/>
        </w:rPr>
        <w:t>Risks, 7</w:t>
      </w:r>
      <w:r w:rsidRPr="000A6B05">
        <w:rPr>
          <w:rFonts w:cs="Times New Roman"/>
          <w:szCs w:val="24"/>
        </w:rPr>
        <w:t xml:space="preserve">(1), 29. </w:t>
      </w:r>
      <w:hyperlink r:id="rId50" w:history="1">
        <w:r w:rsidRPr="000A6B05">
          <w:rPr>
            <w:rFonts w:cs="Times New Roman"/>
            <w:color w:val="0000FF"/>
            <w:szCs w:val="24"/>
            <w:u w:val="single"/>
          </w:rPr>
          <w:t>https://doi.org/10.3390/risks7010029</w:t>
        </w:r>
      </w:hyperlink>
    </w:p>
    <w:p w14:paraId="6D52415D" w14:textId="3D550564"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Lessmann, S., </w:t>
      </w:r>
      <w:proofErr w:type="spellStart"/>
      <w:r w:rsidRPr="000A6B05">
        <w:rPr>
          <w:rFonts w:cs="Times New Roman"/>
          <w:szCs w:val="24"/>
        </w:rPr>
        <w:t>Baesens</w:t>
      </w:r>
      <w:proofErr w:type="spellEnd"/>
      <w:r w:rsidRPr="000A6B05">
        <w:rPr>
          <w:rFonts w:cs="Times New Roman"/>
          <w:szCs w:val="24"/>
        </w:rPr>
        <w:t xml:space="preserve">, B., Seow, H.-V., &amp; Thomas, L. C. (2015). Benchmarking state-of-the-art classification algorithms for credit scoring: An update of research. </w:t>
      </w:r>
      <w:r w:rsidRPr="000A6B05">
        <w:rPr>
          <w:rFonts w:cs="Times New Roman"/>
          <w:i/>
          <w:iCs/>
          <w:szCs w:val="24"/>
        </w:rPr>
        <w:t>European Journal of Operational Research, 247</w:t>
      </w:r>
      <w:r w:rsidRPr="000A6B05">
        <w:rPr>
          <w:rFonts w:cs="Times New Roman"/>
          <w:szCs w:val="24"/>
        </w:rPr>
        <w:t xml:space="preserve">(1), 124–136. </w:t>
      </w:r>
      <w:hyperlink r:id="rId51" w:history="1">
        <w:r w:rsidRPr="000A6B05">
          <w:rPr>
            <w:rFonts w:cs="Times New Roman"/>
            <w:color w:val="0000FF"/>
            <w:szCs w:val="24"/>
            <w:u w:val="single"/>
          </w:rPr>
          <w:t>https://doi.org/10.1016/j.ejor.2015.05.030</w:t>
        </w:r>
      </w:hyperlink>
    </w:p>
    <w:p w14:paraId="07A29190" w14:textId="319E9A98"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Liu, R., &amp; Pun, C. S. (2022). Machine-learning-enhanced systemic risk measure: A two-step supervised learning approach. </w:t>
      </w:r>
      <w:r w:rsidRPr="000A6B05">
        <w:rPr>
          <w:rFonts w:cs="Times New Roman"/>
          <w:i/>
          <w:iCs/>
          <w:szCs w:val="24"/>
        </w:rPr>
        <w:t>Journal of Banking &amp; Finance, 136</w:t>
      </w:r>
      <w:r w:rsidRPr="000A6B05">
        <w:rPr>
          <w:rFonts w:cs="Times New Roman"/>
          <w:szCs w:val="24"/>
        </w:rPr>
        <w:t xml:space="preserve">, 106416. </w:t>
      </w:r>
      <w:hyperlink r:id="rId52" w:history="1">
        <w:r w:rsidRPr="000A6B05">
          <w:rPr>
            <w:rFonts w:cs="Times New Roman"/>
            <w:color w:val="0000FF"/>
            <w:szCs w:val="24"/>
            <w:u w:val="single"/>
          </w:rPr>
          <w:t>https://doi.org/10.1016/j.jbankfin.2022.106416</w:t>
        </w:r>
      </w:hyperlink>
    </w:p>
    <w:p w14:paraId="02B6EFB2" w14:textId="17131D4F"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Mancisidor, R. A., Kampffmeyer, M., Aas, K., &amp; Jenssen, R. (2020). </w:t>
      </w:r>
      <w:r w:rsidRPr="000A6B05">
        <w:rPr>
          <w:rFonts w:cs="Times New Roman"/>
          <w:szCs w:val="24"/>
        </w:rPr>
        <w:t xml:space="preserve">Deep generative models for reject inference in credit scoring. </w:t>
      </w:r>
      <w:r w:rsidRPr="000A6B05">
        <w:rPr>
          <w:rFonts w:cs="Times New Roman"/>
          <w:i/>
          <w:iCs/>
          <w:szCs w:val="24"/>
        </w:rPr>
        <w:t>Knowledge-Based Systems, 196</w:t>
      </w:r>
      <w:r w:rsidRPr="000A6B05">
        <w:rPr>
          <w:rFonts w:cs="Times New Roman"/>
          <w:szCs w:val="24"/>
        </w:rPr>
        <w:t xml:space="preserve">, 105758. </w:t>
      </w:r>
      <w:hyperlink r:id="rId53" w:history="1">
        <w:r w:rsidRPr="000A6B05">
          <w:rPr>
            <w:rFonts w:cs="Times New Roman"/>
            <w:color w:val="0000FF"/>
            <w:szCs w:val="24"/>
            <w:u w:val="single"/>
          </w:rPr>
          <w:t>https://doi.org/10.1016/j.knosys.2020.105758</w:t>
        </w:r>
      </w:hyperlink>
    </w:p>
    <w:p w14:paraId="3F1643D9" w14:textId="51AFFC94"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McCarthy, J. (2023). The regulation of </w:t>
      </w:r>
      <w:proofErr w:type="spellStart"/>
      <w:r w:rsidRPr="000A6B05">
        <w:rPr>
          <w:rFonts w:cs="Times New Roman"/>
          <w:szCs w:val="24"/>
        </w:rPr>
        <w:t>RegTech</w:t>
      </w:r>
      <w:proofErr w:type="spellEnd"/>
      <w:r w:rsidRPr="000A6B05">
        <w:rPr>
          <w:rFonts w:cs="Times New Roman"/>
          <w:szCs w:val="24"/>
        </w:rPr>
        <w:t xml:space="preserve"> and </w:t>
      </w:r>
      <w:proofErr w:type="spellStart"/>
      <w:r w:rsidRPr="000A6B05">
        <w:rPr>
          <w:rFonts w:cs="Times New Roman"/>
          <w:szCs w:val="24"/>
        </w:rPr>
        <w:t>SupTech</w:t>
      </w:r>
      <w:proofErr w:type="spellEnd"/>
      <w:r w:rsidRPr="000A6B05">
        <w:rPr>
          <w:rFonts w:cs="Times New Roman"/>
          <w:szCs w:val="24"/>
        </w:rPr>
        <w:t xml:space="preserve"> in finance: Ensuring consistency in principle and in practice. </w:t>
      </w:r>
      <w:r w:rsidRPr="000A6B05">
        <w:rPr>
          <w:rFonts w:cs="Times New Roman"/>
          <w:i/>
          <w:iCs/>
          <w:szCs w:val="24"/>
        </w:rPr>
        <w:t>Journal of Financial Regulation and Compliance, 31</w:t>
      </w:r>
      <w:r w:rsidRPr="000A6B05">
        <w:rPr>
          <w:rFonts w:cs="Times New Roman"/>
          <w:szCs w:val="24"/>
        </w:rPr>
        <w:t xml:space="preserve">(2), 186–199. </w:t>
      </w:r>
      <w:hyperlink r:id="rId54" w:history="1">
        <w:r w:rsidRPr="000A6B05">
          <w:rPr>
            <w:rFonts w:cs="Times New Roman"/>
            <w:color w:val="0000FF"/>
            <w:szCs w:val="24"/>
            <w:u w:val="single"/>
          </w:rPr>
          <w:t>https://doi.org/10.1108/JFRC-01-2022-0004</w:t>
        </w:r>
      </w:hyperlink>
    </w:p>
    <w:p w14:paraId="5435C0E9" w14:textId="50BD6D6B"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Mhlanga, D. (2021). Financial inclusion in emerging economies: The application of machine learning and artificial intelligence in credit risk assessment. </w:t>
      </w:r>
      <w:r w:rsidRPr="000A6B05">
        <w:rPr>
          <w:rFonts w:cs="Times New Roman"/>
          <w:i/>
          <w:iCs/>
          <w:szCs w:val="24"/>
        </w:rPr>
        <w:t>International Journal of Financial Studies, 9</w:t>
      </w:r>
      <w:r w:rsidRPr="000A6B05">
        <w:rPr>
          <w:rFonts w:cs="Times New Roman"/>
          <w:szCs w:val="24"/>
        </w:rPr>
        <w:t xml:space="preserve">(3), 39. </w:t>
      </w:r>
      <w:hyperlink r:id="rId55" w:history="1">
        <w:r w:rsidRPr="000A6B05">
          <w:rPr>
            <w:rFonts w:cs="Times New Roman"/>
            <w:color w:val="0000FF"/>
            <w:szCs w:val="24"/>
            <w:u w:val="single"/>
          </w:rPr>
          <w:t>https://doi.org/10.3390/ijfs9030039</w:t>
        </w:r>
      </w:hyperlink>
    </w:p>
    <w:p w14:paraId="2D369CC3" w14:textId="1CE342DB"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lastRenderedPageBreak/>
        <w:t xml:space="preserve">Mienye, E., Jere, N., Obaido, G., Mienye, I. D., &amp; </w:t>
      </w:r>
      <w:proofErr w:type="spellStart"/>
      <w:r w:rsidRPr="000A6B05">
        <w:rPr>
          <w:rFonts w:cs="Times New Roman"/>
          <w:szCs w:val="24"/>
        </w:rPr>
        <w:t>Aruleba</w:t>
      </w:r>
      <w:proofErr w:type="spellEnd"/>
      <w:r w:rsidRPr="000A6B05">
        <w:rPr>
          <w:rFonts w:cs="Times New Roman"/>
          <w:szCs w:val="24"/>
        </w:rPr>
        <w:t xml:space="preserve">, K. (2024). Deep learning in finance: A survey of applications and techniques. </w:t>
      </w:r>
      <w:r w:rsidRPr="000A6B05">
        <w:rPr>
          <w:rFonts w:cs="Times New Roman"/>
          <w:i/>
          <w:iCs/>
          <w:szCs w:val="24"/>
        </w:rPr>
        <w:t>AI, 5</w:t>
      </w:r>
      <w:r w:rsidRPr="000A6B05">
        <w:rPr>
          <w:rFonts w:cs="Times New Roman"/>
          <w:szCs w:val="24"/>
        </w:rPr>
        <w:t xml:space="preserve">(4), 2066–2091. </w:t>
      </w:r>
      <w:hyperlink r:id="rId56" w:history="1">
        <w:r w:rsidRPr="000A6B05">
          <w:rPr>
            <w:rFonts w:cs="Times New Roman"/>
            <w:color w:val="0000FF"/>
            <w:szCs w:val="24"/>
            <w:u w:val="single"/>
          </w:rPr>
          <w:t>https://doi.org/10.3390/ai5040101</w:t>
        </w:r>
      </w:hyperlink>
    </w:p>
    <w:p w14:paraId="2328B0D2" w14:textId="2099FF33"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Milana, C., &amp; Ashta, A. (2021). Artificial intelligence techniques in finance and financial markets: A survey of the literature. </w:t>
      </w:r>
      <w:r w:rsidRPr="000A6B05">
        <w:rPr>
          <w:rFonts w:cs="Times New Roman"/>
          <w:i/>
          <w:iCs/>
          <w:szCs w:val="24"/>
        </w:rPr>
        <w:t>Strategic Change, 30</w:t>
      </w:r>
      <w:r w:rsidRPr="000A6B05">
        <w:rPr>
          <w:rFonts w:cs="Times New Roman"/>
          <w:szCs w:val="24"/>
        </w:rPr>
        <w:t xml:space="preserve">(3), 189–209. </w:t>
      </w:r>
      <w:hyperlink r:id="rId57" w:history="1">
        <w:r w:rsidRPr="000A6B05">
          <w:rPr>
            <w:rFonts w:cs="Times New Roman"/>
            <w:color w:val="0000FF"/>
            <w:szCs w:val="24"/>
            <w:u w:val="single"/>
          </w:rPr>
          <w:t>https://doi.org/10.1002/jsc.2403</w:t>
        </w:r>
      </w:hyperlink>
    </w:p>
    <w:p w14:paraId="6B1422CE" w14:textId="736A3CA7"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Nazemi, A., &amp; Fabozzi, F. J. (2024). Interpretable machine learning for creditor recovery rates. </w:t>
      </w:r>
      <w:r w:rsidRPr="000A6B05">
        <w:rPr>
          <w:rFonts w:cs="Times New Roman"/>
          <w:i/>
          <w:iCs/>
          <w:szCs w:val="24"/>
        </w:rPr>
        <w:t>Journal of Banking &amp; Finance, 164</w:t>
      </w:r>
      <w:r w:rsidRPr="000A6B05">
        <w:rPr>
          <w:rFonts w:cs="Times New Roman"/>
          <w:szCs w:val="24"/>
        </w:rPr>
        <w:t xml:space="preserve">, 107187. </w:t>
      </w:r>
      <w:hyperlink r:id="rId58" w:history="1">
        <w:r w:rsidRPr="000A6B05">
          <w:rPr>
            <w:rFonts w:cs="Times New Roman"/>
            <w:color w:val="0000FF"/>
            <w:szCs w:val="24"/>
            <w:u w:val="single"/>
          </w:rPr>
          <w:t>https://doi.org/10.1016/j.jbankfin.2024.107187</w:t>
        </w:r>
      </w:hyperlink>
    </w:p>
    <w:p w14:paraId="7E8833B7" w14:textId="4F33B78A"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Óskarsdóttir, M., Bravo, C., Sarraute, C., Vanthienen, J., &amp; Baesens, B. (2019). </w:t>
      </w:r>
      <w:r w:rsidRPr="000A6B05">
        <w:rPr>
          <w:rFonts w:cs="Times New Roman"/>
          <w:szCs w:val="24"/>
        </w:rPr>
        <w:t xml:space="preserve">The value of big data for credit scoring: Enhancing financial inclusion using mobile phone data and social network analytics. </w:t>
      </w:r>
      <w:r w:rsidRPr="000A6B05">
        <w:rPr>
          <w:rFonts w:cs="Times New Roman"/>
          <w:i/>
          <w:iCs/>
          <w:szCs w:val="24"/>
        </w:rPr>
        <w:t>Applied Soft Computing, 74</w:t>
      </w:r>
      <w:r w:rsidRPr="000A6B05">
        <w:rPr>
          <w:rFonts w:cs="Times New Roman"/>
          <w:szCs w:val="24"/>
        </w:rPr>
        <w:t xml:space="preserve">, 26–39. </w:t>
      </w:r>
      <w:hyperlink r:id="rId59" w:history="1">
        <w:r w:rsidRPr="000A6B05">
          <w:rPr>
            <w:rFonts w:cs="Times New Roman"/>
            <w:color w:val="0000FF"/>
            <w:szCs w:val="24"/>
            <w:u w:val="single"/>
          </w:rPr>
          <w:t>https://doi.org/10.1016/j.asoc.2018.10.004</w:t>
        </w:r>
      </w:hyperlink>
    </w:p>
    <w:p w14:paraId="4A34EF7D" w14:textId="3E998589"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Ozgur, O., Karagol, E. T., &amp; Ozbugday, F. C. (2021). </w:t>
      </w:r>
      <w:r w:rsidRPr="000A6B05">
        <w:rPr>
          <w:rFonts w:cs="Times New Roman"/>
          <w:szCs w:val="24"/>
        </w:rPr>
        <w:t xml:space="preserve">Machine learning approach to drivers of bank lending: Evidence from an emerging economy. </w:t>
      </w:r>
      <w:r w:rsidRPr="000A6B05">
        <w:rPr>
          <w:rFonts w:cs="Times New Roman"/>
          <w:i/>
          <w:iCs/>
          <w:szCs w:val="24"/>
        </w:rPr>
        <w:t>Financial Innovation, 7</w:t>
      </w:r>
      <w:r w:rsidRPr="000A6B05">
        <w:rPr>
          <w:rFonts w:cs="Times New Roman"/>
          <w:szCs w:val="24"/>
        </w:rPr>
        <w:t xml:space="preserve">(1), 20. </w:t>
      </w:r>
      <w:hyperlink r:id="rId60" w:history="1">
        <w:r w:rsidRPr="000A6B05">
          <w:rPr>
            <w:rFonts w:cs="Times New Roman"/>
            <w:color w:val="0000FF"/>
            <w:szCs w:val="24"/>
            <w:u w:val="single"/>
          </w:rPr>
          <w:t>https://doi.org/10.1186/s40854-021-00237-1</w:t>
        </w:r>
      </w:hyperlink>
    </w:p>
    <w:p w14:paraId="6BD45990" w14:textId="78612F2D"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Pattnaik</w:t>
      </w:r>
      <w:proofErr w:type="spellEnd"/>
      <w:r w:rsidRPr="000A6B05">
        <w:rPr>
          <w:rFonts w:cs="Times New Roman"/>
          <w:szCs w:val="24"/>
        </w:rPr>
        <w:t xml:space="preserve">, D., Ray, S., &amp; Raman, R. (2024). Applications of artificial intelligence and machine learning in the financial services industry: A bibliometric review. </w:t>
      </w:r>
      <w:proofErr w:type="spellStart"/>
      <w:r w:rsidRPr="000A6B05">
        <w:rPr>
          <w:rFonts w:cs="Times New Roman"/>
          <w:i/>
          <w:iCs/>
          <w:szCs w:val="24"/>
        </w:rPr>
        <w:t>Heliyon</w:t>
      </w:r>
      <w:proofErr w:type="spellEnd"/>
      <w:r w:rsidRPr="000A6B05">
        <w:rPr>
          <w:rFonts w:cs="Times New Roman"/>
          <w:i/>
          <w:iCs/>
          <w:szCs w:val="24"/>
        </w:rPr>
        <w:t>, 10</w:t>
      </w:r>
      <w:r w:rsidRPr="000A6B05">
        <w:rPr>
          <w:rFonts w:cs="Times New Roman"/>
          <w:szCs w:val="24"/>
        </w:rPr>
        <w:t xml:space="preserve">(1), e23492. </w:t>
      </w:r>
      <w:hyperlink r:id="rId61" w:history="1">
        <w:r w:rsidRPr="000A6B05">
          <w:rPr>
            <w:rFonts w:cs="Times New Roman"/>
            <w:color w:val="0000FF"/>
            <w:szCs w:val="24"/>
            <w:u w:val="single"/>
          </w:rPr>
          <w:t>https://doi.org/10.1016/j.heliyon.2023.e23492</w:t>
        </w:r>
      </w:hyperlink>
    </w:p>
    <w:p w14:paraId="4C7CCA45" w14:textId="4FE327C9"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Petropoulos, A., </w:t>
      </w:r>
      <w:proofErr w:type="spellStart"/>
      <w:r w:rsidRPr="000A6B05">
        <w:rPr>
          <w:rFonts w:cs="Times New Roman"/>
          <w:szCs w:val="24"/>
        </w:rPr>
        <w:t>Siakoulis</w:t>
      </w:r>
      <w:proofErr w:type="spellEnd"/>
      <w:r w:rsidRPr="000A6B05">
        <w:rPr>
          <w:rFonts w:cs="Times New Roman"/>
          <w:szCs w:val="24"/>
        </w:rPr>
        <w:t xml:space="preserve">, V., Stavroulakis, E., &amp; </w:t>
      </w:r>
      <w:proofErr w:type="spellStart"/>
      <w:r w:rsidRPr="000A6B05">
        <w:rPr>
          <w:rFonts w:cs="Times New Roman"/>
          <w:szCs w:val="24"/>
        </w:rPr>
        <w:t>Vlachogiannakis</w:t>
      </w:r>
      <w:proofErr w:type="spellEnd"/>
      <w:r w:rsidRPr="000A6B05">
        <w:rPr>
          <w:rFonts w:cs="Times New Roman"/>
          <w:szCs w:val="24"/>
        </w:rPr>
        <w:t xml:space="preserve">, N. E. (2020). Predicting bank insolvencies using machine learning techniques. </w:t>
      </w:r>
      <w:r w:rsidRPr="000A6B05">
        <w:rPr>
          <w:rFonts w:cs="Times New Roman"/>
          <w:i/>
          <w:iCs/>
          <w:szCs w:val="24"/>
        </w:rPr>
        <w:t>International Journal of Forecasting, 36</w:t>
      </w:r>
      <w:r w:rsidRPr="000A6B05">
        <w:rPr>
          <w:rFonts w:cs="Times New Roman"/>
          <w:szCs w:val="24"/>
        </w:rPr>
        <w:t xml:space="preserve">(3), 1092–1113. </w:t>
      </w:r>
      <w:hyperlink r:id="rId62" w:history="1">
        <w:r w:rsidRPr="000A6B05">
          <w:rPr>
            <w:rFonts w:cs="Times New Roman"/>
            <w:color w:val="0000FF"/>
            <w:szCs w:val="24"/>
            <w:u w:val="single"/>
          </w:rPr>
          <w:t>https://doi.org/10.1016/j.ijforecast.2019.11.005</w:t>
        </w:r>
      </w:hyperlink>
    </w:p>
    <w:p w14:paraId="6A6894B4" w14:textId="1CA4C017"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Piehlmaier</w:t>
      </w:r>
      <w:proofErr w:type="spellEnd"/>
      <w:r w:rsidRPr="000A6B05">
        <w:rPr>
          <w:rFonts w:cs="Times New Roman"/>
          <w:szCs w:val="24"/>
        </w:rPr>
        <w:t xml:space="preserve">, D. M. (2022). Overconfidence and the adoption of robo-advice: Why overconfident investors drive the expansion of automated financial advice. </w:t>
      </w:r>
      <w:r w:rsidRPr="000A6B05">
        <w:rPr>
          <w:rFonts w:cs="Times New Roman"/>
          <w:i/>
          <w:iCs/>
          <w:szCs w:val="24"/>
        </w:rPr>
        <w:t>Financial Innovation, 8</w:t>
      </w:r>
      <w:r w:rsidRPr="000A6B05">
        <w:rPr>
          <w:rFonts w:cs="Times New Roman"/>
          <w:szCs w:val="24"/>
        </w:rPr>
        <w:t xml:space="preserve">(1), 14. </w:t>
      </w:r>
      <w:hyperlink r:id="rId63" w:history="1">
        <w:r w:rsidRPr="000A6B05">
          <w:rPr>
            <w:rFonts w:cs="Times New Roman"/>
            <w:color w:val="0000FF"/>
            <w:szCs w:val="24"/>
            <w:u w:val="single"/>
          </w:rPr>
          <w:t>https://doi.org/10.1186/s40854-021-00324-3</w:t>
        </w:r>
      </w:hyperlink>
    </w:p>
    <w:p w14:paraId="491D9CD9" w14:textId="054DB4FA"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Rahman, M. M. (2023). The effect of business intelligence on bank operational efficiency and perceptions of profitability. </w:t>
      </w:r>
      <w:r w:rsidRPr="000A6B05">
        <w:rPr>
          <w:rFonts w:cs="Times New Roman"/>
          <w:i/>
          <w:iCs/>
          <w:szCs w:val="24"/>
        </w:rPr>
        <w:t>FinTech, 2</w:t>
      </w:r>
      <w:r w:rsidRPr="000A6B05">
        <w:rPr>
          <w:rFonts w:cs="Times New Roman"/>
          <w:szCs w:val="24"/>
        </w:rPr>
        <w:t xml:space="preserve">(1), 99–119. </w:t>
      </w:r>
      <w:hyperlink r:id="rId64" w:history="1">
        <w:r w:rsidRPr="000A6B05">
          <w:rPr>
            <w:rFonts w:cs="Times New Roman"/>
            <w:color w:val="0000FF"/>
            <w:szCs w:val="24"/>
            <w:u w:val="single"/>
          </w:rPr>
          <w:t>https://doi.org/10.3390/fintech2010008</w:t>
        </w:r>
      </w:hyperlink>
    </w:p>
    <w:p w14:paraId="10171A69" w14:textId="3EBFB537"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Regulation (EU) 2024/1689 of the European Parliament and of the Council of 13 June 2024 laying down </w:t>
      </w:r>
      <w:proofErr w:type="spellStart"/>
      <w:r w:rsidRPr="000A6B05">
        <w:rPr>
          <w:rFonts w:cs="Times New Roman"/>
          <w:szCs w:val="24"/>
        </w:rPr>
        <w:t>harmonised</w:t>
      </w:r>
      <w:proofErr w:type="spellEnd"/>
      <w:r w:rsidRPr="000A6B05">
        <w:rPr>
          <w:rFonts w:cs="Times New Roman"/>
          <w:szCs w:val="24"/>
        </w:rPr>
        <w:t xml:space="preserve"> rules on artificial intelligence and amending Regulations (EC) No. 300/2008, (EU) No. 167/2013, (EU) No. 168/2013, (EU) 2018/858, (EU) 2018/1139 and (EU) 2019/2144 and Directives 2014/90/EU, (EU) 2016/797 and (EU) 2020/1828 (Artificial Intelligence Act). (2024). </w:t>
      </w:r>
      <w:r w:rsidRPr="000A6B05">
        <w:rPr>
          <w:rFonts w:cs="Times New Roman"/>
          <w:i/>
          <w:iCs/>
          <w:szCs w:val="24"/>
        </w:rPr>
        <w:t>Official Journal of the European Union, L, 2024/1689</w:t>
      </w:r>
      <w:r w:rsidRPr="000A6B05">
        <w:rPr>
          <w:rFonts w:cs="Times New Roman"/>
          <w:szCs w:val="24"/>
        </w:rPr>
        <w:t xml:space="preserve">. </w:t>
      </w:r>
      <w:hyperlink r:id="rId65" w:history="1">
        <w:r w:rsidRPr="000A6B05">
          <w:rPr>
            <w:rFonts w:cs="Times New Roman"/>
            <w:color w:val="0000FF"/>
            <w:szCs w:val="24"/>
            <w:u w:val="single"/>
          </w:rPr>
          <w:t>https://eur-lex.europa.eu/eli/reg/2024/1689/oj</w:t>
        </w:r>
      </w:hyperlink>
    </w:p>
    <w:p w14:paraId="615CDEFF" w14:textId="7C33AA49"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Reite, E. J., Karlsen, J., &amp; Westgaard, E. G. (2025). </w:t>
      </w:r>
      <w:r w:rsidRPr="000A6B05">
        <w:rPr>
          <w:rFonts w:cs="Times New Roman"/>
          <w:szCs w:val="24"/>
        </w:rPr>
        <w:t xml:space="preserve">Improving client risk classification with machine learning to increase anti-money laundering detection efficiency. </w:t>
      </w:r>
      <w:r w:rsidRPr="000A6B05">
        <w:rPr>
          <w:rFonts w:cs="Times New Roman"/>
          <w:i/>
          <w:iCs/>
          <w:szCs w:val="24"/>
        </w:rPr>
        <w:t>Journal of Money Laundering Control, 28</w:t>
      </w:r>
      <w:r w:rsidRPr="000A6B05">
        <w:rPr>
          <w:rFonts w:cs="Times New Roman"/>
          <w:szCs w:val="24"/>
        </w:rPr>
        <w:t xml:space="preserve">(1), 93–107. </w:t>
      </w:r>
      <w:hyperlink r:id="rId66" w:history="1">
        <w:r w:rsidRPr="000A6B05">
          <w:rPr>
            <w:rFonts w:cs="Times New Roman"/>
            <w:color w:val="0000FF"/>
            <w:szCs w:val="24"/>
            <w:u w:val="single"/>
          </w:rPr>
          <w:t>https://doi.org/10.1108/JMLC-03-2024-0040</w:t>
        </w:r>
      </w:hyperlink>
    </w:p>
    <w:p w14:paraId="42E3C6F6" w14:textId="521F8480"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Ren, X., Song, K., Zhu, K., &amp; Yang, X. (2024). </w:t>
      </w:r>
      <w:r w:rsidRPr="000A6B05">
        <w:rPr>
          <w:rFonts w:cs="Times New Roman"/>
          <w:szCs w:val="24"/>
        </w:rPr>
        <w:t xml:space="preserve">Does digital transformation increase bank profit efficiency? Evidence from China. </w:t>
      </w:r>
      <w:r w:rsidRPr="000A6B05">
        <w:rPr>
          <w:rFonts w:cs="Times New Roman"/>
          <w:i/>
          <w:iCs/>
          <w:szCs w:val="24"/>
        </w:rPr>
        <w:t>Pacific-Basin Finance Journal, 86</w:t>
      </w:r>
      <w:r w:rsidRPr="000A6B05">
        <w:rPr>
          <w:rFonts w:cs="Times New Roman"/>
          <w:szCs w:val="24"/>
        </w:rPr>
        <w:t xml:space="preserve">, 102388. </w:t>
      </w:r>
      <w:hyperlink r:id="rId67" w:history="1">
        <w:r w:rsidRPr="000A6B05">
          <w:rPr>
            <w:rFonts w:cs="Times New Roman"/>
            <w:color w:val="0000FF"/>
            <w:szCs w:val="24"/>
            <w:u w:val="single"/>
          </w:rPr>
          <w:t>https://doi.org/10.1016/j.pacfin.2024.102388</w:t>
        </w:r>
      </w:hyperlink>
    </w:p>
    <w:p w14:paraId="37549B8B" w14:textId="06FF41FB"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Rudin, C. (2019). Stop explaining black box machine learning models for </w:t>
      </w:r>
      <w:proofErr w:type="gramStart"/>
      <w:r w:rsidRPr="000A6B05">
        <w:rPr>
          <w:rFonts w:cs="Times New Roman"/>
          <w:szCs w:val="24"/>
        </w:rPr>
        <w:t>high stakes</w:t>
      </w:r>
      <w:proofErr w:type="gramEnd"/>
      <w:r w:rsidRPr="000A6B05">
        <w:rPr>
          <w:rFonts w:cs="Times New Roman"/>
          <w:szCs w:val="24"/>
        </w:rPr>
        <w:t xml:space="preserve"> decisions and use interpretable models instead. </w:t>
      </w:r>
      <w:r w:rsidRPr="000A6B05">
        <w:rPr>
          <w:rFonts w:cs="Times New Roman"/>
          <w:i/>
          <w:iCs/>
          <w:szCs w:val="24"/>
        </w:rPr>
        <w:t>Nature Machine Intelligence, 1</w:t>
      </w:r>
      <w:r w:rsidRPr="000A6B05">
        <w:rPr>
          <w:rFonts w:cs="Times New Roman"/>
          <w:szCs w:val="24"/>
        </w:rPr>
        <w:t xml:space="preserve">(5), 206–215. </w:t>
      </w:r>
      <w:hyperlink r:id="rId68" w:history="1">
        <w:r w:rsidRPr="000A6B05">
          <w:rPr>
            <w:rFonts w:cs="Times New Roman"/>
            <w:color w:val="0000FF"/>
            <w:szCs w:val="24"/>
            <w:u w:val="single"/>
          </w:rPr>
          <w:t>https://doi.org/10.1038/s42256-019-0048-x</w:t>
        </w:r>
      </w:hyperlink>
    </w:p>
    <w:p w14:paraId="43DFE49C" w14:textId="232A8BC2"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Sadok, H., Sakka, F., &amp; El Maknouzi, M. E. H. (2022). </w:t>
      </w:r>
      <w:r w:rsidRPr="000A6B05">
        <w:rPr>
          <w:rFonts w:cs="Times New Roman"/>
          <w:szCs w:val="24"/>
        </w:rPr>
        <w:t xml:space="preserve">Artificial intelligence and bank credit analysis: A review. </w:t>
      </w:r>
      <w:r w:rsidRPr="000A6B05">
        <w:rPr>
          <w:rFonts w:cs="Times New Roman"/>
          <w:i/>
          <w:iCs/>
          <w:szCs w:val="24"/>
        </w:rPr>
        <w:t>Cogent Economics &amp; Finance, 10</w:t>
      </w:r>
      <w:r w:rsidRPr="000A6B05">
        <w:rPr>
          <w:rFonts w:cs="Times New Roman"/>
          <w:szCs w:val="24"/>
        </w:rPr>
        <w:t xml:space="preserve">(1), 2023262. </w:t>
      </w:r>
      <w:hyperlink r:id="rId69" w:history="1">
        <w:r w:rsidRPr="000A6B05">
          <w:rPr>
            <w:rFonts w:cs="Times New Roman"/>
            <w:color w:val="0000FF"/>
            <w:szCs w:val="24"/>
            <w:u w:val="single"/>
          </w:rPr>
          <w:t>https://doi.org/10.1080/23322039.2021.2023262</w:t>
        </w:r>
      </w:hyperlink>
    </w:p>
    <w:p w14:paraId="7F520897" w14:textId="44C6F240" w:rsidR="000A6B05" w:rsidRPr="000A6B05" w:rsidRDefault="000A6B05" w:rsidP="000A6B05">
      <w:pPr>
        <w:spacing w:after="0" w:line="240" w:lineRule="auto"/>
        <w:ind w:left="540" w:hanging="540"/>
        <w:jc w:val="both"/>
        <w:rPr>
          <w:rFonts w:cs="Times New Roman"/>
          <w:szCs w:val="24"/>
        </w:rPr>
      </w:pPr>
      <w:r w:rsidRPr="000A6B05">
        <w:rPr>
          <w:rFonts w:cs="Times New Roman"/>
          <w:szCs w:val="24"/>
        </w:rPr>
        <w:t xml:space="preserve">Singh, R. K., Mishra, R., Kumar, S., &amp; Bag, S. (2025). Applications of artificial intelligence for optimizing banking and financial operations: A systematic literature review and </w:t>
      </w:r>
      <w:r w:rsidRPr="000A6B05">
        <w:rPr>
          <w:rFonts w:cs="Times New Roman"/>
          <w:szCs w:val="24"/>
        </w:rPr>
        <w:lastRenderedPageBreak/>
        <w:t xml:space="preserve">future research agenda. </w:t>
      </w:r>
      <w:r w:rsidRPr="000A6B05">
        <w:rPr>
          <w:rFonts w:cs="Times New Roman"/>
          <w:i/>
          <w:iCs/>
          <w:szCs w:val="24"/>
        </w:rPr>
        <w:t>Journal of Economic Surveys, 39</w:t>
      </w:r>
      <w:r w:rsidRPr="000A6B05">
        <w:rPr>
          <w:rFonts w:cs="Times New Roman"/>
          <w:szCs w:val="24"/>
        </w:rPr>
        <w:t xml:space="preserve">(5), 2284–2302. </w:t>
      </w:r>
      <w:hyperlink r:id="rId70" w:history="1">
        <w:r w:rsidRPr="000A6B05">
          <w:rPr>
            <w:rFonts w:cs="Times New Roman"/>
            <w:color w:val="0000FF"/>
            <w:szCs w:val="24"/>
            <w:u w:val="single"/>
          </w:rPr>
          <w:t>https://doi.org/10.1111/joes.12693</w:t>
        </w:r>
      </w:hyperlink>
    </w:p>
    <w:p w14:paraId="0920737B" w14:textId="0A7D276F" w:rsidR="000A6B05" w:rsidRPr="000A6B05" w:rsidRDefault="000A6B05" w:rsidP="000A6B05">
      <w:pPr>
        <w:spacing w:after="0" w:line="240" w:lineRule="auto"/>
        <w:ind w:left="540" w:hanging="540"/>
        <w:jc w:val="both"/>
        <w:rPr>
          <w:rFonts w:cs="Times New Roman"/>
          <w:szCs w:val="24"/>
        </w:rPr>
      </w:pPr>
      <w:r w:rsidRPr="000A6B05">
        <w:rPr>
          <w:rFonts w:cs="Times New Roman"/>
          <w:szCs w:val="24"/>
          <w:lang w:val="nl-BE"/>
        </w:rPr>
        <w:t xml:space="preserve">Talaat, F. M., Aljadani, A., Badawy, M., &amp; Elhosseini, M. (2024). </w:t>
      </w:r>
      <w:r w:rsidRPr="000A6B05">
        <w:rPr>
          <w:rFonts w:cs="Times New Roman"/>
          <w:szCs w:val="24"/>
        </w:rPr>
        <w:t xml:space="preserve">Toward interpretable credit scoring: Integrating explainable artificial intelligence with deep learning for credit card default prediction. </w:t>
      </w:r>
      <w:r w:rsidRPr="000A6B05">
        <w:rPr>
          <w:rFonts w:cs="Times New Roman"/>
          <w:i/>
          <w:iCs/>
          <w:szCs w:val="24"/>
        </w:rPr>
        <w:t>Neural Computing and Applications, 36</w:t>
      </w:r>
      <w:r w:rsidRPr="000A6B05">
        <w:rPr>
          <w:rFonts w:cs="Times New Roman"/>
          <w:szCs w:val="24"/>
        </w:rPr>
        <w:t xml:space="preserve">(9), 4847–4865. </w:t>
      </w:r>
      <w:hyperlink r:id="rId71" w:history="1">
        <w:r w:rsidRPr="000A6B05">
          <w:rPr>
            <w:rFonts w:cs="Times New Roman"/>
            <w:color w:val="0000FF"/>
            <w:szCs w:val="24"/>
            <w:u w:val="single"/>
          </w:rPr>
          <w:t>https://doi.org/10.1007/s00521-023-09232-2</w:t>
        </w:r>
      </w:hyperlink>
    </w:p>
    <w:p w14:paraId="3CFAFB71" w14:textId="59C106E7" w:rsidR="000A6B05" w:rsidRPr="000A6B05" w:rsidRDefault="000A6B05" w:rsidP="000A6B05">
      <w:pPr>
        <w:spacing w:after="0" w:line="240" w:lineRule="auto"/>
        <w:ind w:left="540" w:hanging="540"/>
        <w:jc w:val="both"/>
        <w:rPr>
          <w:rFonts w:cs="Times New Roman"/>
          <w:szCs w:val="24"/>
        </w:rPr>
      </w:pPr>
      <w:proofErr w:type="spellStart"/>
      <w:r w:rsidRPr="000A6B05">
        <w:rPr>
          <w:rFonts w:cs="Times New Roman"/>
          <w:szCs w:val="24"/>
        </w:rPr>
        <w:t>Tertychnyi</w:t>
      </w:r>
      <w:proofErr w:type="spellEnd"/>
      <w:r w:rsidRPr="000A6B05">
        <w:rPr>
          <w:rFonts w:cs="Times New Roman"/>
          <w:szCs w:val="24"/>
        </w:rPr>
        <w:t xml:space="preserve">, P., Godgildieva, M., Dumas, M., &amp; Ollikainen, M. (2022). Time-aware and interpretable predictive monitoring system for anti-money laundering. </w:t>
      </w:r>
      <w:r w:rsidRPr="000A6B05">
        <w:rPr>
          <w:rFonts w:cs="Times New Roman"/>
          <w:i/>
          <w:iCs/>
          <w:szCs w:val="24"/>
        </w:rPr>
        <w:t>Machine Learning with Applications, 8</w:t>
      </w:r>
      <w:r w:rsidRPr="000A6B05">
        <w:rPr>
          <w:rFonts w:cs="Times New Roman"/>
          <w:szCs w:val="24"/>
        </w:rPr>
        <w:t xml:space="preserve">, 100306. </w:t>
      </w:r>
      <w:hyperlink r:id="rId72" w:history="1">
        <w:r w:rsidRPr="000A6B05">
          <w:rPr>
            <w:rFonts w:cs="Times New Roman"/>
            <w:color w:val="0000FF"/>
            <w:szCs w:val="24"/>
            <w:u w:val="single"/>
          </w:rPr>
          <w:t>https://doi.org/10.1016/j.mlwa.2022.100306</w:t>
        </w:r>
      </w:hyperlink>
    </w:p>
    <w:p w14:paraId="35F952C6" w14:textId="690EE794" w:rsidR="00B87CAA" w:rsidRPr="0017016D" w:rsidRDefault="000A6B05" w:rsidP="000A6B05">
      <w:pPr>
        <w:spacing w:after="160" w:line="276" w:lineRule="auto"/>
        <w:ind w:left="540" w:hanging="540"/>
        <w:jc w:val="both"/>
      </w:pPr>
      <w:r w:rsidRPr="000A6B05">
        <w:rPr>
          <w:rFonts w:cs="Times New Roman"/>
          <w:szCs w:val="24"/>
        </w:rPr>
        <w:t xml:space="preserve">Vanini, P., Rossi, S., </w:t>
      </w:r>
      <w:proofErr w:type="spellStart"/>
      <w:r w:rsidRPr="000A6B05">
        <w:rPr>
          <w:rFonts w:cs="Times New Roman"/>
          <w:szCs w:val="24"/>
        </w:rPr>
        <w:t>Zvizdic</w:t>
      </w:r>
      <w:proofErr w:type="spellEnd"/>
      <w:r w:rsidRPr="000A6B05">
        <w:rPr>
          <w:rFonts w:cs="Times New Roman"/>
          <w:szCs w:val="24"/>
        </w:rPr>
        <w:t xml:space="preserve">, E., &amp; </w:t>
      </w:r>
      <w:proofErr w:type="spellStart"/>
      <w:r w:rsidRPr="000A6B05">
        <w:rPr>
          <w:rFonts w:cs="Times New Roman"/>
          <w:szCs w:val="24"/>
        </w:rPr>
        <w:t>Domenig</w:t>
      </w:r>
      <w:proofErr w:type="spellEnd"/>
      <w:r w:rsidRPr="000A6B05">
        <w:rPr>
          <w:rFonts w:cs="Times New Roman"/>
          <w:szCs w:val="24"/>
        </w:rPr>
        <w:t xml:space="preserve">, T. (2023). Online payment fraud: From anomaly detection to risk management. </w:t>
      </w:r>
      <w:r w:rsidRPr="000A6B05">
        <w:rPr>
          <w:rFonts w:cs="Times New Roman"/>
          <w:i/>
          <w:iCs/>
          <w:szCs w:val="24"/>
        </w:rPr>
        <w:t>Financial Innovation, 9</w:t>
      </w:r>
      <w:r w:rsidRPr="000A6B05">
        <w:rPr>
          <w:rFonts w:cs="Times New Roman"/>
          <w:szCs w:val="24"/>
        </w:rPr>
        <w:t xml:space="preserve">(1), 66. </w:t>
      </w:r>
      <w:hyperlink r:id="rId73" w:history="1">
        <w:r w:rsidRPr="000A6B05">
          <w:rPr>
            <w:rFonts w:cs="Times New Roman"/>
            <w:color w:val="0000FF"/>
            <w:szCs w:val="24"/>
            <w:u w:val="single"/>
          </w:rPr>
          <w:t>https://doi.org/10.1186/s40854-023-00470-w</w:t>
        </w:r>
      </w:hyperlink>
    </w:p>
    <w:sectPr w:rsidR="00B87CAA" w:rsidRPr="0017016D" w:rsidSect="00034616">
      <w:headerReference w:type="even" r:id="rId74"/>
      <w:headerReference w:type="default" r:id="rId75"/>
      <w:footerReference w:type="even" r:id="rId76"/>
      <w:footerReference w:type="default" r:id="rId77"/>
      <w:headerReference w:type="first" r:id="rId78"/>
      <w:footerReference w:type="first" r:id="rId79"/>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B9866" w14:textId="77777777" w:rsidR="00681549" w:rsidRDefault="00681549" w:rsidP="00726865">
      <w:pPr>
        <w:spacing w:after="0" w:line="240" w:lineRule="auto"/>
      </w:pPr>
      <w:r>
        <w:separator/>
      </w:r>
    </w:p>
  </w:endnote>
  <w:endnote w:type="continuationSeparator" w:id="0">
    <w:p w14:paraId="57BB1213" w14:textId="77777777" w:rsidR="00681549" w:rsidRDefault="00681549" w:rsidP="00726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D1382" w14:textId="77777777" w:rsidR="00726865" w:rsidRDefault="00726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2B16" w14:textId="77777777" w:rsidR="00726865" w:rsidRDefault="007268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321E" w14:textId="77777777" w:rsidR="00726865" w:rsidRDefault="00726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5AF41" w14:textId="77777777" w:rsidR="00681549" w:rsidRDefault="00681549" w:rsidP="00726865">
      <w:pPr>
        <w:spacing w:after="0" w:line="240" w:lineRule="auto"/>
      </w:pPr>
      <w:r>
        <w:separator/>
      </w:r>
    </w:p>
  </w:footnote>
  <w:footnote w:type="continuationSeparator" w:id="0">
    <w:p w14:paraId="1D12462B" w14:textId="77777777" w:rsidR="00681549" w:rsidRDefault="00681549" w:rsidP="00726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4512" w14:textId="77777777" w:rsidR="00726865" w:rsidRDefault="00000000">
    <w:pPr>
      <w:pStyle w:val="Header"/>
    </w:pPr>
    <w:r>
      <w:rPr>
        <w:noProof/>
      </w:rPr>
      <w:pict w14:anchorId="4C56A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90766" o:spid="_x0000_s1026" type="#_x0000_t136" style="position:absolute;margin-left:0;margin-top:0;width:575.5pt;height:63.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0B28B" w14:textId="77777777" w:rsidR="00726865" w:rsidRDefault="00000000">
    <w:pPr>
      <w:pStyle w:val="Header"/>
    </w:pPr>
    <w:r>
      <w:rPr>
        <w:noProof/>
      </w:rPr>
      <w:pict w14:anchorId="19CD74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90767" o:spid="_x0000_s1027" type="#_x0000_t136" style="position:absolute;margin-left:0;margin-top:0;width:575.5pt;height:63.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4642D" w14:textId="77777777" w:rsidR="00726865" w:rsidRDefault="00000000">
    <w:pPr>
      <w:pStyle w:val="Header"/>
    </w:pPr>
    <w:r>
      <w:rPr>
        <w:noProof/>
      </w:rPr>
      <w:pict w14:anchorId="3840A3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90765" o:spid="_x0000_s1025" type="#_x0000_t136" style="position:absolute;margin-left:0;margin-top:0;width:575.5pt;height:63.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91A3ED0"/>
    <w:multiLevelType w:val="hybridMultilevel"/>
    <w:tmpl w:val="E42C1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61FF4"/>
    <w:multiLevelType w:val="hybridMultilevel"/>
    <w:tmpl w:val="0BC04A3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50593">
    <w:abstractNumId w:val="8"/>
  </w:num>
  <w:num w:numId="2" w16cid:durableId="330449018">
    <w:abstractNumId w:val="6"/>
  </w:num>
  <w:num w:numId="3" w16cid:durableId="1605578690">
    <w:abstractNumId w:val="5"/>
  </w:num>
  <w:num w:numId="4" w16cid:durableId="525563827">
    <w:abstractNumId w:val="4"/>
  </w:num>
  <w:num w:numId="5" w16cid:durableId="936983950">
    <w:abstractNumId w:val="7"/>
  </w:num>
  <w:num w:numId="6" w16cid:durableId="1774085834">
    <w:abstractNumId w:val="3"/>
  </w:num>
  <w:num w:numId="7" w16cid:durableId="347676549">
    <w:abstractNumId w:val="2"/>
  </w:num>
  <w:num w:numId="8" w16cid:durableId="899025166">
    <w:abstractNumId w:val="1"/>
  </w:num>
  <w:num w:numId="9" w16cid:durableId="2142140584">
    <w:abstractNumId w:val="0"/>
  </w:num>
  <w:num w:numId="10" w16cid:durableId="1183664399">
    <w:abstractNumId w:val="9"/>
  </w:num>
  <w:num w:numId="11" w16cid:durableId="8758935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zMbe0MDc2MTE3NDZQ0lEKTi0uzszPAykwrAUAjck85ywAAAA="/>
  </w:docVars>
  <w:rsids>
    <w:rsidRoot w:val="00B47730"/>
    <w:rsid w:val="00034616"/>
    <w:rsid w:val="0006063C"/>
    <w:rsid w:val="000A6B05"/>
    <w:rsid w:val="0015074B"/>
    <w:rsid w:val="0017016D"/>
    <w:rsid w:val="0029639D"/>
    <w:rsid w:val="00326F90"/>
    <w:rsid w:val="005220D7"/>
    <w:rsid w:val="00681549"/>
    <w:rsid w:val="006F3019"/>
    <w:rsid w:val="0070671B"/>
    <w:rsid w:val="0071510B"/>
    <w:rsid w:val="00726865"/>
    <w:rsid w:val="008E6E4E"/>
    <w:rsid w:val="009A16D9"/>
    <w:rsid w:val="00AA1D8D"/>
    <w:rsid w:val="00B47730"/>
    <w:rsid w:val="00B87CAA"/>
    <w:rsid w:val="00CB0664"/>
    <w:rsid w:val="00E91CB4"/>
    <w:rsid w:val="00F804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6511A6"/>
  <w14:defaultImageDpi w14:val="300"/>
  <w15:docId w15:val="{D238CF5D-5D6B-4BF2-9AB8-7A565DCD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sb.org/2024/11/the-financial-stability-implications-of-artificial-intelligence/" TargetMode="External"/><Relationship Id="rId21" Type="http://schemas.openxmlformats.org/officeDocument/2006/relationships/hyperlink" Target="https://doi.org/10.1109/TNNLS.2017.2736643" TargetMode="External"/><Relationship Id="rId42" Type="http://schemas.openxmlformats.org/officeDocument/2006/relationships/hyperlink" Target="https://doi.org/10.1016/j.patter.2023.100804" TargetMode="External"/><Relationship Id="rId47" Type="http://schemas.openxmlformats.org/officeDocument/2006/relationships/hyperlink" Target="https://doi.org/10.1016/j.dss.2019.03.011" TargetMode="External"/><Relationship Id="rId63" Type="http://schemas.openxmlformats.org/officeDocument/2006/relationships/hyperlink" Target="https://doi.org/10.1186/s40854-021-00324-3" TargetMode="External"/><Relationship Id="rId68" Type="http://schemas.openxmlformats.org/officeDocument/2006/relationships/hyperlink" Target="https://doi.org/10.1038/s42256-019-0048-x" TargetMode="External"/><Relationship Id="rId16" Type="http://schemas.openxmlformats.org/officeDocument/2006/relationships/hyperlink" Target="https://doi.org/10.1007/s10614-020-10042-0" TargetMode="External"/><Relationship Id="rId11" Type="http://schemas.openxmlformats.org/officeDocument/2006/relationships/hyperlink" Target="https://doi.org/10.1016/j.jfineco.2021.05.047" TargetMode="External"/><Relationship Id="rId32" Type="http://schemas.openxmlformats.org/officeDocument/2006/relationships/hyperlink" Target="https://doi.org/10.1016/j.ijforecast.2018.01.009" TargetMode="External"/><Relationship Id="rId37" Type="http://schemas.openxmlformats.org/officeDocument/2006/relationships/hyperlink" Target="https://doi.org/10.1016/j.irfa.2024.103315" TargetMode="External"/><Relationship Id="rId53" Type="http://schemas.openxmlformats.org/officeDocument/2006/relationships/hyperlink" Target="https://doi.org/10.1016/j.knosys.2020.105758" TargetMode="External"/><Relationship Id="rId58" Type="http://schemas.openxmlformats.org/officeDocument/2006/relationships/hyperlink" Target="https://doi.org/10.1016/j.jbankfin.2024.107187"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https://doi.org/10.1016/j.heliyon.2023.e23492" TargetMode="External"/><Relationship Id="rId19" Type="http://schemas.openxmlformats.org/officeDocument/2006/relationships/hyperlink" Target="https://doi.org/10.1016/j.ejor.2023.06.036" TargetMode="External"/><Relationship Id="rId14" Type="http://schemas.openxmlformats.org/officeDocument/2006/relationships/hyperlink" Target="https://doi.org/10.1016/j.seps.2023.101746" TargetMode="External"/><Relationship Id="rId22" Type="http://schemas.openxmlformats.org/officeDocument/2006/relationships/hyperlink" Target="https://doi.org/10.1016/j.jbankfin.2021.106290" TargetMode="External"/><Relationship Id="rId27" Type="http://schemas.openxmlformats.org/officeDocument/2006/relationships/hyperlink" Target="https://doi.org/10.1016/j.jbankfin.2022.106401" TargetMode="External"/><Relationship Id="rId30" Type="http://schemas.openxmlformats.org/officeDocument/2006/relationships/hyperlink" Target="https://doi.org/10.18421/TEM104-12" TargetMode="External"/><Relationship Id="rId35" Type="http://schemas.openxmlformats.org/officeDocument/2006/relationships/hyperlink" Target="https://doi.org/10.1016/j.ejor.2021.03.006" TargetMode="External"/><Relationship Id="rId43" Type="http://schemas.openxmlformats.org/officeDocument/2006/relationships/hyperlink" Target="https://doi.org/10.1016/j.jbankfin.2010.06.001" TargetMode="External"/><Relationship Id="rId48" Type="http://schemas.openxmlformats.org/officeDocument/2006/relationships/hyperlink" Target="https://doi.org/10.1016/j.ejor.2021.12.024" TargetMode="External"/><Relationship Id="rId56" Type="http://schemas.openxmlformats.org/officeDocument/2006/relationships/hyperlink" Target="https://doi.org/10.3390/ai5040101" TargetMode="External"/><Relationship Id="rId64" Type="http://schemas.openxmlformats.org/officeDocument/2006/relationships/hyperlink" Target="https://doi.org/10.3390/fintech2010008" TargetMode="External"/><Relationship Id="rId69" Type="http://schemas.openxmlformats.org/officeDocument/2006/relationships/hyperlink" Target="https://doi.org/10.1080/23322039.2021.2023262" TargetMode="External"/><Relationship Id="rId77" Type="http://schemas.openxmlformats.org/officeDocument/2006/relationships/footer" Target="footer2.xml"/><Relationship Id="rId8" Type="http://schemas.openxmlformats.org/officeDocument/2006/relationships/hyperlink" Target="https://doi.org/10.1016/j.ribaf.2022.101646" TargetMode="External"/><Relationship Id="rId51" Type="http://schemas.openxmlformats.org/officeDocument/2006/relationships/hyperlink" Target="https://doi.org/10.1016/j.ejor.2015.05.030" TargetMode="External"/><Relationship Id="rId72" Type="http://schemas.openxmlformats.org/officeDocument/2006/relationships/hyperlink" Target="https://doi.org/10.1016/j.mlwa.2022.100306"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5089/9781498314428.001" TargetMode="External"/><Relationship Id="rId17" Type="http://schemas.openxmlformats.org/officeDocument/2006/relationships/hyperlink" Target="https://doi.org/10.1016/j.ins.2019.05.042" TargetMode="External"/><Relationship Id="rId25" Type="http://schemas.openxmlformats.org/officeDocument/2006/relationships/hyperlink" Target="https://www.fsb.org/2017/11/artificial-intelligence-and-machine-learning-in-financial-service/" TargetMode="External"/><Relationship Id="rId33" Type="http://schemas.openxmlformats.org/officeDocument/2006/relationships/hyperlink" Target="https://doi.org/10.1016/j.jbef.2021.100577" TargetMode="External"/><Relationship Id="rId38" Type="http://schemas.openxmlformats.org/officeDocument/2006/relationships/hyperlink" Target="https://doi.org/10.1108/IJBM-09-2021-0417" TargetMode="External"/><Relationship Id="rId46" Type="http://schemas.openxmlformats.org/officeDocument/2006/relationships/hyperlink" Target="https://doi.org/10.1016/j.ejor.2021.06.023" TargetMode="External"/><Relationship Id="rId59" Type="http://schemas.openxmlformats.org/officeDocument/2006/relationships/hyperlink" Target="https://doi.org/10.1016/j.asoc.2018.10.004" TargetMode="External"/><Relationship Id="rId67" Type="http://schemas.openxmlformats.org/officeDocument/2006/relationships/hyperlink" Target="https://doi.org/10.1016/j.pacfin.2024.102388" TargetMode="External"/><Relationship Id="rId20" Type="http://schemas.openxmlformats.org/officeDocument/2006/relationships/hyperlink" Target="https://doi.org/10.1007/s10115-017-1144-z" TargetMode="External"/><Relationship Id="rId41" Type="http://schemas.openxmlformats.org/officeDocument/2006/relationships/hyperlink" Target="https://doi.org/10.1007/s44163-023-00094-0" TargetMode="External"/><Relationship Id="rId54" Type="http://schemas.openxmlformats.org/officeDocument/2006/relationships/hyperlink" Target="https://doi.org/10.1108/JFRC-01-2022-0004" TargetMode="External"/><Relationship Id="rId62" Type="http://schemas.openxmlformats.org/officeDocument/2006/relationships/hyperlink" Target="https://doi.org/10.1016/j.ijforecast.2019.11.005" TargetMode="External"/><Relationship Id="rId70" Type="http://schemas.openxmlformats.org/officeDocument/2006/relationships/hyperlink" Target="https://doi.org/10.1111/joes.12693"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08/JABS-09-2020-0376" TargetMode="External"/><Relationship Id="rId23" Type="http://schemas.openxmlformats.org/officeDocument/2006/relationships/hyperlink" Target="https://doi.org/10.1109/ACCESS.2022.3177783" TargetMode="External"/><Relationship Id="rId28" Type="http://schemas.openxmlformats.org/officeDocument/2006/relationships/hyperlink" Target="https://doi.org/10.1111/jofi.13090" TargetMode="External"/><Relationship Id="rId36" Type="http://schemas.openxmlformats.org/officeDocument/2006/relationships/hyperlink" Target="https://doi.org/10.1108/JMLC-05-2021-0049" TargetMode="External"/><Relationship Id="rId49" Type="http://schemas.openxmlformats.org/officeDocument/2006/relationships/hyperlink" Target="https://doi.org/10.1016/j.jbankfin.2023.106785" TargetMode="External"/><Relationship Id="rId57" Type="http://schemas.openxmlformats.org/officeDocument/2006/relationships/hyperlink" Target="https://doi.org/10.1002/jsc.2403" TargetMode="External"/><Relationship Id="rId10" Type="http://schemas.openxmlformats.org/officeDocument/2006/relationships/hyperlink" Target="https://www.bankofengland.co.uk/report/2024/artificial-intelligence-in-uk-financial-services-2024" TargetMode="External"/><Relationship Id="rId31" Type="http://schemas.openxmlformats.org/officeDocument/2006/relationships/hyperlink" Target="https://doi.org/10.1016/j.eswa.2020.114104" TargetMode="External"/><Relationship Id="rId44" Type="http://schemas.openxmlformats.org/officeDocument/2006/relationships/hyperlink" Target="https://doi.org/10.1016/j.jbef.2020.100352" TargetMode="External"/><Relationship Id="rId52" Type="http://schemas.openxmlformats.org/officeDocument/2006/relationships/hyperlink" Target="https://doi.org/10.1016/j.jbankfin.2022.106416" TargetMode="External"/><Relationship Id="rId60" Type="http://schemas.openxmlformats.org/officeDocument/2006/relationships/hyperlink" Target="https://doi.org/10.1186/s40854-021-00237-1" TargetMode="External"/><Relationship Id="rId65" Type="http://schemas.openxmlformats.org/officeDocument/2006/relationships/hyperlink" Target="https://eur-lex.europa.eu/eli/reg/2024/1689/oj" TargetMode="External"/><Relationship Id="rId73" Type="http://schemas.openxmlformats.org/officeDocument/2006/relationships/hyperlink" Target="https://doi.org/10.1186/s40854-023-00470-w"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07/s43546-023-00618-x" TargetMode="External"/><Relationship Id="rId13" Type="http://schemas.openxmlformats.org/officeDocument/2006/relationships/hyperlink" Target="https://doi.org/10.1093/rfs/hhz099" TargetMode="External"/><Relationship Id="rId18" Type="http://schemas.openxmlformats.org/officeDocument/2006/relationships/hyperlink" Target="https://doi.org/10.1007/s10462-024-10854-8" TargetMode="External"/><Relationship Id="rId39" Type="http://schemas.openxmlformats.org/officeDocument/2006/relationships/hyperlink" Target="https://doi.org/10.1016/j.jretconser.2023.103600" TargetMode="External"/><Relationship Id="rId34" Type="http://schemas.openxmlformats.org/officeDocument/2006/relationships/hyperlink" Target="https://doi.org/10.3390/risks9070136" TargetMode="External"/><Relationship Id="rId50" Type="http://schemas.openxmlformats.org/officeDocument/2006/relationships/hyperlink" Target="https://doi.org/10.3390/risks7010029" TargetMode="External"/><Relationship Id="rId55" Type="http://schemas.openxmlformats.org/officeDocument/2006/relationships/hyperlink" Target="https://doi.org/10.3390/ijfs9030039"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doi.org/10.1007/s00521-023-09232-2" TargetMode="External"/><Relationship Id="rId2" Type="http://schemas.openxmlformats.org/officeDocument/2006/relationships/numbering" Target="numbering.xml"/><Relationship Id="rId29" Type="http://schemas.openxmlformats.org/officeDocument/2006/relationships/hyperlink" Target="https://doi.org/10.1186/s40854-024-00629-z" TargetMode="External"/><Relationship Id="rId24" Type="http://schemas.openxmlformats.org/officeDocument/2006/relationships/hyperlink" Target="https://doi.org/10.1016/j.ejor.2021.06.053" TargetMode="External"/><Relationship Id="rId40" Type="http://schemas.openxmlformats.org/officeDocument/2006/relationships/hyperlink" Target="https://doi.org/10.1016/j.eswa.2022.118878" TargetMode="External"/><Relationship Id="rId45" Type="http://schemas.openxmlformats.org/officeDocument/2006/relationships/hyperlink" Target="https://doi.org/10.3846/tede.2019.8740" TargetMode="External"/><Relationship Id="rId66" Type="http://schemas.openxmlformats.org/officeDocument/2006/relationships/hyperlink" Target="https://doi.org/10.1108/JMLC-03-2024-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53120-4224-4264-AB64-19D4BDC9A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18565</Words>
  <Characters>105827</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6</cp:revision>
  <dcterms:created xsi:type="dcterms:W3CDTF">2013-12-23T23:15:00Z</dcterms:created>
  <dcterms:modified xsi:type="dcterms:W3CDTF">2026-09-02T07:43:00Z</dcterms:modified>
  <cp:category/>
</cp:coreProperties>
</file>