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75F89" w14:textId="77777777" w:rsidR="003614FF" w:rsidRDefault="003614FF" w:rsidP="00A415E5">
      <w:pPr>
        <w:contextualSpacing/>
        <w:jc w:val="center"/>
        <w:rPr>
          <w:rFonts w:ascii="Times New Roman" w:hAnsi="Times New Roman" w:cs="Times New Roman"/>
          <w:b/>
          <w:bCs/>
          <w:sz w:val="24"/>
          <w:szCs w:val="24"/>
        </w:rPr>
      </w:pPr>
      <w:r w:rsidRPr="003614FF">
        <w:rPr>
          <w:rFonts w:ascii="Times New Roman" w:hAnsi="Times New Roman" w:cs="Times New Roman"/>
          <w:b/>
          <w:bCs/>
          <w:sz w:val="24"/>
          <w:szCs w:val="24"/>
        </w:rPr>
        <w:t>Use of Sun-Dried Cassava Leaves (</w:t>
      </w:r>
      <w:r w:rsidRPr="003614FF">
        <w:rPr>
          <w:rFonts w:ascii="Times New Roman" w:hAnsi="Times New Roman" w:cs="Times New Roman"/>
          <w:b/>
          <w:bCs/>
          <w:i/>
          <w:iCs/>
          <w:sz w:val="24"/>
          <w:szCs w:val="24"/>
        </w:rPr>
        <w:t>Manihot esculenta</w:t>
      </w:r>
      <w:r w:rsidRPr="003614FF">
        <w:rPr>
          <w:rFonts w:ascii="Times New Roman" w:hAnsi="Times New Roman" w:cs="Times New Roman"/>
          <w:b/>
          <w:bCs/>
          <w:sz w:val="24"/>
          <w:szCs w:val="24"/>
        </w:rPr>
        <w:t xml:space="preserve"> Crantz) in the Diet of Sahelian Bucks in Niger: Zootechn</w:t>
      </w:r>
      <w:r w:rsidR="002E43E3">
        <w:rPr>
          <w:rFonts w:ascii="Times New Roman" w:hAnsi="Times New Roman" w:cs="Times New Roman"/>
          <w:b/>
          <w:bCs/>
          <w:sz w:val="24"/>
          <w:szCs w:val="24"/>
        </w:rPr>
        <w:t>ical Performance, Digestibility</w:t>
      </w:r>
      <w:r w:rsidRPr="003614FF">
        <w:rPr>
          <w:rFonts w:ascii="Times New Roman" w:hAnsi="Times New Roman" w:cs="Times New Roman"/>
          <w:b/>
          <w:bCs/>
          <w:sz w:val="24"/>
          <w:szCs w:val="24"/>
        </w:rPr>
        <w:t xml:space="preserve"> and Economic Profitability</w:t>
      </w:r>
    </w:p>
    <w:p w14:paraId="2AC8DA58" w14:textId="77777777" w:rsidR="00E74046" w:rsidRDefault="00E74046" w:rsidP="00A415E5">
      <w:pPr>
        <w:contextualSpacing/>
        <w:jc w:val="center"/>
        <w:rPr>
          <w:rFonts w:ascii="Times New Roman" w:hAnsi="Times New Roman" w:cs="Times New Roman"/>
          <w:b/>
          <w:bCs/>
          <w:sz w:val="24"/>
          <w:szCs w:val="24"/>
        </w:rPr>
      </w:pPr>
    </w:p>
    <w:p w14:paraId="766D380F" w14:textId="77777777" w:rsidR="008974A2" w:rsidRPr="003614FF" w:rsidRDefault="008974A2" w:rsidP="00A415E5">
      <w:pPr>
        <w:spacing w:after="0"/>
        <w:contextualSpacing/>
        <w:jc w:val="center"/>
        <w:rPr>
          <w:rFonts w:ascii="Times New Roman" w:hAnsi="Times New Roman" w:cs="Times New Roman"/>
          <w:sz w:val="24"/>
          <w:szCs w:val="24"/>
        </w:rPr>
      </w:pPr>
    </w:p>
    <w:p w14:paraId="570C8C56" w14:textId="53CB1D6A" w:rsidR="003614FF" w:rsidRDefault="007C7D50" w:rsidP="00A415E5">
      <w:pPr>
        <w:spacing w:before="240"/>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Abstract</w:t>
      </w:r>
      <w:r w:rsidR="00AE7CA6">
        <w:rPr>
          <w:rFonts w:ascii="Times New Roman" w:hAnsi="Times New Roman" w:cs="Times New Roman"/>
          <w:b/>
          <w:bCs/>
          <w:sz w:val="24"/>
          <w:szCs w:val="24"/>
        </w:rPr>
        <w:t xml:space="preserve">: </w:t>
      </w:r>
    </w:p>
    <w:p w14:paraId="1B88CB2B" w14:textId="77777777" w:rsidR="00AE7CA6" w:rsidRPr="003614FF" w:rsidRDefault="00AE7CA6" w:rsidP="00A415E5">
      <w:pPr>
        <w:spacing w:before="240"/>
        <w:contextualSpacing/>
        <w:jc w:val="both"/>
        <w:rPr>
          <w:rFonts w:ascii="Times New Roman" w:hAnsi="Times New Roman" w:cs="Times New Roman"/>
          <w:b/>
          <w:bCs/>
          <w:sz w:val="24"/>
          <w:szCs w:val="24"/>
        </w:rPr>
      </w:pPr>
    </w:p>
    <w:p w14:paraId="1770A6DF" w14:textId="77777777" w:rsidR="003614FF" w:rsidRPr="003614FF" w:rsidRDefault="003614FF" w:rsidP="00A415E5">
      <w:pPr>
        <w:spacing w:line="480" w:lineRule="auto"/>
        <w:contextualSpacing/>
        <w:jc w:val="both"/>
        <w:rPr>
          <w:rFonts w:ascii="Times New Roman" w:hAnsi="Times New Roman" w:cs="Times New Roman"/>
          <w:i/>
          <w:iCs/>
          <w:sz w:val="24"/>
          <w:szCs w:val="24"/>
        </w:rPr>
      </w:pPr>
      <w:r w:rsidRPr="007C7D50">
        <w:rPr>
          <w:rFonts w:ascii="Times New Roman" w:hAnsi="Times New Roman" w:cs="Times New Roman"/>
          <w:iCs/>
          <w:sz w:val="24"/>
          <w:szCs w:val="24"/>
        </w:rPr>
        <w:t>The objective of this study was to evaluate the impact of gradual incorporation of sun-dried cassava leaves (</w:t>
      </w:r>
      <w:r w:rsidRPr="006B0227">
        <w:rPr>
          <w:rFonts w:ascii="Times New Roman" w:hAnsi="Times New Roman" w:cs="Times New Roman"/>
          <w:i/>
          <w:iCs/>
          <w:sz w:val="24"/>
          <w:szCs w:val="24"/>
        </w:rPr>
        <w:t>Manihot esculenta Crantz</w:t>
      </w:r>
      <w:r w:rsidRPr="007C7D50">
        <w:rPr>
          <w:rFonts w:ascii="Times New Roman" w:hAnsi="Times New Roman" w:cs="Times New Roman"/>
          <w:iCs/>
          <w:sz w:val="24"/>
          <w:szCs w:val="24"/>
        </w:rPr>
        <w:t xml:space="preserve">) into the concentrate ration on </w:t>
      </w:r>
      <w:r w:rsidR="00911341">
        <w:rPr>
          <w:rFonts w:ascii="Times New Roman" w:hAnsi="Times New Roman" w:cs="Times New Roman"/>
          <w:iCs/>
          <w:sz w:val="24"/>
          <w:szCs w:val="24"/>
        </w:rPr>
        <w:t xml:space="preserve">feed </w:t>
      </w:r>
      <w:r w:rsidRPr="007C7D50">
        <w:rPr>
          <w:rFonts w:ascii="Times New Roman" w:hAnsi="Times New Roman" w:cs="Times New Roman"/>
          <w:iCs/>
          <w:sz w:val="24"/>
          <w:szCs w:val="24"/>
        </w:rPr>
        <w:t>intake, apparent digestibility, growth performance, and economic profitability of fattening Sahelian bucks in Niger.</w:t>
      </w:r>
      <w:r w:rsidR="007C7D50">
        <w:rPr>
          <w:rFonts w:ascii="Times New Roman" w:hAnsi="Times New Roman" w:cs="Times New Roman"/>
          <w:iCs/>
          <w:sz w:val="24"/>
          <w:szCs w:val="24"/>
        </w:rPr>
        <w:t xml:space="preserve"> </w:t>
      </w:r>
      <w:r w:rsidRPr="007C7D50">
        <w:rPr>
          <w:rFonts w:ascii="Times New Roman" w:hAnsi="Times New Roman" w:cs="Times New Roman"/>
          <w:iCs/>
          <w:sz w:val="24"/>
          <w:szCs w:val="24"/>
        </w:rPr>
        <w:t xml:space="preserve">Twenty-four (24) Sahelian bucks, with an average initial live weight of </w:t>
      </w:r>
      <m:oMath>
        <m:r>
          <m:rPr>
            <m:sty m:val="p"/>
          </m:rPr>
          <w:rPr>
            <w:rFonts w:ascii="Cambria Math" w:hAnsi="Cambria Math" w:cs="Times New Roman"/>
            <w:sz w:val="24"/>
            <w:szCs w:val="24"/>
          </w:rPr>
          <m:t>14.5±1.2</m:t>
        </m:r>
        <m:r>
          <m:rPr>
            <m:nor/>
          </m:rPr>
          <w:rPr>
            <w:rFonts w:ascii="Times New Roman" w:hAnsi="Times New Roman" w:cs="Times New Roman"/>
            <w:iCs/>
            <w:sz w:val="24"/>
            <w:szCs w:val="24"/>
          </w:rPr>
          <m:t> kg</m:t>
        </m:r>
      </m:oMath>
      <w:r w:rsidRPr="007C7D50">
        <w:rPr>
          <w:rFonts w:ascii="Times New Roman" w:hAnsi="Times New Roman" w:cs="Times New Roman"/>
          <w:iCs/>
          <w:sz w:val="24"/>
          <w:szCs w:val="24"/>
          <w:highlight w:val="yellow"/>
        </w:rPr>
        <w:t xml:space="preserve"> and an age of 7 to 9 months, were randomly assigned in a </w:t>
      </w:r>
      <w:proofErr w:type="spellStart"/>
      <w:r w:rsidRPr="007C7D50">
        <w:rPr>
          <w:rFonts w:ascii="Times New Roman" w:hAnsi="Times New Roman" w:cs="Times New Roman"/>
          <w:iCs/>
          <w:sz w:val="24"/>
          <w:szCs w:val="24"/>
          <w:highlight w:val="yellow"/>
        </w:rPr>
        <w:t>randomised</w:t>
      </w:r>
      <w:proofErr w:type="spellEnd"/>
      <w:r w:rsidRPr="007C7D50">
        <w:rPr>
          <w:rFonts w:ascii="Times New Roman" w:hAnsi="Times New Roman" w:cs="Times New Roman"/>
          <w:iCs/>
          <w:sz w:val="24"/>
          <w:szCs w:val="24"/>
          <w:highlight w:val="yellow"/>
        </w:rPr>
        <w:t xml:space="preserve"> complete block design to four treatments (</w:t>
      </w:r>
      <m:oMath>
        <m:r>
          <m:rPr>
            <m:sty m:val="p"/>
          </m:rPr>
          <w:rPr>
            <w:rFonts w:ascii="Cambria Math" w:hAnsi="Cambria Math" w:cs="Times New Roman"/>
            <w:sz w:val="24"/>
            <w:szCs w:val="24"/>
          </w:rPr>
          <m:t>n=6</m:t>
        </m:r>
      </m:oMath>
      <w:r w:rsidRPr="007C7D50">
        <w:rPr>
          <w:rFonts w:ascii="Times New Roman" w:hAnsi="Times New Roman" w:cs="Times New Roman"/>
          <w:iCs/>
          <w:sz w:val="24"/>
          <w:szCs w:val="24"/>
        </w:rPr>
        <w:t xml:space="preserve"> per treatment) for 70 days (14 days of adaptation and 56 days of data collection). Treatments consisted of a basal diet of sorghum stover fed ad libitum, supplemented with a concentrate containing different incorporation levels of shade-dried cassava leaves (DCL): 0% (DCL0 - Control), 15% (DCL15), 30% (DCL30), and 45% (DCL45).</w:t>
      </w:r>
      <w:r w:rsidR="007C7D50">
        <w:rPr>
          <w:rFonts w:ascii="Times New Roman" w:hAnsi="Times New Roman" w:cs="Times New Roman"/>
          <w:iCs/>
          <w:sz w:val="24"/>
          <w:szCs w:val="24"/>
        </w:rPr>
        <w:t xml:space="preserve"> </w:t>
      </w:r>
      <w:r w:rsidR="00D769C4" w:rsidRPr="00D769C4">
        <w:rPr>
          <w:rFonts w:ascii="Times New Roman" w:hAnsi="Times New Roman" w:cs="Times New Roman"/>
          <w:iCs/>
          <w:sz w:val="24"/>
          <w:szCs w:val="24"/>
          <w:highlight w:val="yellow"/>
        </w:rPr>
        <w:t>Dried cassava leaves (DCL) contained</w:t>
      </w:r>
      <w:r w:rsidR="00D769C4" w:rsidRPr="00D769C4">
        <w:rPr>
          <w:rFonts w:ascii="Times New Roman" w:hAnsi="Times New Roman" w:cs="Times New Roman"/>
          <w:iCs/>
          <w:sz w:val="24"/>
          <w:szCs w:val="24"/>
        </w:rPr>
        <w:t xml:space="preserve"> 91.8% dry matter (DM) and 21.4% crude protein (CP)</w:t>
      </w:r>
      <w:r w:rsidR="00AD2A44">
        <w:rPr>
          <w:rFonts w:ascii="Times New Roman" w:hAnsi="Times New Roman" w:cs="Times New Roman"/>
          <w:iCs/>
          <w:sz w:val="24"/>
          <w:szCs w:val="24"/>
        </w:rPr>
        <w:t>.</w:t>
      </w:r>
      <w:r w:rsidRPr="007C7D50">
        <w:rPr>
          <w:rFonts w:ascii="Times New Roman" w:hAnsi="Times New Roman" w:cs="Times New Roman"/>
          <w:iCs/>
          <w:sz w:val="24"/>
          <w:szCs w:val="24"/>
        </w:rPr>
        <w:t xml:space="preserve"> Total DM intake increased linearly with the DCL level (</w:t>
      </w:r>
      <m:oMath>
        <m:r>
          <m:rPr>
            <m:sty m:val="p"/>
          </m:rPr>
          <w:rPr>
            <w:rFonts w:ascii="Cambria Math" w:hAnsi="Cambria Math" w:cs="Times New Roman"/>
            <w:sz w:val="24"/>
            <w:szCs w:val="24"/>
          </w:rPr>
          <m:t>P&lt;0.05</m:t>
        </m:r>
      </m:oMath>
      <w:r w:rsidRPr="007C7D50">
        <w:rPr>
          <w:rFonts w:ascii="Times New Roman" w:hAnsi="Times New Roman" w:cs="Times New Roman"/>
          <w:iCs/>
          <w:sz w:val="24"/>
          <w:szCs w:val="24"/>
        </w:rPr>
        <w:t xml:space="preserve">), reaching </w:t>
      </w:r>
      <m:oMath>
        <m:r>
          <m:rPr>
            <m:sty m:val="p"/>
          </m:rPr>
          <w:rPr>
            <w:rFonts w:ascii="Cambria Math" w:hAnsi="Cambria Math" w:cs="Times New Roman"/>
            <w:sz w:val="24"/>
            <w:szCs w:val="24"/>
          </w:rPr>
          <m:t>612.4</m:t>
        </m:r>
        <m:r>
          <m:rPr>
            <m:nor/>
          </m:rPr>
          <w:rPr>
            <w:rFonts w:ascii="Times New Roman" w:hAnsi="Times New Roman" w:cs="Times New Roman"/>
            <w:iCs/>
            <w:sz w:val="24"/>
            <w:szCs w:val="24"/>
          </w:rPr>
          <m:t> g DM/day</m:t>
        </m:r>
      </m:oMath>
      <w:r w:rsidRPr="007C7D50">
        <w:rPr>
          <w:rFonts w:ascii="Times New Roman" w:hAnsi="Times New Roman" w:cs="Times New Roman"/>
          <w:iCs/>
          <w:sz w:val="24"/>
          <w:szCs w:val="24"/>
        </w:rPr>
        <w:t xml:space="preserve"> for DCL30 compared to </w:t>
      </w:r>
      <m:oMath>
        <m:r>
          <m:rPr>
            <m:sty m:val="p"/>
          </m:rPr>
          <w:rPr>
            <w:rFonts w:ascii="Cambria Math" w:hAnsi="Cambria Math" w:cs="Times New Roman"/>
            <w:sz w:val="24"/>
            <w:szCs w:val="24"/>
          </w:rPr>
          <m:t>515.2</m:t>
        </m:r>
        <m:r>
          <m:rPr>
            <m:nor/>
          </m:rPr>
          <w:rPr>
            <w:rFonts w:ascii="Times New Roman" w:hAnsi="Times New Roman" w:cs="Times New Roman"/>
            <w:iCs/>
            <w:sz w:val="24"/>
            <w:szCs w:val="24"/>
          </w:rPr>
          <m:t> g DM/day</m:t>
        </m:r>
      </m:oMath>
      <w:r w:rsidRPr="007C7D50">
        <w:rPr>
          <w:rFonts w:ascii="Times New Roman" w:hAnsi="Times New Roman" w:cs="Times New Roman"/>
          <w:iCs/>
          <w:sz w:val="24"/>
          <w:szCs w:val="24"/>
        </w:rPr>
        <w:t xml:space="preserve"> for DCL0. </w:t>
      </w:r>
      <w:r w:rsidRPr="007C7D50">
        <w:rPr>
          <w:rFonts w:ascii="Times New Roman" w:hAnsi="Times New Roman" w:cs="Times New Roman"/>
          <w:iCs/>
          <w:sz w:val="24"/>
          <w:szCs w:val="24"/>
          <w:highlight w:val="yellow"/>
        </w:rPr>
        <w:t>Average daily gain (ADG)</w:t>
      </w:r>
      <w:r w:rsidRPr="007C7D50">
        <w:rPr>
          <w:rFonts w:ascii="Times New Roman" w:hAnsi="Times New Roman" w:cs="Times New Roman"/>
          <w:iCs/>
          <w:sz w:val="24"/>
          <w:szCs w:val="24"/>
        </w:rPr>
        <w:t xml:space="preserve"> was significantly higher in the DCL30 (</w:t>
      </w:r>
      <m:oMath>
        <m:r>
          <m:rPr>
            <m:sty m:val="p"/>
          </m:rPr>
          <w:rPr>
            <w:rFonts w:ascii="Cambria Math" w:hAnsi="Cambria Math" w:cs="Times New Roman"/>
            <w:sz w:val="24"/>
            <w:szCs w:val="24"/>
          </w:rPr>
          <m:t>78.5</m:t>
        </m:r>
        <m:r>
          <m:rPr>
            <m:nor/>
          </m:rPr>
          <w:rPr>
            <w:rFonts w:ascii="Times New Roman" w:hAnsi="Times New Roman" w:cs="Times New Roman"/>
            <w:iCs/>
            <w:sz w:val="24"/>
            <w:szCs w:val="24"/>
          </w:rPr>
          <m:t> g/day</m:t>
        </m:r>
      </m:oMath>
      <w:r w:rsidRPr="007C7D50">
        <w:rPr>
          <w:rFonts w:ascii="Times New Roman" w:hAnsi="Times New Roman" w:cs="Times New Roman"/>
          <w:iCs/>
          <w:sz w:val="24"/>
          <w:szCs w:val="24"/>
        </w:rPr>
        <w:t>) and DCL15 (</w:t>
      </w:r>
      <m:oMath>
        <m:r>
          <m:rPr>
            <m:sty m:val="p"/>
          </m:rPr>
          <w:rPr>
            <w:rFonts w:ascii="Cambria Math" w:hAnsi="Cambria Math" w:cs="Times New Roman"/>
            <w:sz w:val="24"/>
            <w:szCs w:val="24"/>
          </w:rPr>
          <m:t>71.2</m:t>
        </m:r>
        <m:r>
          <m:rPr>
            <m:nor/>
          </m:rPr>
          <w:rPr>
            <w:rFonts w:ascii="Times New Roman" w:hAnsi="Times New Roman" w:cs="Times New Roman"/>
            <w:iCs/>
            <w:sz w:val="24"/>
            <w:szCs w:val="24"/>
          </w:rPr>
          <m:t> g/day</m:t>
        </m:r>
      </m:oMath>
      <w:r w:rsidRPr="007C7D50">
        <w:rPr>
          <w:rFonts w:ascii="Times New Roman" w:hAnsi="Times New Roman" w:cs="Times New Roman"/>
          <w:iCs/>
          <w:sz w:val="24"/>
          <w:szCs w:val="24"/>
        </w:rPr>
        <w:t xml:space="preserve">) groups </w:t>
      </w:r>
      <w:r w:rsidRPr="007C7D50">
        <w:rPr>
          <w:rFonts w:ascii="Times New Roman" w:hAnsi="Times New Roman" w:cs="Times New Roman"/>
          <w:iCs/>
          <w:sz w:val="24"/>
          <w:szCs w:val="24"/>
          <w:highlight w:val="yellow"/>
        </w:rPr>
        <w:t>compared with the DCL0 control group</w:t>
      </w:r>
      <w:r w:rsidRPr="007C7D50">
        <w:rPr>
          <w:rFonts w:ascii="Times New Roman" w:hAnsi="Times New Roman" w:cs="Times New Roman"/>
          <w:iCs/>
          <w:sz w:val="24"/>
          <w:szCs w:val="24"/>
        </w:rPr>
        <w:t xml:space="preserve"> (</w:t>
      </w:r>
      <m:oMath>
        <m:r>
          <m:rPr>
            <m:sty m:val="p"/>
          </m:rPr>
          <w:rPr>
            <w:rFonts w:ascii="Cambria Math" w:hAnsi="Cambria Math" w:cs="Times New Roman"/>
            <w:sz w:val="24"/>
            <w:szCs w:val="24"/>
          </w:rPr>
          <m:t>52.4</m:t>
        </m:r>
        <m:r>
          <m:rPr>
            <m:nor/>
          </m:rPr>
          <w:rPr>
            <w:rFonts w:ascii="Times New Roman" w:hAnsi="Times New Roman" w:cs="Times New Roman"/>
            <w:iCs/>
            <w:sz w:val="24"/>
            <w:szCs w:val="24"/>
          </w:rPr>
          <m:t> g/day</m:t>
        </m:r>
      </m:oMath>
      <w:r w:rsidRPr="007C7D50">
        <w:rPr>
          <w:rFonts w:ascii="Times New Roman" w:hAnsi="Times New Roman" w:cs="Times New Roman"/>
          <w:iCs/>
          <w:sz w:val="24"/>
          <w:szCs w:val="24"/>
        </w:rPr>
        <w:t>) (</w:t>
      </w:r>
      <m:oMath>
        <m:r>
          <m:rPr>
            <m:sty m:val="p"/>
          </m:rPr>
          <w:rPr>
            <w:rFonts w:ascii="Cambria Math" w:hAnsi="Cambria Math" w:cs="Times New Roman"/>
            <w:sz w:val="24"/>
            <w:szCs w:val="24"/>
          </w:rPr>
          <m:t>P&lt;0.01</m:t>
        </m:r>
      </m:oMath>
      <w:r w:rsidRPr="007C7D50">
        <w:rPr>
          <w:rFonts w:ascii="Times New Roman" w:hAnsi="Times New Roman" w:cs="Times New Roman"/>
          <w:iCs/>
          <w:sz w:val="24"/>
          <w:szCs w:val="24"/>
        </w:rPr>
        <w:t xml:space="preserve">). Beyond 30% incorporation (DCL45), </w:t>
      </w:r>
      <w:r w:rsidRPr="007C7D50">
        <w:rPr>
          <w:rFonts w:ascii="Times New Roman" w:hAnsi="Times New Roman" w:cs="Times New Roman"/>
          <w:iCs/>
          <w:sz w:val="24"/>
          <w:szCs w:val="24"/>
          <w:highlight w:val="yellow"/>
        </w:rPr>
        <w:t>a slight, non-significant decrease</w:t>
      </w:r>
      <w:r w:rsidRPr="007C7D50">
        <w:rPr>
          <w:rFonts w:ascii="Times New Roman" w:hAnsi="Times New Roman" w:cs="Times New Roman"/>
          <w:iCs/>
          <w:sz w:val="24"/>
          <w:szCs w:val="24"/>
        </w:rPr>
        <w:t xml:space="preserve"> in ADG (</w:t>
      </w:r>
      <m:oMath>
        <m:r>
          <m:rPr>
            <m:sty m:val="p"/>
          </m:rPr>
          <w:rPr>
            <w:rFonts w:ascii="Cambria Math" w:hAnsi="Cambria Math" w:cs="Times New Roman"/>
            <w:sz w:val="24"/>
            <w:szCs w:val="24"/>
          </w:rPr>
          <m:t>68.1</m:t>
        </m:r>
        <m:r>
          <m:rPr>
            <m:nor/>
          </m:rPr>
          <w:rPr>
            <w:rFonts w:ascii="Times New Roman" w:hAnsi="Times New Roman" w:cs="Times New Roman"/>
            <w:iCs/>
            <w:sz w:val="24"/>
            <w:szCs w:val="24"/>
          </w:rPr>
          <m:t> g/day</m:t>
        </m:r>
      </m:oMath>
      <w:r w:rsidRPr="007C7D50">
        <w:rPr>
          <w:rFonts w:ascii="Times New Roman" w:hAnsi="Times New Roman" w:cs="Times New Roman"/>
          <w:iCs/>
          <w:sz w:val="24"/>
          <w:szCs w:val="24"/>
        </w:rPr>
        <w:t xml:space="preserve">) and DM digestibility was observed. The most efficient feed conversion ratio was recorded for the DCL30 group (7.80). </w:t>
      </w:r>
      <w:r w:rsidRPr="007C7D50">
        <w:rPr>
          <w:rFonts w:ascii="Times New Roman" w:hAnsi="Times New Roman" w:cs="Times New Roman"/>
          <w:iCs/>
          <w:sz w:val="24"/>
          <w:szCs w:val="24"/>
          <w:highlight w:val="yellow"/>
        </w:rPr>
        <w:t>Economic analysis showed that</w:t>
      </w:r>
      <w:r w:rsidRPr="007C7D50">
        <w:rPr>
          <w:rFonts w:ascii="Times New Roman" w:hAnsi="Times New Roman" w:cs="Times New Roman"/>
          <w:iCs/>
          <w:sz w:val="24"/>
          <w:szCs w:val="24"/>
        </w:rPr>
        <w:t xml:space="preserve"> the feed cost per kilogram of live weight gain decreased by 35.7% for the DCL30 treatment compared to the control.</w:t>
      </w:r>
      <w:r w:rsidR="007C7D50">
        <w:rPr>
          <w:rFonts w:ascii="Times New Roman" w:hAnsi="Times New Roman" w:cs="Times New Roman"/>
          <w:iCs/>
          <w:sz w:val="24"/>
          <w:szCs w:val="24"/>
        </w:rPr>
        <w:t xml:space="preserve"> </w:t>
      </w:r>
      <w:r w:rsidRPr="007C7D50">
        <w:rPr>
          <w:rFonts w:ascii="Times New Roman" w:hAnsi="Times New Roman" w:cs="Times New Roman"/>
          <w:iCs/>
          <w:sz w:val="24"/>
          <w:szCs w:val="24"/>
          <w:highlight w:val="yellow"/>
        </w:rPr>
        <w:t>Incorporating sun-dried cassava leaves at up to 30% of the concentrate significantly improved the growth performance of Sahelian bucks while substantially reducing production costs under semi-arid conditions.</w:t>
      </w:r>
    </w:p>
    <w:p w14:paraId="57BE7481" w14:textId="77777777" w:rsidR="003614FF" w:rsidRDefault="003614FF" w:rsidP="00A415E5">
      <w:pPr>
        <w:contextualSpacing/>
        <w:jc w:val="both"/>
        <w:rPr>
          <w:rFonts w:ascii="Times New Roman" w:hAnsi="Times New Roman" w:cs="Times New Roman"/>
          <w:sz w:val="24"/>
          <w:szCs w:val="24"/>
        </w:rPr>
      </w:pPr>
      <w:r w:rsidRPr="003614FF">
        <w:rPr>
          <w:rFonts w:ascii="Times New Roman" w:hAnsi="Times New Roman" w:cs="Times New Roman"/>
          <w:b/>
          <w:bCs/>
          <w:sz w:val="24"/>
          <w:szCs w:val="24"/>
        </w:rPr>
        <w:t>Keywords:</w:t>
      </w:r>
      <w:r w:rsidRPr="003614FF">
        <w:rPr>
          <w:rFonts w:ascii="Times New Roman" w:hAnsi="Times New Roman" w:cs="Times New Roman"/>
          <w:sz w:val="24"/>
          <w:szCs w:val="24"/>
        </w:rPr>
        <w:t xml:space="preserve"> Goats, </w:t>
      </w:r>
      <w:r w:rsidRPr="003614FF">
        <w:rPr>
          <w:rFonts w:ascii="Times New Roman" w:hAnsi="Times New Roman" w:cs="Times New Roman"/>
          <w:i/>
          <w:iCs/>
          <w:sz w:val="24"/>
          <w:szCs w:val="24"/>
        </w:rPr>
        <w:t>Manihot esculenta</w:t>
      </w:r>
      <w:r w:rsidRPr="003614FF">
        <w:rPr>
          <w:rFonts w:ascii="Times New Roman" w:hAnsi="Times New Roman" w:cs="Times New Roman"/>
          <w:sz w:val="24"/>
          <w:szCs w:val="24"/>
        </w:rPr>
        <w:t>, Fattening, Weight gain, Protein substrate, Niger.</w:t>
      </w:r>
    </w:p>
    <w:p w14:paraId="40885B3F" w14:textId="77777777" w:rsidR="00237B32" w:rsidRPr="003614FF" w:rsidRDefault="00237B32" w:rsidP="00A415E5">
      <w:pPr>
        <w:contextualSpacing/>
        <w:jc w:val="both"/>
        <w:rPr>
          <w:rFonts w:ascii="Times New Roman" w:hAnsi="Times New Roman" w:cs="Times New Roman"/>
          <w:sz w:val="24"/>
          <w:szCs w:val="24"/>
        </w:rPr>
      </w:pPr>
    </w:p>
    <w:p w14:paraId="4A214652" w14:textId="77777777"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I</w:t>
      </w:r>
      <w:r w:rsidR="007C7D50" w:rsidRPr="003614FF">
        <w:rPr>
          <w:rFonts w:ascii="Times New Roman" w:hAnsi="Times New Roman" w:cs="Times New Roman"/>
          <w:b/>
          <w:bCs/>
          <w:sz w:val="24"/>
          <w:szCs w:val="24"/>
        </w:rPr>
        <w:t>ntroduction</w:t>
      </w:r>
    </w:p>
    <w:p w14:paraId="799387BC" w14:textId="77777777" w:rsidR="00B26887" w:rsidRPr="008737A9" w:rsidRDefault="003614FF" w:rsidP="00A415E5">
      <w:pPr>
        <w:spacing w:line="480" w:lineRule="auto"/>
        <w:contextualSpacing/>
        <w:jc w:val="both"/>
        <w:rPr>
          <w:rFonts w:ascii="Times New Roman" w:hAnsi="Times New Roman" w:cs="Times New Roman"/>
          <w:sz w:val="24"/>
        </w:rPr>
      </w:pPr>
      <w:r w:rsidRPr="003614FF">
        <w:rPr>
          <w:rFonts w:ascii="Times New Roman" w:hAnsi="Times New Roman" w:cs="Times New Roman"/>
          <w:sz w:val="24"/>
          <w:szCs w:val="24"/>
        </w:rPr>
        <w:lastRenderedPageBreak/>
        <w:t xml:space="preserve">In West Africa and particularly in Niger, small ruminant farming constitutes a major socio-economic pillar for food security, resilience, and rural household income (Réseau </w:t>
      </w:r>
      <w:proofErr w:type="spellStart"/>
      <w:r w:rsidRPr="003614FF">
        <w:rPr>
          <w:rFonts w:ascii="Times New Roman" w:hAnsi="Times New Roman" w:cs="Times New Roman"/>
          <w:sz w:val="24"/>
          <w:szCs w:val="24"/>
        </w:rPr>
        <w:t>Billital</w:t>
      </w:r>
      <w:proofErr w:type="spellEnd"/>
      <w:r w:rsidRPr="003614FF">
        <w:rPr>
          <w:rFonts w:ascii="Times New Roman" w:hAnsi="Times New Roman" w:cs="Times New Roman"/>
          <w:sz w:val="24"/>
          <w:szCs w:val="24"/>
        </w:rPr>
        <w:t xml:space="preserve"> </w:t>
      </w:r>
      <w:proofErr w:type="spellStart"/>
      <w:r w:rsidRPr="003614FF">
        <w:rPr>
          <w:rFonts w:ascii="Times New Roman" w:hAnsi="Times New Roman" w:cs="Times New Roman"/>
          <w:sz w:val="24"/>
          <w:szCs w:val="24"/>
        </w:rPr>
        <w:t>Maroobé</w:t>
      </w:r>
      <w:proofErr w:type="spellEnd"/>
      <w:r w:rsidRPr="003614FF">
        <w:rPr>
          <w:rFonts w:ascii="Times New Roman" w:hAnsi="Times New Roman" w:cs="Times New Roman"/>
          <w:sz w:val="24"/>
          <w:szCs w:val="24"/>
        </w:rPr>
        <w:t xml:space="preserve"> [RBM], 2020; Food and Agriculture Organization of the United Nations [FAO], 2022). However, goat production faces a major nutritional constraint related to low availability and high seasonal variability in the nutritive va</w:t>
      </w:r>
      <w:r w:rsidR="002E43E3">
        <w:rPr>
          <w:rFonts w:ascii="Times New Roman" w:hAnsi="Times New Roman" w:cs="Times New Roman"/>
          <w:sz w:val="24"/>
          <w:szCs w:val="24"/>
        </w:rPr>
        <w:t>lue of natural forages (Ndlovu &amp; Sibanda, 1993; Toutain et al., 2006)</w:t>
      </w:r>
      <w:r w:rsidRPr="003614FF">
        <w:rPr>
          <w:rFonts w:ascii="Times New Roman" w:hAnsi="Times New Roman" w:cs="Times New Roman"/>
          <w:sz w:val="24"/>
          <w:szCs w:val="24"/>
        </w:rPr>
        <w:t>. During the long dry season (8 to 9 months), protein deficiency in crop residues and rangelands leads to a negative nutritional balance, causing considerable weight loss, decreased fertility, and increased morta</w:t>
      </w:r>
      <w:r w:rsidR="002E43E3">
        <w:rPr>
          <w:rFonts w:ascii="Times New Roman" w:hAnsi="Times New Roman" w:cs="Times New Roman"/>
          <w:sz w:val="24"/>
          <w:szCs w:val="24"/>
        </w:rPr>
        <w:t xml:space="preserve">lity in young animals (Preston &amp; Leng, 1987; </w:t>
      </w:r>
      <w:proofErr w:type="spellStart"/>
      <w:r w:rsidR="002E43E3">
        <w:rPr>
          <w:rFonts w:ascii="Times New Roman" w:hAnsi="Times New Roman" w:cs="Times New Roman"/>
          <w:sz w:val="24"/>
          <w:szCs w:val="24"/>
        </w:rPr>
        <w:t>Boutonnet</w:t>
      </w:r>
      <w:proofErr w:type="spellEnd"/>
      <w:r w:rsidR="002E43E3">
        <w:rPr>
          <w:rFonts w:ascii="Times New Roman" w:hAnsi="Times New Roman" w:cs="Times New Roman"/>
          <w:sz w:val="24"/>
          <w:szCs w:val="24"/>
        </w:rPr>
        <w:t>, 1992)</w:t>
      </w:r>
      <w:r w:rsidRPr="003614FF">
        <w:rPr>
          <w:rFonts w:ascii="Times New Roman" w:hAnsi="Times New Roman" w:cs="Times New Roman"/>
          <w:sz w:val="24"/>
          <w:szCs w:val="24"/>
        </w:rPr>
        <w:t>.</w:t>
      </w:r>
      <w:r w:rsidR="002E43E3">
        <w:rPr>
          <w:rFonts w:ascii="Times New Roman" w:hAnsi="Times New Roman" w:cs="Times New Roman"/>
          <w:sz w:val="24"/>
          <w:szCs w:val="24"/>
        </w:rPr>
        <w:t xml:space="preserve"> </w:t>
      </w:r>
      <w:r w:rsidRPr="003614FF">
        <w:rPr>
          <w:rFonts w:ascii="Times New Roman" w:hAnsi="Times New Roman" w:cs="Times New Roman"/>
          <w:sz w:val="24"/>
          <w:szCs w:val="24"/>
        </w:rPr>
        <w:t xml:space="preserve">To maintain growth performance, protein supplementation is essential (Devendra, 1988, 1990). Nevertheless, access to conventional industrial concentrates (cottonseed cake, wheat bran) remains limited for smallholders due to high costs and local market fluctuations (Sanon et al., 2008; </w:t>
      </w:r>
      <w:proofErr w:type="spellStart"/>
      <w:r w:rsidRPr="003614FF">
        <w:rPr>
          <w:rFonts w:ascii="Times New Roman" w:hAnsi="Times New Roman" w:cs="Times New Roman"/>
          <w:sz w:val="24"/>
          <w:szCs w:val="24"/>
        </w:rPr>
        <w:t>Institut</w:t>
      </w:r>
      <w:proofErr w:type="spellEnd"/>
      <w:r w:rsidRPr="003614FF">
        <w:rPr>
          <w:rFonts w:ascii="Times New Roman" w:hAnsi="Times New Roman" w:cs="Times New Roman"/>
          <w:sz w:val="24"/>
          <w:szCs w:val="24"/>
        </w:rPr>
        <w:t xml:space="preserve"> National de la Recherche </w:t>
      </w:r>
      <w:proofErr w:type="spellStart"/>
      <w:r w:rsidRPr="003614FF">
        <w:rPr>
          <w:rFonts w:ascii="Times New Roman" w:hAnsi="Times New Roman" w:cs="Times New Roman"/>
          <w:sz w:val="24"/>
          <w:szCs w:val="24"/>
        </w:rPr>
        <w:t>Agronomique</w:t>
      </w:r>
      <w:proofErr w:type="spellEnd"/>
      <w:r w:rsidRPr="003614FF">
        <w:rPr>
          <w:rFonts w:ascii="Times New Roman" w:hAnsi="Times New Roman" w:cs="Times New Roman"/>
          <w:sz w:val="24"/>
          <w:szCs w:val="24"/>
        </w:rPr>
        <w:t xml:space="preserve"> du Niger [INRAN], 2019). The search for local, renewable, and economically accessible protein alternatives is therefore a priority for the sustainability of Sahelian-</w:t>
      </w:r>
      <w:proofErr w:type="spellStart"/>
      <w:r w:rsidRPr="003614FF">
        <w:rPr>
          <w:rFonts w:ascii="Times New Roman" w:hAnsi="Times New Roman" w:cs="Times New Roman"/>
          <w:sz w:val="24"/>
          <w:szCs w:val="24"/>
        </w:rPr>
        <w:t>Sudanian</w:t>
      </w:r>
      <w:proofErr w:type="spellEnd"/>
      <w:r w:rsidR="002E43E3">
        <w:rPr>
          <w:rFonts w:ascii="Times New Roman" w:hAnsi="Times New Roman" w:cs="Times New Roman"/>
          <w:sz w:val="24"/>
          <w:szCs w:val="24"/>
        </w:rPr>
        <w:t xml:space="preserve"> livestock systems (Smith, 1992</w:t>
      </w:r>
      <w:r w:rsidRPr="003614FF">
        <w:rPr>
          <w:rFonts w:ascii="Times New Roman" w:hAnsi="Times New Roman" w:cs="Times New Roman"/>
          <w:sz w:val="24"/>
          <w:szCs w:val="24"/>
        </w:rPr>
        <w:t>).</w:t>
      </w:r>
      <w:r w:rsidR="002E43E3">
        <w:rPr>
          <w:rFonts w:ascii="Times New Roman" w:hAnsi="Times New Roman" w:cs="Times New Roman"/>
          <w:sz w:val="24"/>
          <w:szCs w:val="24"/>
        </w:rPr>
        <w:t xml:space="preserve"> </w:t>
      </w:r>
      <w:r w:rsidRPr="003614FF">
        <w:rPr>
          <w:rFonts w:ascii="Times New Roman" w:hAnsi="Times New Roman" w:cs="Times New Roman"/>
          <w:sz w:val="24"/>
          <w:szCs w:val="24"/>
        </w:rPr>
        <w:t xml:space="preserve">Among </w:t>
      </w:r>
      <w:proofErr w:type="spellStart"/>
      <w:r w:rsidRPr="003614FF">
        <w:rPr>
          <w:rFonts w:ascii="Times New Roman" w:hAnsi="Times New Roman" w:cs="Times New Roman"/>
          <w:sz w:val="24"/>
          <w:szCs w:val="24"/>
          <w:highlight w:val="yellow"/>
        </w:rPr>
        <w:t>underutilised</w:t>
      </w:r>
      <w:proofErr w:type="spellEnd"/>
      <w:r w:rsidRPr="003614FF">
        <w:rPr>
          <w:rFonts w:ascii="Times New Roman" w:hAnsi="Times New Roman" w:cs="Times New Roman"/>
          <w:sz w:val="24"/>
          <w:szCs w:val="24"/>
          <w:highlight w:val="yellow"/>
        </w:rPr>
        <w:t xml:space="preserve"> resources</w:t>
      </w:r>
      <w:r w:rsidRPr="003614FF">
        <w:rPr>
          <w:rFonts w:ascii="Times New Roman" w:hAnsi="Times New Roman" w:cs="Times New Roman"/>
          <w:sz w:val="24"/>
          <w:szCs w:val="24"/>
        </w:rPr>
        <w:t>, cassava leaves (</w:t>
      </w:r>
      <w:r w:rsidRPr="003614FF">
        <w:rPr>
          <w:rFonts w:ascii="Times New Roman" w:hAnsi="Times New Roman" w:cs="Times New Roman"/>
          <w:i/>
          <w:iCs/>
          <w:sz w:val="24"/>
          <w:szCs w:val="24"/>
        </w:rPr>
        <w:t>Manihot esculenta</w:t>
      </w:r>
      <w:r w:rsidRPr="003614FF">
        <w:rPr>
          <w:rFonts w:ascii="Times New Roman" w:hAnsi="Times New Roman" w:cs="Times New Roman"/>
          <w:sz w:val="24"/>
          <w:szCs w:val="24"/>
        </w:rPr>
        <w:t xml:space="preserve"> Crantz), obtained as a </w:t>
      </w:r>
      <w:r w:rsidRPr="003614FF">
        <w:rPr>
          <w:rFonts w:ascii="Times New Roman" w:hAnsi="Times New Roman" w:cs="Times New Roman"/>
          <w:sz w:val="24"/>
          <w:szCs w:val="24"/>
          <w:highlight w:val="yellow"/>
        </w:rPr>
        <w:t>by-product during tuber harvesting</w:t>
      </w:r>
      <w:r w:rsidRPr="003614FF">
        <w:rPr>
          <w:rFonts w:ascii="Times New Roman" w:hAnsi="Times New Roman" w:cs="Times New Roman"/>
          <w:sz w:val="24"/>
          <w:szCs w:val="24"/>
        </w:rPr>
        <w:t>, exhibit remarkable nutritive value, with a crude protein (CP) content ranging between 18% and 25% of d</w:t>
      </w:r>
      <w:r w:rsidR="002E43E3">
        <w:rPr>
          <w:rFonts w:ascii="Times New Roman" w:hAnsi="Times New Roman" w:cs="Times New Roman"/>
          <w:sz w:val="24"/>
          <w:szCs w:val="24"/>
        </w:rPr>
        <w:t xml:space="preserve">ry matter (DM) (Ravindran, 1993; </w:t>
      </w:r>
      <w:proofErr w:type="spellStart"/>
      <w:r w:rsidR="002E43E3">
        <w:rPr>
          <w:rFonts w:ascii="Times New Roman" w:hAnsi="Times New Roman" w:cs="Times New Roman"/>
          <w:sz w:val="24"/>
          <w:szCs w:val="24"/>
        </w:rPr>
        <w:t>Wanapat</w:t>
      </w:r>
      <w:proofErr w:type="spellEnd"/>
      <w:r w:rsidR="002E43E3">
        <w:rPr>
          <w:rFonts w:ascii="Times New Roman" w:hAnsi="Times New Roman" w:cs="Times New Roman"/>
          <w:sz w:val="24"/>
          <w:szCs w:val="24"/>
        </w:rPr>
        <w:t>, 2003)</w:t>
      </w:r>
      <w:r w:rsidRPr="003614FF">
        <w:rPr>
          <w:rFonts w:ascii="Times New Roman" w:hAnsi="Times New Roman" w:cs="Times New Roman"/>
          <w:sz w:val="24"/>
          <w:szCs w:val="24"/>
        </w:rPr>
        <w:t>. Cassava foliage has also long been evaluated as a digestible forage source for ruminants (Ffoulkes et al., 1978).</w:t>
      </w:r>
      <w:r w:rsidR="002E43E3">
        <w:rPr>
          <w:rFonts w:ascii="Times New Roman" w:hAnsi="Times New Roman" w:cs="Times New Roman"/>
          <w:sz w:val="24"/>
          <w:szCs w:val="24"/>
        </w:rPr>
        <w:t xml:space="preserve"> </w:t>
      </w:r>
      <w:r w:rsidRPr="003614FF">
        <w:rPr>
          <w:rFonts w:ascii="Times New Roman" w:hAnsi="Times New Roman" w:cs="Times New Roman"/>
          <w:sz w:val="24"/>
          <w:szCs w:val="24"/>
        </w:rPr>
        <w:t xml:space="preserve">However, the use of fresh cassava leaves is restricted by the presence of cyanogenic </w:t>
      </w:r>
      <w:r w:rsidRPr="003614FF">
        <w:rPr>
          <w:rFonts w:ascii="Times New Roman" w:hAnsi="Times New Roman" w:cs="Times New Roman"/>
          <w:sz w:val="24"/>
          <w:szCs w:val="24"/>
          <w:highlight w:val="yellow"/>
        </w:rPr>
        <w:t xml:space="preserve">glycosides (mainly linamarin and </w:t>
      </w:r>
      <w:proofErr w:type="spellStart"/>
      <w:r w:rsidRPr="003614FF">
        <w:rPr>
          <w:rFonts w:ascii="Times New Roman" w:hAnsi="Times New Roman" w:cs="Times New Roman"/>
          <w:sz w:val="24"/>
          <w:szCs w:val="24"/>
          <w:highlight w:val="yellow"/>
        </w:rPr>
        <w:t>lotaustraline</w:t>
      </w:r>
      <w:proofErr w:type="spellEnd"/>
      <w:r w:rsidRPr="003614FF">
        <w:rPr>
          <w:rFonts w:ascii="Times New Roman" w:hAnsi="Times New Roman" w:cs="Times New Roman"/>
          <w:sz w:val="24"/>
          <w:szCs w:val="24"/>
          <w:highlight w:val="yellow"/>
        </w:rPr>
        <w:t xml:space="preserve">), which are </w:t>
      </w:r>
      <w:proofErr w:type="spellStart"/>
      <w:r w:rsidRPr="003614FF">
        <w:rPr>
          <w:rFonts w:ascii="Times New Roman" w:hAnsi="Times New Roman" w:cs="Times New Roman"/>
          <w:sz w:val="24"/>
          <w:szCs w:val="24"/>
          <w:highlight w:val="yellow"/>
        </w:rPr>
        <w:t>metabolised</w:t>
      </w:r>
      <w:proofErr w:type="spellEnd"/>
      <w:r w:rsidRPr="003614FF">
        <w:rPr>
          <w:rFonts w:ascii="Times New Roman" w:hAnsi="Times New Roman" w:cs="Times New Roman"/>
          <w:sz w:val="24"/>
          <w:szCs w:val="24"/>
          <w:highlight w:val="yellow"/>
        </w:rPr>
        <w:t xml:space="preserve"> into hydrocyanic acid</w:t>
      </w:r>
      <w:r w:rsidRPr="003614FF">
        <w:rPr>
          <w:rFonts w:ascii="Times New Roman" w:hAnsi="Times New Roman" w:cs="Times New Roman"/>
          <w:sz w:val="24"/>
          <w:szCs w:val="24"/>
        </w:rPr>
        <w:t xml:space="preserve"> (HCN), a compound potentially </w:t>
      </w:r>
      <w:r w:rsidR="002E43E3">
        <w:rPr>
          <w:rFonts w:ascii="Times New Roman" w:hAnsi="Times New Roman" w:cs="Times New Roman"/>
          <w:sz w:val="24"/>
          <w:szCs w:val="24"/>
        </w:rPr>
        <w:t>toxic to animals (</w:t>
      </w:r>
      <w:proofErr w:type="spellStart"/>
      <w:r w:rsidR="002E43E3">
        <w:rPr>
          <w:rFonts w:ascii="Times New Roman" w:hAnsi="Times New Roman" w:cs="Times New Roman"/>
          <w:sz w:val="24"/>
          <w:szCs w:val="24"/>
        </w:rPr>
        <w:t>Bokanga</w:t>
      </w:r>
      <w:proofErr w:type="spellEnd"/>
      <w:r w:rsidR="002E43E3">
        <w:rPr>
          <w:rFonts w:ascii="Times New Roman" w:hAnsi="Times New Roman" w:cs="Times New Roman"/>
          <w:sz w:val="24"/>
          <w:szCs w:val="24"/>
        </w:rPr>
        <w:t xml:space="preserve">, 1994; </w:t>
      </w:r>
      <w:proofErr w:type="spellStart"/>
      <w:r w:rsidR="002E43E3">
        <w:rPr>
          <w:rFonts w:ascii="Times New Roman" w:hAnsi="Times New Roman" w:cs="Times New Roman"/>
          <w:sz w:val="24"/>
          <w:szCs w:val="24"/>
        </w:rPr>
        <w:t>Nhassico</w:t>
      </w:r>
      <w:proofErr w:type="spellEnd"/>
      <w:r w:rsidR="002E43E3">
        <w:rPr>
          <w:rFonts w:ascii="Times New Roman" w:hAnsi="Times New Roman" w:cs="Times New Roman"/>
          <w:sz w:val="24"/>
          <w:szCs w:val="24"/>
        </w:rPr>
        <w:t xml:space="preserve"> et al., 2008)</w:t>
      </w:r>
      <w:r w:rsidRPr="003614FF">
        <w:rPr>
          <w:rFonts w:ascii="Times New Roman" w:hAnsi="Times New Roman" w:cs="Times New Roman"/>
          <w:sz w:val="24"/>
          <w:szCs w:val="24"/>
        </w:rPr>
        <w:t xml:space="preserve">. Fortunately, simple farmer-level processing methods such as wilting and solar drying in the shade activate endogenous </w:t>
      </w:r>
      <w:proofErr w:type="spellStart"/>
      <w:r w:rsidRPr="003614FF">
        <w:rPr>
          <w:rFonts w:ascii="Times New Roman" w:hAnsi="Times New Roman" w:cs="Times New Roman"/>
          <w:sz w:val="24"/>
          <w:szCs w:val="24"/>
        </w:rPr>
        <w:t>linamarase</w:t>
      </w:r>
      <w:proofErr w:type="spellEnd"/>
      <w:r w:rsidRPr="003614FF">
        <w:rPr>
          <w:rFonts w:ascii="Times New Roman" w:hAnsi="Times New Roman" w:cs="Times New Roman"/>
          <w:sz w:val="24"/>
          <w:szCs w:val="24"/>
        </w:rPr>
        <w:t xml:space="preserve"> and </w:t>
      </w:r>
      <w:proofErr w:type="spellStart"/>
      <w:r w:rsidRPr="003614FF">
        <w:rPr>
          <w:rFonts w:ascii="Times New Roman" w:hAnsi="Times New Roman" w:cs="Times New Roman"/>
          <w:sz w:val="24"/>
          <w:szCs w:val="24"/>
          <w:highlight w:val="yellow"/>
        </w:rPr>
        <w:t>volatilise</w:t>
      </w:r>
      <w:proofErr w:type="spellEnd"/>
      <w:r w:rsidRPr="003614FF">
        <w:rPr>
          <w:rFonts w:ascii="Times New Roman" w:hAnsi="Times New Roman" w:cs="Times New Roman"/>
          <w:sz w:val="24"/>
          <w:szCs w:val="24"/>
          <w:highlight w:val="yellow"/>
        </w:rPr>
        <w:t xml:space="preserve"> hydrocyanic acid</w:t>
      </w:r>
      <w:r w:rsidRPr="003614FF">
        <w:rPr>
          <w:rFonts w:ascii="Times New Roman" w:hAnsi="Times New Roman" w:cs="Times New Roman"/>
          <w:sz w:val="24"/>
          <w:szCs w:val="24"/>
        </w:rPr>
        <w:t>, reducing HCN levels to safe thresholds for ruminal digestion (</w:t>
      </w:r>
      <m:oMath>
        <m:r>
          <w:rPr>
            <w:rFonts w:ascii="Cambria Math" w:hAnsi="Cambria Math" w:cs="Times New Roman"/>
            <w:sz w:val="24"/>
            <w:szCs w:val="24"/>
          </w:rPr>
          <m:t>&lt;50</m:t>
        </m:r>
        <m:r>
          <m:rPr>
            <m:nor/>
          </m:rPr>
          <w:rPr>
            <w:rFonts w:ascii="Times New Roman" w:hAnsi="Times New Roman" w:cs="Times New Roman"/>
            <w:sz w:val="24"/>
            <w:szCs w:val="24"/>
          </w:rPr>
          <m:t> mg HCN/kg DM</m:t>
        </m:r>
      </m:oMath>
      <w:r w:rsidR="00403BCE">
        <w:rPr>
          <w:rFonts w:ascii="Times New Roman" w:hAnsi="Times New Roman" w:cs="Times New Roman"/>
          <w:sz w:val="24"/>
          <w:szCs w:val="24"/>
        </w:rPr>
        <w:t>) (Ravindran et al., 1987; Hang &amp; Preston, 2005)</w:t>
      </w:r>
      <w:r w:rsidRPr="003614FF">
        <w:rPr>
          <w:rFonts w:ascii="Times New Roman" w:hAnsi="Times New Roman" w:cs="Times New Roman"/>
          <w:sz w:val="24"/>
          <w:szCs w:val="24"/>
        </w:rPr>
        <w:t>.</w:t>
      </w:r>
      <w:r w:rsidR="002E43E3">
        <w:rPr>
          <w:rFonts w:ascii="Times New Roman" w:hAnsi="Times New Roman" w:cs="Times New Roman"/>
          <w:sz w:val="24"/>
          <w:szCs w:val="24"/>
        </w:rPr>
        <w:t xml:space="preserve"> </w:t>
      </w:r>
      <w:r w:rsidRPr="003614FF">
        <w:rPr>
          <w:rFonts w:ascii="Times New Roman" w:hAnsi="Times New Roman" w:cs="Times New Roman"/>
          <w:sz w:val="24"/>
          <w:szCs w:val="24"/>
        </w:rPr>
        <w:t xml:space="preserve">While the beneficial </w:t>
      </w:r>
      <w:r w:rsidRPr="003614FF">
        <w:rPr>
          <w:rFonts w:ascii="Times New Roman" w:hAnsi="Times New Roman" w:cs="Times New Roman"/>
          <w:sz w:val="24"/>
          <w:szCs w:val="24"/>
        </w:rPr>
        <w:lastRenderedPageBreak/>
        <w:t xml:space="preserve">effects of incorporating dried cassava leaves have been widely documented in goats and sheep in humid tropical zones (Onwuka, 1992; </w:t>
      </w:r>
      <w:proofErr w:type="spellStart"/>
      <w:r w:rsidRPr="003614FF">
        <w:rPr>
          <w:rFonts w:ascii="Times New Roman" w:hAnsi="Times New Roman" w:cs="Times New Roman"/>
          <w:sz w:val="24"/>
          <w:szCs w:val="24"/>
        </w:rPr>
        <w:t>Phengvichith</w:t>
      </w:r>
      <w:proofErr w:type="spellEnd"/>
      <w:r w:rsidRPr="003614FF">
        <w:rPr>
          <w:rFonts w:ascii="Times New Roman" w:hAnsi="Times New Roman" w:cs="Times New Roman"/>
          <w:sz w:val="24"/>
          <w:szCs w:val="24"/>
        </w:rPr>
        <w:t xml:space="preserve"> &amp; Preston, 2011; </w:t>
      </w:r>
      <w:proofErr w:type="spellStart"/>
      <w:r w:rsidRPr="003614FF">
        <w:rPr>
          <w:rFonts w:ascii="Times New Roman" w:hAnsi="Times New Roman" w:cs="Times New Roman"/>
          <w:sz w:val="24"/>
          <w:szCs w:val="24"/>
        </w:rPr>
        <w:t>Anaeto</w:t>
      </w:r>
      <w:proofErr w:type="spellEnd"/>
      <w:r w:rsidRPr="003614FF">
        <w:rPr>
          <w:rFonts w:ascii="Times New Roman" w:hAnsi="Times New Roman" w:cs="Times New Roman"/>
          <w:sz w:val="24"/>
          <w:szCs w:val="24"/>
        </w:rPr>
        <w:t xml:space="preserve"> et al., 2013), </w:t>
      </w:r>
      <w:r w:rsidRPr="003614FF">
        <w:rPr>
          <w:rFonts w:ascii="Times New Roman" w:hAnsi="Times New Roman" w:cs="Times New Roman"/>
          <w:sz w:val="24"/>
          <w:szCs w:val="24"/>
          <w:highlight w:val="yellow"/>
        </w:rPr>
        <w:t>little research has quantified</w:t>
      </w:r>
      <w:r w:rsidRPr="003614FF">
        <w:rPr>
          <w:rFonts w:ascii="Times New Roman" w:hAnsi="Times New Roman" w:cs="Times New Roman"/>
          <w:sz w:val="24"/>
          <w:szCs w:val="24"/>
        </w:rPr>
        <w:t xml:space="preserve"> their intake value, digestibility, and economic profitability in Sahelian goats under semi-arid conditions.</w:t>
      </w:r>
      <w:r w:rsidR="00B26887">
        <w:rPr>
          <w:rFonts w:ascii="Times New Roman" w:hAnsi="Times New Roman" w:cs="Times New Roman"/>
          <w:sz w:val="24"/>
          <w:szCs w:val="24"/>
        </w:rPr>
        <w:t xml:space="preserve"> </w:t>
      </w:r>
      <w:r w:rsidR="00B26887" w:rsidRPr="008737A9">
        <w:rPr>
          <w:rFonts w:ascii="Times New Roman" w:hAnsi="Times New Roman" w:cs="Times New Roman"/>
          <w:sz w:val="24"/>
        </w:rPr>
        <w:t>Cassava (</w:t>
      </w:r>
      <w:r w:rsidR="00B26887" w:rsidRPr="008737A9">
        <w:rPr>
          <w:rFonts w:ascii="Times New Roman" w:hAnsi="Times New Roman" w:cs="Times New Roman"/>
          <w:i/>
          <w:sz w:val="24"/>
        </w:rPr>
        <w:t>Manihot esculenta</w:t>
      </w:r>
      <w:r w:rsidR="00B26887" w:rsidRPr="008737A9">
        <w:rPr>
          <w:rFonts w:ascii="Times New Roman" w:hAnsi="Times New Roman" w:cs="Times New Roman"/>
          <w:sz w:val="24"/>
        </w:rPr>
        <w:t xml:space="preserve"> Crantz) </w:t>
      </w:r>
      <w:r w:rsidR="00B26887" w:rsidRPr="008737A9">
        <w:rPr>
          <w:rFonts w:ascii="Times New Roman" w:hAnsi="Times New Roman" w:cs="Times New Roman"/>
          <w:sz w:val="24"/>
          <w:highlight w:val="yellow"/>
        </w:rPr>
        <w:t>is an important food source for many Nigeriens and Nigerians, in addition to its use as livestock feed, and therefore has the potential to support economic development and food security in many rural farming communities</w:t>
      </w:r>
      <w:r w:rsidR="00B26887" w:rsidRPr="008737A9">
        <w:rPr>
          <w:rFonts w:ascii="Times New Roman" w:hAnsi="Times New Roman" w:cs="Times New Roman"/>
          <w:sz w:val="24"/>
        </w:rPr>
        <w:t xml:space="preserve"> (Udemezue et al., 2019). Cassava is produced in large quantities in Niger and Nigeria and its tuber products </w:t>
      </w:r>
      <w:r w:rsidR="00B26887" w:rsidRPr="008737A9">
        <w:rPr>
          <w:rFonts w:ascii="Times New Roman" w:hAnsi="Times New Roman" w:cs="Times New Roman"/>
          <w:sz w:val="24"/>
          <w:highlight w:val="yellow"/>
        </w:rPr>
        <w:t>are consumed as food by both animals and humans</w:t>
      </w:r>
      <w:r w:rsidR="00B26887" w:rsidRPr="008737A9">
        <w:rPr>
          <w:rFonts w:ascii="Times New Roman" w:hAnsi="Times New Roman" w:cs="Times New Roman"/>
          <w:sz w:val="24"/>
        </w:rPr>
        <w:t xml:space="preserve"> across sub-Saharan Africa (</w:t>
      </w:r>
      <w:proofErr w:type="spellStart"/>
      <w:r w:rsidR="00B26887" w:rsidRPr="008737A9">
        <w:rPr>
          <w:rFonts w:ascii="Times New Roman" w:hAnsi="Times New Roman" w:cs="Times New Roman"/>
          <w:sz w:val="24"/>
        </w:rPr>
        <w:t>Ayasan</w:t>
      </w:r>
      <w:proofErr w:type="spellEnd"/>
      <w:r w:rsidR="00B26887" w:rsidRPr="008737A9">
        <w:rPr>
          <w:rFonts w:ascii="Times New Roman" w:hAnsi="Times New Roman" w:cs="Times New Roman"/>
          <w:sz w:val="24"/>
        </w:rPr>
        <w:t xml:space="preserve">, 2010). </w:t>
      </w:r>
      <w:r w:rsidR="00B26887" w:rsidRPr="008737A9">
        <w:rPr>
          <w:rFonts w:ascii="Times New Roman" w:hAnsi="Times New Roman" w:cs="Times New Roman"/>
          <w:sz w:val="24"/>
          <w:highlight w:val="yellow"/>
        </w:rPr>
        <w:t>Most cassava products do not contain the peels, which are usually discarded and constitute about 13% of the tuber</w:t>
      </w:r>
      <w:r w:rsidR="00B26887" w:rsidRPr="008737A9">
        <w:rPr>
          <w:rFonts w:ascii="Times New Roman" w:hAnsi="Times New Roman" w:cs="Times New Roman"/>
          <w:sz w:val="24"/>
        </w:rPr>
        <w:t xml:space="preserve"> (Omotosho &amp; </w:t>
      </w:r>
      <w:proofErr w:type="spellStart"/>
      <w:r w:rsidR="00B26887" w:rsidRPr="008737A9">
        <w:rPr>
          <w:rFonts w:ascii="Times New Roman" w:hAnsi="Times New Roman" w:cs="Times New Roman"/>
          <w:sz w:val="24"/>
        </w:rPr>
        <w:t>Sangodoyin</w:t>
      </w:r>
      <w:proofErr w:type="spellEnd"/>
      <w:r w:rsidR="00B26887" w:rsidRPr="008737A9">
        <w:rPr>
          <w:rFonts w:ascii="Times New Roman" w:hAnsi="Times New Roman" w:cs="Times New Roman"/>
          <w:sz w:val="24"/>
        </w:rPr>
        <w:t xml:space="preserve">, 2013). </w:t>
      </w:r>
      <w:r w:rsidR="00B26887" w:rsidRPr="008737A9">
        <w:rPr>
          <w:rFonts w:ascii="Times New Roman" w:hAnsi="Times New Roman" w:cs="Times New Roman"/>
          <w:sz w:val="24"/>
          <w:highlight w:val="yellow"/>
        </w:rPr>
        <w:t xml:space="preserve">The </w:t>
      </w:r>
      <w:proofErr w:type="spellStart"/>
      <w:r w:rsidR="00B26887" w:rsidRPr="008737A9">
        <w:rPr>
          <w:rFonts w:ascii="Times New Roman" w:hAnsi="Times New Roman" w:cs="Times New Roman"/>
          <w:sz w:val="24"/>
          <w:highlight w:val="yellow"/>
        </w:rPr>
        <w:t>utilisation</w:t>
      </w:r>
      <w:proofErr w:type="spellEnd"/>
      <w:r w:rsidR="00B26887" w:rsidRPr="008737A9">
        <w:rPr>
          <w:rFonts w:ascii="Times New Roman" w:hAnsi="Times New Roman" w:cs="Times New Roman"/>
          <w:sz w:val="24"/>
          <w:highlight w:val="yellow"/>
        </w:rPr>
        <w:t xml:space="preserve"> of cassava leaves by ruminants as supplementary feed in the Republic of Niger serves as an alternative means of improving feed security and can enhance productivity.</w:t>
      </w:r>
    </w:p>
    <w:p w14:paraId="2BCB303C" w14:textId="77777777" w:rsidR="003614FF" w:rsidRPr="003614FF" w:rsidRDefault="00B26887" w:rsidP="00A415E5">
      <w:pPr>
        <w:spacing w:line="480" w:lineRule="auto"/>
        <w:contextualSpacing/>
        <w:jc w:val="both"/>
        <w:rPr>
          <w:rFonts w:ascii="Times New Roman" w:hAnsi="Times New Roman" w:cs="Times New Roman"/>
          <w:sz w:val="24"/>
          <w:szCs w:val="24"/>
        </w:rPr>
      </w:pPr>
      <w:r w:rsidRPr="008737A9">
        <w:rPr>
          <w:rFonts w:ascii="Times New Roman" w:hAnsi="Times New Roman" w:cs="Times New Roman"/>
          <w:sz w:val="24"/>
        </w:rPr>
        <w:t xml:space="preserve">Cassava leaves and peels in recent times </w:t>
      </w:r>
      <w:r w:rsidRPr="008737A9">
        <w:rPr>
          <w:rFonts w:ascii="Times New Roman" w:hAnsi="Times New Roman" w:cs="Times New Roman"/>
          <w:sz w:val="24"/>
          <w:highlight w:val="yellow"/>
        </w:rPr>
        <w:t>have become important ingredients in sheep and goat feeds</w:t>
      </w:r>
      <w:r w:rsidRPr="008737A9">
        <w:rPr>
          <w:rFonts w:ascii="Times New Roman" w:hAnsi="Times New Roman" w:cs="Times New Roman"/>
          <w:sz w:val="24"/>
        </w:rPr>
        <w:t xml:space="preserve">. </w:t>
      </w:r>
      <w:r w:rsidRPr="008737A9">
        <w:rPr>
          <w:rFonts w:ascii="Times New Roman" w:hAnsi="Times New Roman" w:cs="Times New Roman"/>
          <w:sz w:val="24"/>
          <w:highlight w:val="yellow"/>
        </w:rPr>
        <w:t>Their use depends largely on their high availability and the growing demand for alternative energy sources in ruminant production, as they have been shown to reduce feeding costs</w:t>
      </w:r>
      <w:r w:rsidRPr="008737A9">
        <w:rPr>
          <w:rFonts w:ascii="Times New Roman" w:hAnsi="Times New Roman" w:cs="Times New Roman"/>
          <w:sz w:val="24"/>
        </w:rPr>
        <w:t xml:space="preserve"> (</w:t>
      </w:r>
      <w:proofErr w:type="spellStart"/>
      <w:r w:rsidRPr="008737A9">
        <w:rPr>
          <w:rFonts w:ascii="Times New Roman" w:hAnsi="Times New Roman" w:cs="Times New Roman"/>
          <w:sz w:val="24"/>
        </w:rPr>
        <w:t>Fasae</w:t>
      </w:r>
      <w:proofErr w:type="spellEnd"/>
      <w:r w:rsidRPr="008737A9">
        <w:rPr>
          <w:rFonts w:ascii="Times New Roman" w:hAnsi="Times New Roman" w:cs="Times New Roman"/>
          <w:sz w:val="24"/>
        </w:rPr>
        <w:t xml:space="preserve"> et al., 2015). These residues are sources of nutrients such as carbohydrates, proteins, vitamins, minerals and phytochemicals of great importance for health and nutrition of livestock (</w:t>
      </w:r>
      <w:proofErr w:type="spellStart"/>
      <w:r w:rsidRPr="008737A9">
        <w:rPr>
          <w:rFonts w:ascii="Times New Roman" w:hAnsi="Times New Roman" w:cs="Times New Roman"/>
          <w:sz w:val="24"/>
        </w:rPr>
        <w:t>Wanapat</w:t>
      </w:r>
      <w:proofErr w:type="spellEnd"/>
      <w:r w:rsidRPr="008737A9">
        <w:rPr>
          <w:rFonts w:ascii="Times New Roman" w:hAnsi="Times New Roman" w:cs="Times New Roman"/>
          <w:sz w:val="24"/>
        </w:rPr>
        <w:t xml:space="preserve"> &amp; Kang, 2013). Cassava has many essential nutrients. The leaves and roots contain </w:t>
      </w:r>
      <w:r w:rsidRPr="008737A9">
        <w:rPr>
          <w:rFonts w:ascii="Times New Roman" w:hAnsi="Times New Roman" w:cs="Times New Roman"/>
          <w:sz w:val="24"/>
          <w:highlight w:val="yellow"/>
        </w:rPr>
        <w:t>substantial amounts of minerals, proteins, amino acids, vitamins, and other nutrients</w:t>
      </w:r>
      <w:r w:rsidRPr="008737A9">
        <w:rPr>
          <w:rFonts w:ascii="Times New Roman" w:hAnsi="Times New Roman" w:cs="Times New Roman"/>
          <w:sz w:val="24"/>
        </w:rPr>
        <w:t xml:space="preserve">. </w:t>
      </w:r>
      <w:r w:rsidRPr="008737A9">
        <w:rPr>
          <w:rFonts w:ascii="Times New Roman" w:hAnsi="Times New Roman" w:cs="Times New Roman"/>
          <w:sz w:val="24"/>
          <w:highlight w:val="yellow"/>
        </w:rPr>
        <w:t>Cassava roots contain 25% to 35% carbohydrate on a fresh-weight basis.</w:t>
      </w:r>
      <w:r w:rsidRPr="008737A9">
        <w:rPr>
          <w:rFonts w:ascii="Times New Roman" w:hAnsi="Times New Roman" w:cs="Times New Roman"/>
          <w:sz w:val="24"/>
        </w:rPr>
        <w:t xml:space="preserve"> </w:t>
      </w:r>
      <w:r w:rsidRPr="008737A9">
        <w:rPr>
          <w:rFonts w:ascii="Times New Roman" w:hAnsi="Times New Roman" w:cs="Times New Roman"/>
          <w:sz w:val="24"/>
          <w:highlight w:val="yellow"/>
        </w:rPr>
        <w:t xml:space="preserve">The calcium content of the root is higher than that of many staple foods, and cassava by-products are </w:t>
      </w:r>
      <w:proofErr w:type="spellStart"/>
      <w:r w:rsidRPr="008737A9">
        <w:rPr>
          <w:rFonts w:ascii="Times New Roman" w:hAnsi="Times New Roman" w:cs="Times New Roman"/>
          <w:sz w:val="24"/>
          <w:highlight w:val="yellow"/>
        </w:rPr>
        <w:t>utilised</w:t>
      </w:r>
      <w:proofErr w:type="spellEnd"/>
      <w:r w:rsidRPr="008737A9">
        <w:rPr>
          <w:rFonts w:ascii="Times New Roman" w:hAnsi="Times New Roman" w:cs="Times New Roman"/>
          <w:sz w:val="24"/>
          <w:highlight w:val="yellow"/>
        </w:rPr>
        <w:t xml:space="preserve"> by ruminants</w:t>
      </w:r>
      <w:r w:rsidRPr="008737A9">
        <w:rPr>
          <w:rFonts w:ascii="Times New Roman" w:hAnsi="Times New Roman" w:cs="Times New Roman"/>
          <w:sz w:val="24"/>
        </w:rPr>
        <w:t xml:space="preserve"> (</w:t>
      </w:r>
      <w:proofErr w:type="spellStart"/>
      <w:r w:rsidRPr="008737A9">
        <w:rPr>
          <w:rFonts w:ascii="Times New Roman" w:hAnsi="Times New Roman" w:cs="Times New Roman"/>
          <w:sz w:val="24"/>
        </w:rPr>
        <w:t>Montagnac</w:t>
      </w:r>
      <w:proofErr w:type="spellEnd"/>
      <w:r w:rsidRPr="008737A9">
        <w:rPr>
          <w:rFonts w:ascii="Times New Roman" w:hAnsi="Times New Roman" w:cs="Times New Roman"/>
          <w:sz w:val="24"/>
        </w:rPr>
        <w:t xml:space="preserve"> et al., 2009). Cassava roots contain higher amounts of </w:t>
      </w:r>
      <w:r w:rsidRPr="008737A9">
        <w:rPr>
          <w:rFonts w:ascii="Times New Roman" w:hAnsi="Times New Roman" w:cs="Times New Roman"/>
          <w:sz w:val="24"/>
          <w:highlight w:val="yellow"/>
        </w:rPr>
        <w:t>amino acids such as arginine, glutamic acid, and aspartic acid</w:t>
      </w:r>
      <w:r w:rsidRPr="008737A9">
        <w:rPr>
          <w:rFonts w:ascii="Times New Roman" w:hAnsi="Times New Roman" w:cs="Times New Roman"/>
          <w:sz w:val="24"/>
        </w:rPr>
        <w:t xml:space="preserve"> than many tubers (</w:t>
      </w:r>
      <w:proofErr w:type="spellStart"/>
      <w:r w:rsidRPr="008737A9">
        <w:rPr>
          <w:rFonts w:ascii="Times New Roman" w:hAnsi="Times New Roman" w:cs="Times New Roman"/>
          <w:sz w:val="24"/>
        </w:rPr>
        <w:t>Bayata</w:t>
      </w:r>
      <w:proofErr w:type="spellEnd"/>
      <w:r w:rsidRPr="008737A9">
        <w:rPr>
          <w:rFonts w:ascii="Times New Roman" w:hAnsi="Times New Roman" w:cs="Times New Roman"/>
          <w:sz w:val="24"/>
        </w:rPr>
        <w:t xml:space="preserve">, 2019). </w:t>
      </w:r>
      <w:r w:rsidRPr="008737A9">
        <w:rPr>
          <w:rFonts w:ascii="Times New Roman" w:hAnsi="Times New Roman" w:cs="Times New Roman"/>
          <w:sz w:val="24"/>
          <w:highlight w:val="yellow"/>
        </w:rPr>
        <w:t>The carbohydrate fraction of the leaves and roots includes small amounts of fructose, sucrose, glucose, and maltose.</w:t>
      </w:r>
      <w:r w:rsidRPr="008737A9">
        <w:rPr>
          <w:rFonts w:ascii="Times New Roman" w:hAnsi="Times New Roman" w:cs="Times New Roman"/>
          <w:sz w:val="24"/>
        </w:rPr>
        <w:t xml:space="preserve"> Cassava leaves and roots </w:t>
      </w:r>
      <w:r w:rsidRPr="008737A9">
        <w:rPr>
          <w:rFonts w:ascii="Times New Roman" w:hAnsi="Times New Roman" w:cs="Times New Roman"/>
          <w:sz w:val="24"/>
          <w:highlight w:val="yellow"/>
        </w:rPr>
        <w:t>contain high amounts of essential minerals</w:t>
      </w:r>
      <w:r w:rsidRPr="008737A9">
        <w:rPr>
          <w:rFonts w:ascii="Times New Roman" w:hAnsi="Times New Roman" w:cs="Times New Roman"/>
          <w:sz w:val="24"/>
        </w:rPr>
        <w:t xml:space="preserve"> such as iron, </w:t>
      </w:r>
      <w:r w:rsidRPr="008737A9">
        <w:rPr>
          <w:rFonts w:ascii="Times New Roman" w:hAnsi="Times New Roman" w:cs="Times New Roman"/>
          <w:sz w:val="24"/>
        </w:rPr>
        <w:lastRenderedPageBreak/>
        <w:t xml:space="preserve">calcium, magnesium, potassium, zinc, copper and manganese. However, cassava roots are very low in B vitamins, including riboflavin, thiamine, and niacin </w:t>
      </w:r>
      <w:r w:rsidRPr="008737A9">
        <w:rPr>
          <w:rFonts w:ascii="Times New Roman" w:hAnsi="Times New Roman" w:cs="Times New Roman"/>
          <w:sz w:val="24"/>
          <w:highlight w:val="yellow"/>
        </w:rPr>
        <w:t xml:space="preserve">but are rich in vitamin C, ranging from 15 to 45 mg per 100 g of edible portion, while the leaves contain </w:t>
      </w:r>
      <w:proofErr w:type="spellStart"/>
      <w:r w:rsidRPr="008737A9">
        <w:rPr>
          <w:rFonts w:ascii="Times New Roman" w:hAnsi="Times New Roman" w:cs="Times New Roman"/>
          <w:sz w:val="24"/>
          <w:highlight w:val="yellow"/>
        </w:rPr>
        <w:t>utilisable</w:t>
      </w:r>
      <w:proofErr w:type="spellEnd"/>
      <w:r w:rsidRPr="008737A9">
        <w:rPr>
          <w:rFonts w:ascii="Times New Roman" w:hAnsi="Times New Roman" w:cs="Times New Roman"/>
          <w:sz w:val="24"/>
          <w:highlight w:val="yellow"/>
        </w:rPr>
        <w:t xml:space="preserve"> quantities</w:t>
      </w:r>
      <w:r w:rsidRPr="008737A9">
        <w:rPr>
          <w:rFonts w:ascii="Times New Roman" w:hAnsi="Times New Roman" w:cs="Times New Roman"/>
          <w:sz w:val="24"/>
        </w:rPr>
        <w:t xml:space="preserve">  (</w:t>
      </w:r>
      <w:proofErr w:type="spellStart"/>
      <w:r w:rsidRPr="008737A9">
        <w:rPr>
          <w:rFonts w:ascii="Times New Roman" w:hAnsi="Times New Roman" w:cs="Times New Roman"/>
          <w:sz w:val="24"/>
        </w:rPr>
        <w:t>Montagnac</w:t>
      </w:r>
      <w:proofErr w:type="spellEnd"/>
      <w:r w:rsidRPr="008737A9">
        <w:rPr>
          <w:rFonts w:ascii="Times New Roman" w:hAnsi="Times New Roman" w:cs="Times New Roman"/>
          <w:sz w:val="24"/>
        </w:rPr>
        <w:t xml:space="preserve"> et al., 2009; </w:t>
      </w:r>
      <w:proofErr w:type="spellStart"/>
      <w:r w:rsidRPr="008737A9">
        <w:rPr>
          <w:rFonts w:ascii="Times New Roman" w:hAnsi="Times New Roman" w:cs="Times New Roman"/>
          <w:sz w:val="24"/>
        </w:rPr>
        <w:t>Bayata</w:t>
      </w:r>
      <w:proofErr w:type="spellEnd"/>
      <w:r w:rsidRPr="008737A9">
        <w:rPr>
          <w:rFonts w:ascii="Times New Roman" w:hAnsi="Times New Roman" w:cs="Times New Roman"/>
          <w:sz w:val="24"/>
        </w:rPr>
        <w:t xml:space="preserve">, 2019). </w:t>
      </w:r>
      <w:r w:rsidRPr="008737A9">
        <w:rPr>
          <w:rFonts w:ascii="Times New Roman" w:hAnsi="Times New Roman" w:cs="Times New Roman"/>
          <w:sz w:val="24"/>
          <w:highlight w:val="yellow"/>
        </w:rPr>
        <w:t xml:space="preserve">Cassava peel is also a major energy-based </w:t>
      </w:r>
      <w:proofErr w:type="spellStart"/>
      <w:r w:rsidRPr="008737A9">
        <w:rPr>
          <w:rFonts w:ascii="Times New Roman" w:hAnsi="Times New Roman" w:cs="Times New Roman"/>
          <w:sz w:val="24"/>
          <w:highlight w:val="yellow"/>
        </w:rPr>
        <w:t>agro</w:t>
      </w:r>
      <w:proofErr w:type="spellEnd"/>
      <w:r w:rsidRPr="008737A9">
        <w:rPr>
          <w:rFonts w:ascii="Times New Roman" w:hAnsi="Times New Roman" w:cs="Times New Roman"/>
          <w:sz w:val="24"/>
          <w:highlight w:val="yellow"/>
        </w:rPr>
        <w:t>-waste alternative that can effectively replace maize and reduce production costs associated with feeding livestock, especially sheep and goats, during periods of feed scarcity.</w:t>
      </w:r>
    </w:p>
    <w:p w14:paraId="2D0627DE" w14:textId="77777777" w:rsidR="001B00CB" w:rsidRDefault="00000000">
      <w:pPr>
        <w:spacing w:line="480" w:lineRule="auto"/>
        <w:contextualSpacing/>
        <w:jc w:val="both"/>
        <w:rPr>
          <w:rFonts w:ascii="Times New Roman" w:hAnsi="Times New Roman" w:cs="Times New Roman"/>
          <w:sz w:val="24"/>
          <w:szCs w:val="24"/>
        </w:rPr>
      </w:pPr>
      <w:r>
        <w:rPr>
          <w:b/>
          <w:highlight w:val="yellow"/>
        </w:rPr>
        <w:t>Evidence from other African livestock systems similarly indicates that seasonal feed shortages and dependence on crop residues justify greater attention to locally available feed resources (Tadesse et al., 2022). In West African Dwarf goats, cassava-peel diets supplemented with nitrogen-rich forages, including cassava forage, have been associated with improved feed intake, weight gain, feed conversion, and dry matter digestibility relative to other treatments (Kalio et al., 2014). More recent studies have further examined cassava foliage as a ruminant feed resource, including its effects on goat growth and ruminal microbial metabolism (Li et al., 2023), processing characteristics of cassava leaf silage (Bakare et al., 2023), and in vitro ruminal evaluation of cassava foliage-based diets (Rashid et al., 2025).</w:t>
      </w:r>
    </w:p>
    <w:p w14:paraId="603440B8" w14:textId="77777777" w:rsidR="001B00CB" w:rsidRDefault="00000000">
      <w:pPr>
        <w:spacing w:line="480" w:lineRule="auto"/>
        <w:contextualSpacing/>
        <w:jc w:val="both"/>
        <w:rPr>
          <w:rFonts w:ascii="Times New Roman" w:hAnsi="Times New Roman" w:cs="Times New Roman"/>
          <w:sz w:val="24"/>
          <w:szCs w:val="24"/>
        </w:rPr>
      </w:pPr>
      <w:r>
        <w:rPr>
          <w:b/>
          <w:highlight w:val="yellow"/>
        </w:rPr>
        <w:t>Despite this broader evidence, the specific intake, digestibility, growth, and economic responses to graded levels of sun-dried cassava leaves in Sahelian bucks under the semi-arid conditions of Niger remain insufficiently documented.</w:t>
      </w:r>
    </w:p>
    <w:p w14:paraId="4FA3C136" w14:textId="77777777" w:rsidR="001B00CB" w:rsidRDefault="00000000">
      <w:pPr>
        <w:spacing w:line="480" w:lineRule="auto"/>
        <w:contextualSpacing/>
        <w:jc w:val="both"/>
        <w:rPr>
          <w:rFonts w:ascii="Times New Roman" w:hAnsi="Times New Roman" w:cs="Times New Roman"/>
          <w:sz w:val="24"/>
          <w:szCs w:val="24"/>
        </w:rPr>
      </w:pPr>
      <w:r>
        <w:rPr>
          <w:highlight w:val="yellow"/>
        </w:rPr>
        <w:t>The objective of this study was to evaluate</w:t>
      </w:r>
      <w:r>
        <w:t xml:space="preserve"> the impact of gradual incorporation of sun-dried cassava leaves (</w:t>
      </w:r>
      <w:r>
        <w:rPr>
          <w:i/>
        </w:rPr>
        <w:t>Manihot esculenta</w:t>
      </w:r>
      <w:r>
        <w:t xml:space="preserve"> Crantz) </w:t>
      </w:r>
      <w:r>
        <w:rPr>
          <w:highlight w:val="yellow"/>
        </w:rPr>
        <w:t>into a fattening concentrate</w:t>
      </w:r>
      <w:r>
        <w:t xml:space="preserve"> on digestibility, average daily gain (ADG), and economic profitability of Sahelian bucks in Niger.</w:t>
      </w:r>
    </w:p>
    <w:p w14:paraId="583823CF" w14:textId="77777777"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M</w:t>
      </w:r>
      <w:r w:rsidR="007C7D50">
        <w:rPr>
          <w:rFonts w:ascii="Times New Roman" w:hAnsi="Times New Roman" w:cs="Times New Roman"/>
          <w:b/>
          <w:bCs/>
          <w:sz w:val="24"/>
          <w:szCs w:val="24"/>
        </w:rPr>
        <w:t>aterials a</w:t>
      </w:r>
      <w:r w:rsidR="007C7D50" w:rsidRPr="003614FF">
        <w:rPr>
          <w:rFonts w:ascii="Times New Roman" w:hAnsi="Times New Roman" w:cs="Times New Roman"/>
          <w:b/>
          <w:bCs/>
          <w:sz w:val="24"/>
          <w:szCs w:val="24"/>
        </w:rPr>
        <w:t>nd Methods</w:t>
      </w:r>
    </w:p>
    <w:p w14:paraId="7CC2AB51" w14:textId="77777777"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Study Area</w:t>
      </w:r>
    </w:p>
    <w:p w14:paraId="53332A93"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The trial was conducted at the experimental station of the Regional Center of Agricultural Research (CERRA) of Maradi, affiliated with the National Institute of Agricultural Research of </w:t>
      </w:r>
      <w:r w:rsidRPr="003614FF">
        <w:rPr>
          <w:rFonts w:ascii="Times New Roman" w:hAnsi="Times New Roman" w:cs="Times New Roman"/>
          <w:sz w:val="24"/>
          <w:szCs w:val="24"/>
        </w:rPr>
        <w:lastRenderedPageBreak/>
        <w:t>Niger (INRAN). The climate of the area is Sahelo-</w:t>
      </w:r>
      <w:proofErr w:type="spellStart"/>
      <w:r w:rsidRPr="003614FF">
        <w:rPr>
          <w:rFonts w:ascii="Times New Roman" w:hAnsi="Times New Roman" w:cs="Times New Roman"/>
          <w:sz w:val="24"/>
          <w:szCs w:val="24"/>
        </w:rPr>
        <w:t>Sudanian</w:t>
      </w:r>
      <w:proofErr w:type="spellEnd"/>
      <w:r w:rsidRPr="003614FF">
        <w:rPr>
          <w:rFonts w:ascii="Times New Roman" w:hAnsi="Times New Roman" w:cs="Times New Roman"/>
          <w:sz w:val="24"/>
          <w:szCs w:val="24"/>
        </w:rPr>
        <w:t xml:space="preserve">, </w:t>
      </w:r>
      <w:proofErr w:type="spellStart"/>
      <w:r w:rsidRPr="003614FF">
        <w:rPr>
          <w:rFonts w:ascii="Times New Roman" w:hAnsi="Times New Roman" w:cs="Times New Roman"/>
          <w:sz w:val="24"/>
          <w:szCs w:val="24"/>
          <w:highlight w:val="yellow"/>
        </w:rPr>
        <w:t>characterised</w:t>
      </w:r>
      <w:proofErr w:type="spellEnd"/>
      <w:r w:rsidRPr="003614FF">
        <w:rPr>
          <w:rFonts w:ascii="Times New Roman" w:hAnsi="Times New Roman" w:cs="Times New Roman"/>
          <w:sz w:val="24"/>
          <w:szCs w:val="24"/>
          <w:highlight w:val="yellow"/>
        </w:rPr>
        <w:t xml:space="preserve"> by</w:t>
      </w:r>
      <w:r w:rsidRPr="003614FF">
        <w:rPr>
          <w:rFonts w:ascii="Times New Roman" w:hAnsi="Times New Roman" w:cs="Times New Roman"/>
          <w:sz w:val="24"/>
          <w:szCs w:val="24"/>
        </w:rPr>
        <w:t xml:space="preserve"> </w:t>
      </w:r>
      <w:r w:rsidRPr="003614FF">
        <w:rPr>
          <w:rFonts w:ascii="Times New Roman" w:hAnsi="Times New Roman" w:cs="Times New Roman"/>
          <w:sz w:val="24"/>
          <w:szCs w:val="24"/>
          <w:highlight w:val="yellow"/>
        </w:rPr>
        <w:t>an 8- to 9-month dry season</w:t>
      </w:r>
      <w:r w:rsidRPr="003614FF">
        <w:rPr>
          <w:rFonts w:ascii="Times New Roman" w:hAnsi="Times New Roman" w:cs="Times New Roman"/>
          <w:sz w:val="24"/>
          <w:szCs w:val="24"/>
        </w:rPr>
        <w:t xml:space="preserve"> and an average annual rainfall between 400 and 600 mm.</w:t>
      </w:r>
    </w:p>
    <w:p w14:paraId="6CF535D2" w14:textId="77777777"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Preparation of Plant Material</w:t>
      </w:r>
    </w:p>
    <w:p w14:paraId="161EB320"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Cassava leaves were harvested immediately after tuber uprooting. They were spread out on a clean concrete floor, dried in the shade for 4 to 5 days under natural ventilation </w:t>
      </w:r>
      <w:r w:rsidRPr="003614FF">
        <w:rPr>
          <w:rFonts w:ascii="Times New Roman" w:hAnsi="Times New Roman" w:cs="Times New Roman"/>
          <w:sz w:val="24"/>
          <w:szCs w:val="24"/>
          <w:highlight w:val="yellow"/>
        </w:rPr>
        <w:t>until they reached approximately 90% dry matter</w:t>
      </w:r>
      <w:r w:rsidRPr="003614FF">
        <w:rPr>
          <w:rFonts w:ascii="Times New Roman" w:hAnsi="Times New Roman" w:cs="Times New Roman"/>
          <w:sz w:val="24"/>
          <w:szCs w:val="24"/>
        </w:rPr>
        <w:t>, and then ground (6 mm screen) to facilitate homogeneous integration into the concentrate.</w:t>
      </w:r>
    </w:p>
    <w:p w14:paraId="32CA9397" w14:textId="77777777"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Animals and Experimental Design</w:t>
      </w:r>
    </w:p>
    <w:p w14:paraId="208CCDD7"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Twenty-four (24) Sahelian bucks </w:t>
      </w:r>
      <w:r w:rsidRPr="003614FF">
        <w:rPr>
          <w:rFonts w:ascii="Times New Roman" w:hAnsi="Times New Roman" w:cs="Times New Roman"/>
          <w:sz w:val="24"/>
          <w:szCs w:val="24"/>
          <w:highlight w:val="yellow"/>
        </w:rPr>
        <w:t>in apparently good health</w:t>
      </w:r>
      <w:r w:rsidRPr="003614FF">
        <w:rPr>
          <w:rFonts w:ascii="Times New Roman" w:hAnsi="Times New Roman" w:cs="Times New Roman"/>
          <w:sz w:val="24"/>
          <w:szCs w:val="24"/>
        </w:rPr>
        <w:t xml:space="preserve">, previously dewormed (internal and external) and vaccinated against contagious caprine pleuropneumonia and </w:t>
      </w:r>
      <w:proofErr w:type="spellStart"/>
      <w:r w:rsidRPr="003614FF">
        <w:rPr>
          <w:rFonts w:ascii="Times New Roman" w:hAnsi="Times New Roman" w:cs="Times New Roman"/>
          <w:sz w:val="24"/>
          <w:szCs w:val="24"/>
        </w:rPr>
        <w:t>peste</w:t>
      </w:r>
      <w:proofErr w:type="spellEnd"/>
      <w:r w:rsidRPr="003614FF">
        <w:rPr>
          <w:rFonts w:ascii="Times New Roman" w:hAnsi="Times New Roman" w:cs="Times New Roman"/>
          <w:sz w:val="24"/>
          <w:szCs w:val="24"/>
        </w:rPr>
        <w:t xml:space="preserve"> des petits ruminants, were used. They were housed in individual cages equipped with feeders and drinkers.</w:t>
      </w:r>
    </w:p>
    <w:p w14:paraId="54C17D9B"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highlight w:val="yellow"/>
        </w:rPr>
        <w:t xml:space="preserve">The experimental design comprised four treatments with six replicates each, arranged in a </w:t>
      </w:r>
      <w:proofErr w:type="spellStart"/>
      <w:r w:rsidRPr="003614FF">
        <w:rPr>
          <w:rFonts w:ascii="Times New Roman" w:hAnsi="Times New Roman" w:cs="Times New Roman"/>
          <w:sz w:val="24"/>
          <w:szCs w:val="24"/>
          <w:highlight w:val="yellow"/>
        </w:rPr>
        <w:t>randomised</w:t>
      </w:r>
      <w:proofErr w:type="spellEnd"/>
      <w:r w:rsidRPr="003614FF">
        <w:rPr>
          <w:rFonts w:ascii="Times New Roman" w:hAnsi="Times New Roman" w:cs="Times New Roman"/>
          <w:sz w:val="24"/>
          <w:szCs w:val="24"/>
          <w:highlight w:val="yellow"/>
        </w:rPr>
        <w:t xml:space="preserve"> complete block design balanced by initial live weight (</w:t>
      </w:r>
      <m:oMath>
        <m:r>
          <w:rPr>
            <w:rFonts w:ascii="Cambria Math" w:hAnsi="Cambria Math" w:cs="Times New Roman"/>
            <w:sz w:val="24"/>
            <w:szCs w:val="24"/>
          </w:rPr>
          <m:t>14.5±1.2</m:t>
        </m:r>
        <m:r>
          <m:rPr>
            <m:nor/>
          </m:rPr>
          <w:rPr>
            <w:rFonts w:ascii="Times New Roman" w:hAnsi="Times New Roman" w:cs="Times New Roman"/>
            <w:sz w:val="24"/>
            <w:szCs w:val="24"/>
          </w:rPr>
          <m:t> kg</m:t>
        </m:r>
      </m:oMath>
      <w:r w:rsidRPr="003614FF">
        <w:rPr>
          <w:rFonts w:ascii="Times New Roman" w:hAnsi="Times New Roman" w:cs="Times New Roman"/>
          <w:sz w:val="24"/>
          <w:szCs w:val="24"/>
        </w:rPr>
        <w:t>):</w:t>
      </w:r>
    </w:p>
    <w:p w14:paraId="1DFC8E9C" w14:textId="77777777" w:rsidR="003614FF" w:rsidRPr="003614FF" w:rsidRDefault="003614FF" w:rsidP="00A415E5">
      <w:pPr>
        <w:numPr>
          <w:ilvl w:val="0"/>
          <w:numId w:val="2"/>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DCL0 (Control):</w:t>
      </w:r>
      <w:r w:rsidRPr="003614FF">
        <w:rPr>
          <w:rFonts w:ascii="Times New Roman" w:hAnsi="Times New Roman" w:cs="Times New Roman"/>
          <w:sz w:val="24"/>
          <w:szCs w:val="24"/>
        </w:rPr>
        <w:t xml:space="preserve"> Sorghum stover </w:t>
      </w:r>
      <w:r w:rsidRPr="003614FF">
        <w:rPr>
          <w:rFonts w:ascii="Times New Roman" w:hAnsi="Times New Roman" w:cs="Times New Roman"/>
          <w:i/>
          <w:iCs/>
          <w:sz w:val="24"/>
          <w:szCs w:val="24"/>
        </w:rPr>
        <w:t>ad libitum</w:t>
      </w:r>
      <w:r w:rsidRPr="003614FF">
        <w:rPr>
          <w:rFonts w:ascii="Times New Roman" w:hAnsi="Times New Roman" w:cs="Times New Roman"/>
          <w:sz w:val="24"/>
          <w:szCs w:val="24"/>
        </w:rPr>
        <w:t xml:space="preserve"> + Control Concentrate (0% DCL)</w:t>
      </w:r>
    </w:p>
    <w:p w14:paraId="7CF7AE57" w14:textId="77777777" w:rsidR="003614FF" w:rsidRPr="003614FF" w:rsidRDefault="003614FF" w:rsidP="00A415E5">
      <w:pPr>
        <w:numPr>
          <w:ilvl w:val="0"/>
          <w:numId w:val="2"/>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DCL15:</w:t>
      </w:r>
      <w:r w:rsidRPr="003614FF">
        <w:rPr>
          <w:rFonts w:ascii="Times New Roman" w:hAnsi="Times New Roman" w:cs="Times New Roman"/>
          <w:sz w:val="24"/>
          <w:szCs w:val="24"/>
        </w:rPr>
        <w:t xml:space="preserve"> Sorghum stover </w:t>
      </w:r>
      <w:r w:rsidRPr="003614FF">
        <w:rPr>
          <w:rFonts w:ascii="Times New Roman" w:hAnsi="Times New Roman" w:cs="Times New Roman"/>
          <w:i/>
          <w:iCs/>
          <w:sz w:val="24"/>
          <w:szCs w:val="24"/>
        </w:rPr>
        <w:t>ad libitum</w:t>
      </w:r>
      <w:r w:rsidRPr="003614FF">
        <w:rPr>
          <w:rFonts w:ascii="Times New Roman" w:hAnsi="Times New Roman" w:cs="Times New Roman"/>
          <w:sz w:val="24"/>
          <w:szCs w:val="24"/>
        </w:rPr>
        <w:t xml:space="preserve"> + Concentrate with 15% DCL</w:t>
      </w:r>
    </w:p>
    <w:p w14:paraId="44E83E3C" w14:textId="77777777" w:rsidR="003614FF" w:rsidRPr="003614FF" w:rsidRDefault="003614FF" w:rsidP="00A415E5">
      <w:pPr>
        <w:numPr>
          <w:ilvl w:val="0"/>
          <w:numId w:val="2"/>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DCL30:</w:t>
      </w:r>
      <w:r w:rsidRPr="003614FF">
        <w:rPr>
          <w:rFonts w:ascii="Times New Roman" w:hAnsi="Times New Roman" w:cs="Times New Roman"/>
          <w:sz w:val="24"/>
          <w:szCs w:val="24"/>
        </w:rPr>
        <w:t xml:space="preserve"> Sorghum stover </w:t>
      </w:r>
      <w:r w:rsidRPr="003614FF">
        <w:rPr>
          <w:rFonts w:ascii="Times New Roman" w:hAnsi="Times New Roman" w:cs="Times New Roman"/>
          <w:i/>
          <w:iCs/>
          <w:sz w:val="24"/>
          <w:szCs w:val="24"/>
        </w:rPr>
        <w:t>ad libitum</w:t>
      </w:r>
      <w:r w:rsidRPr="003614FF">
        <w:rPr>
          <w:rFonts w:ascii="Times New Roman" w:hAnsi="Times New Roman" w:cs="Times New Roman"/>
          <w:sz w:val="24"/>
          <w:szCs w:val="24"/>
        </w:rPr>
        <w:t xml:space="preserve"> + Concentrate with 30% DCL</w:t>
      </w:r>
    </w:p>
    <w:p w14:paraId="1CA85CBD" w14:textId="77777777" w:rsidR="003614FF" w:rsidRPr="003614FF" w:rsidRDefault="003614FF" w:rsidP="00A415E5">
      <w:pPr>
        <w:numPr>
          <w:ilvl w:val="0"/>
          <w:numId w:val="2"/>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DCL45:</w:t>
      </w:r>
      <w:r w:rsidRPr="003614FF">
        <w:rPr>
          <w:rFonts w:ascii="Times New Roman" w:hAnsi="Times New Roman" w:cs="Times New Roman"/>
          <w:sz w:val="24"/>
          <w:szCs w:val="24"/>
        </w:rPr>
        <w:t xml:space="preserve"> Sorghum stover </w:t>
      </w:r>
      <w:r w:rsidRPr="003614FF">
        <w:rPr>
          <w:rFonts w:ascii="Times New Roman" w:hAnsi="Times New Roman" w:cs="Times New Roman"/>
          <w:i/>
          <w:iCs/>
          <w:sz w:val="24"/>
          <w:szCs w:val="24"/>
        </w:rPr>
        <w:t>ad libitum</w:t>
      </w:r>
      <w:r w:rsidRPr="003614FF">
        <w:rPr>
          <w:rFonts w:ascii="Times New Roman" w:hAnsi="Times New Roman" w:cs="Times New Roman"/>
          <w:sz w:val="24"/>
          <w:szCs w:val="24"/>
        </w:rPr>
        <w:t xml:space="preserve"> + Concentrate with 45% DCL</w:t>
      </w:r>
    </w:p>
    <w:p w14:paraId="01FA8971" w14:textId="77777777"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Data Collection and Measurements</w:t>
      </w:r>
    </w:p>
    <w:p w14:paraId="0377722C" w14:textId="77777777" w:rsidR="003614FF" w:rsidRPr="003614FF" w:rsidRDefault="003614FF" w:rsidP="00A415E5">
      <w:pPr>
        <w:numPr>
          <w:ilvl w:val="0"/>
          <w:numId w:val="3"/>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Intake:</w:t>
      </w:r>
      <w:r w:rsidRPr="003614FF">
        <w:rPr>
          <w:rFonts w:ascii="Times New Roman" w:hAnsi="Times New Roman" w:cs="Times New Roman"/>
          <w:sz w:val="24"/>
          <w:szCs w:val="24"/>
        </w:rPr>
        <w:t xml:space="preserve"> The quantities of feed offered and refusals </w:t>
      </w:r>
      <w:r w:rsidRPr="003614FF">
        <w:rPr>
          <w:rFonts w:ascii="Times New Roman" w:hAnsi="Times New Roman" w:cs="Times New Roman"/>
          <w:sz w:val="24"/>
          <w:szCs w:val="24"/>
          <w:highlight w:val="yellow"/>
        </w:rPr>
        <w:t>were weighed every morning</w:t>
      </w:r>
      <w:r w:rsidRPr="003614FF">
        <w:rPr>
          <w:rFonts w:ascii="Times New Roman" w:hAnsi="Times New Roman" w:cs="Times New Roman"/>
          <w:sz w:val="24"/>
          <w:szCs w:val="24"/>
        </w:rPr>
        <w:t xml:space="preserve"> to determine voluntary DM intake.</w:t>
      </w:r>
    </w:p>
    <w:p w14:paraId="1863A55B" w14:textId="77777777" w:rsidR="003614FF" w:rsidRPr="003614FF" w:rsidRDefault="003614FF" w:rsidP="00A415E5">
      <w:pPr>
        <w:numPr>
          <w:ilvl w:val="0"/>
          <w:numId w:val="3"/>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Growth:</w:t>
      </w:r>
      <w:r w:rsidRPr="003614FF">
        <w:rPr>
          <w:rFonts w:ascii="Times New Roman" w:hAnsi="Times New Roman" w:cs="Times New Roman"/>
          <w:sz w:val="24"/>
          <w:szCs w:val="24"/>
        </w:rPr>
        <w:t xml:space="preserve"> Animals were weighed individually once a week in the morning before feeding using a precision hanging scale (</w:t>
      </w:r>
      <m:oMath>
        <m:r>
          <w:rPr>
            <w:rFonts w:ascii="Cambria Math" w:hAnsi="Cambria Math" w:cs="Times New Roman"/>
            <w:sz w:val="24"/>
            <w:szCs w:val="24"/>
          </w:rPr>
          <m:t>±50</m:t>
        </m:r>
        <m:r>
          <m:rPr>
            <m:nor/>
          </m:rPr>
          <w:rPr>
            <w:rFonts w:ascii="Times New Roman" w:hAnsi="Times New Roman" w:cs="Times New Roman"/>
            <w:sz w:val="24"/>
            <w:szCs w:val="24"/>
          </w:rPr>
          <m:t> g</m:t>
        </m:r>
      </m:oMath>
      <w:r w:rsidRPr="003614FF">
        <w:rPr>
          <w:rFonts w:ascii="Times New Roman" w:hAnsi="Times New Roman" w:cs="Times New Roman"/>
          <w:sz w:val="24"/>
          <w:szCs w:val="24"/>
        </w:rPr>
        <w:t>).</w:t>
      </w:r>
    </w:p>
    <w:p w14:paraId="41CB5457" w14:textId="77777777" w:rsidR="003614FF" w:rsidRPr="003614FF" w:rsidRDefault="003614FF" w:rsidP="00A415E5">
      <w:pPr>
        <w:numPr>
          <w:ilvl w:val="0"/>
          <w:numId w:val="3"/>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Digestibility:</w:t>
      </w:r>
      <w:r w:rsidRPr="003614FF">
        <w:rPr>
          <w:rFonts w:ascii="Times New Roman" w:hAnsi="Times New Roman" w:cs="Times New Roman"/>
          <w:sz w:val="24"/>
          <w:szCs w:val="24"/>
        </w:rPr>
        <w:t xml:space="preserve"> </w:t>
      </w:r>
      <w:r w:rsidRPr="003614FF">
        <w:rPr>
          <w:rFonts w:ascii="Times New Roman" w:hAnsi="Times New Roman" w:cs="Times New Roman"/>
          <w:sz w:val="24"/>
          <w:szCs w:val="24"/>
          <w:highlight w:val="yellow"/>
        </w:rPr>
        <w:t xml:space="preserve">A 7-day total </w:t>
      </w:r>
      <w:proofErr w:type="spellStart"/>
      <w:r w:rsidRPr="003614FF">
        <w:rPr>
          <w:rFonts w:ascii="Times New Roman" w:hAnsi="Times New Roman" w:cs="Times New Roman"/>
          <w:sz w:val="24"/>
          <w:szCs w:val="24"/>
          <w:highlight w:val="yellow"/>
        </w:rPr>
        <w:t>faecal</w:t>
      </w:r>
      <w:proofErr w:type="spellEnd"/>
      <w:r w:rsidRPr="003614FF">
        <w:rPr>
          <w:rFonts w:ascii="Times New Roman" w:hAnsi="Times New Roman" w:cs="Times New Roman"/>
          <w:sz w:val="24"/>
          <w:szCs w:val="24"/>
          <w:highlight w:val="yellow"/>
        </w:rPr>
        <w:t xml:space="preserve"> collection was conducted midway through the trial using all animals fitted with waterproof collection bags.</w:t>
      </w:r>
    </w:p>
    <w:p w14:paraId="306F525A" w14:textId="77777777" w:rsidR="003614FF" w:rsidRPr="003614FF" w:rsidRDefault="003614FF" w:rsidP="00A415E5">
      <w:pPr>
        <w:numPr>
          <w:ilvl w:val="0"/>
          <w:numId w:val="3"/>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lastRenderedPageBreak/>
        <w:t>Chemical Analysis:</w:t>
      </w:r>
      <w:r w:rsidRPr="003614FF">
        <w:rPr>
          <w:rFonts w:ascii="Times New Roman" w:hAnsi="Times New Roman" w:cs="Times New Roman"/>
          <w:sz w:val="24"/>
          <w:szCs w:val="24"/>
        </w:rPr>
        <w:t xml:space="preserve"> Samples of feeds, refusals, and </w:t>
      </w:r>
      <w:proofErr w:type="spellStart"/>
      <w:r w:rsidRPr="003614FF">
        <w:rPr>
          <w:rFonts w:ascii="Times New Roman" w:hAnsi="Times New Roman" w:cs="Times New Roman"/>
          <w:sz w:val="24"/>
          <w:szCs w:val="24"/>
          <w:highlight w:val="yellow"/>
        </w:rPr>
        <w:t>faeces</w:t>
      </w:r>
      <w:proofErr w:type="spellEnd"/>
      <w:r w:rsidRPr="003614FF">
        <w:rPr>
          <w:rFonts w:ascii="Times New Roman" w:hAnsi="Times New Roman" w:cs="Times New Roman"/>
          <w:sz w:val="24"/>
          <w:szCs w:val="24"/>
          <w:highlight w:val="yellow"/>
        </w:rPr>
        <w:t xml:space="preserve"> were </w:t>
      </w:r>
      <w:proofErr w:type="spellStart"/>
      <w:r w:rsidRPr="003614FF">
        <w:rPr>
          <w:rFonts w:ascii="Times New Roman" w:hAnsi="Times New Roman" w:cs="Times New Roman"/>
          <w:sz w:val="24"/>
          <w:szCs w:val="24"/>
          <w:highlight w:val="yellow"/>
        </w:rPr>
        <w:t>analysed</w:t>
      </w:r>
      <w:proofErr w:type="spellEnd"/>
      <w:r w:rsidRPr="003614FF">
        <w:rPr>
          <w:rFonts w:ascii="Times New Roman" w:hAnsi="Times New Roman" w:cs="Times New Roman"/>
          <w:sz w:val="24"/>
          <w:szCs w:val="24"/>
        </w:rPr>
        <w:t xml:space="preserve"> for DM, crude ash (CA), crude protein (CP, Kjeldahl method), and </w:t>
      </w:r>
      <w:r w:rsidRPr="003614FF">
        <w:rPr>
          <w:rFonts w:ascii="Times New Roman" w:hAnsi="Times New Roman" w:cs="Times New Roman"/>
          <w:sz w:val="24"/>
          <w:szCs w:val="24"/>
          <w:highlight w:val="yellow"/>
        </w:rPr>
        <w:t xml:space="preserve">crude </w:t>
      </w:r>
      <w:proofErr w:type="spellStart"/>
      <w:r w:rsidRPr="003614FF">
        <w:rPr>
          <w:rFonts w:ascii="Times New Roman" w:hAnsi="Times New Roman" w:cs="Times New Roman"/>
          <w:sz w:val="24"/>
          <w:szCs w:val="24"/>
          <w:highlight w:val="yellow"/>
        </w:rPr>
        <w:t>fibre</w:t>
      </w:r>
      <w:proofErr w:type="spellEnd"/>
      <w:r w:rsidRPr="003614FF">
        <w:rPr>
          <w:rFonts w:ascii="Times New Roman" w:hAnsi="Times New Roman" w:cs="Times New Roman"/>
          <w:sz w:val="24"/>
          <w:szCs w:val="24"/>
        </w:rPr>
        <w:t xml:space="preserve"> (CF, </w:t>
      </w:r>
      <w:proofErr w:type="spellStart"/>
      <w:r w:rsidRPr="003614FF">
        <w:rPr>
          <w:rFonts w:ascii="Times New Roman" w:hAnsi="Times New Roman" w:cs="Times New Roman"/>
          <w:sz w:val="24"/>
          <w:szCs w:val="24"/>
        </w:rPr>
        <w:t>Weende</w:t>
      </w:r>
      <w:proofErr w:type="spellEnd"/>
      <w:r w:rsidRPr="003614FF">
        <w:rPr>
          <w:rFonts w:ascii="Times New Roman" w:hAnsi="Times New Roman" w:cs="Times New Roman"/>
          <w:sz w:val="24"/>
          <w:szCs w:val="24"/>
        </w:rPr>
        <w:t xml:space="preserve"> method) (Horwitz &amp; Latimer, 2005).</w:t>
      </w:r>
    </w:p>
    <w:p w14:paraId="39B72674" w14:textId="77777777"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Economic Analysis</w:t>
      </w:r>
    </w:p>
    <w:p w14:paraId="424B0F3A"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Profitability was evaluated by calculating feed acquisition costs, daily ration cost, feed cost per kg of live weight gain (CGPV), and gross margin per animal.</w:t>
      </w:r>
    </w:p>
    <w:p w14:paraId="5493EACD" w14:textId="77777777"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Statistical Analysis</w:t>
      </w:r>
    </w:p>
    <w:p w14:paraId="49A3A64B"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Data were subjected to analysis of variance (ANOVA) using the General Linear Model (GLM) in SPSS (Version 25.0). Means were compared using Duncan’s test at a significance threshold of </w:t>
      </w:r>
      <m:oMath>
        <m:r>
          <w:rPr>
            <w:rFonts w:ascii="Cambria Math" w:hAnsi="Cambria Math" w:cs="Times New Roman"/>
            <w:sz w:val="24"/>
            <w:szCs w:val="24"/>
          </w:rPr>
          <m:t>P&lt;0.05</m:t>
        </m:r>
      </m:oMath>
      <w:r w:rsidRPr="003614FF">
        <w:rPr>
          <w:rFonts w:ascii="Times New Roman" w:hAnsi="Times New Roman" w:cs="Times New Roman"/>
          <w:sz w:val="24"/>
          <w:szCs w:val="24"/>
        </w:rPr>
        <w:t>.</w:t>
      </w:r>
    </w:p>
    <w:p w14:paraId="262F73B3" w14:textId="77777777"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R</w:t>
      </w:r>
      <w:r w:rsidR="007C7D50" w:rsidRPr="003614FF">
        <w:rPr>
          <w:rFonts w:ascii="Times New Roman" w:hAnsi="Times New Roman" w:cs="Times New Roman"/>
          <w:b/>
          <w:bCs/>
          <w:sz w:val="24"/>
          <w:szCs w:val="24"/>
        </w:rPr>
        <w:t>esults</w:t>
      </w:r>
    </w:p>
    <w:p w14:paraId="05765573" w14:textId="77777777"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Chemical Composition of Ingredients and Diets</w:t>
      </w:r>
    </w:p>
    <w:p w14:paraId="27B8D1D4"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Bromatological analysis of dried cassava leaves (DCL) </w:t>
      </w:r>
      <w:r w:rsidRPr="003614FF">
        <w:rPr>
          <w:rFonts w:ascii="Times New Roman" w:hAnsi="Times New Roman" w:cs="Times New Roman"/>
          <w:sz w:val="24"/>
          <w:szCs w:val="24"/>
          <w:highlight w:val="yellow"/>
        </w:rPr>
        <w:t>revealed contents of 21.4% CP and 16.8% CF on a DM basis</w:t>
      </w:r>
      <w:r w:rsidRPr="003614FF">
        <w:rPr>
          <w:rFonts w:ascii="Times New Roman" w:hAnsi="Times New Roman" w:cs="Times New Roman"/>
          <w:sz w:val="24"/>
          <w:szCs w:val="24"/>
        </w:rPr>
        <w:t xml:space="preserve">. Detoxification by drying reduced free HCN content to </w:t>
      </w:r>
      <m:oMath>
        <m:r>
          <w:rPr>
            <w:rFonts w:ascii="Cambria Math" w:hAnsi="Cambria Math" w:cs="Times New Roman"/>
            <w:sz w:val="24"/>
            <w:szCs w:val="24"/>
          </w:rPr>
          <m:t>28.5</m:t>
        </m:r>
        <m:r>
          <m:rPr>
            <m:nor/>
          </m:rPr>
          <w:rPr>
            <w:rFonts w:ascii="Times New Roman" w:hAnsi="Times New Roman" w:cs="Times New Roman"/>
            <w:sz w:val="24"/>
            <w:szCs w:val="24"/>
          </w:rPr>
          <m:t> mg/kg DM</m:t>
        </m:r>
      </m:oMath>
      <w:r w:rsidRPr="003614FF">
        <w:rPr>
          <w:rFonts w:ascii="Times New Roman" w:hAnsi="Times New Roman" w:cs="Times New Roman"/>
          <w:sz w:val="24"/>
          <w:szCs w:val="24"/>
        </w:rPr>
        <w:t>, a level presenting no risk of acute or chronic toxicity.</w:t>
      </w:r>
    </w:p>
    <w:p w14:paraId="78567C91" w14:textId="77777777" w:rsidR="007C7D50"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Zootechnical Performance and Digestibility</w:t>
      </w:r>
    </w:p>
    <w:p w14:paraId="28F5BC9D" w14:textId="77777777" w:rsidR="003614FF" w:rsidRPr="007C7D50" w:rsidRDefault="003614FF" w:rsidP="00A415E5">
      <w:pPr>
        <w:contextualSpacing/>
        <w:jc w:val="both"/>
        <w:rPr>
          <w:rFonts w:ascii="Times New Roman" w:hAnsi="Times New Roman" w:cs="Times New Roman"/>
          <w:b/>
          <w:sz w:val="24"/>
          <w:szCs w:val="24"/>
        </w:rPr>
      </w:pPr>
      <w:r w:rsidRPr="007C7D50">
        <w:rPr>
          <w:rFonts w:ascii="Times New Roman" w:hAnsi="Times New Roman" w:cs="Times New Roman"/>
          <w:b/>
          <w:bCs/>
          <w:sz w:val="24"/>
          <w:szCs w:val="24"/>
        </w:rPr>
        <w:t>Table 1:</w:t>
      </w:r>
      <w:r w:rsidRPr="007C7D50">
        <w:rPr>
          <w:rFonts w:ascii="Times New Roman" w:hAnsi="Times New Roman" w:cs="Times New Roman"/>
          <w:b/>
          <w:sz w:val="24"/>
          <w:szCs w:val="24"/>
        </w:rPr>
        <w:t xml:space="preserve"> Intake, apparent digestibility, and growth performance of Sahelian bucks according to the DCL incorporation rate.</w:t>
      </w:r>
    </w:p>
    <w:tbl>
      <w:tblPr>
        <w:tblStyle w:val="TableGridLight"/>
        <w:tblW w:w="9463" w:type="dxa"/>
        <w:tblBorders>
          <w:top w:val="single" w:sz="4" w:space="0" w:color="auto"/>
          <w:bottom w:val="single" w:sz="4" w:space="0" w:color="auto"/>
        </w:tblBorders>
        <w:tblLook w:val="04A0" w:firstRow="1" w:lastRow="0" w:firstColumn="1" w:lastColumn="0" w:noHBand="0" w:noVBand="1"/>
      </w:tblPr>
      <w:tblGrid>
        <w:gridCol w:w="3809"/>
        <w:gridCol w:w="893"/>
        <w:gridCol w:w="996"/>
        <w:gridCol w:w="996"/>
        <w:gridCol w:w="996"/>
        <w:gridCol w:w="762"/>
        <w:gridCol w:w="1011"/>
      </w:tblGrid>
      <w:tr w:rsidR="003614FF" w:rsidRPr="003614FF" w14:paraId="10D8954A" w14:textId="77777777" w:rsidTr="00723E01">
        <w:trPr>
          <w:trHeight w:val="19"/>
        </w:trPr>
        <w:tc>
          <w:tcPr>
            <w:tcW w:w="0" w:type="auto"/>
            <w:tcBorders>
              <w:top w:val="single" w:sz="4" w:space="0" w:color="auto"/>
              <w:bottom w:val="single" w:sz="4" w:space="0" w:color="auto"/>
            </w:tcBorders>
            <w:hideMark/>
          </w:tcPr>
          <w:p w14:paraId="7651A946"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b/>
                <w:bCs/>
                <w:sz w:val="24"/>
                <w:szCs w:val="24"/>
              </w:rPr>
              <w:t>Parameters</w:t>
            </w:r>
          </w:p>
        </w:tc>
        <w:tc>
          <w:tcPr>
            <w:tcW w:w="0" w:type="auto"/>
            <w:tcBorders>
              <w:top w:val="single" w:sz="4" w:space="0" w:color="auto"/>
              <w:bottom w:val="single" w:sz="4" w:space="0" w:color="auto"/>
            </w:tcBorders>
            <w:hideMark/>
          </w:tcPr>
          <w:p w14:paraId="35D7E541"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b/>
                <w:bCs/>
                <w:sz w:val="24"/>
                <w:szCs w:val="24"/>
              </w:rPr>
              <w:t>DCL0</w:t>
            </w:r>
          </w:p>
        </w:tc>
        <w:tc>
          <w:tcPr>
            <w:tcW w:w="0" w:type="auto"/>
            <w:tcBorders>
              <w:top w:val="single" w:sz="4" w:space="0" w:color="auto"/>
              <w:bottom w:val="single" w:sz="4" w:space="0" w:color="auto"/>
            </w:tcBorders>
            <w:hideMark/>
          </w:tcPr>
          <w:p w14:paraId="3682CE26"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b/>
                <w:bCs/>
                <w:sz w:val="24"/>
                <w:szCs w:val="24"/>
              </w:rPr>
              <w:t>DCL15</w:t>
            </w:r>
          </w:p>
        </w:tc>
        <w:tc>
          <w:tcPr>
            <w:tcW w:w="0" w:type="auto"/>
            <w:tcBorders>
              <w:top w:val="single" w:sz="4" w:space="0" w:color="auto"/>
              <w:bottom w:val="single" w:sz="4" w:space="0" w:color="auto"/>
            </w:tcBorders>
            <w:hideMark/>
          </w:tcPr>
          <w:p w14:paraId="532B51FC"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b/>
                <w:bCs/>
                <w:sz w:val="24"/>
                <w:szCs w:val="24"/>
              </w:rPr>
              <w:t>DCL30</w:t>
            </w:r>
          </w:p>
        </w:tc>
        <w:tc>
          <w:tcPr>
            <w:tcW w:w="0" w:type="auto"/>
            <w:tcBorders>
              <w:top w:val="single" w:sz="4" w:space="0" w:color="auto"/>
              <w:bottom w:val="single" w:sz="4" w:space="0" w:color="auto"/>
            </w:tcBorders>
            <w:hideMark/>
          </w:tcPr>
          <w:p w14:paraId="3FF503A5"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b/>
                <w:bCs/>
                <w:sz w:val="24"/>
                <w:szCs w:val="24"/>
              </w:rPr>
              <w:t>DCL45</w:t>
            </w:r>
          </w:p>
        </w:tc>
        <w:tc>
          <w:tcPr>
            <w:tcW w:w="0" w:type="auto"/>
            <w:tcBorders>
              <w:top w:val="single" w:sz="4" w:space="0" w:color="auto"/>
              <w:bottom w:val="single" w:sz="4" w:space="0" w:color="auto"/>
            </w:tcBorders>
            <w:hideMark/>
          </w:tcPr>
          <w:p w14:paraId="35999547"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b/>
                <w:bCs/>
                <w:sz w:val="24"/>
                <w:szCs w:val="24"/>
              </w:rPr>
              <w:t>SEM</w:t>
            </w:r>
          </w:p>
        </w:tc>
        <w:tc>
          <w:tcPr>
            <w:tcW w:w="0" w:type="auto"/>
            <w:tcBorders>
              <w:top w:val="single" w:sz="4" w:space="0" w:color="auto"/>
              <w:bottom w:val="single" w:sz="4" w:space="0" w:color="auto"/>
            </w:tcBorders>
            <w:hideMark/>
          </w:tcPr>
          <w:p w14:paraId="60009171"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b/>
                <w:bCs/>
                <w:sz w:val="24"/>
                <w:szCs w:val="24"/>
              </w:rPr>
              <w:t>p-value</w:t>
            </w:r>
          </w:p>
        </w:tc>
      </w:tr>
      <w:tr w:rsidR="003614FF" w:rsidRPr="003614FF" w14:paraId="21F5661B" w14:textId="77777777" w:rsidTr="00723E01">
        <w:trPr>
          <w:trHeight w:val="19"/>
        </w:trPr>
        <w:tc>
          <w:tcPr>
            <w:tcW w:w="0" w:type="auto"/>
            <w:tcBorders>
              <w:top w:val="single" w:sz="4" w:space="0" w:color="auto"/>
            </w:tcBorders>
            <w:hideMark/>
          </w:tcPr>
          <w:p w14:paraId="5FE3E750"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Initial weight (kg)</w:t>
            </w:r>
          </w:p>
        </w:tc>
        <w:tc>
          <w:tcPr>
            <w:tcW w:w="0" w:type="auto"/>
            <w:tcBorders>
              <w:top w:val="single" w:sz="4" w:space="0" w:color="auto"/>
            </w:tcBorders>
            <w:hideMark/>
          </w:tcPr>
          <w:p w14:paraId="452DC114"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14.4</w:t>
            </w:r>
          </w:p>
        </w:tc>
        <w:tc>
          <w:tcPr>
            <w:tcW w:w="0" w:type="auto"/>
            <w:tcBorders>
              <w:top w:val="single" w:sz="4" w:space="0" w:color="auto"/>
            </w:tcBorders>
            <w:hideMark/>
          </w:tcPr>
          <w:p w14:paraId="0754EE04"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14.6</w:t>
            </w:r>
          </w:p>
        </w:tc>
        <w:tc>
          <w:tcPr>
            <w:tcW w:w="0" w:type="auto"/>
            <w:tcBorders>
              <w:top w:val="single" w:sz="4" w:space="0" w:color="auto"/>
            </w:tcBorders>
            <w:hideMark/>
          </w:tcPr>
          <w:p w14:paraId="603BC972"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14.5</w:t>
            </w:r>
          </w:p>
        </w:tc>
        <w:tc>
          <w:tcPr>
            <w:tcW w:w="0" w:type="auto"/>
            <w:tcBorders>
              <w:top w:val="single" w:sz="4" w:space="0" w:color="auto"/>
            </w:tcBorders>
            <w:hideMark/>
          </w:tcPr>
          <w:p w14:paraId="70AC0AE1"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14.5</w:t>
            </w:r>
          </w:p>
        </w:tc>
        <w:tc>
          <w:tcPr>
            <w:tcW w:w="0" w:type="auto"/>
            <w:tcBorders>
              <w:top w:val="single" w:sz="4" w:space="0" w:color="auto"/>
            </w:tcBorders>
            <w:hideMark/>
          </w:tcPr>
          <w:p w14:paraId="132A4C3B"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0.21</w:t>
            </w:r>
          </w:p>
        </w:tc>
        <w:tc>
          <w:tcPr>
            <w:tcW w:w="0" w:type="auto"/>
            <w:tcBorders>
              <w:top w:val="single" w:sz="4" w:space="0" w:color="auto"/>
            </w:tcBorders>
            <w:hideMark/>
          </w:tcPr>
          <w:p w14:paraId="58BB3BE3"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0.921</w:t>
            </w:r>
          </w:p>
        </w:tc>
      </w:tr>
      <w:tr w:rsidR="003614FF" w:rsidRPr="003614FF" w14:paraId="14C55190" w14:textId="77777777" w:rsidTr="00723E01">
        <w:trPr>
          <w:trHeight w:val="19"/>
        </w:trPr>
        <w:tc>
          <w:tcPr>
            <w:tcW w:w="0" w:type="auto"/>
            <w:hideMark/>
          </w:tcPr>
          <w:p w14:paraId="5E5AF033"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Final weight (kg)</w:t>
            </w:r>
          </w:p>
        </w:tc>
        <w:tc>
          <w:tcPr>
            <w:tcW w:w="0" w:type="auto"/>
            <w:hideMark/>
          </w:tcPr>
          <w:p w14:paraId="61BDBEEC"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17.3</w:t>
            </w:r>
            <w:r w:rsidRPr="003614FF">
              <w:rPr>
                <w:rFonts w:ascii="Times New Roman" w:hAnsi="Times New Roman" w:cs="Times New Roman"/>
                <w:sz w:val="24"/>
                <w:szCs w:val="24"/>
                <w:vertAlign w:val="superscript"/>
              </w:rPr>
              <w:t>c</w:t>
            </w:r>
          </w:p>
        </w:tc>
        <w:tc>
          <w:tcPr>
            <w:tcW w:w="0" w:type="auto"/>
            <w:hideMark/>
          </w:tcPr>
          <w:p w14:paraId="4752613D"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18.6</w:t>
            </w:r>
            <w:r w:rsidRPr="003614FF">
              <w:rPr>
                <w:rFonts w:ascii="Times New Roman" w:hAnsi="Times New Roman" w:cs="Times New Roman"/>
                <w:sz w:val="24"/>
                <w:szCs w:val="24"/>
                <w:vertAlign w:val="superscript"/>
              </w:rPr>
              <w:t>b</w:t>
            </w:r>
          </w:p>
        </w:tc>
        <w:tc>
          <w:tcPr>
            <w:tcW w:w="0" w:type="auto"/>
            <w:hideMark/>
          </w:tcPr>
          <w:p w14:paraId="3E694484"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18.9</w:t>
            </w:r>
            <w:r w:rsidRPr="003614FF">
              <w:rPr>
                <w:rFonts w:ascii="Times New Roman" w:hAnsi="Times New Roman" w:cs="Times New Roman"/>
                <w:sz w:val="24"/>
                <w:szCs w:val="24"/>
                <w:vertAlign w:val="superscript"/>
              </w:rPr>
              <w:t>a</w:t>
            </w:r>
          </w:p>
        </w:tc>
        <w:tc>
          <w:tcPr>
            <w:tcW w:w="0" w:type="auto"/>
            <w:hideMark/>
          </w:tcPr>
          <w:p w14:paraId="6776503F"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18.3</w:t>
            </w:r>
            <w:r w:rsidRPr="003614FF">
              <w:rPr>
                <w:rFonts w:ascii="Times New Roman" w:hAnsi="Times New Roman" w:cs="Times New Roman"/>
                <w:sz w:val="24"/>
                <w:szCs w:val="24"/>
                <w:vertAlign w:val="superscript"/>
              </w:rPr>
              <w:t>b</w:t>
            </w:r>
          </w:p>
        </w:tc>
        <w:tc>
          <w:tcPr>
            <w:tcW w:w="0" w:type="auto"/>
            <w:hideMark/>
          </w:tcPr>
          <w:p w14:paraId="40F167FD"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0.34</w:t>
            </w:r>
          </w:p>
        </w:tc>
        <w:tc>
          <w:tcPr>
            <w:tcW w:w="0" w:type="auto"/>
            <w:hideMark/>
          </w:tcPr>
          <w:p w14:paraId="082F2C5B"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0.012</w:t>
            </w:r>
          </w:p>
        </w:tc>
      </w:tr>
      <w:tr w:rsidR="003614FF" w:rsidRPr="003614FF" w14:paraId="0E517096" w14:textId="77777777" w:rsidTr="00723E01">
        <w:trPr>
          <w:trHeight w:val="19"/>
        </w:trPr>
        <w:tc>
          <w:tcPr>
            <w:tcW w:w="0" w:type="auto"/>
            <w:hideMark/>
          </w:tcPr>
          <w:p w14:paraId="70D6C51F"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Stover DM Intake (g DM/day)</w:t>
            </w:r>
          </w:p>
        </w:tc>
        <w:tc>
          <w:tcPr>
            <w:tcW w:w="0" w:type="auto"/>
            <w:hideMark/>
          </w:tcPr>
          <w:p w14:paraId="7A551EDC"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280.5</w:t>
            </w:r>
            <w:r w:rsidRPr="00723E01">
              <w:rPr>
                <w:rFonts w:ascii="Times New Roman" w:hAnsi="Times New Roman" w:cs="Times New Roman"/>
                <w:sz w:val="24"/>
                <w:szCs w:val="24"/>
                <w:vertAlign w:val="superscript"/>
              </w:rPr>
              <w:t>a</w:t>
            </w:r>
          </w:p>
        </w:tc>
        <w:tc>
          <w:tcPr>
            <w:tcW w:w="0" w:type="auto"/>
            <w:hideMark/>
          </w:tcPr>
          <w:p w14:paraId="2E8DCDA4"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265.2</w:t>
            </w:r>
            <w:r w:rsidRPr="00723E01">
              <w:rPr>
                <w:rFonts w:ascii="Times New Roman" w:hAnsi="Times New Roman" w:cs="Times New Roman"/>
                <w:sz w:val="24"/>
                <w:szCs w:val="24"/>
                <w:vertAlign w:val="superscript"/>
              </w:rPr>
              <w:t>b</w:t>
            </w:r>
          </w:p>
        </w:tc>
        <w:tc>
          <w:tcPr>
            <w:tcW w:w="0" w:type="auto"/>
            <w:hideMark/>
          </w:tcPr>
          <w:p w14:paraId="1116DFD4"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252.1</w:t>
            </w:r>
            <w:r w:rsidRPr="00723E01">
              <w:rPr>
                <w:rFonts w:ascii="Times New Roman" w:hAnsi="Times New Roman" w:cs="Times New Roman"/>
                <w:sz w:val="24"/>
                <w:szCs w:val="24"/>
                <w:vertAlign w:val="superscript"/>
              </w:rPr>
              <w:t>c</w:t>
            </w:r>
          </w:p>
        </w:tc>
        <w:tc>
          <w:tcPr>
            <w:tcW w:w="0" w:type="auto"/>
            <w:hideMark/>
          </w:tcPr>
          <w:p w14:paraId="359573ED"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240.0</w:t>
            </w:r>
            <w:r w:rsidRPr="00723E01">
              <w:rPr>
                <w:rFonts w:ascii="Times New Roman" w:hAnsi="Times New Roman" w:cs="Times New Roman"/>
                <w:sz w:val="24"/>
                <w:szCs w:val="24"/>
                <w:vertAlign w:val="superscript"/>
              </w:rPr>
              <w:t>d</w:t>
            </w:r>
          </w:p>
        </w:tc>
        <w:tc>
          <w:tcPr>
            <w:tcW w:w="0" w:type="auto"/>
            <w:hideMark/>
          </w:tcPr>
          <w:p w14:paraId="418D0F82"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8.12</w:t>
            </w:r>
          </w:p>
        </w:tc>
        <w:tc>
          <w:tcPr>
            <w:tcW w:w="0" w:type="auto"/>
            <w:hideMark/>
          </w:tcPr>
          <w:p w14:paraId="5B98C1D8"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0.004</w:t>
            </w:r>
          </w:p>
        </w:tc>
      </w:tr>
      <w:tr w:rsidR="003614FF" w:rsidRPr="003614FF" w14:paraId="6CB9D184" w14:textId="77777777" w:rsidTr="00723E01">
        <w:trPr>
          <w:trHeight w:val="19"/>
        </w:trPr>
        <w:tc>
          <w:tcPr>
            <w:tcW w:w="0" w:type="auto"/>
            <w:hideMark/>
          </w:tcPr>
          <w:p w14:paraId="6558DA4B"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Concentrate DM Intake (g DM/day)</w:t>
            </w:r>
          </w:p>
        </w:tc>
        <w:tc>
          <w:tcPr>
            <w:tcW w:w="0" w:type="auto"/>
            <w:hideMark/>
          </w:tcPr>
          <w:p w14:paraId="1CBB6B1B"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234.7</w:t>
            </w:r>
            <w:r w:rsidRPr="00723E01">
              <w:rPr>
                <w:rFonts w:ascii="Times New Roman" w:hAnsi="Times New Roman" w:cs="Times New Roman"/>
                <w:sz w:val="24"/>
                <w:szCs w:val="24"/>
                <w:vertAlign w:val="superscript"/>
              </w:rPr>
              <w:t>c</w:t>
            </w:r>
          </w:p>
        </w:tc>
        <w:tc>
          <w:tcPr>
            <w:tcW w:w="0" w:type="auto"/>
            <w:hideMark/>
          </w:tcPr>
          <w:p w14:paraId="5D08A7F3"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310.2</w:t>
            </w:r>
            <w:r w:rsidRPr="00723E01">
              <w:rPr>
                <w:rFonts w:ascii="Times New Roman" w:hAnsi="Times New Roman" w:cs="Times New Roman"/>
                <w:sz w:val="24"/>
                <w:szCs w:val="24"/>
                <w:vertAlign w:val="superscript"/>
              </w:rPr>
              <w:t>b</w:t>
            </w:r>
          </w:p>
        </w:tc>
        <w:tc>
          <w:tcPr>
            <w:tcW w:w="0" w:type="auto"/>
            <w:hideMark/>
          </w:tcPr>
          <w:p w14:paraId="301FF782"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360.3</w:t>
            </w:r>
            <w:r w:rsidRPr="00723E01">
              <w:rPr>
                <w:rFonts w:ascii="Times New Roman" w:hAnsi="Times New Roman" w:cs="Times New Roman"/>
                <w:sz w:val="24"/>
                <w:szCs w:val="24"/>
                <w:vertAlign w:val="superscript"/>
              </w:rPr>
              <w:t>a</w:t>
            </w:r>
          </w:p>
        </w:tc>
        <w:tc>
          <w:tcPr>
            <w:tcW w:w="0" w:type="auto"/>
            <w:hideMark/>
          </w:tcPr>
          <w:p w14:paraId="55671516"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355.1</w:t>
            </w:r>
            <w:r w:rsidRPr="00723E01">
              <w:rPr>
                <w:rFonts w:ascii="Times New Roman" w:hAnsi="Times New Roman" w:cs="Times New Roman"/>
                <w:sz w:val="24"/>
                <w:szCs w:val="24"/>
                <w:vertAlign w:val="superscript"/>
              </w:rPr>
              <w:t>a</w:t>
            </w:r>
          </w:p>
        </w:tc>
        <w:tc>
          <w:tcPr>
            <w:tcW w:w="0" w:type="auto"/>
            <w:hideMark/>
          </w:tcPr>
          <w:p w14:paraId="6EA0C52E"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12.4</w:t>
            </w:r>
          </w:p>
        </w:tc>
        <w:tc>
          <w:tcPr>
            <w:tcW w:w="0" w:type="auto"/>
            <w:hideMark/>
          </w:tcPr>
          <w:p w14:paraId="28B96DE6"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0.001</w:t>
            </w:r>
          </w:p>
        </w:tc>
      </w:tr>
      <w:tr w:rsidR="003614FF" w:rsidRPr="003614FF" w14:paraId="4288E160" w14:textId="77777777" w:rsidTr="00723E01">
        <w:trPr>
          <w:trHeight w:val="19"/>
        </w:trPr>
        <w:tc>
          <w:tcPr>
            <w:tcW w:w="0" w:type="auto"/>
            <w:hideMark/>
          </w:tcPr>
          <w:p w14:paraId="2FA7A14D"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Total DM Intake (g DM/day)</w:t>
            </w:r>
          </w:p>
        </w:tc>
        <w:tc>
          <w:tcPr>
            <w:tcW w:w="0" w:type="auto"/>
            <w:hideMark/>
          </w:tcPr>
          <w:p w14:paraId="4CE3D3A0"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515.2c</w:t>
            </w:r>
          </w:p>
        </w:tc>
        <w:tc>
          <w:tcPr>
            <w:tcW w:w="0" w:type="auto"/>
            <w:hideMark/>
          </w:tcPr>
          <w:p w14:paraId="5B3A73FF"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575.4</w:t>
            </w:r>
            <w:r w:rsidRPr="00723E01">
              <w:rPr>
                <w:rFonts w:ascii="Times New Roman" w:hAnsi="Times New Roman" w:cs="Times New Roman"/>
                <w:sz w:val="24"/>
                <w:szCs w:val="24"/>
                <w:vertAlign w:val="superscript"/>
              </w:rPr>
              <w:t>b</w:t>
            </w:r>
          </w:p>
        </w:tc>
        <w:tc>
          <w:tcPr>
            <w:tcW w:w="0" w:type="auto"/>
            <w:hideMark/>
          </w:tcPr>
          <w:p w14:paraId="6C80D36D"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612.4</w:t>
            </w:r>
            <w:r w:rsidRPr="00723E01">
              <w:rPr>
                <w:rFonts w:ascii="Times New Roman" w:hAnsi="Times New Roman" w:cs="Times New Roman"/>
                <w:sz w:val="24"/>
                <w:szCs w:val="24"/>
                <w:vertAlign w:val="superscript"/>
              </w:rPr>
              <w:t>a</w:t>
            </w:r>
          </w:p>
        </w:tc>
        <w:tc>
          <w:tcPr>
            <w:tcW w:w="0" w:type="auto"/>
            <w:hideMark/>
          </w:tcPr>
          <w:p w14:paraId="253BFBFA"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595.1</w:t>
            </w:r>
            <w:r w:rsidRPr="00723E01">
              <w:rPr>
                <w:rFonts w:ascii="Times New Roman" w:hAnsi="Times New Roman" w:cs="Times New Roman"/>
                <w:sz w:val="24"/>
                <w:szCs w:val="24"/>
                <w:vertAlign w:val="superscript"/>
              </w:rPr>
              <w:t>ab</w:t>
            </w:r>
          </w:p>
        </w:tc>
        <w:tc>
          <w:tcPr>
            <w:tcW w:w="0" w:type="auto"/>
            <w:hideMark/>
          </w:tcPr>
          <w:p w14:paraId="093E7792"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15.3</w:t>
            </w:r>
          </w:p>
        </w:tc>
        <w:tc>
          <w:tcPr>
            <w:tcW w:w="0" w:type="auto"/>
            <w:hideMark/>
          </w:tcPr>
          <w:p w14:paraId="3C7DD609"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0.002</w:t>
            </w:r>
          </w:p>
        </w:tc>
      </w:tr>
      <w:tr w:rsidR="003614FF" w:rsidRPr="003614FF" w14:paraId="7DB43F94" w14:textId="77777777" w:rsidTr="00723E01">
        <w:trPr>
          <w:trHeight w:val="19"/>
        </w:trPr>
        <w:tc>
          <w:tcPr>
            <w:tcW w:w="0" w:type="auto"/>
            <w:hideMark/>
          </w:tcPr>
          <w:p w14:paraId="183AEC01"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ADG (g/day)</w:t>
            </w:r>
          </w:p>
        </w:tc>
        <w:tc>
          <w:tcPr>
            <w:tcW w:w="0" w:type="auto"/>
            <w:hideMark/>
          </w:tcPr>
          <w:p w14:paraId="277CAAD2"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52.4</w:t>
            </w:r>
            <w:r w:rsidRPr="00723E01">
              <w:rPr>
                <w:rFonts w:ascii="Times New Roman" w:hAnsi="Times New Roman" w:cs="Times New Roman"/>
                <w:sz w:val="24"/>
                <w:szCs w:val="24"/>
                <w:vertAlign w:val="superscript"/>
              </w:rPr>
              <w:t>c</w:t>
            </w:r>
          </w:p>
        </w:tc>
        <w:tc>
          <w:tcPr>
            <w:tcW w:w="0" w:type="auto"/>
            <w:hideMark/>
          </w:tcPr>
          <w:p w14:paraId="74B20690"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71.2</w:t>
            </w:r>
            <w:r w:rsidRPr="00723E01">
              <w:rPr>
                <w:rFonts w:ascii="Times New Roman" w:hAnsi="Times New Roman" w:cs="Times New Roman"/>
                <w:sz w:val="24"/>
                <w:szCs w:val="24"/>
                <w:vertAlign w:val="superscript"/>
              </w:rPr>
              <w:t>b</w:t>
            </w:r>
          </w:p>
        </w:tc>
        <w:tc>
          <w:tcPr>
            <w:tcW w:w="0" w:type="auto"/>
            <w:hideMark/>
          </w:tcPr>
          <w:p w14:paraId="6CB2BF11"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78.5</w:t>
            </w:r>
            <w:r w:rsidRPr="00723E01">
              <w:rPr>
                <w:rFonts w:ascii="Times New Roman" w:hAnsi="Times New Roman" w:cs="Times New Roman"/>
                <w:sz w:val="24"/>
                <w:szCs w:val="24"/>
                <w:vertAlign w:val="superscript"/>
              </w:rPr>
              <w:t>a</w:t>
            </w:r>
          </w:p>
        </w:tc>
        <w:tc>
          <w:tcPr>
            <w:tcW w:w="0" w:type="auto"/>
            <w:hideMark/>
          </w:tcPr>
          <w:p w14:paraId="2058D9A7"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68.1</w:t>
            </w:r>
            <w:r w:rsidRPr="00723E01">
              <w:rPr>
                <w:rFonts w:ascii="Times New Roman" w:hAnsi="Times New Roman" w:cs="Times New Roman"/>
                <w:sz w:val="24"/>
                <w:szCs w:val="24"/>
                <w:vertAlign w:val="superscript"/>
              </w:rPr>
              <w:t>b</w:t>
            </w:r>
          </w:p>
        </w:tc>
        <w:tc>
          <w:tcPr>
            <w:tcW w:w="0" w:type="auto"/>
            <w:hideMark/>
          </w:tcPr>
          <w:p w14:paraId="0BA2937E"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3.45</w:t>
            </w:r>
          </w:p>
        </w:tc>
        <w:tc>
          <w:tcPr>
            <w:tcW w:w="0" w:type="auto"/>
            <w:hideMark/>
          </w:tcPr>
          <w:p w14:paraId="7701089C"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0.001</w:t>
            </w:r>
          </w:p>
        </w:tc>
      </w:tr>
      <w:tr w:rsidR="003614FF" w:rsidRPr="003614FF" w14:paraId="16306630" w14:textId="77777777" w:rsidTr="00723E01">
        <w:trPr>
          <w:trHeight w:val="19"/>
        </w:trPr>
        <w:tc>
          <w:tcPr>
            <w:tcW w:w="0" w:type="auto"/>
            <w:hideMark/>
          </w:tcPr>
          <w:p w14:paraId="06F81B29"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DM Digestibility (%)</w:t>
            </w:r>
          </w:p>
        </w:tc>
        <w:tc>
          <w:tcPr>
            <w:tcW w:w="0" w:type="auto"/>
            <w:hideMark/>
          </w:tcPr>
          <w:p w14:paraId="7736BA40"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61.2</w:t>
            </w:r>
            <w:r w:rsidRPr="00723E01">
              <w:rPr>
                <w:rFonts w:ascii="Times New Roman" w:hAnsi="Times New Roman" w:cs="Times New Roman"/>
                <w:sz w:val="24"/>
                <w:szCs w:val="24"/>
                <w:vertAlign w:val="superscript"/>
              </w:rPr>
              <w:t>b</w:t>
            </w:r>
          </w:p>
        </w:tc>
        <w:tc>
          <w:tcPr>
            <w:tcW w:w="0" w:type="auto"/>
            <w:hideMark/>
          </w:tcPr>
          <w:p w14:paraId="09941899"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65.4</w:t>
            </w:r>
            <w:r w:rsidRPr="00723E01">
              <w:rPr>
                <w:rFonts w:ascii="Times New Roman" w:hAnsi="Times New Roman" w:cs="Times New Roman"/>
                <w:sz w:val="24"/>
                <w:szCs w:val="24"/>
                <w:vertAlign w:val="superscript"/>
              </w:rPr>
              <w:t>a</w:t>
            </w:r>
          </w:p>
        </w:tc>
        <w:tc>
          <w:tcPr>
            <w:tcW w:w="0" w:type="auto"/>
            <w:hideMark/>
          </w:tcPr>
          <w:p w14:paraId="11805610"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67.1</w:t>
            </w:r>
            <w:r w:rsidRPr="00723E01">
              <w:rPr>
                <w:rFonts w:ascii="Times New Roman" w:hAnsi="Times New Roman" w:cs="Times New Roman"/>
                <w:sz w:val="24"/>
                <w:szCs w:val="24"/>
                <w:vertAlign w:val="superscript"/>
              </w:rPr>
              <w:t>a</w:t>
            </w:r>
          </w:p>
        </w:tc>
        <w:tc>
          <w:tcPr>
            <w:tcW w:w="0" w:type="auto"/>
            <w:hideMark/>
          </w:tcPr>
          <w:p w14:paraId="03726B4C"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63.8</w:t>
            </w:r>
            <w:r w:rsidRPr="00723E01">
              <w:rPr>
                <w:rFonts w:ascii="Times New Roman" w:hAnsi="Times New Roman" w:cs="Times New Roman"/>
                <w:sz w:val="24"/>
                <w:szCs w:val="24"/>
                <w:vertAlign w:val="superscript"/>
              </w:rPr>
              <w:t>ab</w:t>
            </w:r>
          </w:p>
        </w:tc>
        <w:tc>
          <w:tcPr>
            <w:tcW w:w="0" w:type="auto"/>
            <w:hideMark/>
          </w:tcPr>
          <w:p w14:paraId="578B0106"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1.12</w:t>
            </w:r>
          </w:p>
        </w:tc>
        <w:tc>
          <w:tcPr>
            <w:tcW w:w="0" w:type="auto"/>
            <w:hideMark/>
          </w:tcPr>
          <w:p w14:paraId="0AB328C9"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0.028</w:t>
            </w:r>
          </w:p>
        </w:tc>
      </w:tr>
      <w:tr w:rsidR="003614FF" w:rsidRPr="003614FF" w14:paraId="5E91DEC1" w14:textId="77777777" w:rsidTr="00723E01">
        <w:trPr>
          <w:trHeight w:val="19"/>
        </w:trPr>
        <w:tc>
          <w:tcPr>
            <w:tcW w:w="0" w:type="auto"/>
            <w:hideMark/>
          </w:tcPr>
          <w:p w14:paraId="59CCF7A2"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CP Digestibility (%)</w:t>
            </w:r>
          </w:p>
        </w:tc>
        <w:tc>
          <w:tcPr>
            <w:tcW w:w="0" w:type="auto"/>
            <w:hideMark/>
          </w:tcPr>
          <w:p w14:paraId="2744E489"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64.5</w:t>
            </w:r>
            <w:r w:rsidRPr="00723E01">
              <w:rPr>
                <w:rFonts w:ascii="Times New Roman" w:hAnsi="Times New Roman" w:cs="Times New Roman"/>
                <w:sz w:val="24"/>
                <w:szCs w:val="24"/>
                <w:vertAlign w:val="superscript"/>
              </w:rPr>
              <w:t>c</w:t>
            </w:r>
          </w:p>
        </w:tc>
        <w:tc>
          <w:tcPr>
            <w:tcW w:w="0" w:type="auto"/>
            <w:hideMark/>
          </w:tcPr>
          <w:p w14:paraId="190017B7"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70.1</w:t>
            </w:r>
            <w:r w:rsidRPr="00723E01">
              <w:rPr>
                <w:rFonts w:ascii="Times New Roman" w:hAnsi="Times New Roman" w:cs="Times New Roman"/>
                <w:sz w:val="24"/>
                <w:szCs w:val="24"/>
                <w:vertAlign w:val="superscript"/>
              </w:rPr>
              <w:t>b</w:t>
            </w:r>
          </w:p>
        </w:tc>
        <w:tc>
          <w:tcPr>
            <w:tcW w:w="0" w:type="auto"/>
            <w:hideMark/>
          </w:tcPr>
          <w:p w14:paraId="339A86F2"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73.8</w:t>
            </w:r>
            <w:r w:rsidRPr="00723E01">
              <w:rPr>
                <w:rFonts w:ascii="Times New Roman" w:hAnsi="Times New Roman" w:cs="Times New Roman"/>
                <w:sz w:val="24"/>
                <w:szCs w:val="24"/>
                <w:vertAlign w:val="superscript"/>
              </w:rPr>
              <w:t>a</w:t>
            </w:r>
          </w:p>
        </w:tc>
        <w:tc>
          <w:tcPr>
            <w:tcW w:w="0" w:type="auto"/>
            <w:hideMark/>
          </w:tcPr>
          <w:p w14:paraId="4A37C5FC"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71.2</w:t>
            </w:r>
            <w:r w:rsidRPr="00723E01">
              <w:rPr>
                <w:rFonts w:ascii="Times New Roman" w:hAnsi="Times New Roman" w:cs="Times New Roman"/>
                <w:sz w:val="24"/>
                <w:szCs w:val="24"/>
                <w:vertAlign w:val="superscript"/>
              </w:rPr>
              <w:t>ab</w:t>
            </w:r>
          </w:p>
        </w:tc>
        <w:tc>
          <w:tcPr>
            <w:tcW w:w="0" w:type="auto"/>
            <w:hideMark/>
          </w:tcPr>
          <w:p w14:paraId="58B326BE"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1.31</w:t>
            </w:r>
          </w:p>
        </w:tc>
        <w:tc>
          <w:tcPr>
            <w:tcW w:w="0" w:type="auto"/>
            <w:hideMark/>
          </w:tcPr>
          <w:p w14:paraId="6BE22AD3"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0.008</w:t>
            </w:r>
          </w:p>
        </w:tc>
      </w:tr>
      <w:tr w:rsidR="003614FF" w:rsidRPr="003614FF" w14:paraId="4F8B80BD" w14:textId="77777777" w:rsidTr="00723E01">
        <w:trPr>
          <w:trHeight w:val="19"/>
        </w:trPr>
        <w:tc>
          <w:tcPr>
            <w:tcW w:w="0" w:type="auto"/>
            <w:hideMark/>
          </w:tcPr>
          <w:p w14:paraId="1D1B86EE"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Feed Conversion Ratio</w:t>
            </w:r>
          </w:p>
        </w:tc>
        <w:tc>
          <w:tcPr>
            <w:tcW w:w="0" w:type="auto"/>
            <w:hideMark/>
          </w:tcPr>
          <w:p w14:paraId="441412C1"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9.83</w:t>
            </w:r>
            <w:r w:rsidRPr="00723E01">
              <w:rPr>
                <w:rFonts w:ascii="Times New Roman" w:hAnsi="Times New Roman" w:cs="Times New Roman"/>
                <w:sz w:val="24"/>
                <w:szCs w:val="24"/>
                <w:vertAlign w:val="superscript"/>
              </w:rPr>
              <w:t>a</w:t>
            </w:r>
          </w:p>
        </w:tc>
        <w:tc>
          <w:tcPr>
            <w:tcW w:w="0" w:type="auto"/>
            <w:hideMark/>
          </w:tcPr>
          <w:p w14:paraId="51205C17"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8.08</w:t>
            </w:r>
            <w:r w:rsidRPr="00723E01">
              <w:rPr>
                <w:rFonts w:ascii="Times New Roman" w:hAnsi="Times New Roman" w:cs="Times New Roman"/>
                <w:sz w:val="24"/>
                <w:szCs w:val="24"/>
                <w:vertAlign w:val="superscript"/>
              </w:rPr>
              <w:t>b</w:t>
            </w:r>
          </w:p>
        </w:tc>
        <w:tc>
          <w:tcPr>
            <w:tcW w:w="0" w:type="auto"/>
            <w:hideMark/>
          </w:tcPr>
          <w:p w14:paraId="6179C05C"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7.80</w:t>
            </w:r>
            <w:r w:rsidRPr="00723E01">
              <w:rPr>
                <w:rFonts w:ascii="Times New Roman" w:hAnsi="Times New Roman" w:cs="Times New Roman"/>
                <w:sz w:val="24"/>
                <w:szCs w:val="24"/>
                <w:vertAlign w:val="superscript"/>
              </w:rPr>
              <w:t>b</w:t>
            </w:r>
          </w:p>
        </w:tc>
        <w:tc>
          <w:tcPr>
            <w:tcW w:w="0" w:type="auto"/>
            <w:hideMark/>
          </w:tcPr>
          <w:p w14:paraId="16D579BE"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8.73</w:t>
            </w:r>
            <w:r w:rsidRPr="00723E01">
              <w:rPr>
                <w:rFonts w:ascii="Times New Roman" w:hAnsi="Times New Roman" w:cs="Times New Roman"/>
                <w:sz w:val="24"/>
                <w:szCs w:val="24"/>
                <w:vertAlign w:val="superscript"/>
              </w:rPr>
              <w:t>b</w:t>
            </w:r>
          </w:p>
        </w:tc>
        <w:tc>
          <w:tcPr>
            <w:tcW w:w="0" w:type="auto"/>
            <w:hideMark/>
          </w:tcPr>
          <w:p w14:paraId="16AC2C37"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0.42</w:t>
            </w:r>
          </w:p>
        </w:tc>
        <w:tc>
          <w:tcPr>
            <w:tcW w:w="0" w:type="auto"/>
            <w:hideMark/>
          </w:tcPr>
          <w:p w14:paraId="66290AAD"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0.015</w:t>
            </w:r>
          </w:p>
        </w:tc>
      </w:tr>
    </w:tbl>
    <w:p w14:paraId="35D6B019" w14:textId="77777777" w:rsidR="007C7D50" w:rsidRPr="001A4782" w:rsidRDefault="003614FF" w:rsidP="00A415E5">
      <w:pPr>
        <w:contextualSpacing/>
        <w:jc w:val="both"/>
        <w:rPr>
          <w:rFonts w:ascii="Times New Roman" w:hAnsi="Times New Roman" w:cs="Times New Roman"/>
          <w:sz w:val="20"/>
          <w:szCs w:val="20"/>
        </w:rPr>
      </w:pPr>
      <w:r w:rsidRPr="003614FF">
        <w:rPr>
          <w:rFonts w:ascii="Times New Roman" w:hAnsi="Times New Roman" w:cs="Times New Roman"/>
          <w:i/>
          <w:iCs/>
          <w:sz w:val="20"/>
          <w:szCs w:val="20"/>
        </w:rPr>
        <w:t>Means in the same row with different superscripts (</w:t>
      </w:r>
      <m:oMath>
        <m:r>
          <w:rPr>
            <w:rFonts w:ascii="Cambria Math" w:hAnsi="Cambria Math" w:cs="Times New Roman"/>
            <w:sz w:val="20"/>
            <w:szCs w:val="20"/>
          </w:rPr>
          <m:t>a,b,c,d</m:t>
        </m:r>
      </m:oMath>
      <w:r w:rsidRPr="003614FF">
        <w:rPr>
          <w:rFonts w:ascii="Times New Roman" w:hAnsi="Times New Roman" w:cs="Times New Roman"/>
          <w:i/>
          <w:iCs/>
          <w:sz w:val="20"/>
          <w:szCs w:val="20"/>
        </w:rPr>
        <w:t>) differ significantly (</w:t>
      </w:r>
      <m:oMath>
        <m:r>
          <w:rPr>
            <w:rFonts w:ascii="Cambria Math" w:hAnsi="Cambria Math" w:cs="Times New Roman"/>
            <w:sz w:val="20"/>
            <w:szCs w:val="20"/>
          </w:rPr>
          <m:t>P&lt;0.05</m:t>
        </m:r>
      </m:oMath>
      <w:r w:rsidRPr="003614FF">
        <w:rPr>
          <w:rFonts w:ascii="Times New Roman" w:hAnsi="Times New Roman" w:cs="Times New Roman"/>
          <w:i/>
          <w:iCs/>
          <w:sz w:val="20"/>
          <w:szCs w:val="20"/>
        </w:rPr>
        <w:t>). SEM = Standard Error of the Mean.</w:t>
      </w:r>
    </w:p>
    <w:p w14:paraId="082E75F8"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Intake:</w:t>
      </w:r>
      <w:r w:rsidRPr="003614FF">
        <w:rPr>
          <w:rFonts w:ascii="Times New Roman" w:hAnsi="Times New Roman" w:cs="Times New Roman"/>
          <w:sz w:val="24"/>
          <w:szCs w:val="24"/>
        </w:rPr>
        <w:t xml:space="preserve"> The gradual incorporation of dried cassava leaves (DCL) improved the overall palatability of the diet. Total intake increased from </w:t>
      </w:r>
      <m:oMath>
        <m:r>
          <w:rPr>
            <w:rFonts w:ascii="Cambria Math" w:hAnsi="Cambria Math" w:cs="Times New Roman"/>
            <w:sz w:val="24"/>
            <w:szCs w:val="24"/>
          </w:rPr>
          <m:t>515.2</m:t>
        </m:r>
        <m:r>
          <m:rPr>
            <m:nor/>
          </m:rPr>
          <w:rPr>
            <w:rFonts w:ascii="Times New Roman" w:hAnsi="Times New Roman" w:cs="Times New Roman"/>
            <w:sz w:val="24"/>
            <w:szCs w:val="24"/>
          </w:rPr>
          <m:t> g DM/day</m:t>
        </m:r>
      </m:oMath>
      <w:r w:rsidRPr="003614FF">
        <w:rPr>
          <w:rFonts w:ascii="Times New Roman" w:hAnsi="Times New Roman" w:cs="Times New Roman"/>
          <w:sz w:val="24"/>
          <w:szCs w:val="24"/>
        </w:rPr>
        <w:t xml:space="preserve"> in the control group (DCL0) to a peak of </w:t>
      </w:r>
      <m:oMath>
        <m:r>
          <w:rPr>
            <w:rFonts w:ascii="Cambria Math" w:hAnsi="Cambria Math" w:cs="Times New Roman"/>
            <w:sz w:val="24"/>
            <w:szCs w:val="24"/>
          </w:rPr>
          <m:t>612.4</m:t>
        </m:r>
        <m:r>
          <m:rPr>
            <m:nor/>
          </m:rPr>
          <w:rPr>
            <w:rFonts w:ascii="Times New Roman" w:hAnsi="Times New Roman" w:cs="Times New Roman"/>
            <w:sz w:val="24"/>
            <w:szCs w:val="24"/>
          </w:rPr>
          <m:t> g DM/day</m:t>
        </m:r>
      </m:oMath>
      <w:r w:rsidRPr="003614FF">
        <w:rPr>
          <w:rFonts w:ascii="Times New Roman" w:hAnsi="Times New Roman" w:cs="Times New Roman"/>
          <w:sz w:val="24"/>
          <w:szCs w:val="24"/>
        </w:rPr>
        <w:t xml:space="preserve"> for DCL30 (+18.9%). Beyond DCL45, a slight decline </w:t>
      </w:r>
      <w:r w:rsidRPr="003614FF">
        <w:rPr>
          <w:rFonts w:ascii="Times New Roman" w:hAnsi="Times New Roman" w:cs="Times New Roman"/>
          <w:sz w:val="24"/>
          <w:szCs w:val="24"/>
        </w:rPr>
        <w:lastRenderedPageBreak/>
        <w:t>in intake was observed (</w:t>
      </w:r>
      <m:oMath>
        <m:r>
          <w:rPr>
            <w:rFonts w:ascii="Cambria Math" w:hAnsi="Cambria Math" w:cs="Times New Roman"/>
            <w:sz w:val="24"/>
            <w:szCs w:val="24"/>
          </w:rPr>
          <m:t>595.1</m:t>
        </m:r>
        <m:r>
          <m:rPr>
            <m:nor/>
          </m:rPr>
          <w:rPr>
            <w:rFonts w:ascii="Times New Roman" w:hAnsi="Times New Roman" w:cs="Times New Roman"/>
            <w:sz w:val="24"/>
            <w:szCs w:val="24"/>
          </w:rPr>
          <m:t> g DM/day</m:t>
        </m:r>
      </m:oMath>
      <w:r w:rsidRPr="003614FF">
        <w:rPr>
          <w:rFonts w:ascii="Times New Roman" w:hAnsi="Times New Roman" w:cs="Times New Roman"/>
          <w:sz w:val="24"/>
          <w:szCs w:val="24"/>
        </w:rPr>
        <w:t xml:space="preserve">). This is explained by an increase in </w:t>
      </w:r>
      <w:r w:rsidRPr="003614FF">
        <w:rPr>
          <w:rFonts w:ascii="Times New Roman" w:hAnsi="Times New Roman" w:cs="Times New Roman"/>
          <w:sz w:val="24"/>
          <w:szCs w:val="24"/>
          <w:highlight w:val="yellow"/>
        </w:rPr>
        <w:t xml:space="preserve">poorly digestible </w:t>
      </w:r>
      <w:proofErr w:type="spellStart"/>
      <w:r w:rsidRPr="003614FF">
        <w:rPr>
          <w:rFonts w:ascii="Times New Roman" w:hAnsi="Times New Roman" w:cs="Times New Roman"/>
          <w:sz w:val="24"/>
          <w:szCs w:val="24"/>
          <w:highlight w:val="yellow"/>
        </w:rPr>
        <w:t>fibre</w:t>
      </w:r>
      <w:proofErr w:type="spellEnd"/>
      <w:r w:rsidRPr="003614FF">
        <w:rPr>
          <w:rFonts w:ascii="Times New Roman" w:hAnsi="Times New Roman" w:cs="Times New Roman"/>
          <w:sz w:val="24"/>
          <w:szCs w:val="24"/>
          <w:highlight w:val="yellow"/>
        </w:rPr>
        <w:t xml:space="preserve"> (CF) content and the gut-fill effect of forage, combined with more rapid satiety</w:t>
      </w:r>
      <w:r w:rsidRPr="003614FF">
        <w:rPr>
          <w:rFonts w:ascii="Times New Roman" w:hAnsi="Times New Roman" w:cs="Times New Roman"/>
          <w:sz w:val="24"/>
          <w:szCs w:val="24"/>
        </w:rPr>
        <w:t xml:space="preserve"> induced by residual condensed tannins.</w:t>
      </w:r>
    </w:p>
    <w:p w14:paraId="7970581F"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Digestibility:</w:t>
      </w:r>
      <w:r w:rsidRPr="003614FF">
        <w:rPr>
          <w:rFonts w:ascii="Times New Roman" w:hAnsi="Times New Roman" w:cs="Times New Roman"/>
          <w:sz w:val="24"/>
          <w:szCs w:val="24"/>
        </w:rPr>
        <w:t xml:space="preserve"> </w:t>
      </w:r>
      <w:r w:rsidRPr="003614FF">
        <w:rPr>
          <w:rFonts w:ascii="Times New Roman" w:hAnsi="Times New Roman" w:cs="Times New Roman"/>
          <w:sz w:val="24"/>
          <w:szCs w:val="24"/>
          <w:highlight w:val="yellow"/>
        </w:rPr>
        <w:t>Dry matter digestibility reached its maximum</w:t>
      </w:r>
      <w:r w:rsidRPr="003614FF">
        <w:rPr>
          <w:rFonts w:ascii="Times New Roman" w:hAnsi="Times New Roman" w:cs="Times New Roman"/>
          <w:sz w:val="24"/>
          <w:szCs w:val="24"/>
        </w:rPr>
        <w:t xml:space="preserve"> with the DCL30 treatment (67.1%) compared to 61.2% in the control group. Protein digestibility increased from 64.5% (DCL0) to 73.8% (DCL30). DCL provided high-quality fermentable nitrogen in the rumen. </w:t>
      </w:r>
      <w:r w:rsidRPr="003614FF">
        <w:rPr>
          <w:rFonts w:ascii="Times New Roman" w:hAnsi="Times New Roman" w:cs="Times New Roman"/>
          <w:sz w:val="24"/>
          <w:szCs w:val="24"/>
          <w:highlight w:val="yellow"/>
        </w:rPr>
        <w:t>Combined with readily accessible carbohydrates from wheat/rice bran (40%), this nitrogen supply yielded an optimal nitrogen-to-energy ratio</w:t>
      </w:r>
      <w:r w:rsidRPr="003614FF">
        <w:rPr>
          <w:rFonts w:ascii="Times New Roman" w:hAnsi="Times New Roman" w:cs="Times New Roman"/>
          <w:sz w:val="24"/>
          <w:szCs w:val="24"/>
        </w:rPr>
        <w:t>, stimulating ruminal microbial flora and accelerating organic matter degradation.</w:t>
      </w:r>
    </w:p>
    <w:p w14:paraId="65F1A3D5"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Growth (ADG):</w:t>
      </w:r>
      <w:r w:rsidRPr="003614FF">
        <w:rPr>
          <w:rFonts w:ascii="Times New Roman" w:hAnsi="Times New Roman" w:cs="Times New Roman"/>
          <w:sz w:val="24"/>
          <w:szCs w:val="24"/>
        </w:rPr>
        <w:t xml:space="preserve"> The DCL30 group recorded the highest growth rate (</w:t>
      </w:r>
      <m:oMath>
        <m:r>
          <w:rPr>
            <w:rFonts w:ascii="Cambria Math" w:hAnsi="Cambria Math" w:cs="Times New Roman"/>
            <w:sz w:val="24"/>
            <w:szCs w:val="24"/>
          </w:rPr>
          <m:t>78.5</m:t>
        </m:r>
        <m:r>
          <m:rPr>
            <m:nor/>
          </m:rPr>
          <w:rPr>
            <w:rFonts w:ascii="Times New Roman" w:hAnsi="Times New Roman" w:cs="Times New Roman"/>
            <w:sz w:val="24"/>
            <w:szCs w:val="24"/>
          </w:rPr>
          <m:t> g/day</m:t>
        </m:r>
      </m:oMath>
      <w:r w:rsidRPr="003614FF">
        <w:rPr>
          <w:rFonts w:ascii="Times New Roman" w:hAnsi="Times New Roman" w:cs="Times New Roman"/>
          <w:sz w:val="24"/>
          <w:szCs w:val="24"/>
        </w:rPr>
        <w:t xml:space="preserve">), representing </w:t>
      </w:r>
      <w:r w:rsidRPr="003614FF">
        <w:rPr>
          <w:rFonts w:ascii="Times New Roman" w:hAnsi="Times New Roman" w:cs="Times New Roman"/>
          <w:sz w:val="24"/>
          <w:szCs w:val="24"/>
          <w:highlight w:val="yellow"/>
        </w:rPr>
        <w:t>a 49.8% increase over the non-cassava group</w:t>
      </w:r>
      <w:r w:rsidRPr="003614FF">
        <w:rPr>
          <w:rFonts w:ascii="Times New Roman" w:hAnsi="Times New Roman" w:cs="Times New Roman"/>
          <w:sz w:val="24"/>
          <w:szCs w:val="24"/>
        </w:rPr>
        <w:t xml:space="preserve"> (</w:t>
      </w:r>
      <m:oMath>
        <m:r>
          <w:rPr>
            <w:rFonts w:ascii="Cambria Math" w:hAnsi="Cambria Math" w:cs="Times New Roman"/>
            <w:sz w:val="24"/>
            <w:szCs w:val="24"/>
          </w:rPr>
          <m:t>52.4</m:t>
        </m:r>
        <m:r>
          <m:rPr>
            <m:nor/>
          </m:rPr>
          <w:rPr>
            <w:rFonts w:ascii="Times New Roman" w:hAnsi="Times New Roman" w:cs="Times New Roman"/>
            <w:sz w:val="24"/>
            <w:szCs w:val="24"/>
          </w:rPr>
          <m:t> g/day</m:t>
        </m:r>
      </m:oMath>
      <w:r w:rsidRPr="003614FF">
        <w:rPr>
          <w:rFonts w:ascii="Times New Roman" w:hAnsi="Times New Roman" w:cs="Times New Roman"/>
          <w:sz w:val="24"/>
          <w:szCs w:val="24"/>
        </w:rPr>
        <w:t xml:space="preserve">). The DCL15 treatment also </w:t>
      </w:r>
      <w:r w:rsidRPr="003614FF">
        <w:rPr>
          <w:rFonts w:ascii="Times New Roman" w:hAnsi="Times New Roman" w:cs="Times New Roman"/>
          <w:sz w:val="24"/>
          <w:szCs w:val="24"/>
          <w:highlight w:val="yellow"/>
        </w:rPr>
        <w:t>showed a notable increase</w:t>
      </w:r>
      <w:r w:rsidRPr="003614FF">
        <w:rPr>
          <w:rFonts w:ascii="Times New Roman" w:hAnsi="Times New Roman" w:cs="Times New Roman"/>
          <w:sz w:val="24"/>
          <w:szCs w:val="24"/>
        </w:rPr>
        <w:t xml:space="preserve"> (</w:t>
      </w:r>
      <m:oMath>
        <m:r>
          <w:rPr>
            <w:rFonts w:ascii="Cambria Math" w:hAnsi="Cambria Math" w:cs="Times New Roman"/>
            <w:sz w:val="24"/>
            <w:szCs w:val="24"/>
          </w:rPr>
          <m:t>71.2</m:t>
        </m:r>
        <m:r>
          <m:rPr>
            <m:nor/>
          </m:rPr>
          <w:rPr>
            <w:rFonts w:ascii="Times New Roman" w:hAnsi="Times New Roman" w:cs="Times New Roman"/>
            <w:sz w:val="24"/>
            <w:szCs w:val="24"/>
          </w:rPr>
          <m:t> g/day</m:t>
        </m:r>
      </m:oMath>
      <w:r w:rsidRPr="003614FF">
        <w:rPr>
          <w:rFonts w:ascii="Times New Roman" w:hAnsi="Times New Roman" w:cs="Times New Roman"/>
          <w:sz w:val="24"/>
          <w:szCs w:val="24"/>
        </w:rPr>
        <w:t xml:space="preserve">), while DCL45 declined to </w:t>
      </w:r>
      <m:oMath>
        <m:r>
          <w:rPr>
            <w:rFonts w:ascii="Cambria Math" w:hAnsi="Cambria Math" w:cs="Times New Roman"/>
            <w:sz w:val="24"/>
            <w:szCs w:val="24"/>
          </w:rPr>
          <m:t>68.1</m:t>
        </m:r>
        <m:r>
          <m:rPr>
            <m:nor/>
          </m:rPr>
          <w:rPr>
            <w:rFonts w:ascii="Times New Roman" w:hAnsi="Times New Roman" w:cs="Times New Roman"/>
            <w:sz w:val="24"/>
            <w:szCs w:val="24"/>
          </w:rPr>
          <m:t> g/day</m:t>
        </m:r>
      </m:oMath>
      <w:r w:rsidRPr="003614FF">
        <w:rPr>
          <w:rFonts w:ascii="Times New Roman" w:hAnsi="Times New Roman" w:cs="Times New Roman"/>
          <w:sz w:val="24"/>
          <w:szCs w:val="24"/>
        </w:rPr>
        <w:t xml:space="preserve"> </w:t>
      </w:r>
      <w:r w:rsidRPr="003614FF">
        <w:rPr>
          <w:rFonts w:ascii="Times New Roman" w:hAnsi="Times New Roman" w:cs="Times New Roman"/>
          <w:sz w:val="24"/>
          <w:szCs w:val="24"/>
          <w:highlight w:val="yellow"/>
        </w:rPr>
        <w:t>alongside the decline in intake and digestibility observed beyond the 30% threshold</w:t>
      </w:r>
      <w:r w:rsidRPr="003614FF">
        <w:rPr>
          <w:rFonts w:ascii="Times New Roman" w:hAnsi="Times New Roman" w:cs="Times New Roman"/>
          <w:sz w:val="24"/>
          <w:szCs w:val="24"/>
        </w:rPr>
        <w:t>.</w:t>
      </w:r>
    </w:p>
    <w:p w14:paraId="022704EA"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Feed Conversion Ratio (FCR):</w:t>
      </w:r>
      <w:r w:rsidRPr="003614FF">
        <w:rPr>
          <w:rFonts w:ascii="Times New Roman" w:hAnsi="Times New Roman" w:cs="Times New Roman"/>
          <w:sz w:val="24"/>
          <w:szCs w:val="24"/>
        </w:rPr>
        <w:t xml:space="preserve"> The lowest (thus most efficient) FCR was obtained by the DCL30 group (7.80), compared to 9.83 for the control. Animals consuming the 30% DCL diet </w:t>
      </w:r>
      <w:r w:rsidRPr="003614FF">
        <w:rPr>
          <w:rFonts w:ascii="Times New Roman" w:hAnsi="Times New Roman" w:cs="Times New Roman"/>
          <w:sz w:val="24"/>
          <w:szCs w:val="24"/>
          <w:highlight w:val="yellow"/>
        </w:rPr>
        <w:t>converted ingested dry matter into live-weight gain significantly more efficiently</w:t>
      </w:r>
      <w:r w:rsidRPr="003614FF">
        <w:rPr>
          <w:rFonts w:ascii="Times New Roman" w:hAnsi="Times New Roman" w:cs="Times New Roman"/>
          <w:sz w:val="24"/>
          <w:szCs w:val="24"/>
        </w:rPr>
        <w:t>.</w:t>
      </w:r>
    </w:p>
    <w:p w14:paraId="2DF43304" w14:textId="77777777"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Economic Profitability</w:t>
      </w:r>
    </w:p>
    <w:p w14:paraId="0C55E82A" w14:textId="77777777" w:rsidR="003614FF" w:rsidRPr="007C7D50" w:rsidRDefault="003614FF" w:rsidP="00A415E5">
      <w:pPr>
        <w:contextualSpacing/>
        <w:jc w:val="both"/>
        <w:rPr>
          <w:rFonts w:ascii="Times New Roman" w:hAnsi="Times New Roman" w:cs="Times New Roman"/>
          <w:b/>
          <w:sz w:val="24"/>
          <w:szCs w:val="24"/>
        </w:rPr>
      </w:pPr>
      <w:r w:rsidRPr="007C7D50">
        <w:rPr>
          <w:rFonts w:ascii="Times New Roman" w:hAnsi="Times New Roman" w:cs="Times New Roman"/>
          <w:b/>
          <w:bCs/>
          <w:sz w:val="24"/>
          <w:szCs w:val="24"/>
        </w:rPr>
        <w:t>Table 2:</w:t>
      </w:r>
      <w:r w:rsidRPr="007C7D50">
        <w:rPr>
          <w:rFonts w:ascii="Times New Roman" w:hAnsi="Times New Roman" w:cs="Times New Roman"/>
          <w:b/>
          <w:sz w:val="24"/>
          <w:szCs w:val="24"/>
        </w:rPr>
        <w:t xml:space="preserve"> Economic evaluat</w:t>
      </w:r>
      <w:r w:rsidR="007C7D50">
        <w:rPr>
          <w:rFonts w:ascii="Times New Roman" w:hAnsi="Times New Roman" w:cs="Times New Roman"/>
          <w:b/>
          <w:sz w:val="24"/>
          <w:szCs w:val="24"/>
        </w:rPr>
        <w:t>ion of Sahelian bucks fattening</w:t>
      </w:r>
      <w:r w:rsidR="00DB5F46">
        <w:rPr>
          <w:rFonts w:ascii="Times New Roman" w:hAnsi="Times New Roman" w:cs="Times New Roman"/>
          <w:b/>
          <w:sz w:val="24"/>
          <w:szCs w:val="24"/>
        </w:rPr>
        <w:t xml:space="preserve"> and the </w:t>
      </w:r>
      <w:r w:rsidR="00DD3075">
        <w:rPr>
          <w:rFonts w:ascii="Times New Roman" w:hAnsi="Times New Roman" w:cs="Times New Roman"/>
          <w:b/>
          <w:sz w:val="24"/>
          <w:szCs w:val="24"/>
        </w:rPr>
        <w:t>C</w:t>
      </w:r>
      <w:r w:rsidR="00DB5F46">
        <w:rPr>
          <w:rFonts w:ascii="Times New Roman" w:hAnsi="Times New Roman" w:cs="Times New Roman"/>
          <w:b/>
          <w:sz w:val="24"/>
          <w:szCs w:val="24"/>
        </w:rPr>
        <w:t xml:space="preserve">ost of the </w:t>
      </w:r>
      <w:r w:rsidR="00DD3075">
        <w:rPr>
          <w:rFonts w:ascii="Times New Roman" w:hAnsi="Times New Roman" w:cs="Times New Roman"/>
          <w:b/>
          <w:sz w:val="24"/>
          <w:szCs w:val="24"/>
        </w:rPr>
        <w:t>Cassava</w:t>
      </w:r>
    </w:p>
    <w:tbl>
      <w:tblPr>
        <w:tblStyle w:val="TableGridLight"/>
        <w:tblW w:w="9625" w:type="dxa"/>
        <w:tblBorders>
          <w:bottom w:val="single" w:sz="4" w:space="0" w:color="auto"/>
        </w:tblBorders>
        <w:tblLook w:val="04A0" w:firstRow="1" w:lastRow="0" w:firstColumn="1" w:lastColumn="0" w:noHBand="0" w:noVBand="1"/>
      </w:tblPr>
      <w:tblGrid>
        <w:gridCol w:w="4023"/>
        <w:gridCol w:w="1282"/>
        <w:gridCol w:w="1440"/>
        <w:gridCol w:w="1440"/>
        <w:gridCol w:w="1440"/>
      </w:tblGrid>
      <w:tr w:rsidR="003614FF" w:rsidRPr="003614FF" w14:paraId="6FD76A5B" w14:textId="77777777" w:rsidTr="00403BCE">
        <w:tc>
          <w:tcPr>
            <w:tcW w:w="0" w:type="auto"/>
            <w:tcBorders>
              <w:top w:val="single" w:sz="4" w:space="0" w:color="auto"/>
              <w:bottom w:val="single" w:sz="4" w:space="0" w:color="auto"/>
            </w:tcBorders>
            <w:hideMark/>
          </w:tcPr>
          <w:p w14:paraId="56B85737"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Economic Indicators</w:t>
            </w:r>
          </w:p>
        </w:tc>
        <w:tc>
          <w:tcPr>
            <w:tcW w:w="1282" w:type="dxa"/>
            <w:tcBorders>
              <w:top w:val="single" w:sz="4" w:space="0" w:color="auto"/>
              <w:bottom w:val="single" w:sz="4" w:space="0" w:color="auto"/>
            </w:tcBorders>
            <w:hideMark/>
          </w:tcPr>
          <w:p w14:paraId="78F6CF84"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DCL0</w:t>
            </w:r>
          </w:p>
        </w:tc>
        <w:tc>
          <w:tcPr>
            <w:tcW w:w="1440" w:type="dxa"/>
            <w:tcBorders>
              <w:top w:val="single" w:sz="4" w:space="0" w:color="auto"/>
              <w:bottom w:val="single" w:sz="4" w:space="0" w:color="auto"/>
            </w:tcBorders>
            <w:hideMark/>
          </w:tcPr>
          <w:p w14:paraId="2F83E26E"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DCL15</w:t>
            </w:r>
          </w:p>
        </w:tc>
        <w:tc>
          <w:tcPr>
            <w:tcW w:w="1440" w:type="dxa"/>
            <w:tcBorders>
              <w:top w:val="single" w:sz="4" w:space="0" w:color="auto"/>
              <w:bottom w:val="single" w:sz="4" w:space="0" w:color="auto"/>
            </w:tcBorders>
            <w:hideMark/>
          </w:tcPr>
          <w:p w14:paraId="719269F4"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DCL30</w:t>
            </w:r>
          </w:p>
        </w:tc>
        <w:tc>
          <w:tcPr>
            <w:tcW w:w="1440" w:type="dxa"/>
            <w:tcBorders>
              <w:top w:val="single" w:sz="4" w:space="0" w:color="auto"/>
              <w:bottom w:val="single" w:sz="4" w:space="0" w:color="auto"/>
            </w:tcBorders>
            <w:hideMark/>
          </w:tcPr>
          <w:p w14:paraId="18F7A73C"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DCL45</w:t>
            </w:r>
          </w:p>
        </w:tc>
      </w:tr>
      <w:tr w:rsidR="003614FF" w:rsidRPr="003614FF" w14:paraId="3BB0B6DC" w14:textId="77777777" w:rsidTr="00403BCE">
        <w:tc>
          <w:tcPr>
            <w:tcW w:w="0" w:type="auto"/>
            <w:tcBorders>
              <w:top w:val="single" w:sz="4" w:space="0" w:color="auto"/>
            </w:tcBorders>
            <w:hideMark/>
          </w:tcPr>
          <w:p w14:paraId="361822CA"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Concentrate cost (FCFA/kg)</w:t>
            </w:r>
          </w:p>
        </w:tc>
        <w:tc>
          <w:tcPr>
            <w:tcW w:w="1282" w:type="dxa"/>
            <w:tcBorders>
              <w:top w:val="single" w:sz="4" w:space="0" w:color="auto"/>
            </w:tcBorders>
            <w:hideMark/>
          </w:tcPr>
          <w:p w14:paraId="56FB716E"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185</w:t>
            </w:r>
          </w:p>
        </w:tc>
        <w:tc>
          <w:tcPr>
            <w:tcW w:w="1440" w:type="dxa"/>
            <w:tcBorders>
              <w:top w:val="single" w:sz="4" w:space="0" w:color="auto"/>
            </w:tcBorders>
            <w:hideMark/>
          </w:tcPr>
          <w:p w14:paraId="073B5ED5"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160</w:t>
            </w:r>
          </w:p>
        </w:tc>
        <w:tc>
          <w:tcPr>
            <w:tcW w:w="1440" w:type="dxa"/>
            <w:tcBorders>
              <w:top w:val="single" w:sz="4" w:space="0" w:color="auto"/>
            </w:tcBorders>
            <w:hideMark/>
          </w:tcPr>
          <w:p w14:paraId="0BB1CB01"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135</w:t>
            </w:r>
          </w:p>
        </w:tc>
        <w:tc>
          <w:tcPr>
            <w:tcW w:w="1440" w:type="dxa"/>
            <w:tcBorders>
              <w:top w:val="single" w:sz="4" w:space="0" w:color="auto"/>
            </w:tcBorders>
            <w:hideMark/>
          </w:tcPr>
          <w:p w14:paraId="3EC58CA0"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115</w:t>
            </w:r>
          </w:p>
        </w:tc>
      </w:tr>
      <w:tr w:rsidR="003614FF" w:rsidRPr="003614FF" w14:paraId="09D4F5BB" w14:textId="77777777" w:rsidTr="00403BCE">
        <w:tc>
          <w:tcPr>
            <w:tcW w:w="0" w:type="auto"/>
            <w:hideMark/>
          </w:tcPr>
          <w:p w14:paraId="0563DC82"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Total concentrate intake (kg)</w:t>
            </w:r>
          </w:p>
        </w:tc>
        <w:tc>
          <w:tcPr>
            <w:tcW w:w="1282" w:type="dxa"/>
            <w:hideMark/>
          </w:tcPr>
          <w:p w14:paraId="630F1EBF"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13.1</w:t>
            </w:r>
          </w:p>
        </w:tc>
        <w:tc>
          <w:tcPr>
            <w:tcW w:w="1440" w:type="dxa"/>
            <w:hideMark/>
          </w:tcPr>
          <w:p w14:paraId="561B7614"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17.3</w:t>
            </w:r>
          </w:p>
        </w:tc>
        <w:tc>
          <w:tcPr>
            <w:tcW w:w="1440" w:type="dxa"/>
            <w:hideMark/>
          </w:tcPr>
          <w:p w14:paraId="768DBE4B"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20.1</w:t>
            </w:r>
          </w:p>
        </w:tc>
        <w:tc>
          <w:tcPr>
            <w:tcW w:w="1440" w:type="dxa"/>
            <w:hideMark/>
          </w:tcPr>
          <w:p w14:paraId="36CA4C11"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19.8</w:t>
            </w:r>
          </w:p>
        </w:tc>
      </w:tr>
      <w:tr w:rsidR="003614FF" w:rsidRPr="003614FF" w14:paraId="160C614F" w14:textId="77777777" w:rsidTr="00403BCE">
        <w:tc>
          <w:tcPr>
            <w:tcW w:w="0" w:type="auto"/>
            <w:hideMark/>
          </w:tcPr>
          <w:p w14:paraId="49E3BA56"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Total feed cost (FCFA/animal)</w:t>
            </w:r>
          </w:p>
        </w:tc>
        <w:tc>
          <w:tcPr>
            <w:tcW w:w="1282" w:type="dxa"/>
            <w:hideMark/>
          </w:tcPr>
          <w:p w14:paraId="40703FF2"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3,850</w:t>
            </w:r>
          </w:p>
        </w:tc>
        <w:tc>
          <w:tcPr>
            <w:tcW w:w="1440" w:type="dxa"/>
            <w:hideMark/>
          </w:tcPr>
          <w:p w14:paraId="2D52046D"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3,810</w:t>
            </w:r>
          </w:p>
        </w:tc>
        <w:tc>
          <w:tcPr>
            <w:tcW w:w="1440" w:type="dxa"/>
            <w:hideMark/>
          </w:tcPr>
          <w:p w14:paraId="3E809773"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3,710</w:t>
            </w:r>
          </w:p>
        </w:tc>
        <w:tc>
          <w:tcPr>
            <w:tcW w:w="1440" w:type="dxa"/>
            <w:hideMark/>
          </w:tcPr>
          <w:p w14:paraId="663EE60D"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3,220</w:t>
            </w:r>
          </w:p>
        </w:tc>
      </w:tr>
      <w:tr w:rsidR="003614FF" w:rsidRPr="003614FF" w14:paraId="720A7E27" w14:textId="77777777" w:rsidTr="00403BCE">
        <w:tc>
          <w:tcPr>
            <w:tcW w:w="0" w:type="auto"/>
            <w:hideMark/>
          </w:tcPr>
          <w:p w14:paraId="73FDCC58"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Total weight gain (kg)</w:t>
            </w:r>
          </w:p>
        </w:tc>
        <w:tc>
          <w:tcPr>
            <w:tcW w:w="1282" w:type="dxa"/>
            <w:hideMark/>
          </w:tcPr>
          <w:p w14:paraId="6A953218"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2.93</w:t>
            </w:r>
          </w:p>
        </w:tc>
        <w:tc>
          <w:tcPr>
            <w:tcW w:w="1440" w:type="dxa"/>
            <w:hideMark/>
          </w:tcPr>
          <w:p w14:paraId="78AFB2BC"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3.98</w:t>
            </w:r>
          </w:p>
        </w:tc>
        <w:tc>
          <w:tcPr>
            <w:tcW w:w="1440" w:type="dxa"/>
            <w:hideMark/>
          </w:tcPr>
          <w:p w14:paraId="0768C558"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4.39</w:t>
            </w:r>
          </w:p>
        </w:tc>
        <w:tc>
          <w:tcPr>
            <w:tcW w:w="1440" w:type="dxa"/>
            <w:hideMark/>
          </w:tcPr>
          <w:p w14:paraId="59677BF0"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3.81</w:t>
            </w:r>
          </w:p>
        </w:tc>
      </w:tr>
      <w:tr w:rsidR="003614FF" w:rsidRPr="003614FF" w14:paraId="701C4C6F" w14:textId="77777777" w:rsidTr="00403BCE">
        <w:tc>
          <w:tcPr>
            <w:tcW w:w="0" w:type="auto"/>
            <w:hideMark/>
          </w:tcPr>
          <w:p w14:paraId="17968173"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Cost/kg of live weight gain (FCFA)</w:t>
            </w:r>
          </w:p>
        </w:tc>
        <w:tc>
          <w:tcPr>
            <w:tcW w:w="1282" w:type="dxa"/>
            <w:hideMark/>
          </w:tcPr>
          <w:p w14:paraId="03F0E62F"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1,314</w:t>
            </w:r>
          </w:p>
        </w:tc>
        <w:tc>
          <w:tcPr>
            <w:tcW w:w="1440" w:type="dxa"/>
            <w:hideMark/>
          </w:tcPr>
          <w:p w14:paraId="4BBB3E8A"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957</w:t>
            </w:r>
          </w:p>
        </w:tc>
        <w:tc>
          <w:tcPr>
            <w:tcW w:w="1440" w:type="dxa"/>
            <w:hideMark/>
          </w:tcPr>
          <w:p w14:paraId="695B0714"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845</w:t>
            </w:r>
          </w:p>
        </w:tc>
        <w:tc>
          <w:tcPr>
            <w:tcW w:w="1440" w:type="dxa"/>
            <w:hideMark/>
          </w:tcPr>
          <w:p w14:paraId="642B6706"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845</w:t>
            </w:r>
          </w:p>
        </w:tc>
      </w:tr>
      <w:tr w:rsidR="003614FF" w:rsidRPr="003614FF" w14:paraId="21D6C447" w14:textId="77777777" w:rsidTr="00403BCE">
        <w:tc>
          <w:tcPr>
            <w:tcW w:w="0" w:type="auto"/>
            <w:hideMark/>
          </w:tcPr>
          <w:p w14:paraId="08AD36D0"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Estimated gross margin/animal (FCFA)</w:t>
            </w:r>
          </w:p>
        </w:tc>
        <w:tc>
          <w:tcPr>
            <w:tcW w:w="1282" w:type="dxa"/>
            <w:hideMark/>
          </w:tcPr>
          <w:p w14:paraId="781C8008"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2,010</w:t>
            </w:r>
          </w:p>
        </w:tc>
        <w:tc>
          <w:tcPr>
            <w:tcW w:w="1440" w:type="dxa"/>
            <w:hideMark/>
          </w:tcPr>
          <w:p w14:paraId="7868B521"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4,150</w:t>
            </w:r>
          </w:p>
        </w:tc>
        <w:tc>
          <w:tcPr>
            <w:tcW w:w="1440" w:type="dxa"/>
            <w:hideMark/>
          </w:tcPr>
          <w:p w14:paraId="63F9A780"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5,070</w:t>
            </w:r>
          </w:p>
        </w:tc>
        <w:tc>
          <w:tcPr>
            <w:tcW w:w="1440" w:type="dxa"/>
            <w:hideMark/>
          </w:tcPr>
          <w:p w14:paraId="7B9BC4B8"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4,400</w:t>
            </w:r>
          </w:p>
        </w:tc>
      </w:tr>
    </w:tbl>
    <w:p w14:paraId="47348DF7" w14:textId="77777777" w:rsidR="003614FF" w:rsidRDefault="003614FF" w:rsidP="00A415E5">
      <w:pPr>
        <w:spacing w:before="240"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Partial replacement of cottonseed cake (a very expensive protein feed) by DCL </w:t>
      </w:r>
      <w:r w:rsidRPr="003614FF">
        <w:rPr>
          <w:rFonts w:ascii="Times New Roman" w:hAnsi="Times New Roman" w:cs="Times New Roman"/>
          <w:sz w:val="24"/>
          <w:szCs w:val="24"/>
          <w:highlight w:val="yellow"/>
        </w:rPr>
        <w:t>reduced the concentrate cost</w:t>
      </w:r>
      <w:r w:rsidRPr="003614FF">
        <w:rPr>
          <w:rFonts w:ascii="Times New Roman" w:hAnsi="Times New Roman" w:cs="Times New Roman"/>
          <w:sz w:val="24"/>
          <w:szCs w:val="24"/>
        </w:rPr>
        <w:t xml:space="preserve"> from </w:t>
      </w:r>
      <m:oMath>
        <m:r>
          <w:rPr>
            <w:rFonts w:ascii="Cambria Math" w:hAnsi="Cambria Math" w:cs="Times New Roman"/>
            <w:sz w:val="24"/>
            <w:szCs w:val="24"/>
          </w:rPr>
          <m:t>185</m:t>
        </m:r>
        <m:r>
          <m:rPr>
            <m:nor/>
          </m:rPr>
          <w:rPr>
            <w:rFonts w:ascii="Times New Roman" w:hAnsi="Times New Roman" w:cs="Times New Roman"/>
            <w:sz w:val="24"/>
            <w:szCs w:val="24"/>
          </w:rPr>
          <m:t> FCFA/kg</m:t>
        </m:r>
      </m:oMath>
      <w:r w:rsidRPr="003614FF">
        <w:rPr>
          <w:rFonts w:ascii="Times New Roman" w:hAnsi="Times New Roman" w:cs="Times New Roman"/>
          <w:sz w:val="24"/>
          <w:szCs w:val="24"/>
        </w:rPr>
        <w:t xml:space="preserve"> to </w:t>
      </w:r>
      <m:oMath>
        <m:r>
          <w:rPr>
            <w:rFonts w:ascii="Cambria Math" w:hAnsi="Cambria Math" w:cs="Times New Roman"/>
            <w:sz w:val="24"/>
            <w:szCs w:val="24"/>
          </w:rPr>
          <m:t>135</m:t>
        </m:r>
        <m:r>
          <m:rPr>
            <m:nor/>
          </m:rPr>
          <w:rPr>
            <w:rFonts w:ascii="Times New Roman" w:hAnsi="Times New Roman" w:cs="Times New Roman"/>
            <w:sz w:val="24"/>
            <w:szCs w:val="24"/>
          </w:rPr>
          <m:t> FCFA/kg</m:t>
        </m:r>
      </m:oMath>
      <w:r w:rsidRPr="003614FF">
        <w:rPr>
          <w:rFonts w:ascii="Times New Roman" w:hAnsi="Times New Roman" w:cs="Times New Roman"/>
          <w:sz w:val="24"/>
          <w:szCs w:val="24"/>
        </w:rPr>
        <w:t xml:space="preserve"> </w:t>
      </w:r>
      <w:r w:rsidRPr="003614FF">
        <w:rPr>
          <w:rFonts w:ascii="Times New Roman" w:hAnsi="Times New Roman" w:cs="Times New Roman"/>
          <w:sz w:val="24"/>
          <w:szCs w:val="24"/>
          <w:highlight w:val="yellow"/>
        </w:rPr>
        <w:t>(a 27% saving)</w:t>
      </w:r>
      <w:r w:rsidRPr="003614FF">
        <w:rPr>
          <w:rFonts w:ascii="Times New Roman" w:hAnsi="Times New Roman" w:cs="Times New Roman"/>
          <w:sz w:val="24"/>
          <w:szCs w:val="24"/>
        </w:rPr>
        <w:t xml:space="preserve">. The production cost per kilogram of live weight gain decreased from </w:t>
      </w:r>
      <m:oMath>
        <m:r>
          <w:rPr>
            <w:rFonts w:ascii="Cambria Math" w:hAnsi="Cambria Math" w:cs="Times New Roman"/>
            <w:sz w:val="24"/>
            <w:szCs w:val="24"/>
          </w:rPr>
          <m:t>1,314</m:t>
        </m:r>
        <m:r>
          <m:rPr>
            <m:nor/>
          </m:rPr>
          <w:rPr>
            <w:rFonts w:ascii="Times New Roman" w:hAnsi="Times New Roman" w:cs="Times New Roman"/>
            <w:sz w:val="24"/>
            <w:szCs w:val="24"/>
          </w:rPr>
          <m:t> FCFA</m:t>
        </m:r>
      </m:oMath>
      <w:r w:rsidRPr="003614FF">
        <w:rPr>
          <w:rFonts w:ascii="Times New Roman" w:hAnsi="Times New Roman" w:cs="Times New Roman"/>
          <w:sz w:val="24"/>
          <w:szCs w:val="24"/>
        </w:rPr>
        <w:t xml:space="preserve"> (DCL0) to </w:t>
      </w:r>
      <m:oMath>
        <m:r>
          <w:rPr>
            <w:rFonts w:ascii="Cambria Math" w:hAnsi="Cambria Math" w:cs="Times New Roman"/>
            <w:sz w:val="24"/>
            <w:szCs w:val="24"/>
          </w:rPr>
          <m:t>845</m:t>
        </m:r>
        <m:r>
          <m:rPr>
            <m:nor/>
          </m:rPr>
          <w:rPr>
            <w:rFonts w:ascii="Times New Roman" w:hAnsi="Times New Roman" w:cs="Times New Roman"/>
            <w:sz w:val="24"/>
            <w:szCs w:val="24"/>
          </w:rPr>
          <m:t> FCFA</m:t>
        </m:r>
      </m:oMath>
      <w:r w:rsidRPr="003614FF">
        <w:rPr>
          <w:rFonts w:ascii="Times New Roman" w:hAnsi="Times New Roman" w:cs="Times New Roman"/>
          <w:sz w:val="24"/>
          <w:szCs w:val="24"/>
        </w:rPr>
        <w:t xml:space="preserve"> (DCL30), </w:t>
      </w:r>
      <w:r w:rsidRPr="003614FF">
        <w:rPr>
          <w:rFonts w:ascii="Times New Roman" w:hAnsi="Times New Roman" w:cs="Times New Roman"/>
          <w:sz w:val="24"/>
          <w:szCs w:val="24"/>
        </w:rPr>
        <w:lastRenderedPageBreak/>
        <w:t xml:space="preserve">representing a 35.7% reduction. Over the 56-day fattening period, the gross margin per animal more than doubled, rising from </w:t>
      </w:r>
      <m:oMath>
        <m:r>
          <w:rPr>
            <w:rFonts w:ascii="Cambria Math" w:hAnsi="Cambria Math" w:cs="Times New Roman"/>
            <w:sz w:val="24"/>
            <w:szCs w:val="24"/>
          </w:rPr>
          <m:t>2,010</m:t>
        </m:r>
        <m:r>
          <m:rPr>
            <m:nor/>
          </m:rPr>
          <w:rPr>
            <w:rFonts w:ascii="Times New Roman" w:hAnsi="Times New Roman" w:cs="Times New Roman"/>
            <w:sz w:val="24"/>
            <w:szCs w:val="24"/>
          </w:rPr>
          <m:t> FCFA</m:t>
        </m:r>
      </m:oMath>
      <w:r w:rsidRPr="003614FF">
        <w:rPr>
          <w:rFonts w:ascii="Times New Roman" w:hAnsi="Times New Roman" w:cs="Times New Roman"/>
          <w:sz w:val="24"/>
          <w:szCs w:val="24"/>
        </w:rPr>
        <w:t xml:space="preserve"> (DCL0) to </w:t>
      </w:r>
      <m:oMath>
        <m:r>
          <w:rPr>
            <w:rFonts w:ascii="Cambria Math" w:hAnsi="Cambria Math" w:cs="Times New Roman"/>
            <w:sz w:val="24"/>
            <w:szCs w:val="24"/>
          </w:rPr>
          <m:t>5,070</m:t>
        </m:r>
        <m:r>
          <m:rPr>
            <m:nor/>
          </m:rPr>
          <w:rPr>
            <w:rFonts w:ascii="Times New Roman" w:hAnsi="Times New Roman" w:cs="Times New Roman"/>
            <w:sz w:val="24"/>
            <w:szCs w:val="24"/>
          </w:rPr>
          <m:t> FCFA</m:t>
        </m:r>
      </m:oMath>
      <w:r w:rsidRPr="003614FF">
        <w:rPr>
          <w:rFonts w:ascii="Times New Roman" w:hAnsi="Times New Roman" w:cs="Times New Roman"/>
          <w:sz w:val="24"/>
          <w:szCs w:val="24"/>
        </w:rPr>
        <w:t xml:space="preserve"> (+152%).</w:t>
      </w:r>
    </w:p>
    <w:p w14:paraId="46372315" w14:textId="77777777"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D</w:t>
      </w:r>
      <w:r w:rsidR="007C7D50" w:rsidRPr="003614FF">
        <w:rPr>
          <w:rFonts w:ascii="Times New Roman" w:hAnsi="Times New Roman" w:cs="Times New Roman"/>
          <w:b/>
          <w:bCs/>
          <w:sz w:val="24"/>
          <w:szCs w:val="24"/>
        </w:rPr>
        <w:t>iscussion</w:t>
      </w:r>
    </w:p>
    <w:p w14:paraId="4C49BB1D" w14:textId="77777777"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Dry Matter Intake (DMI) and Palatability</w:t>
      </w:r>
    </w:p>
    <w:p w14:paraId="439C233F"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The significant increase in total dry matter intake (DMI) observed from DCL0 (</w:t>
      </w:r>
      <m:oMath>
        <m:r>
          <w:rPr>
            <w:rFonts w:ascii="Cambria Math" w:hAnsi="Cambria Math" w:cs="Times New Roman"/>
            <w:sz w:val="24"/>
            <w:szCs w:val="24"/>
          </w:rPr>
          <m:t>515.2</m:t>
        </m:r>
        <m:r>
          <m:rPr>
            <m:nor/>
          </m:rPr>
          <w:rPr>
            <w:rFonts w:ascii="Times New Roman" w:hAnsi="Times New Roman" w:cs="Times New Roman"/>
            <w:sz w:val="24"/>
            <w:szCs w:val="24"/>
          </w:rPr>
          <m:t> g DM/day</m:t>
        </m:r>
      </m:oMath>
      <w:r w:rsidRPr="003614FF">
        <w:rPr>
          <w:rFonts w:ascii="Times New Roman" w:hAnsi="Times New Roman" w:cs="Times New Roman"/>
          <w:sz w:val="24"/>
          <w:szCs w:val="24"/>
        </w:rPr>
        <w:t>) to DCL30 (</w:t>
      </w:r>
      <m:oMath>
        <m:r>
          <w:rPr>
            <w:rFonts w:ascii="Cambria Math" w:hAnsi="Cambria Math" w:cs="Times New Roman"/>
            <w:sz w:val="24"/>
            <w:szCs w:val="24"/>
          </w:rPr>
          <m:t>612.4</m:t>
        </m:r>
        <m:r>
          <m:rPr>
            <m:nor/>
          </m:rPr>
          <w:rPr>
            <w:rFonts w:ascii="Times New Roman" w:hAnsi="Times New Roman" w:cs="Times New Roman"/>
            <w:sz w:val="24"/>
            <w:szCs w:val="24"/>
          </w:rPr>
          <m:t> g DM/day</m:t>
        </m:r>
      </m:oMath>
      <w:r w:rsidRPr="003614FF">
        <w:rPr>
          <w:rFonts w:ascii="Times New Roman" w:hAnsi="Times New Roman" w:cs="Times New Roman"/>
          <w:sz w:val="24"/>
          <w:szCs w:val="24"/>
        </w:rPr>
        <w:t>) (</w:t>
      </w:r>
      <m:oMath>
        <m:r>
          <w:rPr>
            <w:rFonts w:ascii="Cambria Math" w:hAnsi="Cambria Math" w:cs="Times New Roman"/>
            <w:sz w:val="24"/>
            <w:szCs w:val="24"/>
          </w:rPr>
          <m:t>P&lt;0.02</m:t>
        </m:r>
      </m:oMath>
      <w:r w:rsidRPr="003614FF">
        <w:rPr>
          <w:rFonts w:ascii="Times New Roman" w:hAnsi="Times New Roman" w:cs="Times New Roman"/>
          <w:sz w:val="24"/>
          <w:szCs w:val="24"/>
        </w:rPr>
        <w:t xml:space="preserve">) highlights the excellent palatability of cassava leaves when shade-dried and ground. </w:t>
      </w:r>
      <w:r w:rsidRPr="003614FF">
        <w:rPr>
          <w:rFonts w:ascii="Times New Roman" w:hAnsi="Times New Roman" w:cs="Times New Roman"/>
          <w:sz w:val="24"/>
          <w:szCs w:val="24"/>
          <w:highlight w:val="yellow"/>
        </w:rPr>
        <w:t>This result may be explained by</w:t>
      </w:r>
      <w:r w:rsidRPr="003614FF">
        <w:rPr>
          <w:rFonts w:ascii="Times New Roman" w:hAnsi="Times New Roman" w:cs="Times New Roman"/>
          <w:sz w:val="24"/>
          <w:szCs w:val="24"/>
        </w:rPr>
        <w:t xml:space="preserve"> the supply of immediately fermentable nitrogen from cassava protein degradation, which stimulates </w:t>
      </w:r>
      <w:r w:rsidRPr="003614FF">
        <w:rPr>
          <w:rFonts w:ascii="Times New Roman" w:hAnsi="Times New Roman" w:cs="Times New Roman"/>
          <w:sz w:val="24"/>
          <w:szCs w:val="24"/>
          <w:highlight w:val="yellow"/>
        </w:rPr>
        <w:t>microbial growth and cellulolytic activity</w:t>
      </w:r>
      <w:r w:rsidRPr="003614FF">
        <w:rPr>
          <w:rFonts w:ascii="Times New Roman" w:hAnsi="Times New Roman" w:cs="Times New Roman"/>
          <w:sz w:val="24"/>
          <w:szCs w:val="24"/>
        </w:rPr>
        <w:t xml:space="preserve"> in the rumen (Preston &amp; Leng, 1987; </w:t>
      </w:r>
      <w:proofErr w:type="spellStart"/>
      <w:r w:rsidRPr="003614FF">
        <w:rPr>
          <w:rFonts w:ascii="Times New Roman" w:hAnsi="Times New Roman" w:cs="Times New Roman"/>
          <w:sz w:val="24"/>
          <w:szCs w:val="24"/>
        </w:rPr>
        <w:t>Wanapat</w:t>
      </w:r>
      <w:proofErr w:type="spellEnd"/>
      <w:r w:rsidRPr="003614FF">
        <w:rPr>
          <w:rFonts w:ascii="Times New Roman" w:hAnsi="Times New Roman" w:cs="Times New Roman"/>
          <w:sz w:val="24"/>
          <w:szCs w:val="24"/>
        </w:rPr>
        <w:t>, 2003). The resulting acceleration of ruminal transit reduces the gut-fill effect of sorghum stover and stimulates voluntary intake.</w:t>
      </w:r>
    </w:p>
    <w:p w14:paraId="58010E50"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Our observations agree with studies by </w:t>
      </w:r>
      <w:proofErr w:type="spellStart"/>
      <w:r w:rsidRPr="003614FF">
        <w:rPr>
          <w:rFonts w:ascii="Times New Roman" w:hAnsi="Times New Roman" w:cs="Times New Roman"/>
          <w:sz w:val="24"/>
          <w:szCs w:val="24"/>
        </w:rPr>
        <w:t>Phengvichith</w:t>
      </w:r>
      <w:proofErr w:type="spellEnd"/>
      <w:r w:rsidRPr="003614FF">
        <w:rPr>
          <w:rFonts w:ascii="Times New Roman" w:hAnsi="Times New Roman" w:cs="Times New Roman"/>
          <w:sz w:val="24"/>
          <w:szCs w:val="24"/>
        </w:rPr>
        <w:t xml:space="preserve"> and Preston (2011) in Laos and </w:t>
      </w:r>
      <w:proofErr w:type="spellStart"/>
      <w:r w:rsidRPr="003614FF">
        <w:rPr>
          <w:rFonts w:ascii="Times New Roman" w:hAnsi="Times New Roman" w:cs="Times New Roman"/>
          <w:sz w:val="24"/>
          <w:szCs w:val="24"/>
        </w:rPr>
        <w:t>Anaeto</w:t>
      </w:r>
      <w:proofErr w:type="spellEnd"/>
      <w:r w:rsidRPr="003614FF">
        <w:rPr>
          <w:rFonts w:ascii="Times New Roman" w:hAnsi="Times New Roman" w:cs="Times New Roman"/>
          <w:sz w:val="24"/>
          <w:szCs w:val="24"/>
        </w:rPr>
        <w:t xml:space="preserve"> et al. (2013) in Nigeria, which reported improved small-ruminant performance when cassava foliage or cassava-derived feeds were included in the diet. However, beyond the 30% threshold (DCL45 group), stagnation followed by a slight decline in total DMI (</w:t>
      </w:r>
      <m:oMath>
        <m:r>
          <w:rPr>
            <w:rFonts w:ascii="Cambria Math" w:hAnsi="Cambria Math" w:cs="Times New Roman"/>
            <w:sz w:val="24"/>
            <w:szCs w:val="24"/>
          </w:rPr>
          <m:t>595.1</m:t>
        </m:r>
        <m:r>
          <m:rPr>
            <m:nor/>
          </m:rPr>
          <w:rPr>
            <w:rFonts w:ascii="Times New Roman" w:hAnsi="Times New Roman" w:cs="Times New Roman"/>
            <w:sz w:val="24"/>
            <w:szCs w:val="24"/>
          </w:rPr>
          <m:t> g DM/day</m:t>
        </m:r>
      </m:oMath>
      <w:r w:rsidRPr="003614FF">
        <w:rPr>
          <w:rFonts w:ascii="Times New Roman" w:hAnsi="Times New Roman" w:cs="Times New Roman"/>
          <w:sz w:val="24"/>
          <w:szCs w:val="24"/>
        </w:rPr>
        <w:t>) was recorded. This phenomenon can be attributed to two main factors:</w:t>
      </w:r>
    </w:p>
    <w:p w14:paraId="3B8EF884" w14:textId="77777777" w:rsidR="003614FF" w:rsidRPr="003614FF" w:rsidRDefault="003614FF" w:rsidP="00A415E5">
      <w:pPr>
        <w:numPr>
          <w:ilvl w:val="0"/>
          <w:numId w:val="5"/>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Condensed tannin load:</w:t>
      </w:r>
      <w:r w:rsidRPr="003614FF">
        <w:rPr>
          <w:rFonts w:ascii="Times New Roman" w:hAnsi="Times New Roman" w:cs="Times New Roman"/>
          <w:sz w:val="24"/>
          <w:szCs w:val="24"/>
        </w:rPr>
        <w:t xml:space="preserve"> Cassava leaves contain secondary phenolic compounds (</w:t>
      </w:r>
      <m:oMath>
        <m:r>
          <w:rPr>
            <w:rFonts w:ascii="Cambria Math" w:hAnsi="Cambria Math" w:cs="Times New Roman"/>
            <w:sz w:val="24"/>
            <w:szCs w:val="24"/>
          </w:rPr>
          <m:t>30</m:t>
        </m:r>
        <m:r>
          <m:rPr>
            <m:nor/>
          </m:rPr>
          <w:rPr>
            <w:rFonts w:ascii="Times New Roman" w:hAnsi="Times New Roman" w:cs="Times New Roman"/>
            <w:sz w:val="24"/>
            <w:szCs w:val="24"/>
          </w:rPr>
          <m:t> to </m:t>
        </m:r>
        <m:r>
          <w:rPr>
            <w:rFonts w:ascii="Cambria Math" w:hAnsi="Cambria Math" w:cs="Times New Roman"/>
            <w:sz w:val="24"/>
            <w:szCs w:val="24"/>
          </w:rPr>
          <m:t>50</m:t>
        </m:r>
        <m:r>
          <m:rPr>
            <m:nor/>
          </m:rPr>
          <w:rPr>
            <w:rFonts w:ascii="Times New Roman" w:hAnsi="Times New Roman" w:cs="Times New Roman"/>
            <w:sz w:val="24"/>
            <w:szCs w:val="24"/>
          </w:rPr>
          <m:t> g/kg DM</m:t>
        </m:r>
      </m:oMath>
      <w:r w:rsidRPr="003614FF">
        <w:rPr>
          <w:rFonts w:ascii="Times New Roman" w:hAnsi="Times New Roman" w:cs="Times New Roman"/>
          <w:sz w:val="24"/>
          <w:szCs w:val="24"/>
        </w:rPr>
        <w:t xml:space="preserve">) which, at high concentrations, complex proteins and inhibit ruminal enzyme activity, </w:t>
      </w:r>
      <w:r w:rsidRPr="003614FF">
        <w:rPr>
          <w:rFonts w:ascii="Times New Roman" w:hAnsi="Times New Roman" w:cs="Times New Roman"/>
          <w:sz w:val="24"/>
          <w:szCs w:val="24"/>
          <w:highlight w:val="yellow"/>
        </w:rPr>
        <w:t>thereby reducing diet palatability</w:t>
      </w:r>
      <w:r w:rsidR="00403BCE">
        <w:rPr>
          <w:rFonts w:ascii="Times New Roman" w:hAnsi="Times New Roman" w:cs="Times New Roman"/>
          <w:sz w:val="24"/>
          <w:szCs w:val="24"/>
          <w:highlight w:val="yellow"/>
        </w:rPr>
        <w:t xml:space="preserve"> </w:t>
      </w:r>
      <w:r w:rsidR="00403BCE">
        <w:rPr>
          <w:rFonts w:ascii="Times New Roman" w:hAnsi="Times New Roman" w:cs="Times New Roman"/>
          <w:sz w:val="24"/>
          <w:szCs w:val="24"/>
        </w:rPr>
        <w:t>(Ravindran, 1993; McSweeney et al., 2001)</w:t>
      </w:r>
      <w:r w:rsidRPr="003614FF">
        <w:rPr>
          <w:rFonts w:ascii="Times New Roman" w:hAnsi="Times New Roman" w:cs="Times New Roman"/>
          <w:sz w:val="24"/>
          <w:szCs w:val="24"/>
        </w:rPr>
        <w:t>.</w:t>
      </w:r>
    </w:p>
    <w:p w14:paraId="76E0B78B" w14:textId="77777777" w:rsidR="003614FF" w:rsidRPr="003614FF" w:rsidRDefault="003614FF" w:rsidP="00A415E5">
      <w:pPr>
        <w:numPr>
          <w:ilvl w:val="0"/>
          <w:numId w:val="5"/>
        </w:numPr>
        <w:spacing w:line="480" w:lineRule="auto"/>
        <w:contextualSpacing/>
        <w:jc w:val="both"/>
        <w:rPr>
          <w:rFonts w:ascii="Times New Roman" w:hAnsi="Times New Roman" w:cs="Times New Roman"/>
          <w:sz w:val="24"/>
          <w:szCs w:val="24"/>
        </w:rPr>
      </w:pPr>
      <w:proofErr w:type="spellStart"/>
      <w:r w:rsidRPr="003614FF">
        <w:rPr>
          <w:rFonts w:ascii="Times New Roman" w:hAnsi="Times New Roman" w:cs="Times New Roman"/>
          <w:b/>
          <w:bCs/>
          <w:sz w:val="24"/>
          <w:szCs w:val="24"/>
          <w:highlight w:val="yellow"/>
        </w:rPr>
        <w:t>Fibre</w:t>
      </w:r>
      <w:proofErr w:type="spellEnd"/>
      <w:r w:rsidRPr="003614FF">
        <w:rPr>
          <w:rFonts w:ascii="Times New Roman" w:hAnsi="Times New Roman" w:cs="Times New Roman"/>
          <w:b/>
          <w:bCs/>
          <w:sz w:val="24"/>
          <w:szCs w:val="24"/>
          <w:highlight w:val="yellow"/>
        </w:rPr>
        <w:t xml:space="preserve"> content:</w:t>
      </w:r>
      <w:r w:rsidRPr="003614FF">
        <w:rPr>
          <w:rFonts w:ascii="Times New Roman" w:hAnsi="Times New Roman" w:cs="Times New Roman"/>
          <w:sz w:val="24"/>
          <w:szCs w:val="24"/>
        </w:rPr>
        <w:t xml:space="preserve"> The increase in </w:t>
      </w:r>
      <w:r w:rsidRPr="003614FF">
        <w:rPr>
          <w:rFonts w:ascii="Times New Roman" w:hAnsi="Times New Roman" w:cs="Times New Roman"/>
          <w:sz w:val="24"/>
          <w:szCs w:val="24"/>
          <w:highlight w:val="yellow"/>
        </w:rPr>
        <w:t xml:space="preserve">crude </w:t>
      </w:r>
      <w:proofErr w:type="spellStart"/>
      <w:r w:rsidRPr="003614FF">
        <w:rPr>
          <w:rFonts w:ascii="Times New Roman" w:hAnsi="Times New Roman" w:cs="Times New Roman"/>
          <w:sz w:val="24"/>
          <w:szCs w:val="24"/>
          <w:highlight w:val="yellow"/>
        </w:rPr>
        <w:t>fibre</w:t>
      </w:r>
      <w:proofErr w:type="spellEnd"/>
      <w:r w:rsidRPr="003614FF">
        <w:rPr>
          <w:rFonts w:ascii="Times New Roman" w:hAnsi="Times New Roman" w:cs="Times New Roman"/>
          <w:sz w:val="24"/>
          <w:szCs w:val="24"/>
        </w:rPr>
        <w:t xml:space="preserve"> associated with high foliage inclusion slows ruminal degradability compared to a starch-rich concentrate (Onwuka, 1992).</w:t>
      </w:r>
    </w:p>
    <w:p w14:paraId="25EE364D" w14:textId="77777777"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Apparent Digestibility of Dry Matter (</w:t>
      </w:r>
      <w:proofErr w:type="spellStart"/>
      <w:r w:rsidRPr="003614FF">
        <w:rPr>
          <w:rFonts w:ascii="Times New Roman" w:hAnsi="Times New Roman" w:cs="Times New Roman"/>
          <w:b/>
          <w:bCs/>
          <w:sz w:val="24"/>
          <w:szCs w:val="24"/>
        </w:rPr>
        <w:t>dDM</w:t>
      </w:r>
      <w:proofErr w:type="spellEnd"/>
      <w:r w:rsidRPr="003614FF">
        <w:rPr>
          <w:rFonts w:ascii="Times New Roman" w:hAnsi="Times New Roman" w:cs="Times New Roman"/>
          <w:b/>
          <w:bCs/>
          <w:sz w:val="24"/>
          <w:szCs w:val="24"/>
        </w:rPr>
        <w:t>) and Nitrogen (</w:t>
      </w:r>
      <w:proofErr w:type="spellStart"/>
      <w:r w:rsidRPr="003614FF">
        <w:rPr>
          <w:rFonts w:ascii="Times New Roman" w:hAnsi="Times New Roman" w:cs="Times New Roman"/>
          <w:b/>
          <w:bCs/>
          <w:sz w:val="24"/>
          <w:szCs w:val="24"/>
        </w:rPr>
        <w:t>dCP</w:t>
      </w:r>
      <w:proofErr w:type="spellEnd"/>
      <w:r w:rsidRPr="003614FF">
        <w:rPr>
          <w:rFonts w:ascii="Times New Roman" w:hAnsi="Times New Roman" w:cs="Times New Roman"/>
          <w:b/>
          <w:bCs/>
          <w:sz w:val="24"/>
          <w:szCs w:val="24"/>
        </w:rPr>
        <w:t>)</w:t>
      </w:r>
    </w:p>
    <w:p w14:paraId="3EA5E38B"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Apparent digestibility of DM and CP peaked in the DCL30 treatment (67.1% and 73.8%, respectively), </w:t>
      </w:r>
      <w:r w:rsidRPr="003614FF">
        <w:rPr>
          <w:rFonts w:ascii="Times New Roman" w:hAnsi="Times New Roman" w:cs="Times New Roman"/>
          <w:sz w:val="24"/>
          <w:szCs w:val="24"/>
          <w:highlight w:val="yellow"/>
        </w:rPr>
        <w:t>showing significant differences compared with the DCL0 control group</w:t>
      </w:r>
      <w:r w:rsidRPr="003614FF">
        <w:rPr>
          <w:rFonts w:ascii="Times New Roman" w:hAnsi="Times New Roman" w:cs="Times New Roman"/>
          <w:sz w:val="24"/>
          <w:szCs w:val="24"/>
        </w:rPr>
        <w:t xml:space="preserve"> (61.2% and 64.5%). The improvement in crude protein digestibility (</w:t>
      </w:r>
      <w:proofErr w:type="spellStart"/>
      <w:r w:rsidRPr="003614FF">
        <w:rPr>
          <w:rFonts w:ascii="Times New Roman" w:hAnsi="Times New Roman" w:cs="Times New Roman"/>
          <w:sz w:val="24"/>
          <w:szCs w:val="24"/>
        </w:rPr>
        <w:t>dCP</w:t>
      </w:r>
      <w:proofErr w:type="spellEnd"/>
      <w:r w:rsidRPr="003614FF">
        <w:rPr>
          <w:rFonts w:ascii="Times New Roman" w:hAnsi="Times New Roman" w:cs="Times New Roman"/>
          <w:sz w:val="24"/>
          <w:szCs w:val="24"/>
        </w:rPr>
        <w:t xml:space="preserve">) demonstrates the high </w:t>
      </w:r>
      <w:r w:rsidRPr="003614FF">
        <w:rPr>
          <w:rFonts w:ascii="Times New Roman" w:hAnsi="Times New Roman" w:cs="Times New Roman"/>
          <w:sz w:val="24"/>
          <w:szCs w:val="24"/>
        </w:rPr>
        <w:lastRenderedPageBreak/>
        <w:t xml:space="preserve">biological value of cassava leaf protein. According to Ravindran (1993) and </w:t>
      </w:r>
      <w:proofErr w:type="spellStart"/>
      <w:r w:rsidRPr="003614FF">
        <w:rPr>
          <w:rFonts w:ascii="Times New Roman" w:hAnsi="Times New Roman" w:cs="Times New Roman"/>
          <w:sz w:val="24"/>
          <w:szCs w:val="24"/>
        </w:rPr>
        <w:t>Wanapat</w:t>
      </w:r>
      <w:proofErr w:type="spellEnd"/>
      <w:r w:rsidRPr="003614FF">
        <w:rPr>
          <w:rFonts w:ascii="Times New Roman" w:hAnsi="Times New Roman" w:cs="Times New Roman"/>
          <w:sz w:val="24"/>
          <w:szCs w:val="24"/>
        </w:rPr>
        <w:t xml:space="preserve"> (2003), cassava foliage proteins are rich in essential amino acids (notably lysine), while exhibiting a fraction of tannic proteins that escape ruminal degradation ("bypass" proteins). These tannin-protected proteins are subsequently released and digested in the abomasum and small intestine under acidic pH, thereby enhancing nitrogen assimilation effic</w:t>
      </w:r>
      <w:r w:rsidR="00403BCE">
        <w:rPr>
          <w:rFonts w:ascii="Times New Roman" w:hAnsi="Times New Roman" w:cs="Times New Roman"/>
          <w:sz w:val="24"/>
          <w:szCs w:val="24"/>
        </w:rPr>
        <w:t>iency in the animal (Leng, 1990; Hang &amp; Preston, 2005)</w:t>
      </w:r>
      <w:r w:rsidRPr="003614FF">
        <w:rPr>
          <w:rFonts w:ascii="Times New Roman" w:hAnsi="Times New Roman" w:cs="Times New Roman"/>
          <w:sz w:val="24"/>
          <w:szCs w:val="24"/>
        </w:rPr>
        <w:t>.</w:t>
      </w:r>
    </w:p>
    <w:p w14:paraId="7D170E7B"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Similar results were reported by Hang et al. (2012) in growing goats under tropical conditions, where cassava foliage supplementation increased live-weight gain relative to the grass-only control. The relative drop in </w:t>
      </w:r>
      <w:proofErr w:type="spellStart"/>
      <w:r w:rsidRPr="003614FF">
        <w:rPr>
          <w:rFonts w:ascii="Times New Roman" w:hAnsi="Times New Roman" w:cs="Times New Roman"/>
          <w:sz w:val="24"/>
          <w:szCs w:val="24"/>
        </w:rPr>
        <w:t>dDM</w:t>
      </w:r>
      <w:proofErr w:type="spellEnd"/>
      <w:r w:rsidRPr="003614FF">
        <w:rPr>
          <w:rFonts w:ascii="Times New Roman" w:hAnsi="Times New Roman" w:cs="Times New Roman"/>
          <w:sz w:val="24"/>
          <w:szCs w:val="24"/>
        </w:rPr>
        <w:t xml:space="preserve"> observed in the DCL45 group (63.8%) </w:t>
      </w:r>
      <w:r w:rsidRPr="003614FF">
        <w:rPr>
          <w:rFonts w:ascii="Times New Roman" w:hAnsi="Times New Roman" w:cs="Times New Roman"/>
          <w:sz w:val="24"/>
          <w:szCs w:val="24"/>
          <w:highlight w:val="yellow"/>
        </w:rPr>
        <w:t>is consistent with a partial inhibitory effect</w:t>
      </w:r>
      <w:r w:rsidRPr="003614FF">
        <w:rPr>
          <w:rFonts w:ascii="Times New Roman" w:hAnsi="Times New Roman" w:cs="Times New Roman"/>
          <w:sz w:val="24"/>
          <w:szCs w:val="24"/>
        </w:rPr>
        <w:t xml:space="preserve"> exerted by excessive tannins and lignified fractions on ruminal cellulolytic mic</w:t>
      </w:r>
      <w:r w:rsidR="00403BCE">
        <w:rPr>
          <w:rFonts w:ascii="Times New Roman" w:hAnsi="Times New Roman" w:cs="Times New Roman"/>
          <w:sz w:val="24"/>
          <w:szCs w:val="24"/>
        </w:rPr>
        <w:t>robes, as highlighted by Barry and</w:t>
      </w:r>
      <w:r w:rsidRPr="003614FF">
        <w:rPr>
          <w:rFonts w:ascii="Times New Roman" w:hAnsi="Times New Roman" w:cs="Times New Roman"/>
          <w:sz w:val="24"/>
          <w:szCs w:val="24"/>
        </w:rPr>
        <w:t xml:space="preserve"> McNabb (1999).</w:t>
      </w:r>
    </w:p>
    <w:p w14:paraId="78936D5B" w14:textId="77777777"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Growth Performance (ADG) and Feed Conversion Ratio (FCR)</w:t>
      </w:r>
    </w:p>
    <w:p w14:paraId="4AD732D2"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highlight w:val="yellow"/>
        </w:rPr>
        <w:t>The maximum average daily gain (ADG)</w:t>
      </w:r>
      <w:r w:rsidRPr="003614FF">
        <w:rPr>
          <w:rFonts w:ascii="Times New Roman" w:hAnsi="Times New Roman" w:cs="Times New Roman"/>
          <w:sz w:val="24"/>
          <w:szCs w:val="24"/>
        </w:rPr>
        <w:t xml:space="preserve"> recorded for the DCL30 group (</w:t>
      </w:r>
      <m:oMath>
        <m:r>
          <w:rPr>
            <w:rFonts w:ascii="Cambria Math" w:hAnsi="Cambria Math" w:cs="Times New Roman"/>
            <w:sz w:val="24"/>
            <w:szCs w:val="24"/>
          </w:rPr>
          <m:t>78.5</m:t>
        </m:r>
        <m:r>
          <m:rPr>
            <m:nor/>
          </m:rPr>
          <w:rPr>
            <w:rFonts w:ascii="Times New Roman" w:hAnsi="Times New Roman" w:cs="Times New Roman"/>
            <w:sz w:val="24"/>
            <w:szCs w:val="24"/>
          </w:rPr>
          <m:t> g/day</m:t>
        </m:r>
      </m:oMath>
      <w:r w:rsidRPr="003614FF">
        <w:rPr>
          <w:rFonts w:ascii="Times New Roman" w:hAnsi="Times New Roman" w:cs="Times New Roman"/>
          <w:sz w:val="24"/>
          <w:szCs w:val="24"/>
        </w:rPr>
        <w:t>) represents a 49.8% increase compared to the control group DCL0 (</w:t>
      </w:r>
      <m:oMath>
        <m:r>
          <w:rPr>
            <w:rFonts w:ascii="Cambria Math" w:hAnsi="Cambria Math" w:cs="Times New Roman"/>
            <w:sz w:val="24"/>
            <w:szCs w:val="24"/>
          </w:rPr>
          <m:t>52.4</m:t>
        </m:r>
        <m:r>
          <m:rPr>
            <m:nor/>
          </m:rPr>
          <w:rPr>
            <w:rFonts w:ascii="Times New Roman" w:hAnsi="Times New Roman" w:cs="Times New Roman"/>
            <w:sz w:val="24"/>
            <w:szCs w:val="24"/>
          </w:rPr>
          <m:t> g/day</m:t>
        </m:r>
      </m:oMath>
      <w:r w:rsidRPr="003614FF">
        <w:rPr>
          <w:rFonts w:ascii="Times New Roman" w:hAnsi="Times New Roman" w:cs="Times New Roman"/>
          <w:sz w:val="24"/>
          <w:szCs w:val="24"/>
        </w:rPr>
        <w:t xml:space="preserve">). This live weight gain falls within the </w:t>
      </w:r>
      <w:r w:rsidRPr="003614FF">
        <w:rPr>
          <w:rFonts w:ascii="Times New Roman" w:hAnsi="Times New Roman" w:cs="Times New Roman"/>
          <w:sz w:val="24"/>
          <w:szCs w:val="24"/>
          <w:highlight w:val="yellow"/>
        </w:rPr>
        <w:t>upper range of performance values observed</w:t>
      </w:r>
      <w:r w:rsidRPr="003614FF">
        <w:rPr>
          <w:rFonts w:ascii="Times New Roman" w:hAnsi="Times New Roman" w:cs="Times New Roman"/>
          <w:sz w:val="24"/>
          <w:szCs w:val="24"/>
        </w:rPr>
        <w:t xml:space="preserve"> in Sahelian goats under controlled station feeding (</w:t>
      </w:r>
      <m:oMath>
        <m:r>
          <w:rPr>
            <w:rFonts w:ascii="Cambria Math" w:hAnsi="Cambria Math" w:cs="Times New Roman"/>
            <w:sz w:val="24"/>
            <w:szCs w:val="24"/>
          </w:rPr>
          <m:t>60</m:t>
        </m:r>
        <m:r>
          <m:rPr>
            <m:nor/>
          </m:rPr>
          <w:rPr>
            <w:rFonts w:ascii="Times New Roman" w:hAnsi="Times New Roman" w:cs="Times New Roman"/>
            <w:sz w:val="24"/>
            <w:szCs w:val="24"/>
          </w:rPr>
          <m:t> to </m:t>
        </m:r>
        <m:r>
          <w:rPr>
            <w:rFonts w:ascii="Cambria Math" w:hAnsi="Cambria Math" w:cs="Times New Roman"/>
            <w:sz w:val="24"/>
            <w:szCs w:val="24"/>
          </w:rPr>
          <m:t>85</m:t>
        </m:r>
        <m:r>
          <m:rPr>
            <m:nor/>
          </m:rPr>
          <w:rPr>
            <w:rFonts w:ascii="Times New Roman" w:hAnsi="Times New Roman" w:cs="Times New Roman"/>
            <w:sz w:val="24"/>
            <w:szCs w:val="24"/>
          </w:rPr>
          <m:t> g/day</m:t>
        </m:r>
      </m:oMath>
      <w:r w:rsidRPr="003614FF">
        <w:rPr>
          <w:rFonts w:ascii="Times New Roman" w:hAnsi="Times New Roman" w:cs="Times New Roman"/>
          <w:sz w:val="24"/>
          <w:szCs w:val="24"/>
        </w:rPr>
        <w:t xml:space="preserve">) (Osman et al., 2023; </w:t>
      </w:r>
      <w:proofErr w:type="spellStart"/>
      <w:r w:rsidRPr="003614FF">
        <w:rPr>
          <w:rFonts w:ascii="Times New Roman" w:hAnsi="Times New Roman" w:cs="Times New Roman"/>
          <w:sz w:val="24"/>
          <w:szCs w:val="24"/>
        </w:rPr>
        <w:t>Zahraddeen</w:t>
      </w:r>
      <w:proofErr w:type="spellEnd"/>
      <w:r w:rsidRPr="003614FF">
        <w:rPr>
          <w:rFonts w:ascii="Times New Roman" w:hAnsi="Times New Roman" w:cs="Times New Roman"/>
          <w:sz w:val="24"/>
          <w:szCs w:val="24"/>
        </w:rPr>
        <w:t xml:space="preserve"> et al., 2008). </w:t>
      </w:r>
      <w:r w:rsidRPr="003614FF">
        <w:rPr>
          <w:rFonts w:ascii="Times New Roman" w:hAnsi="Times New Roman" w:cs="Times New Roman"/>
          <w:sz w:val="24"/>
          <w:szCs w:val="24"/>
          <w:highlight w:val="yellow"/>
        </w:rPr>
        <w:t>This pattern may be explained by</w:t>
      </w:r>
      <w:r w:rsidRPr="003614FF">
        <w:rPr>
          <w:rFonts w:ascii="Times New Roman" w:hAnsi="Times New Roman" w:cs="Times New Roman"/>
          <w:sz w:val="24"/>
          <w:szCs w:val="24"/>
        </w:rPr>
        <w:t xml:space="preserve"> the combination of increased intake and improved metabolic efficiency of ingested nitrogen. Similar trends were observed by several authors:</w:t>
      </w:r>
    </w:p>
    <w:p w14:paraId="3CC57862" w14:textId="77777777" w:rsidR="003614FF" w:rsidRPr="003614FF" w:rsidRDefault="003614FF" w:rsidP="00A415E5">
      <w:pPr>
        <w:numPr>
          <w:ilvl w:val="0"/>
          <w:numId w:val="6"/>
        </w:num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Sanon et al. (2008) in Burkina Faso </w:t>
      </w:r>
      <w:r w:rsidRPr="003614FF">
        <w:rPr>
          <w:rFonts w:ascii="Times New Roman" w:hAnsi="Times New Roman" w:cs="Times New Roman"/>
          <w:sz w:val="24"/>
          <w:szCs w:val="24"/>
          <w:highlight w:val="yellow"/>
        </w:rPr>
        <w:t>obtained ADG values of</w:t>
      </w:r>
      <w:r w:rsidRPr="003614FF">
        <w:rPr>
          <w:rFonts w:ascii="Times New Roman" w:hAnsi="Times New Roman" w:cs="Times New Roman"/>
          <w:sz w:val="24"/>
          <w:szCs w:val="24"/>
        </w:rPr>
        <w:t xml:space="preserve"> </w:t>
      </w:r>
      <m:oMath>
        <m:r>
          <w:rPr>
            <w:rFonts w:ascii="Cambria Math" w:hAnsi="Cambria Math" w:cs="Times New Roman"/>
            <w:sz w:val="24"/>
            <w:szCs w:val="24"/>
          </w:rPr>
          <m:t>68</m:t>
        </m:r>
        <m:r>
          <m:rPr>
            <m:nor/>
          </m:rPr>
          <w:rPr>
            <w:rFonts w:ascii="Times New Roman" w:hAnsi="Times New Roman" w:cs="Times New Roman"/>
            <w:sz w:val="24"/>
            <w:szCs w:val="24"/>
          </w:rPr>
          <m:t> g/day</m:t>
        </m:r>
      </m:oMath>
      <w:r w:rsidRPr="003614FF">
        <w:rPr>
          <w:rFonts w:ascii="Times New Roman" w:hAnsi="Times New Roman" w:cs="Times New Roman"/>
          <w:sz w:val="24"/>
          <w:szCs w:val="24"/>
        </w:rPr>
        <w:t xml:space="preserve"> in goats supplemented with local woody protein species.</w:t>
      </w:r>
    </w:p>
    <w:p w14:paraId="7EA8161F" w14:textId="77777777" w:rsidR="003614FF" w:rsidRPr="003614FF" w:rsidRDefault="003614FF" w:rsidP="00A415E5">
      <w:pPr>
        <w:numPr>
          <w:ilvl w:val="0"/>
          <w:numId w:val="6"/>
        </w:num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Do et al. (2002) reported increased intake, digestibility, and nitrogen retention as cassava leaves replaced grass in diets of goats fed ammoniated rice straw.</w:t>
      </w:r>
    </w:p>
    <w:p w14:paraId="1165B141" w14:textId="77777777" w:rsid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The lowest and most efficient FCR was obtained with DCL30 (7.80). This value reflects improved </w:t>
      </w:r>
      <w:r w:rsidRPr="003614FF">
        <w:rPr>
          <w:rFonts w:ascii="Times New Roman" w:hAnsi="Times New Roman" w:cs="Times New Roman"/>
          <w:sz w:val="24"/>
          <w:szCs w:val="24"/>
          <w:highlight w:val="yellow"/>
        </w:rPr>
        <w:t>feed conversion compared with the control group</w:t>
      </w:r>
      <w:r w:rsidRPr="003614FF">
        <w:rPr>
          <w:rFonts w:ascii="Times New Roman" w:hAnsi="Times New Roman" w:cs="Times New Roman"/>
          <w:sz w:val="24"/>
          <w:szCs w:val="24"/>
        </w:rPr>
        <w:t xml:space="preserve"> (9.83). The balanced supply of </w:t>
      </w:r>
      <w:r w:rsidRPr="003614FF">
        <w:rPr>
          <w:rFonts w:ascii="Times New Roman" w:hAnsi="Times New Roman" w:cs="Times New Roman"/>
          <w:sz w:val="24"/>
          <w:szCs w:val="24"/>
        </w:rPr>
        <w:lastRenderedPageBreak/>
        <w:t xml:space="preserve">nitrogen and energy in the DCL30 ration reduced the amount of dry matter required to produce </w:t>
      </w:r>
      <m:oMath>
        <m:r>
          <w:rPr>
            <w:rFonts w:ascii="Cambria Math" w:hAnsi="Cambria Math" w:cs="Times New Roman"/>
            <w:sz w:val="24"/>
            <w:szCs w:val="24"/>
          </w:rPr>
          <m:t>1</m:t>
        </m:r>
        <m:r>
          <m:rPr>
            <m:nor/>
          </m:rPr>
          <w:rPr>
            <w:rFonts w:ascii="Times New Roman" w:hAnsi="Times New Roman" w:cs="Times New Roman"/>
            <w:sz w:val="24"/>
            <w:szCs w:val="24"/>
          </w:rPr>
          <m:t> kg</m:t>
        </m:r>
      </m:oMath>
      <w:r w:rsidRPr="003614FF">
        <w:rPr>
          <w:rFonts w:ascii="Times New Roman" w:hAnsi="Times New Roman" w:cs="Times New Roman"/>
          <w:sz w:val="24"/>
          <w:szCs w:val="24"/>
        </w:rPr>
        <w:t xml:space="preserve"> of goat live weight gain.</w:t>
      </w:r>
    </w:p>
    <w:p w14:paraId="054DC62F" w14:textId="77777777"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Economic Profitability and Practical Implications</w:t>
      </w:r>
    </w:p>
    <w:p w14:paraId="13B8BC10"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Financially, replacing cottonseed cake and cereals with dried cassava leaves reduced the unit cost per kilogram of concentrate from </w:t>
      </w:r>
      <m:oMath>
        <m:r>
          <w:rPr>
            <w:rFonts w:ascii="Cambria Math" w:hAnsi="Cambria Math" w:cs="Times New Roman"/>
            <w:sz w:val="24"/>
            <w:szCs w:val="24"/>
          </w:rPr>
          <m:t>185</m:t>
        </m:r>
        <m:r>
          <m:rPr>
            <m:nor/>
          </m:rPr>
          <w:rPr>
            <w:rFonts w:ascii="Times New Roman" w:hAnsi="Times New Roman" w:cs="Times New Roman"/>
            <w:sz w:val="24"/>
            <w:szCs w:val="24"/>
          </w:rPr>
          <m:t> FCFA/kg</m:t>
        </m:r>
      </m:oMath>
      <w:r w:rsidRPr="003614FF">
        <w:rPr>
          <w:rFonts w:ascii="Times New Roman" w:hAnsi="Times New Roman" w:cs="Times New Roman"/>
          <w:sz w:val="24"/>
          <w:szCs w:val="24"/>
        </w:rPr>
        <w:t xml:space="preserve"> (DCL0) to </w:t>
      </w:r>
      <m:oMath>
        <m:r>
          <w:rPr>
            <w:rFonts w:ascii="Cambria Math" w:hAnsi="Cambria Math" w:cs="Times New Roman"/>
            <w:sz w:val="24"/>
            <w:szCs w:val="24"/>
          </w:rPr>
          <m:t>135</m:t>
        </m:r>
        <m:r>
          <m:rPr>
            <m:nor/>
          </m:rPr>
          <w:rPr>
            <w:rFonts w:ascii="Times New Roman" w:hAnsi="Times New Roman" w:cs="Times New Roman"/>
            <w:sz w:val="24"/>
            <w:szCs w:val="24"/>
          </w:rPr>
          <m:t> FCFA/kg</m:t>
        </m:r>
      </m:oMath>
      <w:r w:rsidRPr="003614FF">
        <w:rPr>
          <w:rFonts w:ascii="Times New Roman" w:hAnsi="Times New Roman" w:cs="Times New Roman"/>
          <w:sz w:val="24"/>
          <w:szCs w:val="24"/>
        </w:rPr>
        <w:t xml:space="preserve"> (DCL30) and </w:t>
      </w:r>
      <m:oMath>
        <m:r>
          <w:rPr>
            <w:rFonts w:ascii="Cambria Math" w:hAnsi="Cambria Math" w:cs="Times New Roman"/>
            <w:sz w:val="24"/>
            <w:szCs w:val="24"/>
          </w:rPr>
          <m:t>115</m:t>
        </m:r>
        <m:r>
          <m:rPr>
            <m:nor/>
          </m:rPr>
          <w:rPr>
            <w:rFonts w:ascii="Times New Roman" w:hAnsi="Times New Roman" w:cs="Times New Roman"/>
            <w:sz w:val="24"/>
            <w:szCs w:val="24"/>
          </w:rPr>
          <m:t> FCFA/kg</m:t>
        </m:r>
      </m:oMath>
      <w:r w:rsidRPr="003614FF">
        <w:rPr>
          <w:rFonts w:ascii="Times New Roman" w:hAnsi="Times New Roman" w:cs="Times New Roman"/>
          <w:sz w:val="24"/>
          <w:szCs w:val="24"/>
        </w:rPr>
        <w:t xml:space="preserve"> (DCL45). The reduction in cost per kg of live weight gain </w:t>
      </w:r>
      <w:r w:rsidRPr="003614FF">
        <w:rPr>
          <w:rFonts w:ascii="Times New Roman" w:hAnsi="Times New Roman" w:cs="Times New Roman"/>
          <w:sz w:val="24"/>
          <w:szCs w:val="24"/>
          <w:highlight w:val="yellow"/>
        </w:rPr>
        <w:t>(35.7% between DCL0 and DCL30</w:t>
      </w:r>
      <w:r w:rsidRPr="003614FF">
        <w:rPr>
          <w:rFonts w:ascii="Times New Roman" w:hAnsi="Times New Roman" w:cs="Times New Roman"/>
          <w:sz w:val="24"/>
          <w:szCs w:val="24"/>
        </w:rPr>
        <w:t xml:space="preserve">, dropping from </w:t>
      </w:r>
      <m:oMath>
        <m:r>
          <w:rPr>
            <w:rFonts w:ascii="Cambria Math" w:hAnsi="Cambria Math" w:cs="Times New Roman"/>
            <w:sz w:val="24"/>
            <w:szCs w:val="24"/>
          </w:rPr>
          <m:t>1,314</m:t>
        </m:r>
        <m:r>
          <m:rPr>
            <m:nor/>
          </m:rPr>
          <w:rPr>
            <w:rFonts w:ascii="Times New Roman" w:hAnsi="Times New Roman" w:cs="Times New Roman"/>
            <w:sz w:val="24"/>
            <w:szCs w:val="24"/>
          </w:rPr>
          <m:t> FCFA</m:t>
        </m:r>
      </m:oMath>
      <w:r w:rsidRPr="003614FF">
        <w:rPr>
          <w:rFonts w:ascii="Times New Roman" w:hAnsi="Times New Roman" w:cs="Times New Roman"/>
          <w:sz w:val="24"/>
          <w:szCs w:val="24"/>
        </w:rPr>
        <w:t xml:space="preserve"> to </w:t>
      </w:r>
      <m:oMath>
        <m:r>
          <w:rPr>
            <w:rFonts w:ascii="Cambria Math" w:hAnsi="Cambria Math" w:cs="Times New Roman"/>
            <w:sz w:val="24"/>
            <w:szCs w:val="24"/>
          </w:rPr>
          <m:t>845</m:t>
        </m:r>
        <m:r>
          <m:rPr>
            <m:nor/>
          </m:rPr>
          <w:rPr>
            <w:rFonts w:ascii="Times New Roman" w:hAnsi="Times New Roman" w:cs="Times New Roman"/>
            <w:sz w:val="24"/>
            <w:szCs w:val="24"/>
          </w:rPr>
          <m:t> FCFA</m:t>
        </m:r>
      </m:oMath>
      <w:r w:rsidRPr="003614FF">
        <w:rPr>
          <w:rFonts w:ascii="Times New Roman" w:hAnsi="Times New Roman" w:cs="Times New Roman"/>
          <w:sz w:val="24"/>
          <w:szCs w:val="24"/>
        </w:rPr>
        <w:t xml:space="preserve">) is driven by </w:t>
      </w:r>
      <w:r w:rsidRPr="003614FF">
        <w:rPr>
          <w:rFonts w:ascii="Times New Roman" w:hAnsi="Times New Roman" w:cs="Times New Roman"/>
          <w:sz w:val="24"/>
          <w:szCs w:val="24"/>
          <w:highlight w:val="yellow"/>
        </w:rPr>
        <w:t>two combined effects</w:t>
      </w:r>
      <w:r w:rsidRPr="003614FF">
        <w:rPr>
          <w:rFonts w:ascii="Times New Roman" w:hAnsi="Times New Roman" w:cs="Times New Roman"/>
          <w:sz w:val="24"/>
          <w:szCs w:val="24"/>
        </w:rPr>
        <w:t>:</w:t>
      </w:r>
    </w:p>
    <w:p w14:paraId="31137420" w14:textId="77777777" w:rsidR="003614FF" w:rsidRPr="003614FF" w:rsidRDefault="003614FF" w:rsidP="00A415E5">
      <w:pPr>
        <w:numPr>
          <w:ilvl w:val="0"/>
          <w:numId w:val="7"/>
        </w:num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highlight w:val="yellow"/>
        </w:rPr>
        <w:t>Increased zootechnical performance (higher ADG).</w:t>
      </w:r>
    </w:p>
    <w:p w14:paraId="525ABFF3" w14:textId="77777777" w:rsidR="003614FF" w:rsidRPr="003614FF" w:rsidRDefault="003614FF" w:rsidP="00A415E5">
      <w:pPr>
        <w:numPr>
          <w:ilvl w:val="0"/>
          <w:numId w:val="7"/>
        </w:num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The very low opportunity cost of cassava leaves, which represent an </w:t>
      </w:r>
      <w:proofErr w:type="spellStart"/>
      <w:r w:rsidR="009A2163" w:rsidRPr="003614FF">
        <w:rPr>
          <w:rFonts w:ascii="Times New Roman" w:hAnsi="Times New Roman" w:cs="Times New Roman"/>
          <w:sz w:val="24"/>
          <w:szCs w:val="24"/>
          <w:highlight w:val="yellow"/>
        </w:rPr>
        <w:t>underutilised</w:t>
      </w:r>
      <w:proofErr w:type="spellEnd"/>
      <w:r w:rsidRPr="003614FF">
        <w:rPr>
          <w:rFonts w:ascii="Times New Roman" w:hAnsi="Times New Roman" w:cs="Times New Roman"/>
          <w:sz w:val="24"/>
          <w:szCs w:val="24"/>
        </w:rPr>
        <w:t xml:space="preserve"> crop residue in market gardening or agricultural zones in Niger.</w:t>
      </w:r>
    </w:p>
    <w:p w14:paraId="7E829C53"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This finding is consistent with Dung et al. (2005) and </w:t>
      </w:r>
      <w:proofErr w:type="spellStart"/>
      <w:r w:rsidRPr="003614FF">
        <w:rPr>
          <w:rFonts w:ascii="Times New Roman" w:hAnsi="Times New Roman" w:cs="Times New Roman"/>
          <w:sz w:val="24"/>
          <w:szCs w:val="24"/>
        </w:rPr>
        <w:t>Phengvichith</w:t>
      </w:r>
      <w:proofErr w:type="spellEnd"/>
      <w:r w:rsidRPr="003614FF">
        <w:rPr>
          <w:rFonts w:ascii="Times New Roman" w:hAnsi="Times New Roman" w:cs="Times New Roman"/>
          <w:sz w:val="24"/>
          <w:szCs w:val="24"/>
        </w:rPr>
        <w:t xml:space="preserve"> and Ledin (2007), who reported that cassava foliage can replace part of conventional concentrate feeding while supporting goat intake and growth performance.</w:t>
      </w:r>
    </w:p>
    <w:p w14:paraId="73B40E31" w14:textId="77777777" w:rsidR="003614FF" w:rsidRPr="003614FF" w:rsidRDefault="007C7D50" w:rsidP="00A415E5">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Conclusion a</w:t>
      </w:r>
      <w:r w:rsidRPr="003614FF">
        <w:rPr>
          <w:rFonts w:ascii="Times New Roman" w:hAnsi="Times New Roman" w:cs="Times New Roman"/>
          <w:b/>
          <w:bCs/>
          <w:sz w:val="24"/>
          <w:szCs w:val="24"/>
        </w:rPr>
        <w:t>nd Recommendations</w:t>
      </w:r>
    </w:p>
    <w:p w14:paraId="3137CB10" w14:textId="30B1CD8A" w:rsidR="00AE7CA6" w:rsidRDefault="00AE7CA6" w:rsidP="00AE7CA6">
      <w:pPr>
        <w:spacing w:line="480" w:lineRule="auto"/>
        <w:contextualSpacing/>
        <w:jc w:val="both"/>
        <w:rPr>
          <w:rFonts w:ascii="Times New Roman" w:hAnsi="Times New Roman" w:cs="Times New Roman"/>
          <w:sz w:val="24"/>
          <w:szCs w:val="24"/>
        </w:rPr>
      </w:pPr>
      <w:r w:rsidRPr="00AE7CA6">
        <w:rPr>
          <w:rFonts w:ascii="Times New Roman" w:hAnsi="Times New Roman" w:cs="Times New Roman"/>
          <w:sz w:val="24"/>
          <w:szCs w:val="24"/>
        </w:rPr>
        <w:t xml:space="preserve">The findings indicate that dried cassava leaves can serve as a locally available protein ingredient in concentrate diets for fattening Sahelian bucks under the semi-arid conditions evaluated in Niger. Among the tested treatments, DCL30 produced the highest total dry matter intake (612.4 g/day) and average daily gain (78.5 g/day), together with dry matter and crude protein </w:t>
      </w:r>
      <w:proofErr w:type="spellStart"/>
      <w:r w:rsidRPr="00AE7CA6">
        <w:rPr>
          <w:rFonts w:ascii="Times New Roman" w:hAnsi="Times New Roman" w:cs="Times New Roman"/>
          <w:sz w:val="24"/>
          <w:szCs w:val="24"/>
        </w:rPr>
        <w:t>digestibilities</w:t>
      </w:r>
      <w:proofErr w:type="spellEnd"/>
      <w:r w:rsidRPr="00AE7CA6">
        <w:rPr>
          <w:rFonts w:ascii="Times New Roman" w:hAnsi="Times New Roman" w:cs="Times New Roman"/>
          <w:sz w:val="24"/>
          <w:szCs w:val="24"/>
        </w:rPr>
        <w:t xml:space="preserve"> of 67.1% and 73.8%, respectively. It also achieved the most efficient feed conversion ratio (7.80). Economically, the cost per kilogram of live-weight gain decreased from 1,314 FCFA in the control to 845 FCFA with DCL30, while the estimated gross margin increased from 2,010 to 5,070 FCFA per animal. Increasing inclusion to 45% did not improve performance beyond that observed at 30% and was accompanied by lower intake, digestibility, and average daily gain than DCL30. Within the tested feeding system and inclusion range, </w:t>
      </w:r>
      <w:r w:rsidRPr="00AE7CA6">
        <w:rPr>
          <w:rFonts w:ascii="Times New Roman" w:hAnsi="Times New Roman" w:cs="Times New Roman"/>
          <w:sz w:val="24"/>
          <w:szCs w:val="24"/>
        </w:rPr>
        <w:lastRenderedPageBreak/>
        <w:t xml:space="preserve">incorporating DCL at 30% of the concentrate therefore provided the most </w:t>
      </w:r>
      <w:proofErr w:type="spellStart"/>
      <w:r w:rsidRPr="00AE7CA6">
        <w:rPr>
          <w:rFonts w:ascii="Times New Roman" w:hAnsi="Times New Roman" w:cs="Times New Roman"/>
          <w:sz w:val="24"/>
          <w:szCs w:val="24"/>
        </w:rPr>
        <w:t>favourable</w:t>
      </w:r>
      <w:proofErr w:type="spellEnd"/>
      <w:r w:rsidRPr="00AE7CA6">
        <w:rPr>
          <w:rFonts w:ascii="Times New Roman" w:hAnsi="Times New Roman" w:cs="Times New Roman"/>
          <w:sz w:val="24"/>
          <w:szCs w:val="24"/>
        </w:rPr>
        <w:t xml:space="preserve"> overall combination of zootechnical performance and economic return.</w:t>
      </w:r>
      <w:r w:rsidRPr="00AE7CA6">
        <w:rPr>
          <w:rFonts w:ascii="Times New Roman" w:hAnsi="Times New Roman" w:cs="Times New Roman"/>
          <w:sz w:val="24"/>
          <w:szCs w:val="24"/>
        </w:rPr>
        <w:t xml:space="preserve"> </w:t>
      </w:r>
    </w:p>
    <w:p w14:paraId="2C1C91CE" w14:textId="3687429C" w:rsidR="003614FF" w:rsidRPr="003614FF" w:rsidRDefault="003614FF" w:rsidP="00A415E5">
      <w:pPr>
        <w:numPr>
          <w:ilvl w:val="0"/>
          <w:numId w:val="8"/>
        </w:num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An incorporation rate of </w:t>
      </w:r>
      <w:r w:rsidRPr="003614FF">
        <w:rPr>
          <w:rFonts w:ascii="Times New Roman" w:hAnsi="Times New Roman" w:cs="Times New Roman"/>
          <w:b/>
          <w:bCs/>
          <w:sz w:val="24"/>
          <w:szCs w:val="24"/>
        </w:rPr>
        <w:t>30% DCL</w:t>
      </w:r>
      <w:r w:rsidRPr="003614FF">
        <w:rPr>
          <w:rFonts w:ascii="Times New Roman" w:hAnsi="Times New Roman" w:cs="Times New Roman"/>
          <w:sz w:val="24"/>
          <w:szCs w:val="24"/>
        </w:rPr>
        <w:t xml:space="preserve"> in the concentrate is recommended to </w:t>
      </w:r>
      <w:r w:rsidRPr="003614FF">
        <w:rPr>
          <w:rFonts w:ascii="Times New Roman" w:hAnsi="Times New Roman" w:cs="Times New Roman"/>
          <w:sz w:val="24"/>
          <w:szCs w:val="24"/>
          <w:highlight w:val="yellow"/>
        </w:rPr>
        <w:t xml:space="preserve">simultaneously </w:t>
      </w:r>
      <w:proofErr w:type="spellStart"/>
      <w:r w:rsidRPr="003614FF">
        <w:rPr>
          <w:rFonts w:ascii="Times New Roman" w:hAnsi="Times New Roman" w:cs="Times New Roman"/>
          <w:sz w:val="24"/>
          <w:szCs w:val="24"/>
          <w:highlight w:val="yellow"/>
        </w:rPr>
        <w:t>optimise</w:t>
      </w:r>
      <w:proofErr w:type="spellEnd"/>
      <w:r w:rsidRPr="003614FF">
        <w:rPr>
          <w:rFonts w:ascii="Times New Roman" w:hAnsi="Times New Roman" w:cs="Times New Roman"/>
          <w:sz w:val="24"/>
          <w:szCs w:val="24"/>
        </w:rPr>
        <w:t xml:space="preserve"> live weight gain (</w:t>
      </w:r>
      <m:oMath>
        <m:r>
          <w:rPr>
            <w:rFonts w:ascii="Cambria Math" w:hAnsi="Cambria Math" w:cs="Times New Roman"/>
            <w:sz w:val="24"/>
            <w:szCs w:val="24"/>
          </w:rPr>
          <m:t>78.5</m:t>
        </m:r>
        <m:r>
          <m:rPr>
            <m:nor/>
          </m:rPr>
          <w:rPr>
            <w:rFonts w:ascii="Times New Roman" w:hAnsi="Times New Roman" w:cs="Times New Roman"/>
            <w:sz w:val="24"/>
            <w:szCs w:val="24"/>
          </w:rPr>
          <m:t> g/day</m:t>
        </m:r>
      </m:oMath>
      <w:r w:rsidRPr="003614FF">
        <w:rPr>
          <w:rFonts w:ascii="Times New Roman" w:hAnsi="Times New Roman" w:cs="Times New Roman"/>
          <w:sz w:val="24"/>
          <w:szCs w:val="24"/>
        </w:rPr>
        <w:t xml:space="preserve">), diet digestibility, and </w:t>
      </w:r>
      <w:r w:rsidRPr="003614FF">
        <w:rPr>
          <w:rFonts w:ascii="Times New Roman" w:hAnsi="Times New Roman" w:cs="Times New Roman"/>
          <w:sz w:val="24"/>
          <w:szCs w:val="24"/>
          <w:highlight w:val="yellow"/>
        </w:rPr>
        <w:t>farmers' profit margins</w:t>
      </w:r>
      <w:r w:rsidRPr="003614FF">
        <w:rPr>
          <w:rFonts w:ascii="Times New Roman" w:hAnsi="Times New Roman" w:cs="Times New Roman"/>
          <w:sz w:val="24"/>
          <w:szCs w:val="24"/>
        </w:rPr>
        <w:t>.</w:t>
      </w:r>
    </w:p>
    <w:p w14:paraId="5F125EB4" w14:textId="77777777" w:rsidR="003614FF" w:rsidRDefault="003614FF" w:rsidP="00A415E5">
      <w:pPr>
        <w:numPr>
          <w:ilvl w:val="0"/>
          <w:numId w:val="8"/>
        </w:num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Extension of simple harvesting and shade-drying </w:t>
      </w:r>
      <w:r w:rsidRPr="003614FF">
        <w:rPr>
          <w:rFonts w:ascii="Times New Roman" w:hAnsi="Times New Roman" w:cs="Times New Roman"/>
          <w:sz w:val="24"/>
          <w:szCs w:val="24"/>
          <w:highlight w:val="yellow"/>
        </w:rPr>
        <w:t xml:space="preserve">techniques among </w:t>
      </w:r>
      <w:proofErr w:type="spellStart"/>
      <w:r w:rsidR="009A2163" w:rsidRPr="003614FF">
        <w:rPr>
          <w:rFonts w:ascii="Times New Roman" w:hAnsi="Times New Roman" w:cs="Times New Roman"/>
          <w:sz w:val="24"/>
          <w:szCs w:val="24"/>
          <w:highlight w:val="yellow"/>
        </w:rPr>
        <w:t>agropastoralists</w:t>
      </w:r>
      <w:proofErr w:type="spellEnd"/>
      <w:r w:rsidRPr="003614FF">
        <w:rPr>
          <w:rFonts w:ascii="Times New Roman" w:hAnsi="Times New Roman" w:cs="Times New Roman"/>
          <w:sz w:val="24"/>
          <w:szCs w:val="24"/>
        </w:rPr>
        <w:t xml:space="preserve"> is recommended to secure goat nutrition during the dry season.</w:t>
      </w:r>
    </w:p>
    <w:p w14:paraId="5AAEA5DC" w14:textId="40B0503C" w:rsidR="00AE7CA6" w:rsidRPr="00AE7CA6" w:rsidRDefault="00AE7CA6" w:rsidP="00AE7CA6">
      <w:pPr>
        <w:pStyle w:val="Heading2"/>
        <w:rPr>
          <w:b/>
          <w:bCs/>
        </w:rPr>
      </w:pPr>
      <w:bookmarkStart w:id="0" w:name="_Hlk238550938"/>
      <w:bookmarkStart w:id="1" w:name="_Hlk237856463"/>
      <w:r w:rsidRPr="00AE7CA6">
        <w:rPr>
          <w:b/>
          <w:bCs/>
        </w:rPr>
        <w:t>Limitation</w:t>
      </w:r>
    </w:p>
    <w:p w14:paraId="791DDE68" w14:textId="77777777" w:rsidR="00AE7CA6" w:rsidRDefault="00AE7CA6" w:rsidP="00AE7CA6">
      <w:pPr>
        <w:pStyle w:val="NormalWeb"/>
      </w:pPr>
      <w:r>
        <w:t>The findings are specific to 24 Sahelian bucks, four tested DCL inclusion levels, and a 70-day feeding trial conducted at one experimental station under semi-arid conditions in Niger. The study assessed feed intake, apparent digestibility, growth performance, feed conversion, and selected economic indicators. Accordingly, interpretation should remain within these measured outcomes, the tested inclusion range, and the stated production conditions; extrapolation to other animal classes, environments, or feeding systems requires additional evaluation</w:t>
      </w:r>
    </w:p>
    <w:p w14:paraId="2102FA63" w14:textId="77777777" w:rsidR="00AE7CA6" w:rsidRDefault="00AE7CA6" w:rsidP="00FA316B">
      <w:pPr>
        <w:spacing w:after="0" w:line="240" w:lineRule="auto"/>
        <w:ind w:left="360"/>
        <w:rPr>
          <w:rFonts w:ascii="Arial" w:hAnsi="Arial" w:cs="Arial"/>
          <w:b/>
          <w:sz w:val="20"/>
          <w:szCs w:val="20"/>
        </w:rPr>
      </w:pPr>
    </w:p>
    <w:p w14:paraId="30007CD8" w14:textId="77777777" w:rsidR="00AE7CA6" w:rsidRDefault="00AE7CA6" w:rsidP="00FA316B">
      <w:pPr>
        <w:spacing w:after="0" w:line="240" w:lineRule="auto"/>
        <w:ind w:left="360"/>
        <w:rPr>
          <w:rFonts w:ascii="Arial" w:hAnsi="Arial" w:cs="Arial"/>
          <w:b/>
          <w:sz w:val="20"/>
          <w:szCs w:val="20"/>
        </w:rPr>
      </w:pPr>
    </w:p>
    <w:p w14:paraId="5EC81B8C" w14:textId="0A4C6662" w:rsidR="00237B32" w:rsidRPr="00FA316B" w:rsidRDefault="00237B32" w:rsidP="00FA316B">
      <w:pPr>
        <w:spacing w:after="0" w:line="240" w:lineRule="auto"/>
        <w:ind w:left="360"/>
        <w:rPr>
          <w:rFonts w:ascii="Arial" w:hAnsi="Arial" w:cs="Arial"/>
          <w:b/>
          <w:sz w:val="20"/>
          <w:szCs w:val="20"/>
        </w:rPr>
      </w:pPr>
      <w:r w:rsidRPr="00FA316B">
        <w:rPr>
          <w:rFonts w:ascii="Arial" w:hAnsi="Arial" w:cs="Arial"/>
          <w:b/>
          <w:sz w:val="20"/>
          <w:szCs w:val="20"/>
        </w:rPr>
        <w:t>Declaration of AI Use</w:t>
      </w:r>
    </w:p>
    <w:p w14:paraId="3DD5A2E0" w14:textId="77777777" w:rsidR="00237B32" w:rsidRPr="00FA316B" w:rsidRDefault="00237B32" w:rsidP="00FA316B">
      <w:pPr>
        <w:spacing w:after="0" w:line="240" w:lineRule="auto"/>
        <w:ind w:left="360"/>
        <w:rPr>
          <w:rFonts w:ascii="Arial" w:hAnsi="Arial" w:cs="Arial"/>
          <w:sz w:val="20"/>
          <w:szCs w:val="20"/>
        </w:rPr>
      </w:pPr>
      <w:bookmarkStart w:id="2" w:name="_Hlk239068730"/>
    </w:p>
    <w:p w14:paraId="47D63D1F" w14:textId="77777777" w:rsidR="00237B32" w:rsidRPr="00FA316B" w:rsidRDefault="00237B32" w:rsidP="00FA316B">
      <w:pPr>
        <w:spacing w:after="0" w:line="240" w:lineRule="auto"/>
        <w:ind w:left="360"/>
        <w:rPr>
          <w:rFonts w:ascii="Arial" w:hAnsi="Arial" w:cs="Arial"/>
          <w:sz w:val="20"/>
          <w:szCs w:val="20"/>
        </w:rPr>
      </w:pPr>
      <w:bookmarkStart w:id="3" w:name="_Hlk237862032"/>
      <w:r w:rsidRPr="00FA316B">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FA316B">
        <w:rPr>
          <w:rFonts w:ascii="Arial" w:hAnsi="Arial" w:cs="Arial"/>
          <w:sz w:val="20"/>
          <w:szCs w:val="20"/>
        </w:rPr>
        <w:t>.</w:t>
      </w:r>
    </w:p>
    <w:bookmarkEnd w:id="1"/>
    <w:bookmarkEnd w:id="2"/>
    <w:bookmarkEnd w:id="3"/>
    <w:p w14:paraId="00F3AEA0" w14:textId="77777777" w:rsidR="00B725B5" w:rsidRPr="00B725B5" w:rsidRDefault="00B725B5" w:rsidP="00A415E5">
      <w:pPr>
        <w:pStyle w:val="Default"/>
        <w:contextualSpacing/>
        <w:jc w:val="both"/>
        <w:rPr>
          <w:rFonts w:ascii="Times New Roman" w:hAnsi="Times New Roman" w:cs="Times New Roman"/>
          <w:color w:val="auto"/>
        </w:rPr>
      </w:pPr>
    </w:p>
    <w:p w14:paraId="1F7ED3DE" w14:textId="77777777" w:rsidR="00B725B5" w:rsidRPr="00B725B5" w:rsidRDefault="00B725B5" w:rsidP="00A415E5">
      <w:pPr>
        <w:pStyle w:val="Default"/>
        <w:contextualSpacing/>
        <w:rPr>
          <w:rFonts w:ascii="Times New Roman" w:hAnsi="Times New Roman" w:cs="Times New Roman"/>
          <w:color w:val="auto"/>
        </w:rPr>
      </w:pPr>
    </w:p>
    <w:p w14:paraId="5F92B7C6" w14:textId="77777777" w:rsidR="00B725B5" w:rsidRPr="00B725B5" w:rsidRDefault="009A2163" w:rsidP="00A415E5">
      <w:pPr>
        <w:pStyle w:val="Default"/>
        <w:contextualSpacing/>
        <w:rPr>
          <w:rFonts w:ascii="Times New Roman" w:hAnsi="Times New Roman" w:cs="Times New Roman"/>
          <w:b/>
          <w:bCs/>
          <w:color w:val="auto"/>
        </w:rPr>
      </w:pPr>
      <w:r w:rsidRPr="00B725B5">
        <w:rPr>
          <w:rFonts w:ascii="Times New Roman" w:hAnsi="Times New Roman" w:cs="Times New Roman"/>
          <w:b/>
          <w:bCs/>
          <w:color w:val="auto"/>
        </w:rPr>
        <w:t xml:space="preserve">Competing Interests </w:t>
      </w:r>
    </w:p>
    <w:p w14:paraId="1AA12141" w14:textId="77777777" w:rsidR="00B725B5" w:rsidRPr="003614FF" w:rsidRDefault="00B725B5" w:rsidP="00A415E5">
      <w:pPr>
        <w:spacing w:line="480" w:lineRule="auto"/>
        <w:contextualSpacing/>
        <w:jc w:val="both"/>
        <w:rPr>
          <w:rFonts w:ascii="Times New Roman" w:hAnsi="Times New Roman" w:cs="Times New Roman"/>
          <w:sz w:val="24"/>
          <w:szCs w:val="24"/>
        </w:rPr>
      </w:pPr>
      <w:r w:rsidRPr="00B725B5">
        <w:rPr>
          <w:rFonts w:ascii="Times New Roman" w:hAnsi="Times New Roman" w:cs="Times New Roman"/>
          <w:sz w:val="24"/>
          <w:szCs w:val="24"/>
        </w:rPr>
        <w:t>Authors have declared that no competing interests exist.</w:t>
      </w:r>
    </w:p>
    <w:p w14:paraId="32856F37" w14:textId="77777777" w:rsidR="003614FF" w:rsidRPr="003614FF" w:rsidRDefault="007C7D50"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References</w:t>
      </w:r>
    </w:p>
    <w:p w14:paraId="44085816" w14:textId="77777777" w:rsidR="001B00CB" w:rsidRDefault="00000000">
      <w:pPr>
        <w:spacing w:after="0" w:line="480" w:lineRule="auto"/>
        <w:ind w:left="720" w:hanging="720"/>
      </w:pPr>
      <w:proofErr w:type="spellStart"/>
      <w:r>
        <w:t>Anaeto</w:t>
      </w:r>
      <w:proofErr w:type="spellEnd"/>
      <w:r>
        <w:t xml:space="preserve">, M., Sawyerr, A. F., Alli, T. R., Tayo, G. O., Adeyeye, J. A., &amp; </w:t>
      </w:r>
      <w:proofErr w:type="spellStart"/>
      <w:r>
        <w:t>Olarinmoye</w:t>
      </w:r>
      <w:proofErr w:type="spellEnd"/>
      <w:r>
        <w:t xml:space="preserve">, A. O. (2013). Cassava leaf silage and cassava peel as dry season feed for West African Dwarf sheep. </w:t>
      </w:r>
      <w:r>
        <w:rPr>
          <w:i/>
        </w:rPr>
        <w:t>Global Journal of Science Frontier Research: D Agriculture and Veterinary Sciences, 13</w:t>
      </w:r>
      <w:r>
        <w:t xml:space="preserve">(2), 1–4. </w:t>
      </w:r>
      <w:hyperlink r:id="rId7">
        <w:r>
          <w:rPr>
            <w:color w:val="0563C1"/>
            <w:u w:val="single"/>
          </w:rPr>
          <w:t>https://globaljournals.org/scholarly-articles/cassava-leaf-silage-and-cassava-peel-as-dry-season-feed-for-west-african-dwarf-sheep/</w:t>
        </w:r>
      </w:hyperlink>
    </w:p>
    <w:p w14:paraId="0F282C4C" w14:textId="77777777" w:rsidR="001B00CB" w:rsidRDefault="00000000">
      <w:pPr>
        <w:spacing w:after="0" w:line="480" w:lineRule="auto"/>
        <w:ind w:left="720" w:hanging="720"/>
      </w:pPr>
      <w:proofErr w:type="spellStart"/>
      <w:r>
        <w:lastRenderedPageBreak/>
        <w:t>Ayasan</w:t>
      </w:r>
      <w:proofErr w:type="spellEnd"/>
      <w:r>
        <w:t xml:space="preserve">, T. (2010). </w:t>
      </w:r>
      <w:proofErr w:type="spellStart"/>
      <w:r>
        <w:t>Hayvan</w:t>
      </w:r>
      <w:proofErr w:type="spellEnd"/>
      <w:r>
        <w:t xml:space="preserve"> </w:t>
      </w:r>
      <w:proofErr w:type="spellStart"/>
      <w:r>
        <w:t>beslemede</w:t>
      </w:r>
      <w:proofErr w:type="spellEnd"/>
      <w:r>
        <w:t xml:space="preserve"> cassava </w:t>
      </w:r>
      <w:proofErr w:type="spellStart"/>
      <w:r>
        <w:t>ve</w:t>
      </w:r>
      <w:proofErr w:type="spellEnd"/>
      <w:r>
        <w:t xml:space="preserve"> </w:t>
      </w:r>
      <w:proofErr w:type="spellStart"/>
      <w:r>
        <w:t>ürünlerinin</w:t>
      </w:r>
      <w:proofErr w:type="spellEnd"/>
      <w:r>
        <w:t xml:space="preserve"> </w:t>
      </w:r>
      <w:proofErr w:type="spellStart"/>
      <w:r>
        <w:t>kullanımı</w:t>
      </w:r>
      <w:proofErr w:type="spellEnd"/>
      <w:r>
        <w:t xml:space="preserve"> [Use of cassava and products in animal nutrition]. </w:t>
      </w:r>
      <w:proofErr w:type="spellStart"/>
      <w:r>
        <w:rPr>
          <w:i/>
        </w:rPr>
        <w:t>Gaziosmanpaşa</w:t>
      </w:r>
      <w:proofErr w:type="spellEnd"/>
      <w:r>
        <w:rPr>
          <w:i/>
        </w:rPr>
        <w:t xml:space="preserve"> </w:t>
      </w:r>
      <w:proofErr w:type="spellStart"/>
      <w:r>
        <w:rPr>
          <w:i/>
        </w:rPr>
        <w:t>Üniversitesi</w:t>
      </w:r>
      <w:proofErr w:type="spellEnd"/>
      <w:r>
        <w:rPr>
          <w:i/>
        </w:rPr>
        <w:t xml:space="preserve"> Ziraat </w:t>
      </w:r>
      <w:proofErr w:type="spellStart"/>
      <w:r>
        <w:rPr>
          <w:i/>
        </w:rPr>
        <w:t>Fakültesi</w:t>
      </w:r>
      <w:proofErr w:type="spellEnd"/>
      <w:r>
        <w:rPr>
          <w:i/>
        </w:rPr>
        <w:t xml:space="preserve"> Dergisi, 27</w:t>
      </w:r>
      <w:r>
        <w:t xml:space="preserve">(1), 73–83. </w:t>
      </w:r>
      <w:hyperlink r:id="rId8">
        <w:r>
          <w:rPr>
            <w:color w:val="0563C1"/>
            <w:u w:val="single"/>
          </w:rPr>
          <w:t>https://dergipark.org.tr/en/pub/gopzfd/issue/7333/95964</w:t>
        </w:r>
      </w:hyperlink>
    </w:p>
    <w:p w14:paraId="13380D18" w14:textId="77777777" w:rsidR="001B00CB" w:rsidRDefault="00000000">
      <w:pPr>
        <w:spacing w:after="0" w:line="480" w:lineRule="auto"/>
        <w:ind w:left="720" w:hanging="720"/>
      </w:pPr>
      <w:r>
        <w:rPr>
          <w:b/>
          <w:highlight w:val="yellow"/>
        </w:rPr>
        <w:t xml:space="preserve">Bakare, A. G., </w:t>
      </w:r>
      <w:proofErr w:type="spellStart"/>
      <w:r>
        <w:rPr>
          <w:b/>
          <w:highlight w:val="yellow"/>
        </w:rPr>
        <w:t>Zindove</w:t>
      </w:r>
      <w:proofErr w:type="spellEnd"/>
      <w:r>
        <w:rPr>
          <w:b/>
          <w:highlight w:val="yellow"/>
        </w:rPr>
        <w:t xml:space="preserve">, T. J., Bhavna, A., Devi, A., </w:t>
      </w:r>
      <w:proofErr w:type="spellStart"/>
      <w:r>
        <w:rPr>
          <w:b/>
          <w:highlight w:val="yellow"/>
        </w:rPr>
        <w:t>Takayawa</w:t>
      </w:r>
      <w:proofErr w:type="spellEnd"/>
      <w:r>
        <w:rPr>
          <w:b/>
          <w:highlight w:val="yellow"/>
        </w:rPr>
        <w:t xml:space="preserve">, S. L., Sharma, A. C., &amp; </w:t>
      </w:r>
      <w:proofErr w:type="spellStart"/>
      <w:r>
        <w:rPr>
          <w:b/>
          <w:highlight w:val="yellow"/>
        </w:rPr>
        <w:t>Iji</w:t>
      </w:r>
      <w:proofErr w:type="spellEnd"/>
      <w:r>
        <w:rPr>
          <w:b/>
          <w:highlight w:val="yellow"/>
        </w:rPr>
        <w:t xml:space="preserve">, P. A. (2023). Lactobacillus </w:t>
      </w:r>
      <w:proofErr w:type="spellStart"/>
      <w:r>
        <w:rPr>
          <w:b/>
          <w:highlight w:val="yellow"/>
        </w:rPr>
        <w:t>buchneri</w:t>
      </w:r>
      <w:proofErr w:type="spellEnd"/>
      <w:r>
        <w:rPr>
          <w:b/>
          <w:highlight w:val="yellow"/>
        </w:rPr>
        <w:t xml:space="preserve"> and molasses can alter the physicochemical properties of cassava leaf silage. </w:t>
      </w:r>
      <w:proofErr w:type="spellStart"/>
      <w:r>
        <w:rPr>
          <w:b/>
          <w:highlight w:val="yellow"/>
        </w:rPr>
        <w:t>Heliyon</w:t>
      </w:r>
      <w:proofErr w:type="spellEnd"/>
      <w:r>
        <w:rPr>
          <w:b/>
          <w:highlight w:val="yellow"/>
        </w:rPr>
        <w:t>, 9(11), e22141. https://doi.org/10.1016/j.heliyon.2023.e22141</w:t>
      </w:r>
    </w:p>
    <w:p w14:paraId="685B0F02" w14:textId="77777777" w:rsidR="001B00CB" w:rsidRDefault="00000000">
      <w:pPr>
        <w:spacing w:after="0" w:line="480" w:lineRule="auto"/>
        <w:ind w:left="720" w:hanging="720"/>
      </w:pPr>
      <w:r>
        <w:t xml:space="preserve">Barry, T. N., &amp; McNabb, W. C. (1999). The implications of condensed tannins on the nutritive value of temperate forages fed to ruminants. </w:t>
      </w:r>
      <w:r>
        <w:rPr>
          <w:i/>
        </w:rPr>
        <w:t>British Journal of Nutrition, 81</w:t>
      </w:r>
      <w:r>
        <w:t xml:space="preserve">(4), 263–272. </w:t>
      </w:r>
      <w:hyperlink r:id="rId9">
        <w:r>
          <w:rPr>
            <w:color w:val="0563C1"/>
            <w:u w:val="single"/>
          </w:rPr>
          <w:t>https://doi.org/10.1017/S0007114599000501</w:t>
        </w:r>
      </w:hyperlink>
    </w:p>
    <w:p w14:paraId="085BAFE6" w14:textId="77777777" w:rsidR="001B00CB" w:rsidRDefault="00000000">
      <w:pPr>
        <w:spacing w:after="0" w:line="480" w:lineRule="auto"/>
        <w:ind w:left="720" w:hanging="720"/>
      </w:pPr>
      <w:proofErr w:type="spellStart"/>
      <w:r>
        <w:t>Bayata</w:t>
      </w:r>
      <w:proofErr w:type="spellEnd"/>
      <w:r>
        <w:t xml:space="preserve">, A. (2019). Review on nutritional value of cassava for use as a staple food. </w:t>
      </w:r>
      <w:r>
        <w:rPr>
          <w:i/>
        </w:rPr>
        <w:t>Science Journal of Analytical Chemistry, 7</w:t>
      </w:r>
      <w:r>
        <w:t xml:space="preserve">(4), 83–91. </w:t>
      </w:r>
      <w:hyperlink r:id="rId10">
        <w:r>
          <w:rPr>
            <w:color w:val="0563C1"/>
            <w:u w:val="single"/>
          </w:rPr>
          <w:t>https://doi.org/10.11648/j.sjac.20190704.12</w:t>
        </w:r>
      </w:hyperlink>
    </w:p>
    <w:p w14:paraId="4077BACF" w14:textId="77777777" w:rsidR="001B00CB" w:rsidRDefault="00000000">
      <w:pPr>
        <w:spacing w:after="0" w:line="480" w:lineRule="auto"/>
        <w:ind w:left="720" w:hanging="720"/>
      </w:pPr>
      <w:proofErr w:type="spellStart"/>
      <w:r>
        <w:t>Bokanga</w:t>
      </w:r>
      <w:proofErr w:type="spellEnd"/>
      <w:r>
        <w:t xml:space="preserve">, M. (1994). Processing of cassava leaves for human consumption. </w:t>
      </w:r>
      <w:r>
        <w:rPr>
          <w:i/>
        </w:rPr>
        <w:t xml:space="preserve">Acta </w:t>
      </w:r>
      <w:proofErr w:type="spellStart"/>
      <w:r>
        <w:rPr>
          <w:i/>
        </w:rPr>
        <w:t>Horticulturae</w:t>
      </w:r>
      <w:proofErr w:type="spellEnd"/>
      <w:r>
        <w:rPr>
          <w:i/>
        </w:rPr>
        <w:t>, 375</w:t>
      </w:r>
      <w:r>
        <w:t xml:space="preserve">, 203–208. </w:t>
      </w:r>
      <w:hyperlink r:id="rId11">
        <w:r>
          <w:rPr>
            <w:color w:val="0563C1"/>
            <w:u w:val="single"/>
          </w:rPr>
          <w:t>https://doi.org/10.17660/ActaHortic.1994.375.18</w:t>
        </w:r>
      </w:hyperlink>
    </w:p>
    <w:p w14:paraId="4C467024" w14:textId="77777777" w:rsidR="001B00CB" w:rsidRDefault="00000000">
      <w:pPr>
        <w:spacing w:after="0" w:line="480" w:lineRule="auto"/>
        <w:ind w:left="720" w:hanging="720"/>
      </w:pPr>
      <w:proofErr w:type="spellStart"/>
      <w:r>
        <w:t>Boutonnet</w:t>
      </w:r>
      <w:proofErr w:type="spellEnd"/>
      <w:r>
        <w:t xml:space="preserve">, J. P. (1992). Intensification de la production des petits ruminants: </w:t>
      </w:r>
      <w:proofErr w:type="spellStart"/>
      <w:r>
        <w:t>Pièges</w:t>
      </w:r>
      <w:proofErr w:type="spellEnd"/>
      <w:r>
        <w:t xml:space="preserve"> et </w:t>
      </w:r>
      <w:proofErr w:type="spellStart"/>
      <w:r>
        <w:t>promesses</w:t>
      </w:r>
      <w:proofErr w:type="spellEnd"/>
      <w:r>
        <w:t xml:space="preserve">. In </w:t>
      </w:r>
      <w:r>
        <w:rPr>
          <w:i/>
        </w:rPr>
        <w:t>Small ruminant research and development in Africa: Proceedings of the First Biennial Conference of the African Small Ruminant Research Network</w:t>
      </w:r>
      <w:r>
        <w:t xml:space="preserve">. Food and Agriculture Organization of the United Nations. </w:t>
      </w:r>
      <w:hyperlink r:id="rId12">
        <w:r>
          <w:rPr>
            <w:color w:val="0563C1"/>
            <w:u w:val="single"/>
          </w:rPr>
          <w:t>https://www.fao.org/4/x5520b/x5520b05.htm</w:t>
        </w:r>
      </w:hyperlink>
    </w:p>
    <w:p w14:paraId="4548DFDB" w14:textId="77777777" w:rsidR="001B00CB" w:rsidRDefault="00000000">
      <w:pPr>
        <w:spacing w:after="0" w:line="480" w:lineRule="auto"/>
        <w:ind w:left="720" w:hanging="720"/>
      </w:pPr>
      <w:r>
        <w:t xml:space="preserve">Devendra, C. (1988). Forage supplements: Nutritional significance and </w:t>
      </w:r>
      <w:proofErr w:type="spellStart"/>
      <w:r>
        <w:t>utilisation</w:t>
      </w:r>
      <w:proofErr w:type="spellEnd"/>
      <w:r>
        <w:t xml:space="preserve"> for draught, meat and milk production in buffaloes. In </w:t>
      </w:r>
      <w:r>
        <w:rPr>
          <w:i/>
        </w:rPr>
        <w:t>Proceedings of the Second World Buffalo Congress</w:t>
      </w:r>
      <w:r>
        <w:t xml:space="preserve"> (Vol. 2, pp. 409–423). Indian Council of Agricultural Research. </w:t>
      </w:r>
      <w:hyperlink r:id="rId13">
        <w:r>
          <w:rPr>
            <w:color w:val="0563C1"/>
            <w:u w:val="single"/>
          </w:rPr>
          <w:t>https://www.fao.org/4/T0632E/T0632E07.htm</w:t>
        </w:r>
      </w:hyperlink>
    </w:p>
    <w:p w14:paraId="17C0B90A" w14:textId="77777777" w:rsidR="001B00CB" w:rsidRDefault="00000000">
      <w:pPr>
        <w:spacing w:after="0" w:line="480" w:lineRule="auto"/>
        <w:ind w:left="720" w:hanging="720"/>
      </w:pPr>
      <w:r>
        <w:lastRenderedPageBreak/>
        <w:t xml:space="preserve">Devendra, C. (1990). The use of shrubs and tree fodders by ruminants. In C. Devendra (Ed.), </w:t>
      </w:r>
      <w:r>
        <w:rPr>
          <w:i/>
        </w:rPr>
        <w:t>Shrubs and tree fodders for farm animals</w:t>
      </w:r>
      <w:r>
        <w:t xml:space="preserve"> (pp. 42–60). International Development Research Centre. </w:t>
      </w:r>
      <w:hyperlink r:id="rId14">
        <w:r>
          <w:rPr>
            <w:color w:val="0563C1"/>
            <w:u w:val="single"/>
          </w:rPr>
          <w:t>https://www.fao.org/4/T0632E/T0632E02.htm</w:t>
        </w:r>
      </w:hyperlink>
    </w:p>
    <w:p w14:paraId="57877E5C" w14:textId="77777777" w:rsidR="001B00CB" w:rsidRDefault="00000000">
      <w:pPr>
        <w:spacing w:after="0" w:line="480" w:lineRule="auto"/>
        <w:ind w:left="720" w:hanging="720"/>
      </w:pPr>
      <w:r>
        <w:t xml:space="preserve">Do, H. Q., Son, V. V., Hang, B. P. T., Tri, V. C., &amp; Preston, T. R. (2002). Effect of supplementation of ammoniated rice straw with cassava leaves or grass on intake, digestibility and N retention by goats. </w:t>
      </w:r>
      <w:r>
        <w:rPr>
          <w:i/>
        </w:rPr>
        <w:t>Livestock Research for Rural Development, 14</w:t>
      </w:r>
      <w:r>
        <w:t xml:space="preserve">(3), Article 29. </w:t>
      </w:r>
      <w:hyperlink r:id="rId15">
        <w:r>
          <w:rPr>
            <w:color w:val="0563C1"/>
            <w:u w:val="single"/>
          </w:rPr>
          <w:t>https://www.lrrd.org/lrrd14/3/do143b.htm</w:t>
        </w:r>
      </w:hyperlink>
    </w:p>
    <w:p w14:paraId="04078570" w14:textId="77777777" w:rsidR="001B00CB" w:rsidRDefault="00000000">
      <w:pPr>
        <w:spacing w:after="0" w:line="480" w:lineRule="auto"/>
        <w:ind w:left="720" w:hanging="720"/>
      </w:pPr>
      <w:r>
        <w:t>Dung, N. T., Mui, N. T., &amp; Ledin, I. (2005). Effect of replacing a commercial concentrate with cassava hay (</w:t>
      </w:r>
      <w:r>
        <w:rPr>
          <w:i/>
        </w:rPr>
        <w:t>Manihot esculenta</w:t>
      </w:r>
      <w:r>
        <w:t xml:space="preserve"> Crantz) on the performance of growing goats. </w:t>
      </w:r>
      <w:r>
        <w:rPr>
          <w:i/>
        </w:rPr>
        <w:t>Animal Feed Science and Technology, 119</w:t>
      </w:r>
      <w:r>
        <w:t xml:space="preserve">(3–4), 271–281. </w:t>
      </w:r>
      <w:hyperlink r:id="rId16">
        <w:r>
          <w:rPr>
            <w:color w:val="0563C1"/>
            <w:u w:val="single"/>
          </w:rPr>
          <w:t>https://doi.org/10.1016/j.anifeedsci.2004.11.015</w:t>
        </w:r>
      </w:hyperlink>
    </w:p>
    <w:p w14:paraId="2F96D063" w14:textId="77777777" w:rsidR="001B00CB" w:rsidRDefault="00000000">
      <w:pPr>
        <w:spacing w:after="0" w:line="480" w:lineRule="auto"/>
        <w:ind w:left="720" w:hanging="720"/>
      </w:pPr>
      <w:proofErr w:type="spellStart"/>
      <w:r>
        <w:t>Fasae</w:t>
      </w:r>
      <w:proofErr w:type="spellEnd"/>
      <w:r>
        <w:t xml:space="preserve">, O. A., Amos, A. O., Owodunni, A., &amp; Yusuf, A. O. (2015). Performance, </w:t>
      </w:r>
      <w:proofErr w:type="spellStart"/>
      <w:r>
        <w:t>haematological</w:t>
      </w:r>
      <w:proofErr w:type="spellEnd"/>
      <w:r>
        <w:t xml:space="preserve"> parameters and </w:t>
      </w:r>
      <w:proofErr w:type="spellStart"/>
      <w:r>
        <w:t>faecal</w:t>
      </w:r>
      <w:proofErr w:type="spellEnd"/>
      <w:r>
        <w:t xml:space="preserve"> egg count of semi-intensively managed West African Dwarf sheep to varying levels of cassava leaves and peels supplementation. </w:t>
      </w:r>
      <w:proofErr w:type="spellStart"/>
      <w:r>
        <w:rPr>
          <w:i/>
        </w:rPr>
        <w:t>Pertanika</w:t>
      </w:r>
      <w:proofErr w:type="spellEnd"/>
      <w:r>
        <w:rPr>
          <w:i/>
        </w:rPr>
        <w:t xml:space="preserve"> Journal of Tropical Agricultural Science, 38</w:t>
      </w:r>
      <w:r>
        <w:t xml:space="preserve">(1), 71–81. </w:t>
      </w:r>
      <w:hyperlink r:id="rId17">
        <w:r>
          <w:rPr>
            <w:color w:val="0563C1"/>
            <w:u w:val="single"/>
          </w:rPr>
          <w:t>https://www.researchgate.net/publication/316044234_TROPICAL_AGRICULTURAL_SCIENCE_Performance_Haematological_Parameters_and_Faecal_Egg_Count_of_Semi-intensively_Managed_West_African_Dwarf_Sheep_to_Varying_Levels_of_Cassava_Leaves_and_Peels_Supplementat</w:t>
        </w:r>
      </w:hyperlink>
    </w:p>
    <w:p w14:paraId="47C5305E" w14:textId="77777777" w:rsidR="001B00CB" w:rsidRDefault="00000000">
      <w:pPr>
        <w:spacing w:after="0" w:line="480" w:lineRule="auto"/>
        <w:ind w:left="720" w:hanging="720"/>
      </w:pPr>
      <w:r>
        <w:t xml:space="preserve">Ffoulkes, D., Done, F., &amp; Preston, T. R. (1978). Cassava forage as a cattle feed: Apparent digestibility and consumption of the whole forage. </w:t>
      </w:r>
      <w:r>
        <w:rPr>
          <w:i/>
        </w:rPr>
        <w:t>Tropical Animal Production, 3</w:t>
      </w:r>
      <w:r>
        <w:t xml:space="preserve">(3), 234–236. </w:t>
      </w:r>
      <w:hyperlink r:id="rId18">
        <w:r>
          <w:rPr>
            <w:color w:val="0563C1"/>
            <w:u w:val="single"/>
          </w:rPr>
          <w:t>https://www.researchgate.net/publication/242591370_CASSAVA_FORAGE_AS_A_CATTLE_FEED_APPARENT_DIGESTIBILITY_AND_CONSUMPTION_OF_THE_WHOLE_FORAGE</w:t>
        </w:r>
      </w:hyperlink>
    </w:p>
    <w:p w14:paraId="72DD6E25" w14:textId="77777777" w:rsidR="001B00CB" w:rsidRDefault="00000000">
      <w:pPr>
        <w:spacing w:after="0" w:line="480" w:lineRule="auto"/>
        <w:ind w:left="720" w:hanging="720"/>
      </w:pPr>
      <w:r>
        <w:lastRenderedPageBreak/>
        <w:t xml:space="preserve">Food and Agriculture Organization of the United Nations. (2022). </w:t>
      </w:r>
      <w:r>
        <w:rPr>
          <w:i/>
        </w:rPr>
        <w:t xml:space="preserve">La situation </w:t>
      </w:r>
      <w:proofErr w:type="spellStart"/>
      <w:r>
        <w:rPr>
          <w:i/>
        </w:rPr>
        <w:t>mondiale</w:t>
      </w:r>
      <w:proofErr w:type="spellEnd"/>
      <w:r>
        <w:rPr>
          <w:i/>
        </w:rPr>
        <w:t xml:space="preserve"> de </w:t>
      </w:r>
      <w:proofErr w:type="spellStart"/>
      <w:r>
        <w:rPr>
          <w:i/>
        </w:rPr>
        <w:t>l’alimentation</w:t>
      </w:r>
      <w:proofErr w:type="spellEnd"/>
      <w:r>
        <w:rPr>
          <w:i/>
        </w:rPr>
        <w:t xml:space="preserve"> et de </w:t>
      </w:r>
      <w:proofErr w:type="spellStart"/>
      <w:r>
        <w:rPr>
          <w:i/>
        </w:rPr>
        <w:t>l’agriculture</w:t>
      </w:r>
      <w:proofErr w:type="spellEnd"/>
      <w:r>
        <w:rPr>
          <w:i/>
        </w:rPr>
        <w:t xml:space="preserve"> 2022: </w:t>
      </w:r>
      <w:proofErr w:type="spellStart"/>
      <w:r>
        <w:rPr>
          <w:i/>
        </w:rPr>
        <w:t>L’automatisation</w:t>
      </w:r>
      <w:proofErr w:type="spellEnd"/>
      <w:r>
        <w:rPr>
          <w:i/>
        </w:rPr>
        <w:t xml:space="preserve"> de </w:t>
      </w:r>
      <w:proofErr w:type="spellStart"/>
      <w:r>
        <w:rPr>
          <w:i/>
        </w:rPr>
        <w:t>l’agriculture</w:t>
      </w:r>
      <w:proofErr w:type="spellEnd"/>
      <w:r>
        <w:rPr>
          <w:i/>
        </w:rPr>
        <w:t xml:space="preserve"> au service de la transformation des </w:t>
      </w:r>
      <w:proofErr w:type="spellStart"/>
      <w:r>
        <w:rPr>
          <w:i/>
        </w:rPr>
        <w:t>systèmes</w:t>
      </w:r>
      <w:proofErr w:type="spellEnd"/>
      <w:r>
        <w:rPr>
          <w:i/>
        </w:rPr>
        <w:t xml:space="preserve"> </w:t>
      </w:r>
      <w:proofErr w:type="spellStart"/>
      <w:r>
        <w:rPr>
          <w:i/>
        </w:rPr>
        <w:t>agroalimentaires</w:t>
      </w:r>
      <w:proofErr w:type="spellEnd"/>
      <w:r>
        <w:t xml:space="preserve">. </w:t>
      </w:r>
      <w:hyperlink r:id="rId19">
        <w:r>
          <w:rPr>
            <w:color w:val="0563C1"/>
            <w:u w:val="single"/>
          </w:rPr>
          <w:t>https://doi.org/10.4060/cb9479fr</w:t>
        </w:r>
      </w:hyperlink>
    </w:p>
    <w:p w14:paraId="33D78624" w14:textId="77777777" w:rsidR="001B00CB" w:rsidRDefault="00000000">
      <w:pPr>
        <w:spacing w:after="0" w:line="480" w:lineRule="auto"/>
        <w:ind w:left="720" w:hanging="720"/>
      </w:pPr>
      <w:r>
        <w:t xml:space="preserve">Hang, D. T., &amp; Preston, T. R. (2005). The effects of simple processing methods of cassava leaves on HCN content and intake by growing pigs. </w:t>
      </w:r>
      <w:r>
        <w:rPr>
          <w:i/>
        </w:rPr>
        <w:t>Livestock Research for Rural Development, 17</w:t>
      </w:r>
      <w:r>
        <w:t xml:space="preserve">(9), Article 99. </w:t>
      </w:r>
      <w:hyperlink r:id="rId20">
        <w:r>
          <w:rPr>
            <w:color w:val="0563C1"/>
            <w:u w:val="single"/>
          </w:rPr>
          <w:t>https://www.lrrd.org/lrrd17/9/hang17099.htm</w:t>
        </w:r>
      </w:hyperlink>
    </w:p>
    <w:p w14:paraId="6E41E0ED" w14:textId="77777777" w:rsidR="001B00CB" w:rsidRDefault="00000000">
      <w:pPr>
        <w:spacing w:after="0" w:line="480" w:lineRule="auto"/>
        <w:ind w:left="720" w:hanging="720"/>
      </w:pPr>
      <w:r>
        <w:t xml:space="preserve">Hang, V. T. T., Tu, N. K., &amp; Tuy, C. D. (2012). The effect of </w:t>
      </w:r>
      <w:r>
        <w:rPr>
          <w:i/>
        </w:rPr>
        <w:t>Eupatorium odoratum</w:t>
      </w:r>
      <w:r>
        <w:t xml:space="preserve"> foliage compared with cassava foliage on growth and intestinal nematode infestation in goats. </w:t>
      </w:r>
      <w:r>
        <w:rPr>
          <w:i/>
        </w:rPr>
        <w:t>Livestock Research for Rural Development, 24</w:t>
      </w:r>
      <w:r>
        <w:t xml:space="preserve">, Article 136. </w:t>
      </w:r>
      <w:hyperlink r:id="rId21">
        <w:r>
          <w:rPr>
            <w:color w:val="0563C1"/>
            <w:u w:val="single"/>
          </w:rPr>
          <w:t>https://www.lrrd.org/lrrd24/8/hang24136.htm</w:t>
        </w:r>
      </w:hyperlink>
    </w:p>
    <w:p w14:paraId="705ED9BC" w14:textId="77777777" w:rsidR="001B00CB" w:rsidRDefault="00000000">
      <w:pPr>
        <w:spacing w:after="0" w:line="480" w:lineRule="auto"/>
        <w:ind w:left="720" w:hanging="720"/>
      </w:pPr>
      <w:r>
        <w:t xml:space="preserve">Horwitz, W., &amp; Latimer, G. W., Jr. (Eds.). (2005). </w:t>
      </w:r>
      <w:r>
        <w:rPr>
          <w:i/>
        </w:rPr>
        <w:t>Official methods of analysis of AOAC International</w:t>
      </w:r>
      <w:r>
        <w:t xml:space="preserve"> (18th ed.). AOAC International. </w:t>
      </w:r>
      <w:hyperlink r:id="rId22">
        <w:r>
          <w:rPr>
            <w:color w:val="0563C1"/>
            <w:u w:val="single"/>
          </w:rPr>
          <w:t>https://www.aoac.org/official-methods-of-analysis/</w:t>
        </w:r>
      </w:hyperlink>
    </w:p>
    <w:p w14:paraId="01D3E209" w14:textId="77777777" w:rsidR="001B00CB" w:rsidRDefault="00000000">
      <w:pPr>
        <w:spacing w:after="0" w:line="480" w:lineRule="auto"/>
        <w:ind w:left="720" w:hanging="720"/>
      </w:pPr>
      <w:proofErr w:type="spellStart"/>
      <w:r>
        <w:t>Institut</w:t>
      </w:r>
      <w:proofErr w:type="spellEnd"/>
      <w:r>
        <w:t xml:space="preserve"> National de la Recherche </w:t>
      </w:r>
      <w:proofErr w:type="spellStart"/>
      <w:r>
        <w:t>Agronomique</w:t>
      </w:r>
      <w:proofErr w:type="spellEnd"/>
      <w:r>
        <w:t xml:space="preserve"> du Niger. (2019). </w:t>
      </w:r>
      <w:r>
        <w:rPr>
          <w:i/>
        </w:rPr>
        <w:t xml:space="preserve">Rapport </w:t>
      </w:r>
      <w:proofErr w:type="spellStart"/>
      <w:r>
        <w:rPr>
          <w:i/>
        </w:rPr>
        <w:t>annuel</w:t>
      </w:r>
      <w:proofErr w:type="spellEnd"/>
      <w:r>
        <w:rPr>
          <w:i/>
        </w:rPr>
        <w:t xml:space="preserve"> </w:t>
      </w:r>
      <w:proofErr w:type="spellStart"/>
      <w:r>
        <w:rPr>
          <w:i/>
        </w:rPr>
        <w:t>d'activités</w:t>
      </w:r>
      <w:proofErr w:type="spellEnd"/>
      <w:r>
        <w:rPr>
          <w:i/>
        </w:rPr>
        <w:t xml:space="preserve"> de recherche </w:t>
      </w:r>
      <w:proofErr w:type="spellStart"/>
      <w:r>
        <w:rPr>
          <w:i/>
        </w:rPr>
        <w:t>zootechnique</w:t>
      </w:r>
      <w:proofErr w:type="spellEnd"/>
      <w:r>
        <w:rPr>
          <w:i/>
        </w:rPr>
        <w:t xml:space="preserve"> et </w:t>
      </w:r>
      <w:proofErr w:type="spellStart"/>
      <w:r>
        <w:rPr>
          <w:i/>
        </w:rPr>
        <w:t>vétérinaire</w:t>
      </w:r>
      <w:proofErr w:type="spellEnd"/>
      <w:r>
        <w:t xml:space="preserve">. INRAN. </w:t>
      </w:r>
      <w:r>
        <w:rPr>
          <w:b/>
        </w:rPr>
        <w:t>ONLINE version not available</w:t>
      </w:r>
    </w:p>
    <w:p w14:paraId="38931390" w14:textId="77777777" w:rsidR="001B00CB" w:rsidRDefault="00000000">
      <w:pPr>
        <w:spacing w:after="0" w:line="480" w:lineRule="auto"/>
        <w:ind w:left="720" w:hanging="720"/>
      </w:pPr>
      <w:r>
        <w:rPr>
          <w:b/>
          <w:highlight w:val="yellow"/>
        </w:rPr>
        <w:t xml:space="preserve">Kalio, G. A., Ayuk, A. A., &amp; </w:t>
      </w:r>
      <w:proofErr w:type="spellStart"/>
      <w:r>
        <w:rPr>
          <w:b/>
          <w:highlight w:val="yellow"/>
        </w:rPr>
        <w:t>Agwunobi</w:t>
      </w:r>
      <w:proofErr w:type="spellEnd"/>
      <w:r>
        <w:rPr>
          <w:b/>
          <w:highlight w:val="yellow"/>
        </w:rPr>
        <w:t>, L. N. (2014). Performance of West African Dwarf (WAD) goats fed N-treated source and forage supplemented cassava peels in humid Cross River State, Nigeria. Journal of Experimental Agriculture International, 4(6), 629–638. https://doi.org/10.9734/AJEA/2014/6972</w:t>
      </w:r>
    </w:p>
    <w:p w14:paraId="7D62602A" w14:textId="77777777" w:rsidR="001B00CB" w:rsidRDefault="00000000">
      <w:pPr>
        <w:spacing w:after="0" w:line="480" w:lineRule="auto"/>
        <w:ind w:left="720" w:hanging="720"/>
      </w:pPr>
      <w:r>
        <w:t xml:space="preserve">Leng, R. A. (1990). Factors affecting the utilization of poor-quality forages by ruminants particularly under tropical conditions. </w:t>
      </w:r>
      <w:r>
        <w:rPr>
          <w:i/>
        </w:rPr>
        <w:t>Nutrition Research Reviews, 3</w:t>
      </w:r>
      <w:r>
        <w:t xml:space="preserve">(1), 277–303. </w:t>
      </w:r>
      <w:hyperlink r:id="rId23">
        <w:r>
          <w:rPr>
            <w:color w:val="0563C1"/>
            <w:u w:val="single"/>
          </w:rPr>
          <w:t>https://doi.org/10.1079/NRR19900016</w:t>
        </w:r>
      </w:hyperlink>
    </w:p>
    <w:p w14:paraId="42102ED5" w14:textId="77777777" w:rsidR="001B00CB" w:rsidRDefault="00000000">
      <w:pPr>
        <w:spacing w:after="0" w:line="480" w:lineRule="auto"/>
        <w:ind w:left="720" w:hanging="720"/>
      </w:pPr>
      <w:r>
        <w:rPr>
          <w:b/>
          <w:highlight w:val="yellow"/>
        </w:rPr>
        <w:t xml:space="preserve">Li, M., Zi, X., </w:t>
      </w:r>
      <w:proofErr w:type="spellStart"/>
      <w:r>
        <w:rPr>
          <w:b/>
          <w:highlight w:val="yellow"/>
        </w:rPr>
        <w:t>Lv</w:t>
      </w:r>
      <w:proofErr w:type="spellEnd"/>
      <w:r>
        <w:rPr>
          <w:b/>
          <w:highlight w:val="yellow"/>
        </w:rPr>
        <w:t>, R., Zhang, L., Ou, W., Chen, S., Hou, G., &amp; Zhou, H. (2023). Cassava foliage effects on antioxidant capacity, growth, immunity, and ruminal microbial metabolism in Hainan black goats. Microorganisms, 11(9), 2320. https://doi.org/10.3390/microorganisms11092320</w:t>
      </w:r>
    </w:p>
    <w:p w14:paraId="01E179B9" w14:textId="77777777" w:rsidR="001B00CB" w:rsidRDefault="00000000">
      <w:pPr>
        <w:spacing w:after="0" w:line="480" w:lineRule="auto"/>
        <w:ind w:left="720" w:hanging="720"/>
      </w:pPr>
      <w:r>
        <w:lastRenderedPageBreak/>
        <w:t xml:space="preserve">McSweeney, C. S., Palmer, B., McNeill, D. M., &amp; Krause, D. O. (2001). Microbial interactions with tannins: Nutritional consequences for ruminants. </w:t>
      </w:r>
      <w:r>
        <w:rPr>
          <w:i/>
        </w:rPr>
        <w:t>Animal Feed Science and Technology, 91</w:t>
      </w:r>
      <w:r>
        <w:t xml:space="preserve">(1–2), 83–93. </w:t>
      </w:r>
      <w:hyperlink r:id="rId24">
        <w:r>
          <w:rPr>
            <w:color w:val="0563C1"/>
            <w:u w:val="single"/>
          </w:rPr>
          <w:t>https://doi.org/10.1016/S0377-8401(01)00232-2</w:t>
        </w:r>
      </w:hyperlink>
    </w:p>
    <w:p w14:paraId="4207679A" w14:textId="77777777" w:rsidR="001B00CB" w:rsidRDefault="00000000">
      <w:pPr>
        <w:spacing w:after="0" w:line="480" w:lineRule="auto"/>
        <w:ind w:left="720" w:hanging="720"/>
      </w:pPr>
      <w:proofErr w:type="spellStart"/>
      <w:r>
        <w:t>Montagnac</w:t>
      </w:r>
      <w:proofErr w:type="spellEnd"/>
      <w:r>
        <w:t xml:space="preserve">, J. A., Davis, C. R., &amp; </w:t>
      </w:r>
      <w:proofErr w:type="spellStart"/>
      <w:r>
        <w:t>Tanumihardjo</w:t>
      </w:r>
      <w:proofErr w:type="spellEnd"/>
      <w:r>
        <w:t xml:space="preserve">, S. A. (2009). Nutritional value of cassava for use as a staple food and recent advances for improvement. </w:t>
      </w:r>
      <w:r>
        <w:rPr>
          <w:i/>
        </w:rPr>
        <w:t>Comprehensive Reviews in Food Science and Food Safety, 8</w:t>
      </w:r>
      <w:r>
        <w:t xml:space="preserve">(3), 181–194. </w:t>
      </w:r>
      <w:hyperlink r:id="rId25">
        <w:r>
          <w:rPr>
            <w:color w:val="0563C1"/>
            <w:u w:val="single"/>
          </w:rPr>
          <w:t>https://doi.org/10.1111/j.1541-4337.2009.00077.x</w:t>
        </w:r>
      </w:hyperlink>
    </w:p>
    <w:p w14:paraId="311E5E08" w14:textId="77777777" w:rsidR="001B00CB" w:rsidRDefault="00000000">
      <w:pPr>
        <w:spacing w:after="0" w:line="480" w:lineRule="auto"/>
        <w:ind w:left="720" w:hanging="720"/>
      </w:pPr>
      <w:r>
        <w:t xml:space="preserve">Ndlovu, L. R., &amp; Sibanda, S. (1993). Management strategies for minimizing environmental constraints to small ruminant production in semi-arid areas of southern Africa. </w:t>
      </w:r>
      <w:r>
        <w:rPr>
          <w:i/>
        </w:rPr>
        <w:t>BSAP Occasional Publication, 16</w:t>
      </w:r>
      <w:r>
        <w:t xml:space="preserve">, 178. </w:t>
      </w:r>
      <w:hyperlink r:id="rId26">
        <w:r>
          <w:rPr>
            <w:color w:val="0563C1"/>
            <w:u w:val="single"/>
          </w:rPr>
          <w:t>https://doi.org/10.1017/S0263967X00031335</w:t>
        </w:r>
      </w:hyperlink>
    </w:p>
    <w:p w14:paraId="750A36A3" w14:textId="77777777" w:rsidR="001B00CB" w:rsidRDefault="00000000">
      <w:pPr>
        <w:spacing w:after="0" w:line="480" w:lineRule="auto"/>
        <w:ind w:left="720" w:hanging="720"/>
      </w:pPr>
      <w:proofErr w:type="spellStart"/>
      <w:r>
        <w:t>Nhassico</w:t>
      </w:r>
      <w:proofErr w:type="spellEnd"/>
      <w:r>
        <w:t xml:space="preserve">, D., </w:t>
      </w:r>
      <w:proofErr w:type="spellStart"/>
      <w:r>
        <w:t>Muquingue</w:t>
      </w:r>
      <w:proofErr w:type="spellEnd"/>
      <w:r>
        <w:t xml:space="preserve">, H., Cliff, J., </w:t>
      </w:r>
      <w:proofErr w:type="spellStart"/>
      <w:r>
        <w:t>Cumbana</w:t>
      </w:r>
      <w:proofErr w:type="spellEnd"/>
      <w:r>
        <w:t xml:space="preserve">, A., &amp; Bradbury, J. H. (2008). Rising African cassava production, diseases due to high cyanide intake and control measures. </w:t>
      </w:r>
      <w:r>
        <w:rPr>
          <w:i/>
        </w:rPr>
        <w:t>Journal of the Science of Food and Agriculture, 88</w:t>
      </w:r>
      <w:r>
        <w:t xml:space="preserve">(12), 2043–2049. </w:t>
      </w:r>
      <w:hyperlink r:id="rId27">
        <w:r>
          <w:rPr>
            <w:color w:val="0563C1"/>
            <w:u w:val="single"/>
          </w:rPr>
          <w:t>https://doi.org/10.1002/jsfa.3337</w:t>
        </w:r>
      </w:hyperlink>
    </w:p>
    <w:p w14:paraId="23DF1456" w14:textId="77777777" w:rsidR="001B00CB" w:rsidRDefault="00000000">
      <w:pPr>
        <w:spacing w:after="0" w:line="480" w:lineRule="auto"/>
        <w:ind w:left="720" w:hanging="720"/>
      </w:pPr>
      <w:r>
        <w:t xml:space="preserve">Omotosho, O. A., &amp; </w:t>
      </w:r>
      <w:proofErr w:type="spellStart"/>
      <w:r>
        <w:t>Sangodoyin</w:t>
      </w:r>
      <w:proofErr w:type="spellEnd"/>
      <w:r>
        <w:t xml:space="preserve">, A. Y. (2013). Production and utilization of cassava peel activated carbon in treatment of effluent from cassava processing industry. </w:t>
      </w:r>
      <w:r>
        <w:rPr>
          <w:i/>
        </w:rPr>
        <w:t>Water Practice and Technology, 8</w:t>
      </w:r>
      <w:r>
        <w:t xml:space="preserve">(2), 215–224. </w:t>
      </w:r>
      <w:hyperlink r:id="rId28">
        <w:r>
          <w:rPr>
            <w:color w:val="0563C1"/>
            <w:u w:val="single"/>
          </w:rPr>
          <w:t>https://doi.org/10.2166/wpt.2013.023</w:t>
        </w:r>
      </w:hyperlink>
    </w:p>
    <w:p w14:paraId="401BEA4E" w14:textId="77777777" w:rsidR="001B00CB" w:rsidRDefault="00000000">
      <w:pPr>
        <w:spacing w:after="0" w:line="480" w:lineRule="auto"/>
        <w:ind w:left="720" w:hanging="720"/>
      </w:pPr>
      <w:r>
        <w:t xml:space="preserve">Onwuka, C. F. I. (1992). Hydrocyanic acid contents of tropical browse and their influence on performance of goats. </w:t>
      </w:r>
      <w:r>
        <w:rPr>
          <w:i/>
        </w:rPr>
        <w:t>Food Chemistry, 45</w:t>
      </w:r>
      <w:r>
        <w:t xml:space="preserve">(1), 5–10. </w:t>
      </w:r>
      <w:hyperlink r:id="rId29">
        <w:r>
          <w:rPr>
            <w:color w:val="0563C1"/>
            <w:u w:val="single"/>
          </w:rPr>
          <w:t>https://doi.org/10.1016/0308-8146(92)90003-K</w:t>
        </w:r>
      </w:hyperlink>
    </w:p>
    <w:p w14:paraId="09F87B9F" w14:textId="77777777" w:rsidR="001B00CB" w:rsidRDefault="00000000">
      <w:pPr>
        <w:spacing w:after="0" w:line="480" w:lineRule="auto"/>
        <w:ind w:left="720" w:hanging="720"/>
      </w:pPr>
      <w:r>
        <w:t xml:space="preserve">Osman, A., Osafo, E. L. K., Attoh-Kotoku, V., &amp; Yunus, A. A. (2023). Effects of supplementing probiotics and concentrate on intake, growth performance and blood profile of intensively kept Sahelian does fed a basal diet of </w:t>
      </w:r>
      <w:proofErr w:type="spellStart"/>
      <w:r>
        <w:rPr>
          <w:i/>
        </w:rPr>
        <w:t>Brachiaria</w:t>
      </w:r>
      <w:proofErr w:type="spellEnd"/>
      <w:r>
        <w:rPr>
          <w:i/>
        </w:rPr>
        <w:t xml:space="preserve"> </w:t>
      </w:r>
      <w:proofErr w:type="spellStart"/>
      <w:r>
        <w:rPr>
          <w:i/>
        </w:rPr>
        <w:t>decumbens</w:t>
      </w:r>
      <w:proofErr w:type="spellEnd"/>
      <w:r>
        <w:t xml:space="preserve"> grass. </w:t>
      </w:r>
      <w:r>
        <w:rPr>
          <w:i/>
        </w:rPr>
        <w:t>Journal of Applied Animal Research, 51</w:t>
      </w:r>
      <w:r>
        <w:t xml:space="preserve">(1), 414–423. </w:t>
      </w:r>
      <w:hyperlink r:id="rId30">
        <w:r>
          <w:rPr>
            <w:color w:val="0563C1"/>
            <w:u w:val="single"/>
          </w:rPr>
          <w:t>https://doi.org/10.1080/09712119.2023.2211652</w:t>
        </w:r>
      </w:hyperlink>
    </w:p>
    <w:p w14:paraId="1CAB289A" w14:textId="77777777" w:rsidR="001B00CB" w:rsidRDefault="00000000">
      <w:pPr>
        <w:spacing w:after="0" w:line="480" w:lineRule="auto"/>
        <w:ind w:left="720" w:hanging="720"/>
      </w:pPr>
      <w:proofErr w:type="spellStart"/>
      <w:r>
        <w:lastRenderedPageBreak/>
        <w:t>Phengvichith</w:t>
      </w:r>
      <w:proofErr w:type="spellEnd"/>
      <w:r>
        <w:t>, V., &amp; Ledin, I. (2007). Effect of feeding different levels of wilted cassava foliage (</w:t>
      </w:r>
      <w:r>
        <w:rPr>
          <w:i/>
        </w:rPr>
        <w:t>Manihot esculenta</w:t>
      </w:r>
      <w:r>
        <w:t xml:space="preserve"> Crantz) on the performance of growing goats. </w:t>
      </w:r>
      <w:r>
        <w:rPr>
          <w:i/>
        </w:rPr>
        <w:t>Small Ruminant Research, 71</w:t>
      </w:r>
      <w:r>
        <w:t xml:space="preserve">(1–3), 109–116. </w:t>
      </w:r>
      <w:hyperlink r:id="rId31">
        <w:r>
          <w:rPr>
            <w:color w:val="0563C1"/>
            <w:u w:val="single"/>
          </w:rPr>
          <w:t>https://doi.org/10.1016/j.smallrumres.2006.05.009</w:t>
        </w:r>
      </w:hyperlink>
    </w:p>
    <w:p w14:paraId="6D416B5E" w14:textId="77777777" w:rsidR="001B00CB" w:rsidRDefault="00000000">
      <w:pPr>
        <w:spacing w:after="0" w:line="480" w:lineRule="auto"/>
        <w:ind w:left="720" w:hanging="720"/>
      </w:pPr>
      <w:proofErr w:type="spellStart"/>
      <w:r>
        <w:t>Phengvichith</w:t>
      </w:r>
      <w:proofErr w:type="spellEnd"/>
      <w:r>
        <w:t xml:space="preserve">, V., &amp; Preston, T. R. (2011). Effect of feeding processed cassava foliage on growth performance and nematode parasite infestation of local goats in Laos. </w:t>
      </w:r>
      <w:r>
        <w:rPr>
          <w:i/>
        </w:rPr>
        <w:t>Livestock Research for Rural Development, 23</w:t>
      </w:r>
      <w:r>
        <w:t xml:space="preserve">, Article 13. </w:t>
      </w:r>
      <w:hyperlink r:id="rId32">
        <w:r>
          <w:rPr>
            <w:color w:val="0563C1"/>
            <w:u w:val="single"/>
          </w:rPr>
          <w:t>https://www.lrrd.org/lrrd23/1/cont2301.htm</w:t>
        </w:r>
      </w:hyperlink>
    </w:p>
    <w:p w14:paraId="01C0E3AC" w14:textId="77777777" w:rsidR="001B00CB" w:rsidRDefault="00000000">
      <w:pPr>
        <w:spacing w:after="0" w:line="480" w:lineRule="auto"/>
        <w:ind w:left="720" w:hanging="720"/>
      </w:pPr>
      <w:r>
        <w:t xml:space="preserve">Preston, T. R., &amp; Leng, R. A. (1987). </w:t>
      </w:r>
      <w:r>
        <w:rPr>
          <w:i/>
        </w:rPr>
        <w:t>Matching ruminant production systems with available resources in the tropics and subtropics</w:t>
      </w:r>
      <w:r>
        <w:t xml:space="preserve">. </w:t>
      </w:r>
      <w:proofErr w:type="spellStart"/>
      <w:r>
        <w:t>Penambul</w:t>
      </w:r>
      <w:proofErr w:type="spellEnd"/>
      <w:r>
        <w:t xml:space="preserve"> Books. </w:t>
      </w:r>
      <w:hyperlink r:id="rId33">
        <w:r>
          <w:rPr>
            <w:color w:val="0563C1"/>
            <w:u w:val="single"/>
          </w:rPr>
          <w:t>https://agris.fao.org/search/en/providers/122332/records/64e8c697f8d9ea1acc2731f7</w:t>
        </w:r>
      </w:hyperlink>
    </w:p>
    <w:p w14:paraId="5FEAEDF6" w14:textId="77777777" w:rsidR="001B00CB" w:rsidRDefault="00000000">
      <w:pPr>
        <w:spacing w:after="0" w:line="480" w:lineRule="auto"/>
        <w:ind w:left="720" w:hanging="720"/>
      </w:pPr>
      <w:r>
        <w:rPr>
          <w:b/>
          <w:highlight w:val="yellow"/>
        </w:rPr>
        <w:t xml:space="preserve">Rashid, M., </w:t>
      </w:r>
      <w:proofErr w:type="spellStart"/>
      <w:r>
        <w:rPr>
          <w:b/>
          <w:highlight w:val="yellow"/>
        </w:rPr>
        <w:t>Aboshady</w:t>
      </w:r>
      <w:proofErr w:type="spellEnd"/>
      <w:r>
        <w:rPr>
          <w:b/>
          <w:highlight w:val="yellow"/>
        </w:rPr>
        <w:t xml:space="preserve">, H. M., Soltan, Y. A., Archimede, H., &amp; </w:t>
      </w:r>
      <w:proofErr w:type="spellStart"/>
      <w:r>
        <w:rPr>
          <w:b/>
          <w:highlight w:val="yellow"/>
        </w:rPr>
        <w:t>Ghoneem</w:t>
      </w:r>
      <w:proofErr w:type="spellEnd"/>
      <w:r>
        <w:rPr>
          <w:b/>
          <w:highlight w:val="yellow"/>
        </w:rPr>
        <w:t>, W. M. A. (2025). Phytochemical profile and in vitro evaluation of cassava (Manihot esculenta Crantz) foliage as ruminant feed with/without green banana flour. Scientific Reports, 15, 721. https://doi.org/10.1038/s41598-024-82450-3</w:t>
      </w:r>
    </w:p>
    <w:p w14:paraId="52B7E437" w14:textId="77777777" w:rsidR="001B00CB" w:rsidRDefault="00000000">
      <w:pPr>
        <w:spacing w:after="0" w:line="480" w:lineRule="auto"/>
        <w:ind w:left="720" w:hanging="720"/>
      </w:pPr>
      <w:r>
        <w:t xml:space="preserve">Ravindran, V. (1993). Cassava leaves as animal feed: Potential and limitations. </w:t>
      </w:r>
      <w:r>
        <w:rPr>
          <w:i/>
        </w:rPr>
        <w:t>Journal of the Science of Food and Agriculture, 61</w:t>
      </w:r>
      <w:r>
        <w:t xml:space="preserve">(2), 141–150. </w:t>
      </w:r>
      <w:hyperlink r:id="rId34">
        <w:r>
          <w:rPr>
            <w:color w:val="0563C1"/>
            <w:u w:val="single"/>
          </w:rPr>
          <w:t>https://doi.org/10.1002/jsfa.2740610202</w:t>
        </w:r>
      </w:hyperlink>
    </w:p>
    <w:p w14:paraId="73BAE765" w14:textId="77777777" w:rsidR="001B00CB" w:rsidRDefault="00000000">
      <w:pPr>
        <w:spacing w:after="0" w:line="480" w:lineRule="auto"/>
        <w:ind w:left="720" w:hanging="720"/>
      </w:pPr>
      <w:r>
        <w:t xml:space="preserve">Ravindran, V., Kornegay, E. T., &amp; Rajaguru, A. S. B. (1987). Influence of processing methods and storage time on the cyanide potential of cassava leaf meal. </w:t>
      </w:r>
      <w:r>
        <w:rPr>
          <w:i/>
        </w:rPr>
        <w:t>Animal Feed Science and Technology, 17</w:t>
      </w:r>
      <w:r>
        <w:t xml:space="preserve">(4), 227–234. </w:t>
      </w:r>
      <w:hyperlink r:id="rId35">
        <w:r>
          <w:rPr>
            <w:color w:val="0563C1"/>
            <w:u w:val="single"/>
          </w:rPr>
          <w:t>https://doi.org/10.1016/0377-8401(87)90054-X</w:t>
        </w:r>
      </w:hyperlink>
    </w:p>
    <w:p w14:paraId="644C1097" w14:textId="77777777" w:rsidR="001B00CB" w:rsidRDefault="00000000">
      <w:pPr>
        <w:spacing w:after="0" w:line="480" w:lineRule="auto"/>
        <w:ind w:left="720" w:hanging="720"/>
      </w:pPr>
      <w:r>
        <w:t xml:space="preserve">Réseau </w:t>
      </w:r>
      <w:proofErr w:type="spellStart"/>
      <w:r>
        <w:t>Billital</w:t>
      </w:r>
      <w:proofErr w:type="spellEnd"/>
      <w:r>
        <w:t xml:space="preserve"> Maroobé. (2020). </w:t>
      </w:r>
      <w:r>
        <w:rPr>
          <w:i/>
        </w:rPr>
        <w:t xml:space="preserve">Rapport </w:t>
      </w:r>
      <w:proofErr w:type="spellStart"/>
      <w:r>
        <w:rPr>
          <w:i/>
        </w:rPr>
        <w:t>d'évaluation</w:t>
      </w:r>
      <w:proofErr w:type="spellEnd"/>
      <w:r>
        <w:rPr>
          <w:i/>
        </w:rPr>
        <w:t xml:space="preserve"> de la </w:t>
      </w:r>
      <w:proofErr w:type="spellStart"/>
      <w:r>
        <w:rPr>
          <w:i/>
        </w:rPr>
        <w:t>campagne</w:t>
      </w:r>
      <w:proofErr w:type="spellEnd"/>
      <w:r>
        <w:rPr>
          <w:i/>
        </w:rPr>
        <w:t xml:space="preserve"> pastorale et de la </w:t>
      </w:r>
      <w:proofErr w:type="spellStart"/>
      <w:r>
        <w:rPr>
          <w:i/>
        </w:rPr>
        <w:t>vulnérabilité</w:t>
      </w:r>
      <w:proofErr w:type="spellEnd"/>
      <w:r>
        <w:rPr>
          <w:i/>
        </w:rPr>
        <w:t xml:space="preserve"> des ménages </w:t>
      </w:r>
      <w:proofErr w:type="spellStart"/>
      <w:r>
        <w:rPr>
          <w:i/>
        </w:rPr>
        <w:t>éleveurs</w:t>
      </w:r>
      <w:proofErr w:type="spellEnd"/>
      <w:r>
        <w:rPr>
          <w:i/>
        </w:rPr>
        <w:t xml:space="preserve"> au Sahel</w:t>
      </w:r>
      <w:r>
        <w:t xml:space="preserve">. </w:t>
      </w:r>
      <w:r>
        <w:rPr>
          <w:b/>
        </w:rPr>
        <w:t>ONLINE version not available</w:t>
      </w:r>
    </w:p>
    <w:p w14:paraId="55255748" w14:textId="77777777" w:rsidR="001B00CB" w:rsidRDefault="00000000">
      <w:pPr>
        <w:spacing w:after="0" w:line="480" w:lineRule="auto"/>
        <w:ind w:left="720" w:hanging="720"/>
      </w:pPr>
      <w:r>
        <w:t xml:space="preserve">Sanon, H. O., Kaboré-Zoungrana, C., &amp; Ledin, I. (2008). Nutritive value and voluntary feed intake by goats of three browse fodder species in the Sahelian zone of West Africa. </w:t>
      </w:r>
      <w:r>
        <w:rPr>
          <w:i/>
        </w:rPr>
        <w:t>Animal Feed Science and Technology, 144</w:t>
      </w:r>
      <w:r>
        <w:t xml:space="preserve">(1–2), 97–110. </w:t>
      </w:r>
      <w:hyperlink r:id="rId36">
        <w:r>
          <w:rPr>
            <w:color w:val="0563C1"/>
            <w:u w:val="single"/>
          </w:rPr>
          <w:t>https://doi.org/10.1016/j.anifeedsci.2007.10.004</w:t>
        </w:r>
      </w:hyperlink>
    </w:p>
    <w:p w14:paraId="14924A9D" w14:textId="77777777" w:rsidR="001B00CB" w:rsidRDefault="00000000">
      <w:pPr>
        <w:spacing w:after="0" w:line="480" w:lineRule="auto"/>
        <w:ind w:left="720" w:hanging="720"/>
      </w:pPr>
      <w:r>
        <w:lastRenderedPageBreak/>
        <w:t xml:space="preserve">Smith, O. B. (1992). Fodder trees and shrubs in range and farming systems in tropical humid Africa. In A. Speedy &amp; P.-L. Pugliese (Eds.), </w:t>
      </w:r>
      <w:r>
        <w:rPr>
          <w:i/>
        </w:rPr>
        <w:t>Legume trees and other fodder trees as protein sources for livestock</w:t>
      </w:r>
      <w:r>
        <w:t xml:space="preserve"> (pp. 43–59). Food and Agriculture Organization of the United Nations. </w:t>
      </w:r>
      <w:hyperlink r:id="rId37">
        <w:r>
          <w:rPr>
            <w:color w:val="0563C1"/>
            <w:u w:val="single"/>
          </w:rPr>
          <w:t>https://www.fao.org/4/T0632E/T0632E04.htm</w:t>
        </w:r>
      </w:hyperlink>
    </w:p>
    <w:p w14:paraId="4B451A43" w14:textId="77777777" w:rsidR="001B00CB" w:rsidRDefault="00000000">
      <w:pPr>
        <w:spacing w:after="0" w:line="480" w:lineRule="auto"/>
        <w:ind w:left="720" w:hanging="720"/>
      </w:pPr>
      <w:r>
        <w:rPr>
          <w:b/>
          <w:highlight w:val="yellow"/>
        </w:rPr>
        <w:t xml:space="preserve">Tadesse, F., </w:t>
      </w:r>
      <w:proofErr w:type="spellStart"/>
      <w:r>
        <w:rPr>
          <w:b/>
          <w:highlight w:val="yellow"/>
        </w:rPr>
        <w:t>Lambore</w:t>
      </w:r>
      <w:proofErr w:type="spellEnd"/>
      <w:r>
        <w:rPr>
          <w:b/>
          <w:highlight w:val="yellow"/>
        </w:rPr>
        <w:t xml:space="preserve">, T., Boke, N., Kifle, Z., Girma, M., </w:t>
      </w:r>
      <w:proofErr w:type="spellStart"/>
      <w:r>
        <w:rPr>
          <w:b/>
          <w:highlight w:val="yellow"/>
        </w:rPr>
        <w:t>Semebo</w:t>
      </w:r>
      <w:proofErr w:type="spellEnd"/>
      <w:r>
        <w:rPr>
          <w:b/>
          <w:highlight w:val="yellow"/>
        </w:rPr>
        <w:t xml:space="preserve">, M., </w:t>
      </w:r>
      <w:proofErr w:type="spellStart"/>
      <w:r>
        <w:rPr>
          <w:b/>
          <w:highlight w:val="yellow"/>
        </w:rPr>
        <w:t>Chufamo</w:t>
      </w:r>
      <w:proofErr w:type="spellEnd"/>
      <w:r>
        <w:rPr>
          <w:b/>
          <w:highlight w:val="yellow"/>
        </w:rPr>
        <w:t xml:space="preserve">, S., </w:t>
      </w:r>
      <w:proofErr w:type="spellStart"/>
      <w:r>
        <w:rPr>
          <w:b/>
          <w:highlight w:val="yellow"/>
        </w:rPr>
        <w:t>Ersino</w:t>
      </w:r>
      <w:proofErr w:type="spellEnd"/>
      <w:r>
        <w:rPr>
          <w:b/>
          <w:highlight w:val="yellow"/>
        </w:rPr>
        <w:t xml:space="preserve">, A., &amp; </w:t>
      </w:r>
      <w:proofErr w:type="spellStart"/>
      <w:r>
        <w:rPr>
          <w:b/>
          <w:highlight w:val="yellow"/>
        </w:rPr>
        <w:t>Doboch</w:t>
      </w:r>
      <w:proofErr w:type="spellEnd"/>
      <w:r>
        <w:rPr>
          <w:b/>
          <w:highlight w:val="yellow"/>
        </w:rPr>
        <w:t xml:space="preserve">, D. (2022). Study of livestock feed resources and nutritional values of major livestock feeds in </w:t>
      </w:r>
      <w:proofErr w:type="spellStart"/>
      <w:r>
        <w:rPr>
          <w:b/>
          <w:highlight w:val="yellow"/>
        </w:rPr>
        <w:t>Doyogena</w:t>
      </w:r>
      <w:proofErr w:type="spellEnd"/>
      <w:r>
        <w:rPr>
          <w:b/>
          <w:highlight w:val="yellow"/>
        </w:rPr>
        <w:t xml:space="preserve"> District, Southern Ethiopia. Uttar Pradesh Journal of Zoology, 43(11), 76–85. https://doi.org/10.56557/UPJOZ/2022/v43i113057</w:t>
      </w:r>
    </w:p>
    <w:p w14:paraId="350D6324" w14:textId="77777777" w:rsidR="001B00CB" w:rsidRDefault="00000000">
      <w:pPr>
        <w:spacing w:after="0" w:line="480" w:lineRule="auto"/>
        <w:ind w:left="720" w:hanging="720"/>
      </w:pPr>
      <w:r>
        <w:t xml:space="preserve">Toutain, B., </w:t>
      </w:r>
      <w:proofErr w:type="spellStart"/>
      <w:r>
        <w:t>Guervilly</w:t>
      </w:r>
      <w:proofErr w:type="spellEnd"/>
      <w:r>
        <w:t xml:space="preserve">, T., Le Masson, A., &amp; Roberge, G. (2006). </w:t>
      </w:r>
      <w:proofErr w:type="spellStart"/>
      <w:r>
        <w:t>Leçons</w:t>
      </w:r>
      <w:proofErr w:type="spellEnd"/>
      <w:r>
        <w:t xml:space="preserve"> de </w:t>
      </w:r>
      <w:proofErr w:type="spellStart"/>
      <w:r>
        <w:t>quelques</w:t>
      </w:r>
      <w:proofErr w:type="spellEnd"/>
      <w:r>
        <w:t xml:space="preserve"> </w:t>
      </w:r>
      <w:proofErr w:type="spellStart"/>
      <w:r>
        <w:t>essais</w:t>
      </w:r>
      <w:proofErr w:type="spellEnd"/>
      <w:r>
        <w:t xml:space="preserve"> de </w:t>
      </w:r>
      <w:proofErr w:type="spellStart"/>
      <w:r>
        <w:t>régénération</w:t>
      </w:r>
      <w:proofErr w:type="spellEnd"/>
      <w:r>
        <w:t xml:space="preserve"> des </w:t>
      </w:r>
      <w:proofErr w:type="spellStart"/>
      <w:r>
        <w:t>parcours</w:t>
      </w:r>
      <w:proofErr w:type="spellEnd"/>
      <w:r>
        <w:t xml:space="preserve"> </w:t>
      </w:r>
      <w:proofErr w:type="spellStart"/>
      <w:r>
        <w:t>en</w:t>
      </w:r>
      <w:proofErr w:type="spellEnd"/>
      <w:r>
        <w:t xml:space="preserve"> </w:t>
      </w:r>
      <w:proofErr w:type="spellStart"/>
      <w:r>
        <w:t>région</w:t>
      </w:r>
      <w:proofErr w:type="spellEnd"/>
      <w:r>
        <w:t xml:space="preserve"> </w:t>
      </w:r>
      <w:proofErr w:type="spellStart"/>
      <w:r>
        <w:t>sahélienne</w:t>
      </w:r>
      <w:proofErr w:type="spellEnd"/>
      <w:r>
        <w:t xml:space="preserve">. </w:t>
      </w:r>
      <w:proofErr w:type="spellStart"/>
      <w:r>
        <w:rPr>
          <w:i/>
        </w:rPr>
        <w:t>Sécheresse</w:t>
      </w:r>
      <w:proofErr w:type="spellEnd"/>
      <w:r>
        <w:rPr>
          <w:i/>
        </w:rPr>
        <w:t>, 17</w:t>
      </w:r>
      <w:r>
        <w:t xml:space="preserve">(1–2), 72–75. </w:t>
      </w:r>
      <w:hyperlink r:id="rId38">
        <w:r>
          <w:rPr>
            <w:color w:val="0563C1"/>
            <w:u w:val="single"/>
          </w:rPr>
          <w:t>https://www.researchgate.net/publication/265978254_Lecons_de_quelques_essais_de_regeneration_des_parcours_en_region_sahelienne</w:t>
        </w:r>
      </w:hyperlink>
    </w:p>
    <w:p w14:paraId="5DA13E02" w14:textId="77777777" w:rsidR="001B00CB" w:rsidRDefault="00000000">
      <w:pPr>
        <w:spacing w:after="0" w:line="480" w:lineRule="auto"/>
        <w:ind w:left="720" w:hanging="720"/>
      </w:pPr>
      <w:r>
        <w:t xml:space="preserve">Udemezue, J. C., Chinaka, E. C., &amp; Okoye, B. C. (2019). Cassava value chain as instrument for economic growth and food security in Nigeria. </w:t>
      </w:r>
      <w:r>
        <w:rPr>
          <w:i/>
        </w:rPr>
        <w:t>Universal Journal of Agricultural Research, 7</w:t>
      </w:r>
      <w:r>
        <w:t xml:space="preserve">(6), 197–202. </w:t>
      </w:r>
      <w:hyperlink r:id="rId39">
        <w:r>
          <w:rPr>
            <w:color w:val="0563C1"/>
            <w:u w:val="single"/>
          </w:rPr>
          <w:t>https://doi.org/10.13189/ujar.2019.070601</w:t>
        </w:r>
      </w:hyperlink>
    </w:p>
    <w:p w14:paraId="0DD4BC14" w14:textId="77777777" w:rsidR="001B00CB" w:rsidRDefault="00000000">
      <w:pPr>
        <w:spacing w:after="0" w:line="480" w:lineRule="auto"/>
        <w:ind w:left="720" w:hanging="720"/>
      </w:pPr>
      <w:proofErr w:type="spellStart"/>
      <w:r>
        <w:t>Wanapat</w:t>
      </w:r>
      <w:proofErr w:type="spellEnd"/>
      <w:r>
        <w:t xml:space="preserve">, M. (2003). Manipulation of cassava cultivation and utilization to improve protein to energy biomass for livestock feeding in the tropics. </w:t>
      </w:r>
      <w:r>
        <w:rPr>
          <w:i/>
        </w:rPr>
        <w:t>Asian-Australasian Journal of Animal Sciences, 16</w:t>
      </w:r>
      <w:r>
        <w:t xml:space="preserve">(3), 463–472. </w:t>
      </w:r>
      <w:hyperlink r:id="rId40">
        <w:r>
          <w:rPr>
            <w:color w:val="0563C1"/>
            <w:u w:val="single"/>
          </w:rPr>
          <w:t>https://doi.org/10.5713/ajas.2003.463</w:t>
        </w:r>
      </w:hyperlink>
    </w:p>
    <w:p w14:paraId="35400D94" w14:textId="77777777" w:rsidR="001B00CB" w:rsidRDefault="00000000">
      <w:pPr>
        <w:spacing w:after="0" w:line="480" w:lineRule="auto"/>
        <w:ind w:left="720" w:hanging="720"/>
      </w:pPr>
      <w:proofErr w:type="spellStart"/>
      <w:r>
        <w:t>Wanapat</w:t>
      </w:r>
      <w:proofErr w:type="spellEnd"/>
      <w:r>
        <w:t xml:space="preserve">, M., &amp; Kang, S. (2013). Enriching the nutritive value of cassava as feed to increase ruminant productivity. </w:t>
      </w:r>
      <w:r>
        <w:rPr>
          <w:i/>
        </w:rPr>
        <w:t>Journal of Nutritional Ecology and Food Research, 1</w:t>
      </w:r>
      <w:r>
        <w:t xml:space="preserve">(4), 262–269. </w:t>
      </w:r>
      <w:hyperlink r:id="rId41">
        <w:r>
          <w:rPr>
            <w:color w:val="0563C1"/>
            <w:u w:val="single"/>
          </w:rPr>
          <w:t>https://doi.org/10.1166/jnef.2013.1048</w:t>
        </w:r>
      </w:hyperlink>
    </w:p>
    <w:p w14:paraId="7555B716" w14:textId="77777777" w:rsidR="001B00CB" w:rsidRDefault="00000000">
      <w:pPr>
        <w:spacing w:after="0" w:line="480" w:lineRule="auto"/>
        <w:ind w:left="720" w:hanging="720"/>
      </w:pPr>
      <w:r>
        <w:t xml:space="preserve">Zahraddeen, D., </w:t>
      </w:r>
      <w:proofErr w:type="spellStart"/>
      <w:r>
        <w:t>Butswat</w:t>
      </w:r>
      <w:proofErr w:type="spellEnd"/>
      <w:r>
        <w:t xml:space="preserve">, I. S. R., &amp; </w:t>
      </w:r>
      <w:proofErr w:type="spellStart"/>
      <w:r>
        <w:t>Mbap</w:t>
      </w:r>
      <w:proofErr w:type="spellEnd"/>
      <w:r>
        <w:t xml:space="preserve">, S. T. (2008). Evaluation of some factors influencing growth performance of local goats in Nigeria. </w:t>
      </w:r>
      <w:r>
        <w:rPr>
          <w:i/>
        </w:rPr>
        <w:t>African Journal of Food, Agriculture, Nutrition and Development, 8</w:t>
      </w:r>
      <w:r>
        <w:t xml:space="preserve">(4), 464–479. </w:t>
      </w:r>
      <w:hyperlink r:id="rId42">
        <w:r>
          <w:rPr>
            <w:color w:val="0563C1"/>
            <w:u w:val="single"/>
          </w:rPr>
          <w:t>https://doi.org/10.4314/ajfand.v8i4.19206</w:t>
        </w:r>
      </w:hyperlink>
    </w:p>
    <w:sectPr w:rsidR="001B00CB">
      <w:headerReference w:type="even" r:id="rId43"/>
      <w:headerReference w:type="default" r:id="rId44"/>
      <w:footerReference w:type="even" r:id="rId45"/>
      <w:footerReference w:type="default" r:id="rId46"/>
      <w:headerReference w:type="first" r:id="rId47"/>
      <w:footerReference w:type="first" r:id="rId4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E9A46" w14:textId="77777777" w:rsidR="00E30FF3" w:rsidRDefault="00E30FF3" w:rsidP="00723E01">
      <w:pPr>
        <w:spacing w:after="0" w:line="240" w:lineRule="auto"/>
      </w:pPr>
      <w:r>
        <w:separator/>
      </w:r>
    </w:p>
  </w:endnote>
  <w:endnote w:type="continuationSeparator" w:id="0">
    <w:p w14:paraId="624121BA" w14:textId="77777777" w:rsidR="00E30FF3" w:rsidRDefault="00E30FF3" w:rsidP="00723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AEC80" w14:textId="77777777" w:rsidR="001842BB" w:rsidRDefault="001842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fr-FR"/>
      </w:rPr>
      <w:id w:val="-993484939"/>
      <w:docPartObj>
        <w:docPartGallery w:val="Page Numbers (Bottom of Page)"/>
        <w:docPartUnique/>
      </w:docPartObj>
    </w:sdtPr>
    <w:sdtContent>
      <w:p w14:paraId="11CCDC87" w14:textId="77777777" w:rsidR="00723E01" w:rsidRDefault="00723E01">
        <w:pPr>
          <w:pStyle w:val="Footer"/>
          <w:jc w:val="right"/>
        </w:pPr>
        <w:r>
          <w:rPr>
            <w:lang w:val="fr-FR"/>
          </w:rPr>
          <w:t xml:space="preserve">Page | </w:t>
        </w:r>
        <w:r>
          <w:fldChar w:fldCharType="begin"/>
        </w:r>
        <w:r>
          <w:instrText>PAGE   \* MERGEFORMAT</w:instrText>
        </w:r>
        <w:r>
          <w:fldChar w:fldCharType="separate"/>
        </w:r>
        <w:r w:rsidR="00964423" w:rsidRPr="00964423">
          <w:rPr>
            <w:noProof/>
            <w:lang w:val="fr-FR"/>
          </w:rPr>
          <w:t>13</w:t>
        </w:r>
        <w:r>
          <w:fldChar w:fldCharType="end"/>
        </w:r>
        <w:r>
          <w:rPr>
            <w:lang w:val="fr-FR"/>
          </w:rPr>
          <w:t xml:space="preserve"> </w:t>
        </w:r>
      </w:p>
    </w:sdtContent>
  </w:sdt>
  <w:p w14:paraId="7B34EA66" w14:textId="77777777" w:rsidR="00723E01" w:rsidRDefault="00723E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56649" w14:textId="77777777" w:rsidR="001842BB" w:rsidRDefault="001842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1950C" w14:textId="77777777" w:rsidR="00E30FF3" w:rsidRDefault="00E30FF3" w:rsidP="00723E01">
      <w:pPr>
        <w:spacing w:after="0" w:line="240" w:lineRule="auto"/>
      </w:pPr>
      <w:r>
        <w:separator/>
      </w:r>
    </w:p>
  </w:footnote>
  <w:footnote w:type="continuationSeparator" w:id="0">
    <w:p w14:paraId="02D63B58" w14:textId="77777777" w:rsidR="00E30FF3" w:rsidRDefault="00E30FF3" w:rsidP="00723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03491" w14:textId="77777777" w:rsidR="001842BB" w:rsidRDefault="00000000">
    <w:pPr>
      <w:pStyle w:val="Header"/>
    </w:pPr>
    <w:r>
      <w:rPr>
        <w:noProof/>
      </w:rPr>
      <w:pict w14:anchorId="36DD73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928063"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4792F" w14:textId="77777777" w:rsidR="001842BB" w:rsidRDefault="00000000">
    <w:pPr>
      <w:pStyle w:val="Header"/>
    </w:pPr>
    <w:r>
      <w:rPr>
        <w:noProof/>
      </w:rPr>
      <w:pict w14:anchorId="6755DC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928064"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0146" w14:textId="77777777" w:rsidR="001842BB" w:rsidRDefault="00000000">
    <w:pPr>
      <w:pStyle w:val="Header"/>
    </w:pPr>
    <w:r>
      <w:rPr>
        <w:noProof/>
      </w:rPr>
      <w:pict w14:anchorId="34E229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928062"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205"/>
    <w:multiLevelType w:val="multilevel"/>
    <w:tmpl w:val="F342DC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53577DF"/>
    <w:multiLevelType w:val="multilevel"/>
    <w:tmpl w:val="D0307C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D4A6209"/>
    <w:multiLevelType w:val="multilevel"/>
    <w:tmpl w:val="5DCE4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572567"/>
    <w:multiLevelType w:val="multilevel"/>
    <w:tmpl w:val="1BE0D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994015"/>
    <w:multiLevelType w:val="multilevel"/>
    <w:tmpl w:val="6EBEF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7946B6"/>
    <w:multiLevelType w:val="multilevel"/>
    <w:tmpl w:val="FE804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254827"/>
    <w:multiLevelType w:val="multilevel"/>
    <w:tmpl w:val="68DC5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9A79F8"/>
    <w:multiLevelType w:val="multilevel"/>
    <w:tmpl w:val="C7E64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E07EAD"/>
    <w:multiLevelType w:val="multilevel"/>
    <w:tmpl w:val="2B6E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4071676">
    <w:abstractNumId w:val="0"/>
  </w:num>
  <w:num w:numId="2" w16cid:durableId="1859808388">
    <w:abstractNumId w:val="7"/>
  </w:num>
  <w:num w:numId="3" w16cid:durableId="842088264">
    <w:abstractNumId w:val="2"/>
  </w:num>
  <w:num w:numId="4" w16cid:durableId="1885826258">
    <w:abstractNumId w:val="1"/>
  </w:num>
  <w:num w:numId="5" w16cid:durableId="1375303055">
    <w:abstractNumId w:val="6"/>
  </w:num>
  <w:num w:numId="6" w16cid:durableId="1772771745">
    <w:abstractNumId w:val="3"/>
  </w:num>
  <w:num w:numId="7" w16cid:durableId="1190875362">
    <w:abstractNumId w:val="4"/>
  </w:num>
  <w:num w:numId="8" w16cid:durableId="850265195">
    <w:abstractNumId w:val="8"/>
  </w:num>
  <w:num w:numId="9" w16cid:durableId="11773121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4FF"/>
    <w:rsid w:val="00074B97"/>
    <w:rsid w:val="000A5F05"/>
    <w:rsid w:val="00115D9B"/>
    <w:rsid w:val="001506DE"/>
    <w:rsid w:val="001842BB"/>
    <w:rsid w:val="001A4782"/>
    <w:rsid w:val="001B00CB"/>
    <w:rsid w:val="001B5DA0"/>
    <w:rsid w:val="002142E5"/>
    <w:rsid w:val="00237B32"/>
    <w:rsid w:val="002D7006"/>
    <w:rsid w:val="002E43E3"/>
    <w:rsid w:val="003578B6"/>
    <w:rsid w:val="003614FF"/>
    <w:rsid w:val="00361A93"/>
    <w:rsid w:val="00390F3F"/>
    <w:rsid w:val="003966F8"/>
    <w:rsid w:val="00403BCE"/>
    <w:rsid w:val="005B26FE"/>
    <w:rsid w:val="0060744C"/>
    <w:rsid w:val="006A3642"/>
    <w:rsid w:val="006B0227"/>
    <w:rsid w:val="00713DD5"/>
    <w:rsid w:val="00723E01"/>
    <w:rsid w:val="00750598"/>
    <w:rsid w:val="007C4DE6"/>
    <w:rsid w:val="007C7D50"/>
    <w:rsid w:val="008974A2"/>
    <w:rsid w:val="00906537"/>
    <w:rsid w:val="00911341"/>
    <w:rsid w:val="00964423"/>
    <w:rsid w:val="00993315"/>
    <w:rsid w:val="009965CD"/>
    <w:rsid w:val="009A2163"/>
    <w:rsid w:val="009D2CDA"/>
    <w:rsid w:val="00A0436E"/>
    <w:rsid w:val="00A415E5"/>
    <w:rsid w:val="00A871EA"/>
    <w:rsid w:val="00AC03A4"/>
    <w:rsid w:val="00AC2967"/>
    <w:rsid w:val="00AC4FEA"/>
    <w:rsid w:val="00AD2A44"/>
    <w:rsid w:val="00AE7CA6"/>
    <w:rsid w:val="00B26887"/>
    <w:rsid w:val="00B725B5"/>
    <w:rsid w:val="00BB78CB"/>
    <w:rsid w:val="00BC0BF7"/>
    <w:rsid w:val="00BD77CF"/>
    <w:rsid w:val="00BE491D"/>
    <w:rsid w:val="00C740F6"/>
    <w:rsid w:val="00CF4C4F"/>
    <w:rsid w:val="00D04871"/>
    <w:rsid w:val="00D769C4"/>
    <w:rsid w:val="00D85A24"/>
    <w:rsid w:val="00DB5F46"/>
    <w:rsid w:val="00DD3075"/>
    <w:rsid w:val="00E179A3"/>
    <w:rsid w:val="00E30FF3"/>
    <w:rsid w:val="00E53FF6"/>
    <w:rsid w:val="00E74046"/>
    <w:rsid w:val="00FA316B"/>
    <w:rsid w:val="00FB45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4AB4A"/>
  <w15:chartTrackingRefBased/>
  <w15:docId w15:val="{61974034-730E-43D4-B49E-10561DE57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14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14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14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14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14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4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4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4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4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4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14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14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14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14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4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4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4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4FF"/>
    <w:rPr>
      <w:rFonts w:eastAsiaTheme="majorEastAsia" w:cstheme="majorBidi"/>
      <w:color w:val="272727" w:themeColor="text1" w:themeTint="D8"/>
    </w:rPr>
  </w:style>
  <w:style w:type="paragraph" w:styleId="Title">
    <w:name w:val="Title"/>
    <w:basedOn w:val="Normal"/>
    <w:next w:val="Normal"/>
    <w:link w:val="TitleChar"/>
    <w:uiPriority w:val="10"/>
    <w:qFormat/>
    <w:rsid w:val="003614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4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4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4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4FF"/>
    <w:pPr>
      <w:spacing w:before="160"/>
      <w:jc w:val="center"/>
    </w:pPr>
    <w:rPr>
      <w:i/>
      <w:iCs/>
      <w:color w:val="404040" w:themeColor="text1" w:themeTint="BF"/>
    </w:rPr>
  </w:style>
  <w:style w:type="character" w:customStyle="1" w:styleId="QuoteChar">
    <w:name w:val="Quote Char"/>
    <w:basedOn w:val="DefaultParagraphFont"/>
    <w:link w:val="Quote"/>
    <w:uiPriority w:val="29"/>
    <w:rsid w:val="003614FF"/>
    <w:rPr>
      <w:i/>
      <w:iCs/>
      <w:color w:val="404040" w:themeColor="text1" w:themeTint="BF"/>
    </w:rPr>
  </w:style>
  <w:style w:type="paragraph" w:styleId="ListParagraph">
    <w:name w:val="List Paragraph"/>
    <w:basedOn w:val="Normal"/>
    <w:uiPriority w:val="34"/>
    <w:qFormat/>
    <w:rsid w:val="003614FF"/>
    <w:pPr>
      <w:ind w:left="720"/>
      <w:contextualSpacing/>
    </w:pPr>
  </w:style>
  <w:style w:type="character" w:styleId="IntenseEmphasis">
    <w:name w:val="Intense Emphasis"/>
    <w:basedOn w:val="DefaultParagraphFont"/>
    <w:uiPriority w:val="21"/>
    <w:qFormat/>
    <w:rsid w:val="003614FF"/>
    <w:rPr>
      <w:i/>
      <w:iCs/>
      <w:color w:val="0F4761" w:themeColor="accent1" w:themeShade="BF"/>
    </w:rPr>
  </w:style>
  <w:style w:type="paragraph" w:styleId="IntenseQuote">
    <w:name w:val="Intense Quote"/>
    <w:basedOn w:val="Normal"/>
    <w:next w:val="Normal"/>
    <w:link w:val="IntenseQuoteChar"/>
    <w:uiPriority w:val="30"/>
    <w:qFormat/>
    <w:rsid w:val="003614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4FF"/>
    <w:rPr>
      <w:i/>
      <w:iCs/>
      <w:color w:val="0F4761" w:themeColor="accent1" w:themeShade="BF"/>
    </w:rPr>
  </w:style>
  <w:style w:type="character" w:styleId="IntenseReference">
    <w:name w:val="Intense Reference"/>
    <w:basedOn w:val="DefaultParagraphFont"/>
    <w:uiPriority w:val="32"/>
    <w:qFormat/>
    <w:rsid w:val="003614FF"/>
    <w:rPr>
      <w:b/>
      <w:bCs/>
      <w:smallCaps/>
      <w:color w:val="0F4761" w:themeColor="accent1" w:themeShade="BF"/>
      <w:spacing w:val="5"/>
    </w:rPr>
  </w:style>
  <w:style w:type="character" w:styleId="Hyperlink">
    <w:name w:val="Hyperlink"/>
    <w:basedOn w:val="DefaultParagraphFont"/>
    <w:uiPriority w:val="99"/>
    <w:unhideWhenUsed/>
    <w:rsid w:val="003614FF"/>
    <w:rPr>
      <w:color w:val="467886" w:themeColor="hyperlink"/>
      <w:u w:val="single"/>
    </w:rPr>
  </w:style>
  <w:style w:type="character" w:customStyle="1" w:styleId="UnresolvedMention1">
    <w:name w:val="Unresolved Mention1"/>
    <w:basedOn w:val="DefaultParagraphFont"/>
    <w:uiPriority w:val="99"/>
    <w:semiHidden/>
    <w:unhideWhenUsed/>
    <w:rsid w:val="003614FF"/>
    <w:rPr>
      <w:color w:val="605E5C"/>
      <w:shd w:val="clear" w:color="auto" w:fill="E1DFDD"/>
    </w:rPr>
  </w:style>
  <w:style w:type="paragraph" w:styleId="Header">
    <w:name w:val="header"/>
    <w:basedOn w:val="Normal"/>
    <w:link w:val="HeaderChar"/>
    <w:uiPriority w:val="99"/>
    <w:unhideWhenUsed/>
    <w:rsid w:val="00723E01"/>
    <w:pPr>
      <w:tabs>
        <w:tab w:val="center" w:pos="4536"/>
        <w:tab w:val="right" w:pos="9072"/>
      </w:tabs>
      <w:spacing w:after="0" w:line="240" w:lineRule="auto"/>
    </w:pPr>
  </w:style>
  <w:style w:type="character" w:customStyle="1" w:styleId="HeaderChar">
    <w:name w:val="Header Char"/>
    <w:basedOn w:val="DefaultParagraphFont"/>
    <w:link w:val="Header"/>
    <w:uiPriority w:val="99"/>
    <w:rsid w:val="00723E01"/>
  </w:style>
  <w:style w:type="paragraph" w:styleId="Footer">
    <w:name w:val="footer"/>
    <w:basedOn w:val="Normal"/>
    <w:link w:val="FooterChar"/>
    <w:uiPriority w:val="99"/>
    <w:unhideWhenUsed/>
    <w:rsid w:val="00723E01"/>
    <w:pPr>
      <w:tabs>
        <w:tab w:val="center" w:pos="4536"/>
        <w:tab w:val="right" w:pos="9072"/>
      </w:tabs>
      <w:spacing w:after="0" w:line="240" w:lineRule="auto"/>
    </w:pPr>
  </w:style>
  <w:style w:type="character" w:customStyle="1" w:styleId="FooterChar">
    <w:name w:val="Footer Char"/>
    <w:basedOn w:val="DefaultParagraphFont"/>
    <w:link w:val="Footer"/>
    <w:uiPriority w:val="99"/>
    <w:rsid w:val="00723E01"/>
  </w:style>
  <w:style w:type="table" w:styleId="TableGridLight">
    <w:name w:val="Grid Table Light"/>
    <w:basedOn w:val="TableNormal"/>
    <w:uiPriority w:val="40"/>
    <w:rsid w:val="00723E0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B725B5"/>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AC2967"/>
    <w:rPr>
      <w:color w:val="605E5C"/>
      <w:shd w:val="clear" w:color="auto" w:fill="E1DFDD"/>
    </w:rPr>
  </w:style>
  <w:style w:type="character" w:styleId="CommentReference">
    <w:name w:val="annotation reference"/>
    <w:basedOn w:val="DefaultParagraphFont"/>
    <w:uiPriority w:val="99"/>
    <w:semiHidden/>
    <w:unhideWhenUsed/>
    <w:rsid w:val="00A0436E"/>
    <w:rPr>
      <w:sz w:val="16"/>
      <w:szCs w:val="16"/>
    </w:rPr>
  </w:style>
  <w:style w:type="paragraph" w:styleId="CommentText">
    <w:name w:val="annotation text"/>
    <w:basedOn w:val="Normal"/>
    <w:link w:val="CommentTextChar"/>
    <w:uiPriority w:val="99"/>
    <w:unhideWhenUsed/>
    <w:rsid w:val="00A0436E"/>
    <w:pPr>
      <w:spacing w:line="240" w:lineRule="auto"/>
    </w:pPr>
    <w:rPr>
      <w:sz w:val="20"/>
      <w:szCs w:val="20"/>
    </w:rPr>
  </w:style>
  <w:style w:type="character" w:customStyle="1" w:styleId="CommentTextChar">
    <w:name w:val="Comment Text Char"/>
    <w:basedOn w:val="DefaultParagraphFont"/>
    <w:link w:val="CommentText"/>
    <w:uiPriority w:val="99"/>
    <w:rsid w:val="00A0436E"/>
    <w:rPr>
      <w:sz w:val="20"/>
      <w:szCs w:val="20"/>
    </w:rPr>
  </w:style>
  <w:style w:type="paragraph" w:styleId="CommentSubject">
    <w:name w:val="annotation subject"/>
    <w:basedOn w:val="CommentText"/>
    <w:next w:val="CommentText"/>
    <w:link w:val="CommentSubjectChar"/>
    <w:uiPriority w:val="99"/>
    <w:semiHidden/>
    <w:unhideWhenUsed/>
    <w:rsid w:val="00A0436E"/>
    <w:rPr>
      <w:b/>
      <w:bCs/>
    </w:rPr>
  </w:style>
  <w:style w:type="character" w:customStyle="1" w:styleId="CommentSubjectChar">
    <w:name w:val="Comment Subject Char"/>
    <w:basedOn w:val="CommentTextChar"/>
    <w:link w:val="CommentSubject"/>
    <w:uiPriority w:val="99"/>
    <w:semiHidden/>
    <w:rsid w:val="00A0436E"/>
    <w:rPr>
      <w:b/>
      <w:bCs/>
      <w:sz w:val="20"/>
      <w:szCs w:val="20"/>
    </w:rPr>
  </w:style>
  <w:style w:type="paragraph" w:styleId="NormalWeb">
    <w:name w:val="Normal (Web)"/>
    <w:basedOn w:val="Normal"/>
    <w:uiPriority w:val="99"/>
    <w:semiHidden/>
    <w:unhideWhenUsed/>
    <w:rsid w:val="00AE7CA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o.org/4/T0632E/T0632E07.htm" TargetMode="External"/><Relationship Id="rId18" Type="http://schemas.openxmlformats.org/officeDocument/2006/relationships/hyperlink" Target="https://www.researchgate.net/publication/242591370_CASSAVA_FORAGE_AS_A_CATTLE_FEED_APPARENT_DIGESTIBILITY_AND_CONSUMPTION_OF_THE_WHOLE_FORAGE" TargetMode="External"/><Relationship Id="rId26" Type="http://schemas.openxmlformats.org/officeDocument/2006/relationships/hyperlink" Target="https://doi.org/10.1017/S0263967X00031335" TargetMode="External"/><Relationship Id="rId39" Type="http://schemas.openxmlformats.org/officeDocument/2006/relationships/hyperlink" Target="https://doi.org/10.13189/ujar.2019.070601" TargetMode="External"/><Relationship Id="rId21" Type="http://schemas.openxmlformats.org/officeDocument/2006/relationships/hyperlink" Target="https://www.lrrd.org/lrrd24/8/hang24136.htm" TargetMode="External"/><Relationship Id="rId34" Type="http://schemas.openxmlformats.org/officeDocument/2006/relationships/hyperlink" Target="https://doi.org/10.1002/jsfa.2740610202" TargetMode="External"/><Relationship Id="rId42" Type="http://schemas.openxmlformats.org/officeDocument/2006/relationships/hyperlink" Target="https://doi.org/10.4314/ajfand.v8i4.19206"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hyperlink" Target="https://globaljournals.org/scholarly-articles/cassava-leaf-silage-and-cassava-peel-as-dry-season-feed-for-west-african-dwarf-sheep/" TargetMode="External"/><Relationship Id="rId2" Type="http://schemas.openxmlformats.org/officeDocument/2006/relationships/styles" Target="styles.xml"/><Relationship Id="rId16" Type="http://schemas.openxmlformats.org/officeDocument/2006/relationships/hyperlink" Target="https://doi.org/10.1016/j.anifeedsci.2004.11.015" TargetMode="External"/><Relationship Id="rId29" Type="http://schemas.openxmlformats.org/officeDocument/2006/relationships/hyperlink" Target="https://doi.org/10.1016/0308-8146(92)90003-K" TargetMode="External"/><Relationship Id="rId11" Type="http://schemas.openxmlformats.org/officeDocument/2006/relationships/hyperlink" Target="https://doi.org/10.17660/ActaHortic.1994.375.18" TargetMode="External"/><Relationship Id="rId24" Type="http://schemas.openxmlformats.org/officeDocument/2006/relationships/hyperlink" Target="https://doi.org/10.1016/S0377-8401(01)00232-2" TargetMode="External"/><Relationship Id="rId32" Type="http://schemas.openxmlformats.org/officeDocument/2006/relationships/hyperlink" Target="https://www.lrrd.org/lrrd23/1/cont2301.htm" TargetMode="External"/><Relationship Id="rId37" Type="http://schemas.openxmlformats.org/officeDocument/2006/relationships/hyperlink" Target="https://www.fao.org/4/T0632E/T0632E04.htm" TargetMode="External"/><Relationship Id="rId40" Type="http://schemas.openxmlformats.org/officeDocument/2006/relationships/hyperlink" Target="https://doi.org/10.5713/ajas.2003.463"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lrrd.org/lrrd14/3/do143b.htm" TargetMode="External"/><Relationship Id="rId23" Type="http://schemas.openxmlformats.org/officeDocument/2006/relationships/hyperlink" Target="https://doi.org/10.1079/NRR19900016" TargetMode="External"/><Relationship Id="rId28" Type="http://schemas.openxmlformats.org/officeDocument/2006/relationships/hyperlink" Target="https://doi.org/10.2166/wpt.2013.023" TargetMode="External"/><Relationship Id="rId36" Type="http://schemas.openxmlformats.org/officeDocument/2006/relationships/hyperlink" Target="https://doi.org/10.1016/j.anifeedsci.2007.10.004" TargetMode="External"/><Relationship Id="rId49" Type="http://schemas.openxmlformats.org/officeDocument/2006/relationships/fontTable" Target="fontTable.xml"/><Relationship Id="rId10" Type="http://schemas.openxmlformats.org/officeDocument/2006/relationships/hyperlink" Target="https://doi.org/10.11648/j.sjac.20190704.12" TargetMode="External"/><Relationship Id="rId19" Type="http://schemas.openxmlformats.org/officeDocument/2006/relationships/hyperlink" Target="https://doi.org/10.4060/cb9479fr" TargetMode="External"/><Relationship Id="rId31" Type="http://schemas.openxmlformats.org/officeDocument/2006/relationships/hyperlink" Target="https://doi.org/10.1016/j.smallrumres.2006.05.009" TargetMode="External"/><Relationship Id="rId44"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doi.org/10.1017/S0007114599000501" TargetMode="External"/><Relationship Id="rId14" Type="http://schemas.openxmlformats.org/officeDocument/2006/relationships/hyperlink" Target="https://www.fao.org/4/T0632E/T0632E02.htm" TargetMode="External"/><Relationship Id="rId22" Type="http://schemas.openxmlformats.org/officeDocument/2006/relationships/hyperlink" Target="https://www.aoac.org/official-methods-of-analysis/" TargetMode="External"/><Relationship Id="rId27" Type="http://schemas.openxmlformats.org/officeDocument/2006/relationships/hyperlink" Target="https://doi.org/10.1002/jsfa.3337" TargetMode="External"/><Relationship Id="rId30" Type="http://schemas.openxmlformats.org/officeDocument/2006/relationships/hyperlink" Target="https://doi.org/10.1080/09712119.2023.2211652" TargetMode="External"/><Relationship Id="rId35" Type="http://schemas.openxmlformats.org/officeDocument/2006/relationships/hyperlink" Target="https://doi.org/10.1016/0377-8401(87)90054-X"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hyperlink" Target="https://dergipark.org.tr/en/pub/gopzfd/issue/7333/95964" TargetMode="External"/><Relationship Id="rId3" Type="http://schemas.openxmlformats.org/officeDocument/2006/relationships/settings" Target="settings.xml"/><Relationship Id="rId12" Type="http://schemas.openxmlformats.org/officeDocument/2006/relationships/hyperlink" Target="https://www.fao.org/4/x5520b/x5520b05.htm" TargetMode="External"/><Relationship Id="rId17" Type="http://schemas.openxmlformats.org/officeDocument/2006/relationships/hyperlink" Target="https://www.researchgate.net/publication/316044234_TROPICAL_AGRICULTURAL_SCIENCE_Performance_Haematological_Parameters_and_Faecal_Egg_Count_of_Semi-intensively_Managed_West_African_Dwarf_Sheep_to_Varying_Levels_of_Cassava_Leaves_and_Peels_Supplementat" TargetMode="External"/><Relationship Id="rId25" Type="http://schemas.openxmlformats.org/officeDocument/2006/relationships/hyperlink" Target="https://doi.org/10.1111/j.1541-4337.2009.00077.x" TargetMode="External"/><Relationship Id="rId33" Type="http://schemas.openxmlformats.org/officeDocument/2006/relationships/hyperlink" Target="https://agris.fao.org/search/en/providers/122332/records/64e8c697f8d9ea1acc2731f7" TargetMode="External"/><Relationship Id="rId38" Type="http://schemas.openxmlformats.org/officeDocument/2006/relationships/hyperlink" Target="https://www.researchgate.net/publication/265978254_Lecons_de_quelques_essais_de_regeneration_des_parcours_en_region_sahelienne" TargetMode="External"/><Relationship Id="rId46" Type="http://schemas.openxmlformats.org/officeDocument/2006/relationships/footer" Target="footer2.xml"/><Relationship Id="rId20" Type="http://schemas.openxmlformats.org/officeDocument/2006/relationships/hyperlink" Target="https://www.lrrd.org/lrrd17/9/hang17099.htm" TargetMode="External"/><Relationship Id="rId41" Type="http://schemas.openxmlformats.org/officeDocument/2006/relationships/hyperlink" Target="https://doi.org/10.1166/jnef.2013.1048"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17</Pages>
  <Words>5364</Words>
  <Characters>30575</Characters>
  <Application>Microsoft Office Word</Application>
  <DocSecurity>0</DocSecurity>
  <Lines>254</Lines>
  <Paragraphs>71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Nourou Ado</dc:creator>
  <cp:keywords/>
  <dc:description/>
  <cp:lastModifiedBy>Editor-1183</cp:lastModifiedBy>
  <cp:revision>28</cp:revision>
  <dcterms:created xsi:type="dcterms:W3CDTF">2026-09-15T05:58:00Z</dcterms:created>
  <dcterms:modified xsi:type="dcterms:W3CDTF">2026-09-19T05:07:00Z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3a108f-898d-4589-9ebc-7ee3b46df9b8_Enabled">
    <vt:lpwstr>true</vt:lpwstr>
  </property>
  <property fmtid="{D5CDD505-2E9C-101B-9397-08002B2CF9AE}" pid="3" name="MSIP_Label_2a3a108f-898d-4589-9ebc-7ee3b46df9b8_SetDate">
    <vt:lpwstr>2026-09-15T05:58:21Z</vt:lpwstr>
  </property>
  <property fmtid="{D5CDD505-2E9C-101B-9397-08002B2CF9AE}" pid="4" name="MSIP_Label_2a3a108f-898d-4589-9ebc-7ee3b46df9b8_Method">
    <vt:lpwstr>Standard</vt:lpwstr>
  </property>
  <property fmtid="{D5CDD505-2E9C-101B-9397-08002B2CF9AE}" pid="5" name="MSIP_Label_2a3a108f-898d-4589-9ebc-7ee3b46df9b8_Name">
    <vt:lpwstr>Official use only</vt:lpwstr>
  </property>
  <property fmtid="{D5CDD505-2E9C-101B-9397-08002B2CF9AE}" pid="6" name="MSIP_Label_2a3a108f-898d-4589-9ebc-7ee3b46df9b8_SiteId">
    <vt:lpwstr>462ad9ae-d7d9-4206-b874-71b1e079776f</vt:lpwstr>
  </property>
  <property fmtid="{D5CDD505-2E9C-101B-9397-08002B2CF9AE}" pid="7" name="MSIP_Label_2a3a108f-898d-4589-9ebc-7ee3b46df9b8_ActionId">
    <vt:lpwstr>d356edc1-3720-4226-b7bb-45ff29b43538</vt:lpwstr>
  </property>
  <property fmtid="{D5CDD505-2E9C-101B-9397-08002B2CF9AE}" pid="8" name="MSIP_Label_2a3a108f-898d-4589-9ebc-7ee3b46df9b8_ContentBits">
    <vt:lpwstr>0</vt:lpwstr>
  </property>
  <property fmtid="{D5CDD505-2E9C-101B-9397-08002B2CF9AE}" pid="9" name="MSIP_Label_2a3a108f-898d-4589-9ebc-7ee3b46df9b8_Tag">
    <vt:lpwstr>10, 3, 0, 1</vt:lpwstr>
  </property>
</Properties>
</file>