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1778F" w14:textId="77777777" w:rsidR="004B421D" w:rsidRPr="00F222E9" w:rsidRDefault="004B421D" w:rsidP="00EB342D">
      <w:pPr>
        <w:spacing w:after="160" w:line="240" w:lineRule="auto"/>
        <w:jc w:val="right"/>
        <w:rPr>
          <w:rFonts w:ascii="Arial" w:eastAsia="Calibri" w:hAnsi="Arial" w:cs="Arial"/>
          <w:b/>
          <w:kern w:val="2"/>
          <w:lang w:eastAsia="en-US"/>
        </w:rPr>
      </w:pPr>
      <w:r w:rsidRPr="00F222E9">
        <w:rPr>
          <w:rFonts w:ascii="Arial" w:hAnsi="Arial"/>
          <w:b/>
        </w:rPr>
        <w:t xml:space="preserve">EFFECT OF DIFFERENT LEVELS OF POULTRY MANURE AND INORGANIC FERTILISER ON THE GROWTH AND YIELD OF CUCUMBER </w:t>
      </w:r>
      <w:r w:rsidRPr="00F222E9">
        <w:rPr>
          <w:rFonts w:ascii="Arial" w:hAnsi="Arial"/>
          <w:b/>
          <w:i/>
        </w:rPr>
        <w:t>(Cucumis sativus)</w:t>
      </w:r>
      <w:r w:rsidRPr="00F222E9">
        <w:rPr>
          <w:rFonts w:ascii="Arial" w:hAnsi="Arial"/>
          <w:b/>
        </w:rPr>
        <w:t xml:space="preserve"> IN OWERRI, IMO STATE</w:t>
      </w:r>
    </w:p>
    <w:p w14:paraId="3F04A495" w14:textId="77777777" w:rsidR="00881687" w:rsidRPr="00F222E9" w:rsidRDefault="00881687" w:rsidP="00EB342D">
      <w:pPr>
        <w:spacing w:after="160" w:line="240" w:lineRule="auto"/>
        <w:jc w:val="right"/>
        <w:rPr>
          <w:rFonts w:ascii="Arial" w:eastAsia="Calibri" w:hAnsi="Arial" w:cs="Arial"/>
          <w:b/>
          <w:kern w:val="2"/>
          <w:lang w:eastAsia="en-US"/>
        </w:rPr>
      </w:pPr>
    </w:p>
    <w:p w14:paraId="302AB6E1" w14:textId="77777777" w:rsidR="004B421D" w:rsidRPr="00F222E9" w:rsidRDefault="004B421D" w:rsidP="007B6FC2">
      <w:pPr>
        <w:pStyle w:val="Heading1"/>
        <w:jc w:val="both"/>
        <w:rPr>
          <w:rFonts w:ascii="Arial" w:hAnsi="Arial" w:cs="Arial"/>
          <w:sz w:val="22"/>
          <w:szCs w:val="22"/>
        </w:rPr>
      </w:pPr>
      <w:bookmarkStart w:id="0" w:name="_Toc190021182"/>
      <w:r w:rsidRPr="00F222E9">
        <w:rPr>
          <w:rFonts w:ascii="Arial" w:hAnsi="Arial" w:cs="Arial"/>
          <w:sz w:val="22"/>
          <w:szCs w:val="22"/>
        </w:rPr>
        <w:t>ABSTRACT</w:t>
      </w:r>
      <w:bookmarkEnd w:id="0"/>
    </w:p>
    <w:p w14:paraId="71B6ABE7" w14:textId="55CF77ED" w:rsidR="004B421D" w:rsidRPr="00F222E9" w:rsidRDefault="00F222E9" w:rsidP="007B6FC2">
      <w:pPr>
        <w:spacing w:after="160" w:line="240" w:lineRule="auto"/>
        <w:jc w:val="both"/>
        <w:rPr>
          <w:rFonts w:ascii="Arial" w:hAnsi="Arial" w:cs="Arial"/>
          <w:sz w:val="24"/>
          <w:szCs w:val="24"/>
        </w:rPr>
      </w:pPr>
      <w:r>
        <w:t>Cucumber (Cucumis sativus L.) is an important vegetable crop whose performance depends strongly on soil fertility and the availability of nutrients. In Owerri, repeated cultivation has contributed to declining soil fertility, which may restrict cucumber growth and yield. The appropriate use of poultry manure and inorganic fertiliser may therefore improve nutrient supply and crop productivity under local conditions. A field experiment was undertaken at the Teaching and Research Farm of the Federal University of Technology, Owerri, Imo State, from September 2024 to January 2025 to assess cucumber responses to different rates of poultry manure and inorganic fertiliser. Seven treatments were evaluated: 5 tons/ha PM, 10 tons/ha PM, 15 tons/ha PM, 100 kg/ha NPK, 150 kg/ha NPK, 200 kg/ha NPK, and 0 kg/ha (control). Treatments were arranged in a Randomised Complete Block Design (RCBD). Growth and yield data were analysed by analysis of variance (ANOVA), and treatment means were separated using the Least Significant Difference at the 5% probability level. At 2, 4, and 6 WAP, the largest leaf areas were recorded with 15 tons/ha poultry manure, with values of 59.26 cm², 73.65 cm², and 186.2 cm², respectively. The smallest leaf areas at 2 and 4 WAP occurred with 5 tons/ha poultry manure (40.46 cm² and 53.16 cm²), whereas the control recorded the lowest value at 6 WAP (106 cm²). At 2 WAP, the greatest number of leaves (4.00) occurred under both 15 tons/ha poultry manure and 0.2 tons/ha NPK, while the control and 5 tons/ha poultry manure each recorded 2.33 leaves. By 4 and 6 WAP, 0.2 tons/ha NPK gave the highest leaf numbers (13.33 and 23.00), compared with 8.00 and 16.00 leaves, respectively, in the control. Plant height was also greatest under 0.2 tons/ha NPK, reaching 6.0 cm, 54.3 cm, and 79.3 cm at 2, 4, and 6 WAP. The control had the shortest plants at 2 and 6 WAP (4.0 cm and 47.2 cm), while 5 tons/ha poultry manure gave the lowest height at 4 WAP (34.3 cm). Days to 50% emergence did not differ significantly among treatments; values ranged from 6.67 days in the control to 5.33 days with 15 tons/ha poultry manure. The greatest average fruit weight (0.0021 t ha⁻¹) was obtained with 0.2 tons/ha NPK, compared with 0.0009 t ha⁻¹ in the control. Treatments of 0.2 and 0.15 tons/ha NPK each produced 6.00 fruits, whereas the control produced 4.00 fruits.</w:t>
      </w:r>
    </w:p>
    <w:p w14:paraId="07EDB8C7" w14:textId="77777777" w:rsidR="00315C83" w:rsidRPr="00F222E9" w:rsidRDefault="00315C83" w:rsidP="00315C83">
      <w:pPr>
        <w:pStyle w:val="ds-markdown-paragraph"/>
        <w:shd w:val="clear" w:color="auto" w:fill="FFFFFF"/>
        <w:spacing w:after="0" w:afterAutospacing="0"/>
        <w:rPr>
          <w:rFonts w:ascii="Segoe UI" w:hAnsi="Segoe UI" w:cs="Segoe UI"/>
          <w:i/>
          <w:color w:val="0F1115"/>
          <w:sz w:val="23"/>
          <w:szCs w:val="23"/>
          <w:shd w:val="clear" w:color="auto" w:fill="FFFFFF"/>
        </w:rPr>
      </w:pPr>
      <w:r w:rsidRPr="00F222E9">
        <w:rPr>
          <w:rStyle w:val="Strong"/>
          <w:rFonts w:ascii="Segoe UI" w:hAnsi="Segoe UI" w:cs="Segoe UI"/>
          <w:b w:val="0"/>
          <w:i/>
          <w:color w:val="0F1115"/>
          <w:shd w:val="clear" w:color="auto" w:fill="FFFFFF"/>
        </w:rPr>
        <w:t xml:space="preserve">Keywords: </w:t>
      </w:r>
      <w:r w:rsidRPr="00F222E9">
        <w:rPr>
          <w:rStyle w:val="Strong"/>
          <w:rFonts w:ascii="Segoe UI" w:eastAsia="SimSun" w:hAnsi="Segoe UI" w:cs="Segoe UI"/>
          <w:b w:val="0"/>
          <w:i/>
          <w:color w:val="0F1115"/>
          <w:shd w:val="clear" w:color="auto" w:fill="FFFFFF"/>
        </w:rPr>
        <w:t>Cucumber</w:t>
      </w:r>
      <w:r w:rsidRPr="00F222E9">
        <w:rPr>
          <w:rStyle w:val="Strong"/>
          <w:rFonts w:ascii="Segoe UI" w:hAnsi="Segoe UI" w:cs="Segoe UI"/>
          <w:b w:val="0"/>
          <w:i/>
          <w:color w:val="0F1115"/>
          <w:shd w:val="clear" w:color="auto" w:fill="FFFFFF"/>
        </w:rPr>
        <w:t>;</w:t>
      </w:r>
      <w:r w:rsidRPr="00F222E9">
        <w:rPr>
          <w:rStyle w:val="Strong"/>
          <w:rFonts w:ascii="Segoe UI" w:hAnsi="Segoe UI" w:cs="Segoe UI"/>
          <w:i/>
          <w:color w:val="0F1115"/>
          <w:shd w:val="clear" w:color="auto" w:fill="FFFFFF"/>
        </w:rPr>
        <w:t xml:space="preserve"> </w:t>
      </w:r>
      <w:r w:rsidRPr="00F222E9">
        <w:rPr>
          <w:rFonts w:ascii="Segoe UI" w:hAnsi="Segoe UI" w:cs="Segoe UI"/>
          <w:i/>
          <w:color w:val="0F1115"/>
          <w:sz w:val="23"/>
          <w:szCs w:val="23"/>
          <w:shd w:val="clear" w:color="auto" w:fill="FFFFFF"/>
        </w:rPr>
        <w:t xml:space="preserve">Organic fertiliser; Organic fertiliser; </w:t>
      </w:r>
      <w:r w:rsidRPr="00F222E9">
        <w:rPr>
          <w:rStyle w:val="Strong"/>
          <w:rFonts w:ascii="Segoe UI" w:eastAsiaTheme="majorEastAsia" w:hAnsi="Segoe UI" w:cs="Segoe UI"/>
          <w:b w:val="0"/>
          <w:i/>
          <w:color w:val="0F1115"/>
        </w:rPr>
        <w:t>Soil fertility;</w:t>
      </w:r>
      <w:r w:rsidRPr="00F222E9">
        <w:rPr>
          <w:rStyle w:val="Strong"/>
          <w:rFonts w:ascii="Segoe UI" w:eastAsiaTheme="majorEastAsia" w:hAnsi="Segoe UI" w:cs="Segoe UI"/>
          <w:i/>
          <w:color w:val="0F1115"/>
        </w:rPr>
        <w:t xml:space="preserve"> </w:t>
      </w:r>
      <w:r w:rsidRPr="00F222E9">
        <w:rPr>
          <w:rFonts w:ascii="Segoe UI" w:hAnsi="Segoe UI" w:cs="Segoe UI"/>
          <w:i/>
          <w:color w:val="0F1115"/>
          <w:sz w:val="23"/>
          <w:szCs w:val="23"/>
          <w:shd w:val="clear" w:color="auto" w:fill="FFFFFF"/>
        </w:rPr>
        <w:t>Crop productivity.</w:t>
      </w:r>
    </w:p>
    <w:p w14:paraId="45D66782" w14:textId="77777777" w:rsidR="00CF5079" w:rsidRPr="00F222E9" w:rsidRDefault="00CF5079" w:rsidP="00315C83">
      <w:pPr>
        <w:pStyle w:val="ds-markdown-paragraph"/>
        <w:shd w:val="clear" w:color="auto" w:fill="FFFFFF"/>
        <w:spacing w:after="0" w:afterAutospacing="0"/>
        <w:rPr>
          <w:rFonts w:ascii="Segoe UI" w:hAnsi="Segoe UI" w:cs="Segoe UI"/>
          <w:color w:val="0F1115"/>
        </w:rPr>
      </w:pPr>
    </w:p>
    <w:p w14:paraId="4D4DCF6D" w14:textId="77777777" w:rsidR="004B421D" w:rsidRPr="00F222E9" w:rsidRDefault="00EB3E27" w:rsidP="007B6FC2">
      <w:pPr>
        <w:pStyle w:val="Heading1"/>
        <w:jc w:val="both"/>
        <w:rPr>
          <w:rFonts w:ascii="Arial" w:hAnsi="Arial" w:cs="Arial"/>
          <w:sz w:val="22"/>
          <w:szCs w:val="22"/>
        </w:rPr>
      </w:pPr>
      <w:r w:rsidRPr="00F222E9">
        <w:rPr>
          <w:rFonts w:ascii="Arial" w:hAnsi="Arial" w:cs="Arial"/>
          <w:sz w:val="22"/>
          <w:szCs w:val="22"/>
        </w:rPr>
        <w:t>1.0       INTRODUCTION</w:t>
      </w:r>
    </w:p>
    <w:p w14:paraId="3D1B6356" w14:textId="77777777" w:rsidR="009A621B" w:rsidRPr="00F222E9" w:rsidRDefault="004B421D" w:rsidP="007B6FC2">
      <w:pPr>
        <w:spacing w:line="480" w:lineRule="auto"/>
        <w:jc w:val="both"/>
        <w:rPr>
          <w:rFonts w:ascii="Arial" w:hAnsi="Arial" w:cs="Arial"/>
          <w:sz w:val="24"/>
          <w:szCs w:val="24"/>
        </w:rPr>
      </w:pPr>
      <w:r>
        <w:rPr>
          <w:rFonts w:ascii="Arial" w:hAnsi="Arial"/>
          <w:sz w:val="24"/>
        </w:rPr>
        <w:t xml:space="preserve">Cucumber is a monoecious annual member of the Cucurbitaceae and has a history of human cultivation extending beyond 3,000 years (Okonmah, 2011). The crop is a major source of vitamins and is grown by small-scale farmers across much of northern Nigeria and in parts of eastern Nigeria. Limited knowledge of important cultural practices among these growers has contributed to poor productivity, alongside constraints such as </w:t>
      </w:r>
      <w:r>
        <w:rPr>
          <w:rFonts w:ascii="Arial" w:hAnsi="Arial"/>
          <w:sz w:val="24"/>
        </w:rPr>
        <w:lastRenderedPageBreak/>
        <w:t xml:space="preserve">inadequate nutrient and water availability (Ayotamuno </w:t>
      </w:r>
      <w:r>
        <w:rPr>
          <w:rFonts w:ascii="Arial" w:hAnsi="Arial"/>
          <w:i/>
          <w:sz w:val="24"/>
        </w:rPr>
        <w:t>et al.</w:t>
      </w:r>
      <w:r>
        <w:rPr>
          <w:rFonts w:ascii="Arial" w:hAnsi="Arial"/>
          <w:sz w:val="24"/>
        </w:rPr>
        <w:t>, 2007). Cucumber also produces fruits with yellow belles that are considered highly marketable.</w:t>
      </w:r>
    </w:p>
    <w:p w14:paraId="54DE7D80" w14:textId="760203E3" w:rsidR="00402710" w:rsidRPr="00F222E9" w:rsidRDefault="004B421D">
      <w:pPr>
        <w:spacing w:line="480" w:lineRule="auto"/>
        <w:jc w:val="both"/>
        <w:rPr>
          <w:rFonts w:ascii="Arial" w:hAnsi="Arial" w:cs="Arial"/>
          <w:sz w:val="24"/>
          <w:szCs w:val="24"/>
        </w:rPr>
      </w:pPr>
      <w:r>
        <w:rPr>
          <w:rFonts w:ascii="Arial" w:hAnsi="Arial"/>
          <w:sz w:val="24"/>
        </w:rPr>
        <w:t xml:space="preserve">Relative to traditional agricultural practices, cucumber has been considered well suited to greenhouse production (El-Amir </w:t>
      </w:r>
      <w:r>
        <w:rPr>
          <w:rFonts w:ascii="Arial" w:hAnsi="Arial"/>
          <w:i/>
          <w:sz w:val="24"/>
        </w:rPr>
        <w:t>et al.</w:t>
      </w:r>
      <w:r>
        <w:rPr>
          <w:rFonts w:ascii="Arial" w:hAnsi="Arial"/>
          <w:sz w:val="24"/>
        </w:rPr>
        <w:t xml:space="preserve">, 2001; Musa, U. T. et al., 2021). Production may be expanded either by cultivating a larger land area or by improving varieties and crop-management practices. The latter option is commonly favoured, and fertiliser application is among the more immediate cultural measures for increasing yield per unit area. In Nigeria, however, cucumber yields in farmers' fields remain low despite the crop's growing importance, partly because continuous cultivation depletes soil fertility and soil amendments are often neglected (Enujeke, 2013). Although inorganic manure has a long history of use as a soil conditioner, its potential has not been fully realised because substantial quantities are needed to satisfy crop nutrient requirements (Makinde </w:t>
      </w:r>
      <w:r>
        <w:rPr>
          <w:rFonts w:ascii="Arial" w:hAnsi="Arial"/>
          <w:i/>
          <w:sz w:val="24"/>
        </w:rPr>
        <w:t>et al.</w:t>
      </w:r>
      <w:r>
        <w:rPr>
          <w:rFonts w:ascii="Arial" w:hAnsi="Arial"/>
          <w:sz w:val="24"/>
        </w:rPr>
        <w:t xml:space="preserve">, 2007). Organic manure can improve soil structure and enhance the retention of water, air, and nutrients, while also buffering chemical imbalances and supporting soil organisms (Li </w:t>
      </w:r>
      <w:r>
        <w:rPr>
          <w:rFonts w:ascii="Arial" w:hAnsi="Arial"/>
          <w:i/>
          <w:sz w:val="24"/>
        </w:rPr>
        <w:t>et al.</w:t>
      </w:r>
      <w:r>
        <w:rPr>
          <w:rFonts w:ascii="Arial" w:hAnsi="Arial"/>
          <w:sz w:val="24"/>
        </w:rPr>
        <w:t xml:space="preserve">, 2006). In watermelon, Dauda </w:t>
      </w:r>
      <w:r>
        <w:rPr>
          <w:rFonts w:ascii="Arial" w:hAnsi="Arial"/>
          <w:i/>
          <w:sz w:val="24"/>
        </w:rPr>
        <w:t>et al.</w:t>
      </w:r>
      <w:r>
        <w:rPr>
          <w:rFonts w:ascii="Arial" w:hAnsi="Arial"/>
          <w:sz w:val="24"/>
        </w:rPr>
        <w:t xml:space="preserve"> (2008) related vigorous growth and greater fruit yield to increased nutrient supply and the associated photosynthetic activity. Aliyu (2000) likewise observed improved pepper yield under organic and mineral fertilisation. In a soil-amendment experiment with tomato variety Tanya in Morogoro Region, Tanzania, Kisetu and Heri (2014) obtained 31 fruits per plant with 8 t ha⁻¹ poultry manure, compared with 22 fruits per plant following application of 40 kg ha⁻¹ NPK 23:10:5 fertiliser. Evidence from Nigerian cucumber studies also indicates benefits of integrated nutrient management for growth and yield attributes (Opara </w:t>
      </w:r>
      <w:r>
        <w:rPr>
          <w:rFonts w:ascii="Arial" w:hAnsi="Arial"/>
          <w:i/>
          <w:sz w:val="24"/>
        </w:rPr>
        <w:t>et al.</w:t>
      </w:r>
      <w:r>
        <w:rPr>
          <w:rFonts w:ascii="Arial" w:hAnsi="Arial"/>
          <w:sz w:val="24"/>
        </w:rPr>
        <w:t xml:space="preserve">, 2012; Eifediyi &amp; Remison, 2010). More recent field investigations have </w:t>
      </w:r>
      <w:r>
        <w:rPr>
          <w:rFonts w:ascii="Arial" w:hAnsi="Arial"/>
          <w:sz w:val="24"/>
        </w:rPr>
        <w:lastRenderedPageBreak/>
        <w:t>similarly documented favourable cucumber growth and yield responses to poultry-manure-based nutrient regimes, whether applied alone or in conjunction with NPK fertiliser (Sodimu, 2020; Udounang et al., 2025).</w:t>
      </w:r>
    </w:p>
    <w:p w14:paraId="5DD4D490" w14:textId="7332C4D1" w:rsidR="00402710" w:rsidRPr="00F222E9" w:rsidRDefault="004B421D">
      <w:pPr>
        <w:spacing w:line="480" w:lineRule="auto"/>
        <w:jc w:val="both"/>
        <w:rPr>
          <w:rFonts w:ascii="Arial" w:hAnsi="Arial" w:cs="Arial"/>
          <w:sz w:val="24"/>
          <w:szCs w:val="24"/>
        </w:rPr>
      </w:pPr>
      <w:r>
        <w:rPr>
          <w:rFonts w:ascii="Arial" w:hAnsi="Arial"/>
          <w:sz w:val="24"/>
        </w:rPr>
        <w:t xml:space="preserve">Integrated nutrient management is fundamentally intended to preserve and improve soil fertility so that crop production can be sustained over time (Opara </w:t>
      </w:r>
      <w:r>
        <w:rPr>
          <w:rFonts w:ascii="Arial" w:hAnsi="Arial"/>
          <w:i/>
          <w:sz w:val="24"/>
        </w:rPr>
        <w:t>et al.</w:t>
      </w:r>
      <w:r>
        <w:rPr>
          <w:rFonts w:ascii="Arial" w:hAnsi="Arial"/>
          <w:sz w:val="24"/>
        </w:rPr>
        <w:t xml:space="preserve">, 2012), with mineral fertilisers forming one component of this approach. The Directorate of Information and Publications of Agriculture (DIPA, 2006) recommended matching manure application rate and timing with crop nutrient demand and growth characteristics to achieve the intended improvement in growth and yield. Ahmed </w:t>
      </w:r>
      <w:r>
        <w:rPr>
          <w:rFonts w:ascii="Arial" w:hAnsi="Arial"/>
          <w:i/>
          <w:sz w:val="24"/>
        </w:rPr>
        <w:t>et al.</w:t>
      </w:r>
      <w:r>
        <w:rPr>
          <w:rFonts w:ascii="Arial" w:hAnsi="Arial"/>
          <w:sz w:val="24"/>
        </w:rPr>
        <w:t xml:space="preserve"> (2007) found that increasing nitrogen application maximised cucumber fruit length, fruit weight, vine length, and yield. In Nigeria, demand for cucumber, a widely sought exotic food material, remains inadequately met because of the production constraints described above (Opara </w:t>
      </w:r>
      <w:r>
        <w:rPr>
          <w:rFonts w:ascii="Arial" w:hAnsi="Arial"/>
          <w:i/>
          <w:sz w:val="24"/>
        </w:rPr>
        <w:t>et al.</w:t>
      </w:r>
      <w:r>
        <w:rPr>
          <w:rFonts w:ascii="Arial" w:hAnsi="Arial"/>
          <w:sz w:val="24"/>
        </w:rPr>
        <w:t>, 2012). Recent studies further indicate that balanced organic-inorganic fertilisation can improve cucumber productivity or nutrient-use outcomes (Guan et al., 2025; Li et al., 2026), while management of individual nutrients such as potassium can also affect cucumber yield and quality (Li et al., 2024).</w:t>
      </w:r>
    </w:p>
    <w:p w14:paraId="48EB79A5" w14:textId="77777777" w:rsidR="004B421D" w:rsidRPr="00F222E9" w:rsidRDefault="004B421D" w:rsidP="007B6FC2">
      <w:pPr>
        <w:spacing w:line="480" w:lineRule="auto"/>
        <w:jc w:val="both"/>
        <w:rPr>
          <w:rFonts w:ascii="Arial" w:hAnsi="Arial" w:cs="Arial"/>
          <w:sz w:val="24"/>
          <w:szCs w:val="24"/>
        </w:rPr>
      </w:pPr>
      <w:r>
        <w:rPr>
          <w:rFonts w:ascii="Arial" w:hAnsi="Arial"/>
          <w:sz w:val="24"/>
        </w:rPr>
        <w:t xml:space="preserve">Research on nutrient management for cucumber production remains limited in tropical environments, particularly in Nigeria. Combining organic and inorganic nutrient sources may help increase production and address demand because cucumber has a short growth cycle and requires nutrients to become available rapidly; conventional fertiliser can provide this rapid supply when used alongside organic manure. It is therefore necessary to determine suitable application levels of both nutrient sources for high cucumber yield under Owerri conditions. Accordingly, this study evaluated how different </w:t>
      </w:r>
      <w:r>
        <w:rPr>
          <w:rFonts w:ascii="Arial" w:hAnsi="Arial"/>
          <w:sz w:val="24"/>
        </w:rPr>
        <w:lastRenderedPageBreak/>
        <w:t>rates of poultry manure as the organic nutrient source and NPK 20:10:10 as the inorganic fertiliser influence cucumber growth, yield characteristics, and yield in the Owerri environment.</w:t>
      </w:r>
    </w:p>
    <w:p w14:paraId="0CA686E9" w14:textId="77777777" w:rsidR="004B421D" w:rsidRPr="00F222E9" w:rsidRDefault="00EB3E27" w:rsidP="007B6FC2">
      <w:pPr>
        <w:pStyle w:val="Heading1"/>
        <w:jc w:val="both"/>
        <w:rPr>
          <w:rFonts w:ascii="Arial" w:hAnsi="Arial" w:cs="Arial"/>
          <w:sz w:val="24"/>
          <w:szCs w:val="24"/>
        </w:rPr>
      </w:pPr>
      <w:bookmarkStart w:id="1" w:name="_Toc182422150"/>
      <w:bookmarkStart w:id="2" w:name="_Toc190021193"/>
      <w:r w:rsidRPr="00F222E9">
        <w:rPr>
          <w:rFonts w:ascii="Arial" w:hAnsi="Arial" w:cs="Arial"/>
          <w:sz w:val="24"/>
          <w:szCs w:val="24"/>
        </w:rPr>
        <w:t xml:space="preserve">2.0       </w:t>
      </w:r>
      <w:r w:rsidR="004B421D" w:rsidRPr="00F222E9">
        <w:rPr>
          <w:rFonts w:ascii="Arial" w:hAnsi="Arial" w:cs="Arial"/>
          <w:sz w:val="24"/>
          <w:szCs w:val="24"/>
        </w:rPr>
        <w:t>MATERIAL AND METHODS</w:t>
      </w:r>
      <w:bookmarkEnd w:id="1"/>
      <w:bookmarkEnd w:id="2"/>
    </w:p>
    <w:p w14:paraId="6B92558F" w14:textId="77777777" w:rsidR="004B421D" w:rsidRPr="00F222E9" w:rsidRDefault="00727917" w:rsidP="007B6FC2">
      <w:pPr>
        <w:pStyle w:val="Heading1"/>
        <w:jc w:val="both"/>
        <w:rPr>
          <w:rFonts w:ascii="Arial" w:hAnsi="Arial" w:cs="Arial"/>
          <w:sz w:val="24"/>
          <w:szCs w:val="24"/>
        </w:rPr>
      </w:pPr>
      <w:bookmarkStart w:id="3" w:name="_Toc190021194"/>
      <w:r w:rsidRPr="00F222E9">
        <w:rPr>
          <w:rFonts w:ascii="Arial" w:hAnsi="Arial" w:cs="Arial"/>
          <w:sz w:val="24"/>
          <w:szCs w:val="24"/>
        </w:rPr>
        <w:t>2.1 Experimental</w:t>
      </w:r>
      <w:r w:rsidR="004B421D" w:rsidRPr="00F222E9">
        <w:rPr>
          <w:rFonts w:ascii="Arial" w:hAnsi="Arial" w:cs="Arial"/>
          <w:sz w:val="24"/>
          <w:szCs w:val="24"/>
        </w:rPr>
        <w:t xml:space="preserve"> site</w:t>
      </w:r>
      <w:bookmarkEnd w:id="3"/>
    </w:p>
    <w:p w14:paraId="67E942A3" w14:textId="77777777" w:rsidR="004B421D" w:rsidRPr="00F222E9" w:rsidRDefault="004B421D" w:rsidP="007B6FC2">
      <w:pPr>
        <w:spacing w:line="480" w:lineRule="auto"/>
        <w:jc w:val="both"/>
        <w:rPr>
          <w:rFonts w:ascii="Arial" w:hAnsi="Arial" w:cs="Arial"/>
          <w:b/>
          <w:sz w:val="24"/>
          <w:szCs w:val="24"/>
        </w:rPr>
      </w:pPr>
      <w:r>
        <w:rPr>
          <w:rFonts w:ascii="Arial" w:hAnsi="Arial"/>
          <w:sz w:val="24"/>
        </w:rPr>
        <w:t>The field experiment was carried out at the School of Agriculture and Agricultural Technology Teaching and Research Farm of the Federal University of Technology, Owerri, Imo State. Situated in the tropical rainforest zone of south-eastern Nigeria, the site is at 5.3927° N latitude and 6.9861° E longitude, approximately 55 m above sea level. Mean annual rainfall ranges from 1,500 mm to 2,500 mm from October to December. Recorded temperatures ranged between 25.5°C and 31.9°C, while relative humidity was 79%.</w:t>
      </w:r>
    </w:p>
    <w:p w14:paraId="7AAE526F" w14:textId="77777777" w:rsidR="004B421D" w:rsidRPr="00F222E9" w:rsidRDefault="00EB3E27" w:rsidP="007B6FC2">
      <w:pPr>
        <w:pStyle w:val="Heading1"/>
        <w:jc w:val="both"/>
        <w:rPr>
          <w:rFonts w:ascii="Arial" w:hAnsi="Arial" w:cs="Arial"/>
          <w:sz w:val="24"/>
          <w:szCs w:val="24"/>
        </w:rPr>
      </w:pPr>
      <w:bookmarkStart w:id="4" w:name="_Toc182422152"/>
      <w:bookmarkStart w:id="5" w:name="_Toc190021195"/>
      <w:r w:rsidRPr="00F222E9">
        <w:rPr>
          <w:rFonts w:ascii="Arial" w:hAnsi="Arial" w:cs="Arial"/>
          <w:sz w:val="24"/>
          <w:szCs w:val="24"/>
        </w:rPr>
        <w:t>2</w:t>
      </w:r>
      <w:r w:rsidR="004B421D" w:rsidRPr="00F222E9">
        <w:rPr>
          <w:rFonts w:ascii="Arial" w:hAnsi="Arial" w:cs="Arial"/>
          <w:sz w:val="24"/>
          <w:szCs w:val="24"/>
        </w:rPr>
        <w:t>.2 E</w:t>
      </w:r>
      <w:bookmarkEnd w:id="4"/>
      <w:r w:rsidR="004B421D" w:rsidRPr="00F222E9">
        <w:rPr>
          <w:rFonts w:ascii="Arial" w:hAnsi="Arial" w:cs="Arial"/>
          <w:sz w:val="24"/>
          <w:szCs w:val="24"/>
        </w:rPr>
        <w:t>xperimental design</w:t>
      </w:r>
      <w:bookmarkEnd w:id="5"/>
    </w:p>
    <w:p w14:paraId="0C9D69C2"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A Randomised Complete Block Design (RCBD) was used, comprising seven treatments with three replications and therefore 21 plots in total. The treatment rates were 5 tons/ha PM (poultry manure), 10 tons/ha PM, 15 tons/ha PM, 100 kg/ha NPK, 150 kg/ha NPK, 200 kg/ha NPK, and 0 kg/ha as the control. The inorganic fertiliser formulation applied was NPK 20:10:10.</w:t>
      </w:r>
    </w:p>
    <w:p w14:paraId="0DEEEDA7" w14:textId="77777777" w:rsidR="00054EB5" w:rsidRPr="00F222E9" w:rsidRDefault="00EB3E27" w:rsidP="007B6FC2">
      <w:pPr>
        <w:tabs>
          <w:tab w:val="left" w:pos="1800"/>
        </w:tabs>
        <w:spacing w:after="160" w:line="480" w:lineRule="auto"/>
        <w:jc w:val="both"/>
        <w:rPr>
          <w:rFonts w:ascii="Arial" w:hAnsi="Arial" w:cs="Arial"/>
          <w:b/>
          <w:bCs/>
          <w:sz w:val="24"/>
          <w:szCs w:val="24"/>
        </w:rPr>
      </w:pPr>
      <w:r w:rsidRPr="00F222E9">
        <w:rPr>
          <w:rFonts w:ascii="Arial" w:hAnsi="Arial" w:cs="Arial"/>
          <w:b/>
          <w:bCs/>
          <w:sz w:val="24"/>
          <w:szCs w:val="24"/>
        </w:rPr>
        <w:t>2</w:t>
      </w:r>
      <w:r w:rsidR="004B421D" w:rsidRPr="00F222E9">
        <w:rPr>
          <w:rFonts w:ascii="Arial" w:hAnsi="Arial" w:cs="Arial"/>
          <w:b/>
          <w:bCs/>
          <w:sz w:val="24"/>
          <w:szCs w:val="24"/>
        </w:rPr>
        <w:t xml:space="preserve">.3 Land </w:t>
      </w:r>
      <w:r w:rsidR="004B421D" w:rsidRPr="00F222E9">
        <w:rPr>
          <w:rStyle w:val="Heading1Char"/>
          <w:rFonts w:ascii="Arial" w:hAnsi="Arial" w:cs="Arial"/>
          <w:sz w:val="24"/>
          <w:szCs w:val="24"/>
        </w:rPr>
        <w:t>preparatio</w:t>
      </w:r>
      <w:r w:rsidR="004B421D" w:rsidRPr="00F222E9">
        <w:rPr>
          <w:rFonts w:ascii="Arial" w:hAnsi="Arial" w:cs="Arial"/>
          <w:b/>
          <w:bCs/>
          <w:sz w:val="24"/>
          <w:szCs w:val="24"/>
        </w:rPr>
        <w:t>n</w:t>
      </w:r>
    </w:p>
    <w:p w14:paraId="221FDFA9" w14:textId="77777777" w:rsidR="004B421D" w:rsidRPr="00F222E9" w:rsidRDefault="004B421D" w:rsidP="007B6FC2">
      <w:pPr>
        <w:tabs>
          <w:tab w:val="left" w:pos="1800"/>
        </w:tabs>
        <w:spacing w:after="160" w:line="480" w:lineRule="auto"/>
        <w:jc w:val="both"/>
        <w:rPr>
          <w:rFonts w:ascii="Arial" w:hAnsi="Arial" w:cs="Arial"/>
          <w:b/>
          <w:bCs/>
          <w:sz w:val="24"/>
          <w:szCs w:val="24"/>
        </w:rPr>
      </w:pPr>
      <w:r>
        <w:rPr>
          <w:rFonts w:ascii="Arial" w:hAnsi="Arial"/>
          <w:sz w:val="24"/>
        </w:rPr>
        <w:t xml:space="preserve">The site was cleared manually with a spade and machete, after which the spade was used to form beds in accordance with the experimental layout. The experiment occupied an area of 15 m × 10 m. Twine and pegs were used for lining and pegging to divide the </w:t>
      </w:r>
      <w:r>
        <w:rPr>
          <w:rFonts w:ascii="Arial" w:hAnsi="Arial"/>
          <w:sz w:val="24"/>
        </w:rPr>
        <w:lastRenderedPageBreak/>
        <w:t>site into the required blocks and plots. Within rows, plants were spaced 50 cm apart, while the spacing between rows was 100 cm.</w:t>
      </w:r>
    </w:p>
    <w:p w14:paraId="3BD40E84" w14:textId="77777777" w:rsidR="004B421D" w:rsidRPr="00F222E9" w:rsidRDefault="00EB3E27" w:rsidP="007B6FC2">
      <w:pPr>
        <w:pStyle w:val="Heading1"/>
        <w:jc w:val="both"/>
        <w:rPr>
          <w:rFonts w:ascii="Arial" w:hAnsi="Arial" w:cs="Arial"/>
          <w:sz w:val="24"/>
          <w:szCs w:val="24"/>
        </w:rPr>
      </w:pPr>
      <w:bookmarkStart w:id="6" w:name="_Toc190021196"/>
      <w:r w:rsidRPr="00F222E9">
        <w:rPr>
          <w:rFonts w:ascii="Arial" w:hAnsi="Arial" w:cs="Arial"/>
          <w:sz w:val="24"/>
          <w:szCs w:val="24"/>
        </w:rPr>
        <w:t>2</w:t>
      </w:r>
      <w:r w:rsidR="004B421D" w:rsidRPr="00F222E9">
        <w:rPr>
          <w:rFonts w:ascii="Arial" w:hAnsi="Arial" w:cs="Arial"/>
          <w:sz w:val="24"/>
          <w:szCs w:val="24"/>
        </w:rPr>
        <w:t>.4 Planting and source of planting material used</w:t>
      </w:r>
      <w:bookmarkEnd w:id="6"/>
    </w:p>
    <w:p w14:paraId="513DB9AA"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Cucumber seed of a proven variety was sourced from Imo ADP, Owerri. Planting was undertaken in October when soil moisture was adequate. Two seeds were placed in each hole at a depth of 2.5 cm, using 50 cm spacing within rows and 100 cm between rows. After establishment, seedlings were thinned to one plant per hole, leaving 12 plants in each plot. The 100 cm inter-row distance also allowed access to every plot.</w:t>
      </w:r>
    </w:p>
    <w:p w14:paraId="4808952F" w14:textId="77777777" w:rsidR="004B421D" w:rsidRPr="00F222E9" w:rsidRDefault="00EB3E27" w:rsidP="007B6FC2">
      <w:pPr>
        <w:pStyle w:val="Heading1"/>
        <w:jc w:val="both"/>
        <w:rPr>
          <w:rFonts w:ascii="Arial" w:hAnsi="Arial" w:cs="Arial"/>
          <w:sz w:val="24"/>
          <w:szCs w:val="24"/>
        </w:rPr>
      </w:pPr>
      <w:bookmarkStart w:id="7" w:name="_Toc190021197"/>
      <w:r w:rsidRPr="00F222E9">
        <w:rPr>
          <w:rFonts w:ascii="Arial" w:hAnsi="Arial" w:cs="Arial"/>
          <w:sz w:val="24"/>
          <w:szCs w:val="24"/>
        </w:rPr>
        <w:t>2</w:t>
      </w:r>
      <w:r w:rsidR="004B421D" w:rsidRPr="00F222E9">
        <w:rPr>
          <w:rFonts w:ascii="Arial" w:hAnsi="Arial" w:cs="Arial"/>
          <w:sz w:val="24"/>
          <w:szCs w:val="24"/>
        </w:rPr>
        <w:t>.5 Source of nutrients used</w:t>
      </w:r>
      <w:bookmarkEnd w:id="7"/>
    </w:p>
    <w:p w14:paraId="0C501188" w14:textId="77777777" w:rsidR="00727917"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Before the experiment, poultry manure was collected from a deep-litter pen at the Federal University of Technology, Owerri, Teaching and Research Farm. The manure was allowed to decompose (cure) for at least eight weeks because the principal nutrients in organic matter are released relatively slowly and need time to become available when required for optimum plant growth. The NPK fertiliser was obtained from Imo ADP, Owerri.</w:t>
      </w:r>
    </w:p>
    <w:p w14:paraId="76BD3FA2" w14:textId="77777777" w:rsidR="00054EB5" w:rsidRPr="00F222E9" w:rsidRDefault="00727917" w:rsidP="007B6FC2">
      <w:pPr>
        <w:tabs>
          <w:tab w:val="left" w:pos="1800"/>
        </w:tabs>
        <w:spacing w:after="160" w:line="480" w:lineRule="auto"/>
        <w:jc w:val="both"/>
        <w:rPr>
          <w:rFonts w:ascii="Arial" w:hAnsi="Arial" w:cs="Arial"/>
          <w:b/>
          <w:sz w:val="24"/>
          <w:szCs w:val="24"/>
        </w:rPr>
      </w:pPr>
      <w:r w:rsidRPr="00F222E9">
        <w:rPr>
          <w:rFonts w:ascii="Arial" w:hAnsi="Arial" w:cs="Arial"/>
          <w:b/>
          <w:sz w:val="24"/>
          <w:szCs w:val="24"/>
        </w:rPr>
        <w:t>2.6 Agronomic Practices</w:t>
      </w:r>
    </w:p>
    <w:p w14:paraId="553F10A7" w14:textId="77777777" w:rsidR="00727917" w:rsidRPr="00F222E9" w:rsidRDefault="004B421D" w:rsidP="007B6FC2">
      <w:pPr>
        <w:tabs>
          <w:tab w:val="left" w:pos="1800"/>
        </w:tabs>
        <w:spacing w:after="160" w:line="480" w:lineRule="auto"/>
        <w:jc w:val="both"/>
        <w:rPr>
          <w:rFonts w:ascii="Arial" w:hAnsi="Arial" w:cs="Arial"/>
          <w:b/>
          <w:sz w:val="24"/>
          <w:szCs w:val="24"/>
        </w:rPr>
      </w:pPr>
      <w:r>
        <w:rPr>
          <w:rFonts w:ascii="Arial" w:hAnsi="Arial"/>
          <w:sz w:val="24"/>
        </w:rPr>
        <w:t>Throughout the experimental period, the crop received the recommended agronomic management practices. These included routine manual weeding, control of pests and diseases, staking of cucumber vines, harvesting, and other necessary field operations.</w:t>
      </w:r>
    </w:p>
    <w:p w14:paraId="6F6EB899" w14:textId="77777777" w:rsidR="004B421D" w:rsidRPr="00F222E9" w:rsidRDefault="00727917" w:rsidP="007B6FC2">
      <w:pPr>
        <w:tabs>
          <w:tab w:val="left" w:pos="1800"/>
        </w:tabs>
        <w:spacing w:after="160" w:line="480" w:lineRule="auto"/>
        <w:jc w:val="both"/>
        <w:rPr>
          <w:rFonts w:ascii="Arial" w:hAnsi="Arial" w:cs="Arial"/>
          <w:sz w:val="24"/>
          <w:szCs w:val="24"/>
        </w:rPr>
      </w:pPr>
      <w:r>
        <w:rPr>
          <w:rFonts w:ascii="Arial" w:hAnsi="Arial"/>
          <w:b/>
          <w:sz w:val="24"/>
        </w:rPr>
        <w:t>2.7 Observation and Data Collection</w:t>
      </w:r>
      <w:r>
        <w:rPr>
          <w:rFonts w:ascii="Arial" w:hAnsi="Arial"/>
          <w:b/>
          <w:sz w:val="24"/>
        </w:rPr>
        <w:br/>
      </w:r>
      <w:r>
        <w:rPr>
          <w:rFonts w:ascii="Arial" w:hAnsi="Arial"/>
          <w:sz w:val="24"/>
        </w:rPr>
        <w:t xml:space="preserve">For data collection, three plants were chosen at random and tagged so that observations could be taken from the same plants throughout the experiment. Growth </w:t>
      </w:r>
      <w:r>
        <w:rPr>
          <w:rFonts w:ascii="Arial" w:hAnsi="Arial"/>
          <w:sz w:val="24"/>
        </w:rPr>
        <w:lastRenderedPageBreak/>
        <w:t>measurements comprised days to first flowering, days to emergence, days to harvest maturity, vine length, and number of leaves. At harvest, yield observations from the net plot included fruit length per plant, fruit weight per hectare, fruit girth per plant, number of fruits per plant, and fruit yield per hectare.</w:t>
      </w:r>
    </w:p>
    <w:p w14:paraId="05ACAEEF" w14:textId="77777777" w:rsidR="004B421D" w:rsidRPr="00F222E9" w:rsidRDefault="00EB3E27" w:rsidP="007B6FC2">
      <w:pPr>
        <w:pStyle w:val="Heading1"/>
        <w:jc w:val="both"/>
        <w:rPr>
          <w:rFonts w:ascii="Arial" w:hAnsi="Arial" w:cs="Arial"/>
          <w:sz w:val="24"/>
          <w:szCs w:val="24"/>
        </w:rPr>
      </w:pPr>
      <w:bookmarkStart w:id="8" w:name="_Toc182422158"/>
      <w:bookmarkStart w:id="9" w:name="_Toc190021200"/>
      <w:r w:rsidRPr="00F222E9">
        <w:rPr>
          <w:rFonts w:ascii="Arial" w:hAnsi="Arial" w:cs="Arial"/>
          <w:sz w:val="24"/>
          <w:szCs w:val="24"/>
        </w:rPr>
        <w:t>2</w:t>
      </w:r>
      <w:r w:rsidR="004B421D" w:rsidRPr="00F222E9">
        <w:rPr>
          <w:rFonts w:ascii="Arial" w:hAnsi="Arial" w:cs="Arial"/>
          <w:sz w:val="24"/>
          <w:szCs w:val="24"/>
        </w:rPr>
        <w:t>.8 D</w:t>
      </w:r>
      <w:bookmarkEnd w:id="8"/>
      <w:r w:rsidR="004B421D" w:rsidRPr="00F222E9">
        <w:rPr>
          <w:rFonts w:ascii="Arial" w:hAnsi="Arial" w:cs="Arial"/>
          <w:sz w:val="24"/>
          <w:szCs w:val="24"/>
        </w:rPr>
        <w:t>ata analysis</w:t>
      </w:r>
      <w:bookmarkEnd w:id="9"/>
    </w:p>
    <w:p w14:paraId="4CBFC949" w14:textId="77777777" w:rsidR="00054EB5" w:rsidRPr="00F222E9" w:rsidRDefault="004B421D" w:rsidP="00054EB5">
      <w:pPr>
        <w:tabs>
          <w:tab w:val="left" w:pos="1800"/>
        </w:tabs>
        <w:spacing w:after="160" w:line="480" w:lineRule="auto"/>
        <w:jc w:val="both"/>
        <w:rPr>
          <w:rFonts w:ascii="Arial" w:hAnsi="Arial" w:cs="Arial"/>
          <w:sz w:val="24"/>
          <w:szCs w:val="24"/>
        </w:rPr>
      </w:pPr>
      <w:r>
        <w:rPr>
          <w:rFonts w:ascii="Arial" w:hAnsi="Arial"/>
          <w:sz w:val="24"/>
        </w:rPr>
        <w:t>The collected data were analysed by analysis of variance (ANOVA). Treatment means were separated with the Least Significant Difference (LSD) procedure at the 5% probability level.</w:t>
      </w:r>
    </w:p>
    <w:p w14:paraId="7499D3C7" w14:textId="77777777" w:rsidR="004B421D" w:rsidRPr="00F222E9" w:rsidRDefault="00EB3E27" w:rsidP="00054EB5">
      <w:pPr>
        <w:tabs>
          <w:tab w:val="left" w:pos="1800"/>
        </w:tabs>
        <w:spacing w:after="160" w:line="480" w:lineRule="auto"/>
        <w:jc w:val="both"/>
        <w:rPr>
          <w:rFonts w:ascii="Arial" w:hAnsi="Arial" w:cs="Arial"/>
          <w:b/>
          <w:sz w:val="24"/>
          <w:szCs w:val="24"/>
        </w:rPr>
      </w:pPr>
      <w:r w:rsidRPr="00F222E9">
        <w:rPr>
          <w:rFonts w:ascii="Arial" w:hAnsi="Arial" w:cs="Arial"/>
          <w:b/>
          <w:sz w:val="24"/>
          <w:szCs w:val="24"/>
        </w:rPr>
        <w:t>2</w:t>
      </w:r>
      <w:r w:rsidR="004B421D" w:rsidRPr="00F222E9">
        <w:rPr>
          <w:rFonts w:ascii="Arial" w:hAnsi="Arial" w:cs="Arial"/>
          <w:b/>
          <w:sz w:val="24"/>
          <w:szCs w:val="24"/>
        </w:rPr>
        <w:t>.9 F</w:t>
      </w:r>
      <w:r w:rsidR="00054EB5" w:rsidRPr="00F222E9">
        <w:rPr>
          <w:rFonts w:ascii="Arial" w:hAnsi="Arial" w:cs="Arial"/>
          <w:b/>
          <w:sz w:val="24"/>
          <w:szCs w:val="24"/>
        </w:rPr>
        <w:t>ield Layout</w:t>
      </w:r>
    </w:p>
    <w:p w14:paraId="4C5E6677" w14:textId="77777777" w:rsidR="004B421D" w:rsidRPr="00F222E9" w:rsidRDefault="004B421D" w:rsidP="007B6FC2">
      <w:pPr>
        <w:tabs>
          <w:tab w:val="left" w:pos="1800"/>
        </w:tabs>
        <w:spacing w:after="160" w:line="480" w:lineRule="auto"/>
        <w:jc w:val="both"/>
        <w:rPr>
          <w:rFonts w:ascii="Arial" w:hAnsi="Arial" w:cs="Arial"/>
          <w:b/>
          <w:bCs/>
        </w:rPr>
      </w:pPr>
      <w:r w:rsidRPr="00F222E9">
        <w:rPr>
          <w:rFonts w:ascii="Arial" w:hAnsi="Arial" w:cs="Arial"/>
          <w:b/>
          <w:bCs/>
          <w:noProof/>
          <w:lang w:eastAsia="en-US"/>
        </w:rPr>
        <mc:AlternateContent>
          <mc:Choice Requires="wps">
            <w:drawing>
              <wp:anchor distT="0" distB="0" distL="0" distR="0" simplePos="0" relativeHeight="251667456" behindDoc="0" locked="0" layoutInCell="1" allowOverlap="1" wp14:anchorId="7502A73F" wp14:editId="01D7064A">
                <wp:simplePos x="0" y="0"/>
                <wp:positionH relativeFrom="column">
                  <wp:posOffset>4171950</wp:posOffset>
                </wp:positionH>
                <wp:positionV relativeFrom="paragraph">
                  <wp:posOffset>365760</wp:posOffset>
                </wp:positionV>
                <wp:extent cx="676275" cy="352425"/>
                <wp:effectExtent l="0" t="0" r="28575" b="28575"/>
                <wp:wrapNone/>
                <wp:docPr id="10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138EDC5E"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wps:txbx>
                      <wps:bodyPr vert="horz" wrap="square" lIns="91440" tIns="45720" rIns="91440" bIns="45720" anchor="ctr">
                        <a:prstTxWarp prst="textNoShape">
                          <a:avLst/>
                        </a:prstTxWarp>
                        <a:noAutofit/>
                      </wps:bodyPr>
                    </wps:wsp>
                  </a:graphicData>
                </a:graphic>
              </wp:anchor>
            </w:drawing>
          </mc:Choice>
          <mc:Fallback>
            <w:pict>
              <v:rect w14:anchorId="7502A73F" id="Rectangle 9" o:spid="_x0000_s1026" style="position:absolute;left:0;text-align:left;margin-left:328.5pt;margin-top:28.8pt;width:53.25pt;height:27.75pt;z-index:2516674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GjJAIAAHQEAAAOAAAAZHJzL2Uyb0RvYy54bWysVE2P0zAQvSPxHyzfadLQD4iarhClCGm1&#10;rLSLOE8dp4lwbDN2m5Rfz9hJu2XhgBA5WJ7M5PnNe+OsbvpWsaNE1xhd8Okk5UxqYcpG7wv+5XH7&#10;6g1nzoMuQRktC36Sjt+sX75YdTaXmamNKiUyAtEu72zBa+9tniRO1LIFNzFWakpWBlvwFOI+KRE6&#10;Qm9VkqXpIukMlhaNkM7R282Q5OuIX1VS+M9V5aRnquDEzccV47oLa7JeQb5HsHUjRhrwDyxaaDQd&#10;eoHagAd2wOY3qLYRaJyp/ESYNjFV1QgZe6Bupumzbh5qsDL2QuI4e5HJ/T9YcXd8sPcYqDt7a8Q3&#10;R4oknXX5JRMCN9b0FbahloizPqp4uqgoe88EvVwsF9lyzpmg1Ot5NsvmQeUE8vPHFp3/KE3Lwqbg&#10;SCZF7eB46/xQei6JvIxqym2jVAxwv3uvkB2BDN3GZ0R312VKs67g2XyWkukCaLAqBZ62rS0L7vQ+&#10;HvjLJ+4aOY3Pn5ADsw24emAQEYYhQnPQZRynWkL5QZfMnyxNvKa554FNK0vOlKRrEnax0kOj/qaS&#10;xFN69GWwIpji+11PMGG7M+XpnlSRSILWBn/QiTTU1Or3AyCdrz5pmpq309ks3IIYzObLjAK8zuyu&#10;M6AFQRVceIxyhdYf+6+AdnTOk+V35jylkD8zcKgNrmnz7uBN1UR3n/iOHdFox/kYr2G4O9dxrHr6&#10;Wax/AgAA//8DAFBLAwQUAAYACAAAACEAOZynIOIAAAAKAQAADwAAAGRycy9kb3ducmV2LnhtbEyP&#10;QU7DMBBF90jcwRokNqh10pIEhThVC2JDWUDbAzjx4ATicRS7aejpa1awHM3T/+8Xq8l0bMTBtZYE&#10;xPMIGFJtVUtawGH/MnsA5rwkJTtLKOAHHazK66tC5sqe6APHndcshJDLpYDG+z7n3NUNGunmtkcK&#10;v087GOnDOWiuBnkK4abjiyhKuZEthYZG9vjUYP29OxoBm7fFfhvr57vz61lX2/tRb77e10Lc3kzr&#10;R2AeJ/8Hw69+UIcyOFX2SMqxTkCaZGGLF5BkKbAAZOkyAVYFMl7GwMuC/59QXgAAAP//AwBQSwEC&#10;LQAUAAYACAAAACEAtoM4kv4AAADhAQAAEwAAAAAAAAAAAAAAAAAAAAAAW0NvbnRlbnRfVHlwZXNd&#10;LnhtbFBLAQItABQABgAIAAAAIQA4/SH/1gAAAJQBAAALAAAAAAAAAAAAAAAAAC8BAABfcmVscy8u&#10;cmVsc1BLAQItABQABgAIAAAAIQCKmQGjJAIAAHQEAAAOAAAAAAAAAAAAAAAAAC4CAABkcnMvZTJv&#10;RG9jLnhtbFBLAQItABQABgAIAAAAIQA5nKcg4gAAAAoBAAAPAAAAAAAAAAAAAAAAAH4EAABkcnMv&#10;ZG93bnJldi54bWxQSwUGAAAAAAQABADzAAAAjQUAAAAA&#10;" strokeweight="2pt">
                <v:stroke joinstyle="round"/>
                <v:path arrowok="t"/>
                <v:textbox>
                  <w:txbxContent>
                    <w:p w14:paraId="138EDC5E"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59264" behindDoc="0" locked="0" layoutInCell="1" allowOverlap="1" wp14:anchorId="3118F5AA" wp14:editId="259537C1">
                <wp:simplePos x="0" y="0"/>
                <wp:positionH relativeFrom="column">
                  <wp:posOffset>57150</wp:posOffset>
                </wp:positionH>
                <wp:positionV relativeFrom="paragraph">
                  <wp:posOffset>280035</wp:posOffset>
                </wp:positionV>
                <wp:extent cx="676275" cy="352425"/>
                <wp:effectExtent l="0" t="0" r="28575" b="28575"/>
                <wp:wrapNone/>
                <wp:docPr id="10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65244E9B"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wps:txbx>
                      <wps:bodyPr vert="horz" wrap="square" lIns="91440" tIns="45720" rIns="91440" bIns="45720" anchor="ctr">
                        <a:prstTxWarp prst="textNoShape">
                          <a:avLst/>
                        </a:prstTxWarp>
                        <a:noAutofit/>
                      </wps:bodyPr>
                    </wps:wsp>
                  </a:graphicData>
                </a:graphic>
              </wp:anchor>
            </w:drawing>
          </mc:Choice>
          <mc:Fallback>
            <w:pict>
              <v:rect w14:anchorId="3118F5AA" id="Rectangle 1" o:spid="_x0000_s1027" style="position:absolute;left:0;text-align:left;margin-left:4.5pt;margin-top:22.05pt;width:53.25pt;height:27.75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Yw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ES3u7Aw/3aM4wqGujXE/8GCcbez4+wEc0lCfNA7P2+lsFi9DCmbzZYGB&#10;u87srjOgGUJVlAWXVIsKPPZfwdnRwIDO35nzsEL5zMehNpqnzbtDMLVMJj/xHRvDCU9jMt7GeIWu&#10;41T19M9Y/wQAAP//AwBQSwMEFAAGAAgAAAAhAGgsxqXfAAAABwEAAA8AAABkcnMvZG93bnJldi54&#10;bWxMj8FuwjAQRO+V+AdrK/VSgRMUUEnjIGjVC3BogQ9w4q2TEq+j2ITA19ec2uPOjGbeZsvBNKzH&#10;ztWWBMSTCBhSaVVNWsDx8DF+Aea8JCUbSyjgig6W+eghk6myF/rCfu81CyXkUimg8r5NOXdlhUa6&#10;iW2RgvdtOyN9ODvNVScvodw0fBpFc25kTWGhki2+VVie9mcjYL2bHraxfn++bW662Ca9Xv98roR4&#10;ehxWr8A8Dv4vDHf8gA55YCrsmZRjjYBF+MQLSJIY2N2OZzNgRdAXc+B5xv/z578AAAD//wMAUEsB&#10;Ai0AFAAGAAgAAAAhALaDOJL+AAAA4QEAABMAAAAAAAAAAAAAAAAAAAAAAFtDb250ZW50X1R5cGVz&#10;XS54bWxQSwECLQAUAAYACAAAACEAOP0h/9YAAACUAQAACwAAAAAAAAAAAAAAAAAvAQAAX3JlbHMv&#10;LnJlbHNQSwECLQAUAAYACAAAACEAlKAGMCgCAAB7BAAADgAAAAAAAAAAAAAAAAAuAgAAZHJzL2Uy&#10;b0RvYy54bWxQSwECLQAUAAYACAAAACEAaCzGpd8AAAAHAQAADwAAAAAAAAAAAAAAAACCBAAAZHJz&#10;L2Rvd25yZXYueG1sUEsFBgAAAAAEAAQA8wAAAI4FAAAAAA==&#10;" strokeweight="2pt">
                <v:stroke joinstyle="round"/>
                <v:path arrowok="t"/>
                <v:textbox>
                  <w:txbxContent>
                    <w:p w14:paraId="65244E9B"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9744" behindDoc="0" locked="0" layoutInCell="1" allowOverlap="1" wp14:anchorId="6888AC0C" wp14:editId="5E3D2665">
                <wp:simplePos x="0" y="0"/>
                <wp:positionH relativeFrom="column">
                  <wp:posOffset>2181225</wp:posOffset>
                </wp:positionH>
                <wp:positionV relativeFrom="paragraph">
                  <wp:posOffset>337185</wp:posOffset>
                </wp:positionV>
                <wp:extent cx="676275" cy="352425"/>
                <wp:effectExtent l="0" t="0" r="28575" b="28575"/>
                <wp:wrapNone/>
                <wp:docPr id="103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3E1164E3"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wps:txbx>
                      <wps:bodyPr vert="horz" wrap="square" lIns="91440" tIns="45720" rIns="91440" bIns="45720" anchor="ctr">
                        <a:prstTxWarp prst="textNoShape">
                          <a:avLst/>
                        </a:prstTxWarp>
                        <a:noAutofit/>
                      </wps:bodyPr>
                    </wps:wsp>
                  </a:graphicData>
                </a:graphic>
              </wp:anchor>
            </w:drawing>
          </mc:Choice>
          <mc:Fallback>
            <w:pict>
              <v:rect w14:anchorId="6888AC0C" id="Rectangle 21" o:spid="_x0000_s1028" style="position:absolute;left:0;text-align:left;margin-left:171.75pt;margin-top:26.55pt;width:53.25pt;height:27.75pt;z-index:2516797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9B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KiBZ3doaf7lEc4VDXxrgfeDDONnb8/QAOaahPGofn7XQ2i5chBbP5ssDA&#10;XWd21xnQDKEqyoJLqkUFHvuv4OxoYEDn78x5WKF85uNQG83T5t0hmFomk5/4jo3hhKcxGW9jvELX&#10;cap6+mesfwIAAP//AwBQSwMEFAAGAAgAAAAhABVaVZvhAAAACgEAAA8AAABkcnMvZG93bnJldi54&#10;bWxMj0FOwzAQRfdI3MEaJDaIOmmSqkrjVC2IDe0C2h7AiQcnENtR7Kahp2dYwXI0T/+/X6wn07ER&#10;B986KyCeRcDQ1k61Vgs4HV8el8B8kFbJzlkU8I0e1uXtTSFz5S72HcdD0IxCrM+lgCaEPufc1w0a&#10;6WeuR0u/DzcYGegcNFeDvFC46fg8ihbcyNZSQyN7fGqw/jqcjYDtfn7cxfr54fp61dUuHfX2820j&#10;xP3dtFkBCziFPxh+9UkdSnKq3NkqzzoBSZpkhArIkhgYAWkW0biKyGi5AF4W/P+E8gcAAP//AwBQ&#10;SwECLQAUAAYACAAAACEAtoM4kv4AAADhAQAAEwAAAAAAAAAAAAAAAAAAAAAAW0NvbnRlbnRfVHlw&#10;ZXNdLnhtbFBLAQItABQABgAIAAAAIQA4/SH/1gAAAJQBAAALAAAAAAAAAAAAAAAAAC8BAABfcmVs&#10;cy8ucmVsc1BLAQItABQABgAIAAAAIQDRVd9BKAIAAHsEAAAOAAAAAAAAAAAAAAAAAC4CAABkcnMv&#10;ZTJvRG9jLnhtbFBLAQItABQABgAIAAAAIQAVWlWb4QAAAAoBAAAPAAAAAAAAAAAAAAAAAIIEAABk&#10;cnMvZG93bnJldi54bWxQSwUGAAAAAAQABADzAAAAkAUAAAAA&#10;" strokeweight="2pt">
                <v:stroke joinstyle="round"/>
                <v:path arrowok="t"/>
                <v:textbox>
                  <w:txbxContent>
                    <w:p w14:paraId="3E1164E3"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v:textbox>
              </v:rect>
            </w:pict>
          </mc:Fallback>
        </mc:AlternateContent>
      </w:r>
      <w:r w:rsidR="00057160" w:rsidRPr="00F222E9">
        <w:rPr>
          <w:rFonts w:ascii="Arial" w:hAnsi="Arial" w:cs="Arial"/>
          <w:b/>
          <w:bCs/>
        </w:rPr>
        <w:t xml:space="preserve">    </w:t>
      </w:r>
      <w:r w:rsidRPr="00F222E9">
        <w:rPr>
          <w:rFonts w:ascii="Arial" w:hAnsi="Arial" w:cs="Arial"/>
          <w:b/>
          <w:bCs/>
        </w:rPr>
        <w:t xml:space="preserve">REP 1                                     </w:t>
      </w:r>
      <w:r w:rsidR="00057160" w:rsidRPr="00F222E9">
        <w:rPr>
          <w:rFonts w:ascii="Arial" w:hAnsi="Arial" w:cs="Arial"/>
          <w:b/>
          <w:bCs/>
        </w:rPr>
        <w:t xml:space="preserve">         </w:t>
      </w:r>
      <w:r w:rsidRPr="00F222E9">
        <w:rPr>
          <w:rFonts w:ascii="Arial" w:hAnsi="Arial" w:cs="Arial"/>
          <w:b/>
          <w:bCs/>
        </w:rPr>
        <w:t xml:space="preserve">REP 2                                 </w:t>
      </w:r>
      <w:r w:rsidR="00057160" w:rsidRPr="00F222E9">
        <w:rPr>
          <w:rFonts w:ascii="Arial" w:hAnsi="Arial" w:cs="Arial"/>
          <w:b/>
          <w:bCs/>
        </w:rPr>
        <w:t xml:space="preserve">     </w:t>
      </w:r>
      <w:r w:rsidRPr="00F222E9">
        <w:rPr>
          <w:rFonts w:ascii="Arial" w:hAnsi="Arial" w:cs="Arial"/>
          <w:b/>
          <w:bCs/>
        </w:rPr>
        <w:t>REP 3</w:t>
      </w:r>
    </w:p>
    <w:p w14:paraId="5C8DAFB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b/>
          <w:bCs/>
          <w:noProof/>
          <w:lang w:eastAsia="en-US"/>
        </w:rPr>
        <mc:AlternateContent>
          <mc:Choice Requires="wps">
            <w:drawing>
              <wp:anchor distT="0" distB="0" distL="0" distR="0" simplePos="0" relativeHeight="251666432" behindDoc="0" locked="0" layoutInCell="1" allowOverlap="1" wp14:anchorId="6AF6C8F4" wp14:editId="188837CC">
                <wp:simplePos x="0" y="0"/>
                <wp:positionH relativeFrom="column">
                  <wp:posOffset>4171950</wp:posOffset>
                </wp:positionH>
                <wp:positionV relativeFrom="paragraph">
                  <wp:posOffset>302895</wp:posOffset>
                </wp:positionV>
                <wp:extent cx="676275" cy="352424"/>
                <wp:effectExtent l="0" t="0" r="28575" b="28575"/>
                <wp:wrapNone/>
                <wp:docPr id="10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4"/>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1E15F171"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wps:txbx>
                      <wps:bodyPr vert="horz" wrap="square" lIns="91440" tIns="45720" rIns="91440" bIns="45720" anchor="ctr">
                        <a:prstTxWarp prst="textNoShape">
                          <a:avLst/>
                        </a:prstTxWarp>
                        <a:noAutofit/>
                      </wps:bodyPr>
                    </wps:wsp>
                  </a:graphicData>
                </a:graphic>
              </wp:anchor>
            </w:drawing>
          </mc:Choice>
          <mc:Fallback>
            <w:pict>
              <v:rect w14:anchorId="6AF6C8F4" id="Rectangle 8" o:spid="_x0000_s1029" style="position:absolute;left:0;text-align:left;margin-left:328.5pt;margin-top:23.85pt;width:53.25pt;height:27.75pt;z-index:2516664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9nrKQIAAHsEAAAOAAAAZHJzL2Uyb0RvYy54bWysVMGO0zAQvSPxD5bvNGm27ULUdIUoRUir&#10;3ZV2Eeep7TQWjm1st0n5esZO2i0LB4TIwcp4Js9v3htnedO3ihyE89Loik4nOSVCM8Ol3lX0y9Pm&#10;zVtKfADNQRktKnoUnt6sXr9adrYUhWmM4sIRBNG+7GxFmxBsmWWeNaIFPzFWaEzWxrUQMHS7jDvo&#10;EL1VWZHni6wzjltnmPAed9dDkq4Sfl0LFu7r2otAVEWRW0irS+s2rtlqCeXOgW0kG2nAP7BoQWo8&#10;9Ay1hgBk7+RvUK1kznhThwkzbWbqWjKResBupvmLbh4bsCL1guJ4e5bJ/z9Ydnd4tA8uUvf21rBv&#10;HhXJOuvLcyYGfqzpa9fGWiRO+qTi8ayi6ANhuLm4XhTXc0oYpq7mxayYRZUzKE8fW+fDJ2FaEl8q&#10;6tCkpB0cbn0YSk8liZdRkm+kUilwu+0H5cgB0NBNekZ0f1mmNOkqWsxnOZrOAAerVhDwtbW8ol7v&#10;0oG/fOIvkfP0/Ak5MluDbwYGCWEYImf2mqdxagTwj5qTcLQ48RrnnkY2reCUKIHXJL6lygBS/U0l&#10;iqf06MtgRTQl9NueSOznKqLFna3hxwcURzjUtTHuBx6Ms40df9+DQxrqs8bheTedzeJlSMFsfl1g&#10;4C4z28sMaIZQFWXBJdWiAk/9V3B2NDCg83fmNKxQvvBxqI3mafN+H0wtk8nPfMfGcMLTmIy3MV6h&#10;yzhVPf8zVj8BAAD//wMAUEsDBBQABgAIAAAAIQC4hVLS4gAAAAoBAAAPAAAAZHJzL2Rvd25yZXYu&#10;eG1sTI9BTsMwEEX3SNzBGiQ2iDpN2wSFOFULYkNZQMsBnGRwAvE4it009PQMK1iO5un/9/P1ZDsx&#10;4uBbRwrmswgEUuXqloyC98PT7R0IHzTVunOECr7Rw7q4vMh1VrsTveG4D0ZwCPlMK2hC6DMpfdWg&#10;1X7meiT+fbjB6sDnYGQ96BOH207GUZRIq1vihkb3+NBg9bU/WgXbl/iwm5vHm/Pz2ZS75Wi2n68b&#10;pa6vps09iIBT+IPhV5/VoWCn0h2p9qJTkKxS3hIULNMUBANpsliBKJmMFjHIIpf/JxQ/AAAA//8D&#10;AFBLAQItABQABgAIAAAAIQC2gziS/gAAAOEBAAATAAAAAAAAAAAAAAAAAAAAAABbQ29udGVudF9U&#10;eXBlc10ueG1sUEsBAi0AFAAGAAgAAAAhADj9If/WAAAAlAEAAAsAAAAAAAAAAAAAAAAALwEAAF9y&#10;ZWxzLy5yZWxzUEsBAi0AFAAGAAgAAAAhALoL2espAgAAewQAAA4AAAAAAAAAAAAAAAAALgIAAGRy&#10;cy9lMm9Eb2MueG1sUEsBAi0AFAAGAAgAAAAhALiFUtLiAAAACgEAAA8AAAAAAAAAAAAAAAAAgwQA&#10;AGRycy9kb3ducmV2LnhtbFBLBQYAAAAABAAEAPMAAACSBQAAAAA=&#10;" strokeweight="2pt">
                <v:stroke joinstyle="round"/>
                <v:path arrowok="t"/>
                <v:textbox>
                  <w:txbxContent>
                    <w:p w14:paraId="1E15F171"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60288" behindDoc="0" locked="0" layoutInCell="1" allowOverlap="1" wp14:anchorId="3CD14A07" wp14:editId="4411BBDE">
                <wp:simplePos x="0" y="0"/>
                <wp:positionH relativeFrom="column">
                  <wp:posOffset>57150</wp:posOffset>
                </wp:positionH>
                <wp:positionV relativeFrom="paragraph">
                  <wp:posOffset>217170</wp:posOffset>
                </wp:positionV>
                <wp:extent cx="676275" cy="352424"/>
                <wp:effectExtent l="0" t="0" r="28575" b="28575"/>
                <wp:wrapNone/>
                <wp:docPr id="10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4"/>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7EF7FE9B"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wps:txbx>
                      <wps:bodyPr vert="horz" wrap="square" lIns="91440" tIns="45720" rIns="91440" bIns="45720" anchor="ctr">
                        <a:prstTxWarp prst="textNoShape">
                          <a:avLst/>
                        </a:prstTxWarp>
                        <a:noAutofit/>
                      </wps:bodyPr>
                    </wps:wsp>
                  </a:graphicData>
                </a:graphic>
              </wp:anchor>
            </w:drawing>
          </mc:Choice>
          <mc:Fallback>
            <w:pict>
              <v:rect w14:anchorId="3CD14A07" id="Rectangle 2" o:spid="_x0000_s1030" style="position:absolute;left:0;text-align:left;margin-left:4.5pt;margin-top:17.1pt;width:53.25pt;height:27.75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In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ZVDmD8vyxdT58FKYl8aWi&#10;Dk1K2sHx1oeh9FySeBkl+VYqlQK3371XjhwBDd2mZ0T312VKk66ixXyWo+kMcLBqBQFfW8sr6vU+&#10;HfjLJ/4aOU/Pn5Ajsw34ZmCQEIYhcuageRqnRgD/oDkJJ4sTr3HuaWTTCk6JEnhN4luqDCDV31Si&#10;eEqPvgxWRFNCv+uJxH6SwHFnZ/jpHsURDnVtjPuBB+NsY8ffD+CQhvqkcXjeTmezeBlSMJsvCwzc&#10;dWZ3nQHNEKqiLLikWlTgsf8Kzo4GBnT+zpyHFcpnPg610Txt3h2CqWUy+Ynv2BhOeBqT8TbGK3Qd&#10;p6qnf8b6JwAAAP//AwBQSwMEFAAGAAgAAAAhAHypRp/fAAAABwEAAA8AAABkcnMvZG93bnJldi54&#10;bWxMj8FOwzAQRO9I/IO1SFwQdRJaaEM2VQviQjlAywc4yeIE4nUUu2no19c9wXE0o5k32XI0rRio&#10;d41lhHgSgSAubdWwRvjcvdzOQTivuFKtZUL4JQfL/PIiU2llD/xBw9ZrEUrYpQqh9r5LpXRlTUa5&#10;ie2Ig/dle6N8kL2WVa8Oody0Momie2lUw2GhVh091VT+bPcGYf2W7Daxfr45vh51sZkOev39vkK8&#10;vhpXjyA8jf4vDGf8gA55YCrsnisnWoRFeOIR7qYJiLMdz2YgCoT54gFknsn//PkJAAD//wMAUEsB&#10;Ai0AFAAGAAgAAAAhALaDOJL+AAAA4QEAABMAAAAAAAAAAAAAAAAAAAAAAFtDb250ZW50X1R5cGVz&#10;XS54bWxQSwECLQAUAAYACAAAACEAOP0h/9YAAACUAQAACwAAAAAAAAAAAAAAAAAvAQAAX3JlbHMv&#10;LnJlbHNQSwECLQAUAAYACAAAACEA800iJygCAAB7BAAADgAAAAAAAAAAAAAAAAAuAgAAZHJzL2Uy&#10;b0RvYy54bWxQSwECLQAUAAYACAAAACEAfKlGn98AAAAHAQAADwAAAAAAAAAAAAAAAACCBAAAZHJz&#10;L2Rvd25yZXYueG1sUEsFBgAAAAAEAAQA8wAAAI4FAAAAAA==&#10;" strokeweight="2pt">
                <v:stroke joinstyle="round"/>
                <v:path arrowok="t"/>
                <v:textbox>
                  <w:txbxContent>
                    <w:p w14:paraId="7EF7FE9B"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8720" behindDoc="0" locked="0" layoutInCell="1" allowOverlap="1" wp14:anchorId="77611EDE" wp14:editId="63EA2814">
                <wp:simplePos x="0" y="0"/>
                <wp:positionH relativeFrom="column">
                  <wp:posOffset>2181225</wp:posOffset>
                </wp:positionH>
                <wp:positionV relativeFrom="paragraph">
                  <wp:posOffset>274320</wp:posOffset>
                </wp:positionV>
                <wp:extent cx="676275" cy="352424"/>
                <wp:effectExtent l="0" t="0" r="28575" b="28575"/>
                <wp:wrapNone/>
                <wp:docPr id="103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4"/>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1E30D539"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wps:txbx>
                      <wps:bodyPr vert="horz" wrap="square" lIns="91440" tIns="45720" rIns="91440" bIns="45720" anchor="ctr">
                        <a:prstTxWarp prst="textNoShape">
                          <a:avLst/>
                        </a:prstTxWarp>
                        <a:noAutofit/>
                      </wps:bodyPr>
                    </wps:wsp>
                  </a:graphicData>
                </a:graphic>
              </wp:anchor>
            </w:drawing>
          </mc:Choice>
          <mc:Fallback>
            <w:pict>
              <v:rect w14:anchorId="77611EDE" id="Rectangle 20" o:spid="_x0000_s1031" style="position:absolute;left:0;text-align:left;margin-left:171.75pt;margin-top:21.6pt;width:53.25pt;height:27.75pt;z-index:2516787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WoI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ZVDmD8vyxdT58FKYl8aWi&#10;Dk1K2sHx1oeh9FySeBkl+VYqlQK3371XjhwBDd2mZ0T312VKk66ixXyWo+kMcLBqBQFfW8sr6vU+&#10;HfjLJ/4aOU/Pn5Ajsw34ZmCQEIYhcuageRqnRgD/oDkJJ4sTr3HuaWTTCk6JEnhN4luqDCDV31Si&#10;eEqPvgxWRFNCv+uJxH7mES3u7Aw/3aM4wqGujXE/8GCcbez4+wEc0lCfNA7P2+lsFi9DCmbzZYGB&#10;u87srjOgGUJVlAWXVIsKPPZfwdnRwIDO35nzsEL5zMehNpqnzbtDMLVMJj/xHRvDCU9jMt7GeIWu&#10;41T19M9Y/wQAAP//AwBQSwMEFAAGAAgAAAAhAIQjj8XhAAAACQEAAA8AAABkcnMvZG93bnJldi54&#10;bWxMj0FOwzAQRfdI3MEaJDaIOk1SKCGTqgWxoSyg5QBOYpxAPI5iNw09PcMKlqN5+v/9fDXZTox6&#10;8K0jhPksAqGpcnVLBuF9/3S9BOGDolp1jjTCt/awKs7PcpXV7khvetwFIziEfKYQmhD6TEpfNdoq&#10;P3O9Jv59uMGqwOdgZD2oI4fbTsZRdCOtaokbGtXrh0ZXX7uDRdi8xPvt3DxenZ5Pptymo9l8vq4R&#10;Ly+m9T2IoKfwB8OvPqtDwU6lO1DtRYeQpMmCUYQ0iUEwkC4iHlci3C1vQRa5/L+g+AEAAP//AwBQ&#10;SwECLQAUAAYACAAAACEAtoM4kv4AAADhAQAAEwAAAAAAAAAAAAAAAAAAAAAAW0NvbnRlbnRfVHlw&#10;ZXNdLnhtbFBLAQItABQABgAIAAAAIQA4/SH/1gAAAJQBAAALAAAAAAAAAAAAAAAAAC8BAABfcmVs&#10;cy8ucmVsc1BLAQItABQABgAIAAAAIQAw4WoIKAIAAHsEAAAOAAAAAAAAAAAAAAAAAC4CAABkcnMv&#10;ZTJvRG9jLnhtbFBLAQItABQABgAIAAAAIQCEI4/F4QAAAAkBAAAPAAAAAAAAAAAAAAAAAIIEAABk&#10;cnMvZG93bnJldi54bWxQSwUGAAAAAAQABADzAAAAkAUAAAAA&#10;" strokeweight="2pt">
                <v:stroke joinstyle="round"/>
                <v:path arrowok="t"/>
                <v:textbox>
                  <w:txbxContent>
                    <w:p w14:paraId="1E30D539"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v:textbox>
              </v:rect>
            </w:pict>
          </mc:Fallback>
        </mc:AlternateContent>
      </w:r>
    </w:p>
    <w:p w14:paraId="429B843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b/>
          <w:bCs/>
          <w:noProof/>
          <w:lang w:eastAsia="en-US"/>
        </w:rPr>
        <mc:AlternateContent>
          <mc:Choice Requires="wps">
            <w:drawing>
              <wp:anchor distT="0" distB="0" distL="0" distR="0" simplePos="0" relativeHeight="251665408" behindDoc="0" locked="0" layoutInCell="1" allowOverlap="1" wp14:anchorId="291063CE" wp14:editId="74D195D2">
                <wp:simplePos x="0" y="0"/>
                <wp:positionH relativeFrom="column">
                  <wp:posOffset>4171950</wp:posOffset>
                </wp:positionH>
                <wp:positionV relativeFrom="paragraph">
                  <wp:posOffset>249555</wp:posOffset>
                </wp:positionV>
                <wp:extent cx="676275" cy="352425"/>
                <wp:effectExtent l="0" t="0" r="28575" b="28575"/>
                <wp:wrapNone/>
                <wp:docPr id="10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7666AED"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wps:txbx>
                      <wps:bodyPr vert="horz" wrap="square" lIns="91440" tIns="45720" rIns="91440" bIns="45720" anchor="ctr">
                        <a:prstTxWarp prst="textNoShape">
                          <a:avLst/>
                        </a:prstTxWarp>
                        <a:noAutofit/>
                      </wps:bodyPr>
                    </wps:wsp>
                  </a:graphicData>
                </a:graphic>
              </wp:anchor>
            </w:drawing>
          </mc:Choice>
          <mc:Fallback>
            <w:pict>
              <v:rect w14:anchorId="291063CE" id="Rectangle 7" o:spid="_x0000_s1032" style="position:absolute;left:0;text-align:left;margin-left:328.5pt;margin-top:19.65pt;width:53.25pt;height:27.75pt;z-index:2516654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38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4WES3u7Aw/3aM4wqGujXE/8GCcbez4+wEc0lCfNA7P2+lsFi9DCmbzZYGB&#10;u87srjOgGUJVlAWXVIsKPPZfwdnRwIDO35nzsEL5zMehNpqnzbtDMLVMJj/xHRvDCU9jMt7GeIWu&#10;41T19M9Y/wQAAP//AwBQSwMEFAAGAAgAAAAhAHTU5TXjAAAACQEAAA8AAABkcnMvZG93bnJldi54&#10;bWxMj81OwzAQhO9IvIO1SFwQddq0aRuyqVoQl5YD/XkAJ16cQGxHsZuGPj3mBMfRjGa+yVaDblhP&#10;nautQRiPImBkSitroxBOx9fHBTDnhZGisYYQvsnBKr+9yUQq7cXsqT94xUKJcalAqLxvU85dWZEW&#10;bmRbMsH7sJ0WPshOcdmJSyjXDZ9EUcK1qE1YqERLzxWVX4ezRti8TY67sXp5uG6vqthNe7X5fF8j&#10;3t8N6ydgngb/F4Zf/IAOeWAq7NlIxxqEZDYPXzxCvIyBhcA8iWfACoTldAE8z/j/B/kPAAAA//8D&#10;AFBLAQItABQABgAIAAAAIQC2gziS/gAAAOEBAAATAAAAAAAAAAAAAAAAAAAAAABbQ29udGVudF9U&#10;eXBlc10ueG1sUEsBAi0AFAAGAAgAAAAhADj9If/WAAAAlAEAAAsAAAAAAAAAAAAAAAAALwEAAF9y&#10;ZWxzLy5yZWxzUEsBAi0AFAAGAAgAAAAhAN3m/fwoAgAAewQAAA4AAAAAAAAAAAAAAAAALgIAAGRy&#10;cy9lMm9Eb2MueG1sUEsBAi0AFAAGAAgAAAAhAHTU5TXjAAAACQEAAA8AAAAAAAAAAAAAAAAAggQA&#10;AGRycy9kb3ducmV2LnhtbFBLBQYAAAAABAAEAPMAAACSBQAAAAA=&#10;" strokeweight="2pt">
                <v:stroke joinstyle="round"/>
                <v:path arrowok="t"/>
                <v:textbox>
                  <w:txbxContent>
                    <w:p w14:paraId="47666AED" w14:textId="77777777" w:rsidR="004B421D" w:rsidRDefault="004B421D" w:rsidP="004B421D">
                      <w:pPr>
                        <w:jc w:val="center"/>
                        <w:rPr>
                          <w:rFonts w:ascii="Times New Roman" w:hAnsi="Times New Roman"/>
                          <w:sz w:val="28"/>
                          <w:szCs w:val="28"/>
                        </w:rPr>
                      </w:pPr>
                      <w:r>
                        <w:rPr>
                          <w:rFonts w:ascii="Times New Roman" w:hAnsi="Times New Roman"/>
                          <w:sz w:val="28"/>
                          <w:szCs w:val="28"/>
                        </w:rPr>
                        <w:t>T3</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68480" behindDoc="0" locked="0" layoutInCell="1" allowOverlap="1" wp14:anchorId="276D9E24" wp14:editId="33588081">
                <wp:simplePos x="0" y="0"/>
                <wp:positionH relativeFrom="column">
                  <wp:posOffset>57150</wp:posOffset>
                </wp:positionH>
                <wp:positionV relativeFrom="paragraph">
                  <wp:posOffset>182880</wp:posOffset>
                </wp:positionV>
                <wp:extent cx="676275" cy="352425"/>
                <wp:effectExtent l="0" t="0" r="28575" b="28575"/>
                <wp:wrapNone/>
                <wp:docPr id="104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69788029"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wps:txbx>
                      <wps:bodyPr vert="horz" wrap="square" lIns="91440" tIns="45720" rIns="91440" bIns="45720" anchor="ctr">
                        <a:prstTxWarp prst="textNoShape">
                          <a:avLst/>
                        </a:prstTxWarp>
                        <a:noAutofit/>
                      </wps:bodyPr>
                    </wps:wsp>
                  </a:graphicData>
                </a:graphic>
              </wp:anchor>
            </w:drawing>
          </mc:Choice>
          <mc:Fallback>
            <w:pict>
              <v:rect w14:anchorId="276D9E24" id="Rectangle 10" o:spid="_x0000_s1033" style="position:absolute;left:0;text-align:left;margin-left:4.5pt;margin-top:14.4pt;width:53.25pt;height:27.75pt;z-index:2516684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XTKAIAAHs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WES3u7Aw/3aM4wqGujXE/8GCcbez4+wEc0lCfNA7P2+lsFi9DCmbzZYGB&#10;u87srjOgGUJVlAWXVIsKPPZfwdnRwIDO35nzsEL5zMehNpqnzbtDMLVMJj/xHRvDCU9jMt7GeIWu&#10;41T19M9Y/wQAAP//AwBQSwMEFAAGAAgAAAAhAFW6Mn7fAAAABwEAAA8AAABkcnMvZG93bnJldi54&#10;bWxMj8FOwzAQRO9I/IO1SFwQdRJaFEI2VQviQjlAywc4yeIE4nUUu2no19c9wXE0o5k3+XIynRhp&#10;cK1lhHgWgSCubN2yRvjcvdymIJxXXKvOMiH8koNlcXmRq6y2B/6gceu1CCXsMoXQeN9nUrqqIaPc&#10;zPbEwfuyg1E+yEHLelCHUG46mUTRvTSq5bDQqJ6eGqp+tnuDsH5LdptYP98cX4+63MxHvf5+XyFe&#10;X02rRxCeJv8XhjN+QIciMJV2z7UTHcJDeOIRkjQcONvxYgGiREjndyCLXP7nL04AAAD//wMAUEsB&#10;Ai0AFAAGAAgAAAAhALaDOJL+AAAA4QEAABMAAAAAAAAAAAAAAAAAAAAAAFtDb250ZW50X1R5cGVz&#10;XS54bWxQSwECLQAUAAYACAAAACEAOP0h/9YAAACUAQAACwAAAAAAAAAAAAAAAAAvAQAAX3JlbHMv&#10;LnJlbHNQSwECLQAUAAYACAAAACEAHkq10ygCAAB7BAAADgAAAAAAAAAAAAAAAAAuAgAAZHJzL2Uy&#10;b0RvYy54bWxQSwECLQAUAAYACAAAACEAVboyft8AAAAHAQAADwAAAAAAAAAAAAAAAACCBAAAZHJz&#10;L2Rvd25yZXYueG1sUEsFBgAAAAAEAAQA8wAAAI4FAAAAAA==&#10;" strokeweight="2pt">
                <v:stroke joinstyle="round"/>
                <v:path arrowok="t"/>
                <v:textbox>
                  <w:txbxContent>
                    <w:p w14:paraId="69788029"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7696" behindDoc="0" locked="0" layoutInCell="1" allowOverlap="1" wp14:anchorId="65469BE5" wp14:editId="60D78186">
                <wp:simplePos x="0" y="0"/>
                <wp:positionH relativeFrom="column">
                  <wp:posOffset>2181225</wp:posOffset>
                </wp:positionH>
                <wp:positionV relativeFrom="paragraph">
                  <wp:posOffset>230505</wp:posOffset>
                </wp:positionV>
                <wp:extent cx="676275" cy="352425"/>
                <wp:effectExtent l="0" t="0" r="28575" b="28575"/>
                <wp:wrapNone/>
                <wp:docPr id="10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DC7EB75"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wps:txbx>
                      <wps:bodyPr vert="horz" wrap="square" lIns="91440" tIns="45720" rIns="91440" bIns="45720" anchor="ctr">
                        <a:prstTxWarp prst="textNoShape">
                          <a:avLst/>
                        </a:prstTxWarp>
                        <a:noAutofit/>
                      </wps:bodyPr>
                    </wps:wsp>
                  </a:graphicData>
                </a:graphic>
              </wp:anchor>
            </w:drawing>
          </mc:Choice>
          <mc:Fallback>
            <w:pict>
              <v:rect w14:anchorId="65469BE5" id="Rectangle 19" o:spid="_x0000_s1034" style="position:absolute;left:0;text-align:left;margin-left:171.75pt;margin-top:18.15pt;width:53.25pt;height:27.75pt;z-index:2516776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q+KQIAAHsEAAAOAAAAZHJzL2Uyb0RvYy54bWysVMGO0zAQvSPxD5bvNGlou0vUdIUoRUir&#10;3ZV2Eeep7TQWjm1st0n5esZO2i0LB4TIwcp4Js9v3htnedO3ihyE89Loik4nOSVCM8Ol3lX0y9Pm&#10;zTUlPoDmoIwWFT0KT29Wr18tO1uKwjRGceEIgmhfdraiTQi2zDLPGtGCnxgrNCZr41oIGLpdxh10&#10;iN6qrMjzRdYZx60zTHiPu+shSVcJv64FC/d17UUgqqLILaTVpXUb12y1hHLnwDaSjTTgH1i0IDUe&#10;eoZaQwCyd/I3qFYyZ7ypw4SZNjN1LZlIPWA30/xFN48NWJF6QXG8Pcvk/x8suzs82gcXqXt7a9g3&#10;j4pknfXlORMDP9b0tWtjLRInfVLxeFZR9IEw3FxcLYqrOSUMU2/nxayYR5UzKE8fW+fDJ2FaEl8q&#10;6tCkpB0cbn0YSk8liZdRkm+kUilwu+0H5cgB0NBNekZ0f1mmNOkqWsxnOZrOAAerVhDwtbW8ol7v&#10;0oG/fOIvkfP0/Ak5MluDbwYGCWEYImf2mqdxagTwj5qTcLQ48RrnnkY2reCUKIHXJL6lygBS/U0l&#10;iqf06MtgRTQl9NueSOznOqLFna3hxwcURzjUtTHuBx6Ms40df9+DQxrqs8bheTedzeJlSMFsflVg&#10;4C4z28sMaIZQFWXBJdWiAk/9V3B2NDCg83fmNKxQvvBxqI3mafN+H0wtk8nPfMfGcMLTmIy3MV6h&#10;yzhVPf8zVj8BAAD//wMAUEsDBBQABgAIAAAAIQCnMCcT4QAAAAkBAAAPAAAAZHJzL2Rvd25yZXYu&#10;eG1sTI/BTsMwDIbvSLxDZCQuiKVdu2mUptMG4sI4wMYDpK1JC41TNVlX9vSYE9xs+dPv78/Xk+3E&#10;iINvHSmIZxEIpMrVLRkF74en2xUIHzTVunOECr7Rw7q4vMh1VrsTveG4D0ZwCPlMK2hC6DMpfdWg&#10;1X7meiS+fbjB6sDrYGQ96BOH207Oo2gprW6JPzS6x4cGq6/90SrYvswPu9g83pyfz6bcpaPZfr5u&#10;lLq+mjb3IAJO4Q+GX31Wh4KdSnek2otOQZImC0Z5WCYgGEgXEZcrFdzFK5BFLv83KH4AAAD//wMA&#10;UEsBAi0AFAAGAAgAAAAhALaDOJL+AAAA4QEAABMAAAAAAAAAAAAAAAAAAAAAAFtDb250ZW50X1R5&#10;cGVzXS54bWxQSwECLQAUAAYACAAAACEAOP0h/9YAAACUAQAACwAAAAAAAAAAAAAAAAAvAQAAX3Jl&#10;bHMvLnJlbHNQSwECLQAUAAYACAAAACEADmx6vikCAAB7BAAADgAAAAAAAAAAAAAAAAAuAgAAZHJz&#10;L2Uyb0RvYy54bWxQSwECLQAUAAYACAAAACEApzAnE+EAAAAJAQAADwAAAAAAAAAAAAAAAACDBAAA&#10;ZHJzL2Rvd25yZXYueG1sUEsFBgAAAAAEAAQA8wAAAJEFAAAAAA==&#10;" strokeweight="2pt">
                <v:stroke joinstyle="round"/>
                <v:path arrowok="t"/>
                <v:textbox>
                  <w:txbxContent>
                    <w:p w14:paraId="0DC7EB75"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v:textbox>
              </v:rect>
            </w:pict>
          </mc:Fallback>
        </mc:AlternateContent>
      </w:r>
    </w:p>
    <w:p w14:paraId="632CA977"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b/>
          <w:bCs/>
          <w:noProof/>
          <w:lang w:eastAsia="en-US"/>
        </w:rPr>
        <mc:AlternateContent>
          <mc:Choice Requires="wps">
            <w:drawing>
              <wp:anchor distT="0" distB="0" distL="0" distR="0" simplePos="0" relativeHeight="251664384" behindDoc="0" locked="0" layoutInCell="1" allowOverlap="1" wp14:anchorId="4690C9A5" wp14:editId="3B94A239">
                <wp:simplePos x="0" y="0"/>
                <wp:positionH relativeFrom="column">
                  <wp:posOffset>4171950</wp:posOffset>
                </wp:positionH>
                <wp:positionV relativeFrom="paragraph">
                  <wp:posOffset>196215</wp:posOffset>
                </wp:positionV>
                <wp:extent cx="676275" cy="352425"/>
                <wp:effectExtent l="0" t="0" r="28575" b="28575"/>
                <wp:wrapNone/>
                <wp:docPr id="10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31A87DE2"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wps:txbx>
                      <wps:bodyPr vert="horz" wrap="square" lIns="91440" tIns="45720" rIns="91440" bIns="45720" anchor="ctr">
                        <a:prstTxWarp prst="textNoShape">
                          <a:avLst/>
                        </a:prstTxWarp>
                        <a:noAutofit/>
                      </wps:bodyPr>
                    </wps:wsp>
                  </a:graphicData>
                </a:graphic>
              </wp:anchor>
            </w:drawing>
          </mc:Choice>
          <mc:Fallback>
            <w:pict>
              <v:rect w14:anchorId="4690C9A5" id="Rectangle 6" o:spid="_x0000_s1035" style="position:absolute;left:0;text-align:left;margin-left:328.5pt;margin-top:15.45pt;width:53.25pt;height:27.75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KRKQIAAHsEAAAOAAAAZHJzL2Uyb0RvYy54bWysVMGO0zAQvSPxD5bvNGlou2zUdIUoRUir&#10;3ZV2Eeep7TQWjm1st0n5esZO2i0LB4TIwcp4Js9v3htnedO3ihyE89Loik4nOSVCM8Ol3lX0y9Pm&#10;zTtKfADNQRktKnoUnt6sXr9adrYUhWmM4sIRBNG+7GxFmxBsmWWeNaIFPzFWaEzWxrUQMHS7jDvo&#10;EL1VWZHni6wzjltnmPAed9dDkq4Sfl0LFu7r2otAVEWRW0irS+s2rtlqCeXOgW0kG2nAP7BoQWo8&#10;9Ay1hgBk7+RvUK1kznhThwkzbWbqWjKResBupvmLbh4bsCL1guJ4e5bJ/z9Ydnd4tA8uUvf21rBv&#10;HhXJOuvLcyYGfqzpa9fGWiRO+qTi8ayi6ANhuLm4WhRXc0oYpt7Oi1kxjypnUJ4+ts6HT8K0JL5U&#10;1KFJSTs43PowlJ5KEi+jJN9IpVLgdtsPypEDoKGb9Izo/rJMadJVtJjPcjSdAQ5WrSDga2t5Rb3e&#10;pQN/+cRfIufp+RNyZLYG3wwMEsIwRM7sNU/j1AjgHzUn4Whx4jXOPY1sWsEpUQKvSXxLlQGk+ptK&#10;FE/p0ZfBimhK6Lc9kdjPdUSLO1vDjw8ojnCoa2PcDzwYZxs7/r4HhzTUZ43Dcz2dzeJlSMFsflVg&#10;4C4z28sMaIZQFWXBJdWiAk/9V3B2NDCg83fmNKxQvvBxqI3mafN+H0wtk8nPfMfGcMLTmIy3MV6h&#10;yzhVPf8zVj8BAAD//wMAUEsDBBQABgAIAAAAIQAllV5d4gAAAAkBAAAPAAAAZHJzL2Rvd25yZXYu&#10;eG1sTI/NTsMwEITvSLyDtUhcUOv0Ly0hm6oFcaEcaMsDOMniBOJ1FLtp6NNjTnAczWjmm3Q9mEb0&#10;1LnaMsJkHIEgLmxZs0Z4Pz6PViCcV1yqxjIhfJODdXZ9laqktGfeU3/wWoQSdolCqLxvEyldUZFR&#10;bmxb4uB92M4oH2SnZdmpcyg3jZxGUSyNqjksVKqlx4qKr8PJIGxfp8fdRD/dXV4uOt/Ne739fNsg&#10;3t4MmwcQngb/F4Zf/IAOWWDK7YlLJxqEeLEMXzzCLLoHEQLLeLYAkSOs4jnILJX/H2Q/AAAA//8D&#10;AFBLAQItABQABgAIAAAAIQC2gziS/gAAAOEBAAATAAAAAAAAAAAAAAAAAAAAAABbQ29udGVudF9U&#10;eXBlc10ueG1sUEsBAi0AFAAGAAgAAAAhADj9If/WAAAAlAEAAAsAAAAAAAAAAAAAAAAALwEAAF9y&#10;ZWxzLy5yZWxzUEsBAi0AFAAGAAgAAAAhAM3AMpEpAgAAewQAAA4AAAAAAAAAAAAAAAAALgIAAGRy&#10;cy9lMm9Eb2MueG1sUEsBAi0AFAAGAAgAAAAhACWVXl3iAAAACQEAAA8AAAAAAAAAAAAAAAAAgwQA&#10;AGRycy9kb3ducmV2LnhtbFBLBQYAAAAABAAEAPMAAACSBQAAAAA=&#10;" strokeweight="2pt">
                <v:stroke joinstyle="round"/>
                <v:path arrowok="t"/>
                <v:textbox>
                  <w:txbxContent>
                    <w:p w14:paraId="31A87DE2"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69504" behindDoc="0" locked="0" layoutInCell="1" allowOverlap="1" wp14:anchorId="50203208" wp14:editId="7E2C4820">
                <wp:simplePos x="0" y="0"/>
                <wp:positionH relativeFrom="column">
                  <wp:posOffset>76200</wp:posOffset>
                </wp:positionH>
                <wp:positionV relativeFrom="paragraph">
                  <wp:posOffset>139065</wp:posOffset>
                </wp:positionV>
                <wp:extent cx="676275" cy="352425"/>
                <wp:effectExtent l="0" t="0" r="28575" b="28575"/>
                <wp:wrapNone/>
                <wp:docPr id="10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C208F2B"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wps:txbx>
                      <wps:bodyPr vert="horz" wrap="square" lIns="91440" tIns="45720" rIns="91440" bIns="45720" anchor="ctr">
                        <a:prstTxWarp prst="textNoShape">
                          <a:avLst/>
                        </a:prstTxWarp>
                        <a:noAutofit/>
                      </wps:bodyPr>
                    </wps:wsp>
                  </a:graphicData>
                </a:graphic>
              </wp:anchor>
            </w:drawing>
          </mc:Choice>
          <mc:Fallback>
            <w:pict>
              <v:rect w14:anchorId="50203208" id="Rectangle 11" o:spid="_x0000_s1036" style="position:absolute;left:0;text-align:left;margin-left:6pt;margin-top:10.95pt;width:53.25pt;height:27.75pt;z-index:2516695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A4KQIAAHwEAAAOAAAAZHJzL2Uyb0RvYy54bWysVE2P0zAQvSPxHyzfadLQD4iarhClCGm1&#10;rLSLOE9tp7FwbGO7TcqvZ+yk3bJwQIgcrIxnMn7z3nNWN32ryFE4L42u6HSSUyI0M1zqfUW/PG5f&#10;vaHEB9AclNGioifh6c365YtVZ0tRmMYoLhzBJtqXna1oE4Its8yzRrTgJ8YKjcnauBYChm6fcQcd&#10;dm9VVuT5IuuM49YZJrzH3c2QpOvUv64FC5/r2otAVEURW0irS+surtl6BeXegW0kG2HAP6BoQWo8&#10;9NJqAwHIwcnfWrWSOeNNHSbMtJmpa8lEmgGnmebPpnlowIo0C5Lj7YUm///asrvjg713Ebq3t4Z9&#10;88hI1llfXjIx8GNNX7s21iJw0icWTxcWRR8Iw83FclEs55QwTL2eF7NiHlnOoDx/bJ0PH4VpSXyp&#10;qEOREndwvPVhKD2XJFxGSb6VSqXA7XfvlSNHQEG36Rm7++sypUlX0WI+y1F0BmisWkHA19byinq9&#10;Twf+8om/7pyn50+dI7IN+GZAkDoMJnLmoHmyUyOAf9CchJNFx2v0PY1oWsEpUQKvSXxLlQGk+ptK&#10;JE/pUZdBiihK6Hc9kTjPNPk4bu0MP90jO8IhsY1xP/BkNDeO/P0ADnGoTxrd83Y6m8XbkILZfFlg&#10;4K4zu+sMaIatKsqCS7RFCh77r+DsqGBA6e/M2a1QPhNyqI3qafPuEEwtk8pPeMfJ0OLJJ+N1jHfo&#10;Ok5VTz+N9U8AAAD//wMAUEsDBBQABgAIAAAAIQAJ9U5g4AAAAAgBAAAPAAAAZHJzL2Rvd25yZXYu&#10;eG1sTI/NTsMwEITvSLyDtUhcUOskKm0JcaoWxIX20L8HcOLFCcTrKHbT0Keve4LjaEYz32SLwTSs&#10;x87VlgTE4wgYUmlVTVrA8fAxmgNzXpKSjSUU8IsOFvn9XSZTZc+0w37vNQsl5FIpoPK+TTl3ZYVG&#10;urFtkYL3ZTsjfZCd5qqT51BuGp5E0ZQbWVNYqGSLbxWWP/uTEbDaJId1rN+fLp8XXawnvV59b5dC&#10;PD4My1dgHgf/F4YbfkCHPDAV9kTKsSboJFzxApL4BdjNj+fPwAoBs9kEeJ7x/wfyKwAAAP//AwBQ&#10;SwECLQAUAAYACAAAACEAtoM4kv4AAADhAQAAEwAAAAAAAAAAAAAAAAAAAAAAW0NvbnRlbnRfVHlw&#10;ZXNdLnhtbFBLAQItABQABgAIAAAAIQA4/SH/1gAAAJQBAAALAAAAAAAAAAAAAAAAAC8BAABfcmVs&#10;cy8ucmVsc1BLAQItABQABgAIAAAAIQBhNXA4KQIAAHwEAAAOAAAAAAAAAAAAAAAAAC4CAABkcnMv&#10;ZTJvRG9jLnhtbFBLAQItABQABgAIAAAAIQAJ9U5g4AAAAAgBAAAPAAAAAAAAAAAAAAAAAIMEAABk&#10;cnMvZG93bnJldi54bWxQSwUGAAAAAAQABADzAAAAkAUAAAAA&#10;" strokeweight="2pt">
                <v:stroke joinstyle="round"/>
                <v:path arrowok="t"/>
                <v:textbox>
                  <w:txbxContent>
                    <w:p w14:paraId="0C208F2B"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6672" behindDoc="0" locked="0" layoutInCell="1" allowOverlap="1" wp14:anchorId="03D7F10F" wp14:editId="0E4782A0">
                <wp:simplePos x="0" y="0"/>
                <wp:positionH relativeFrom="column">
                  <wp:posOffset>2171700</wp:posOffset>
                </wp:positionH>
                <wp:positionV relativeFrom="paragraph">
                  <wp:posOffset>186690</wp:posOffset>
                </wp:positionV>
                <wp:extent cx="676275" cy="352425"/>
                <wp:effectExtent l="0" t="0" r="28575" b="28575"/>
                <wp:wrapNone/>
                <wp:docPr id="104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BA5C63A"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wps:txbx>
                      <wps:bodyPr vert="horz" wrap="square" lIns="91440" tIns="45720" rIns="91440" bIns="45720" anchor="ctr">
                        <a:prstTxWarp prst="textNoShape">
                          <a:avLst/>
                        </a:prstTxWarp>
                        <a:noAutofit/>
                      </wps:bodyPr>
                    </wps:wsp>
                  </a:graphicData>
                </a:graphic>
              </wp:anchor>
            </w:drawing>
          </mc:Choice>
          <mc:Fallback>
            <w:pict>
              <v:rect w14:anchorId="03D7F10F" id="Rectangle 18" o:spid="_x0000_s1037" style="position:absolute;left:0;text-align:left;margin-left:171pt;margin-top:14.7pt;width:53.25pt;height:27.75pt;z-index:2516766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gXKQIAAHw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0wgXt3aGn+5RHeFQ2Ma4H3gyDje2/P0ADnmoTxqn5+10Nou3IQWz+bLA&#10;wF1ndtcZ0AyhKsqCS7JFCR77r+Ds6GBA6+/MeVqhfGbkUBvd0+bdIZhaJpef+I6d4YinORmvY7xD&#10;13GqevpprH8CAAD//wMAUEsDBBQABgAIAAAAIQA6SUIJ4QAAAAkBAAAPAAAAZHJzL2Rvd25yZXYu&#10;eG1sTI/BTsMwEETvSPyDtUhcEHUaDEpDnKoFcWk5QMsHOPHiBOJ1FLtp6NfjnuA4mtHMm2I52Y6N&#10;OPjWkYT5LAGGVDvdkpHwsX+5zYD5oEirzhFK+EEPy/LyolC5dkd6x3EXDIsl5HMloQmhzzn3dYNW&#10;+ZnrkaL36QarQpSD4XpQx1huO54myQO3qqW40Kgenxqsv3cHK2H9mu63c/N8c9qcTLUVo1l/va2k&#10;vL6aVo/AAk7hLwxn/IgOZWSq3IG0Z52EO5HGL0FCuhDAYkCI7B5YJSETC+Blwf8/KH8BAAD//wMA&#10;UEsBAi0AFAAGAAgAAAAhALaDOJL+AAAA4QEAABMAAAAAAAAAAAAAAAAAAAAAAFtDb250ZW50X1R5&#10;cGVzXS54bWxQSwECLQAUAAYACAAAACEAOP0h/9YAAACUAQAACwAAAAAAAAAAAAAAAAAvAQAAX3Jl&#10;bHMvLnJlbHNQSwECLQAUAAYACAAAACEAopk4FykCAAB8BAAADgAAAAAAAAAAAAAAAAAuAgAAZHJz&#10;L2Uyb0RvYy54bWxQSwECLQAUAAYACAAAACEAOklCCeEAAAAJAQAADwAAAAAAAAAAAAAAAACDBAAA&#10;ZHJzL2Rvd25yZXYueG1sUEsFBgAAAAAEAAQA8wAAAJEFAAAAAA==&#10;" strokeweight="2pt">
                <v:stroke joinstyle="round"/>
                <v:path arrowok="t"/>
                <v:textbox>
                  <w:txbxContent>
                    <w:p w14:paraId="0BA5C63A"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v:textbox>
              </v:rect>
            </w:pict>
          </mc:Fallback>
        </mc:AlternateContent>
      </w:r>
    </w:p>
    <w:p w14:paraId="436E38DC"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b/>
          <w:bCs/>
          <w:noProof/>
          <w:lang w:eastAsia="en-US"/>
        </w:rPr>
        <mc:AlternateContent>
          <mc:Choice Requires="wps">
            <w:drawing>
              <wp:anchor distT="0" distB="0" distL="0" distR="0" simplePos="0" relativeHeight="251663360" behindDoc="0" locked="0" layoutInCell="1" allowOverlap="1" wp14:anchorId="6FF77AAA" wp14:editId="0429AFCB">
                <wp:simplePos x="0" y="0"/>
                <wp:positionH relativeFrom="column">
                  <wp:posOffset>4181474</wp:posOffset>
                </wp:positionH>
                <wp:positionV relativeFrom="paragraph">
                  <wp:posOffset>123825</wp:posOffset>
                </wp:positionV>
                <wp:extent cx="676275" cy="352425"/>
                <wp:effectExtent l="0" t="0" r="28575" b="28575"/>
                <wp:wrapNone/>
                <wp:docPr id="10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62D8E23A"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wps:txbx>
                      <wps:bodyPr vert="horz" wrap="square" lIns="91440" tIns="45720" rIns="91440" bIns="45720" anchor="ctr">
                        <a:prstTxWarp prst="textNoShape">
                          <a:avLst/>
                        </a:prstTxWarp>
                        <a:noAutofit/>
                      </wps:bodyPr>
                    </wps:wsp>
                  </a:graphicData>
                </a:graphic>
              </wp:anchor>
            </w:drawing>
          </mc:Choice>
          <mc:Fallback>
            <w:pict>
              <v:rect w14:anchorId="6FF77AAA" id="Rectangle 5" o:spid="_x0000_s1038" style="position:absolute;left:0;text-align:left;margin-left:329.25pt;margin-top:9.75pt;width:53.25pt;height:27.75pt;z-index:2516633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FmKQIAAHw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RYSLWzvDT/eojnAobGPcDzwZhxtb/n4AhzzUJ43T83Y6m8XbkILZfFlg&#10;4K4zu+sMaIZQFWXBJdmiBI/9V3B2dDCg9XfmPK1QPjNyqI3uafPuEEwtk8tPfMfOcMTTnIzXMd6h&#10;6zhVPf001j8BAAD//wMAUEsDBBQABgAIAAAAIQAf11PL3gAAAAkBAAAPAAAAZHJzL2Rvd25yZXYu&#10;eG1sTE9BTsMwELwj8Qdrkbgg6rQioYQ4VQviQjlAywOceHEC8TqK3TT09SwnOM2sZjQ7U6wm14kR&#10;h9B6UjCfJSCQam9asgre90/XSxAhajK684QKvjHAqjw/K3Ru/JHecNxFKziEQq4VNDH2uZShbtDp&#10;MPM9EmsffnA68jlYaQZ95HDXyUWSZNLplvhDo3t8aLD+2h2cgs3LYr+d28er0/PJVtub0W4+X9dK&#10;XV5M63sQEaf4Z4bf+lwdSu5U+QOZIDoFWbpM2crCHSMbbrOUx1VMGGVZyP8Lyh8AAAD//wMAUEsB&#10;Ai0AFAAGAAgAAAAhALaDOJL+AAAA4QEAABMAAAAAAAAAAAAAAAAAAAAAAFtDb250ZW50X1R5cGVz&#10;XS54bWxQSwECLQAUAAYACAAAACEAOP0h/9YAAACUAQAACwAAAAAAAAAAAAAAAAAvAQAAX3JlbHMv&#10;LnJlbHNQSwECLQAUAAYACAAAACEA52zhZikCAAB8BAAADgAAAAAAAAAAAAAAAAAuAgAAZHJzL2Uy&#10;b0RvYy54bWxQSwECLQAUAAYACAAAACEAH9dTy94AAAAJAQAADwAAAAAAAAAAAAAAAACDBAAAZHJz&#10;L2Rvd25yZXYueG1sUEsFBgAAAAAEAAQA8wAAAI4FAAAAAA==&#10;" strokeweight="2pt">
                <v:stroke joinstyle="round"/>
                <v:path arrowok="t"/>
                <v:textbox>
                  <w:txbxContent>
                    <w:p w14:paraId="62D8E23A"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0528" behindDoc="0" locked="0" layoutInCell="1" allowOverlap="1" wp14:anchorId="4E499EBD" wp14:editId="795BA800">
                <wp:simplePos x="0" y="0"/>
                <wp:positionH relativeFrom="column">
                  <wp:posOffset>95250</wp:posOffset>
                </wp:positionH>
                <wp:positionV relativeFrom="paragraph">
                  <wp:posOffset>104775</wp:posOffset>
                </wp:positionV>
                <wp:extent cx="676275" cy="352425"/>
                <wp:effectExtent l="0" t="0" r="28575" b="28575"/>
                <wp:wrapNone/>
                <wp:docPr id="10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7E5A4809"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wps:txbx>
                      <wps:bodyPr vert="horz" wrap="square" lIns="91440" tIns="45720" rIns="91440" bIns="45720" anchor="ctr">
                        <a:prstTxWarp prst="textNoShape">
                          <a:avLst/>
                        </a:prstTxWarp>
                        <a:noAutofit/>
                      </wps:bodyPr>
                    </wps:wsp>
                  </a:graphicData>
                </a:graphic>
              </wp:anchor>
            </w:drawing>
          </mc:Choice>
          <mc:Fallback>
            <w:pict>
              <v:rect w14:anchorId="4E499EBD" id="Rectangle 12" o:spid="_x0000_s1039" style="position:absolute;left:0;text-align:left;margin-left:7.5pt;margin-top:8.25pt;width:53.25pt;height:27.75pt;z-index:2516705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KlJKgIAAHwEAAAOAAAAZHJzL2Uyb0RvYy54bWysVMGO0zAQvSPxD5bvNGm27ULUdIUoRUir&#10;3ZV2Eeep7TQWjm1st0n5esZO2i0LB4TIwcp4Js9v3htnedO3ihyE89Loik4nOSVCM8Ol3lX0y9Pm&#10;zVtKfADNQRktKnoUnt6sXr9adrYUhWmM4sIRBNG+7GxFmxBsmWWeNaIFPzFWaEzWxrUQMHS7jDvo&#10;EL1VWZHni6wzjltnmPAed9dDkq4Sfl0LFu7r2otAVEWRW0irS+s2rtlqCeXOgW0kG2nAP7BoQWo8&#10;9Ay1hgBk7+RvUK1kznhThwkzbWbqWjKResBupvmLbh4bsCL1guJ4e5bJ/z9Ydnd4tA8uUvf21rBv&#10;HhXJOuvLcyYGfqzpa9fGWiRO+qTi8ayi6ANhuLm4XhTXc0oYpq7mxayYR5UzKE8fW+fDJ2FaEl8q&#10;6tCkpB0cbn0YSk8liZdRkm+kUilwu+0H5cgB0NBNekZ0f1mmNOkqWsxnOZrOAAerVhDwtbW8ol7v&#10;0oG/fOIvkfP0/Ak5MluDbwYGCWEYImf2mqdxagTwj5qTcLQ48RrnnkY2reCUKIHXJL6lygBS/U0l&#10;iqf06MtgRTQl9NueSOxnehXh4tbW8OMDqiMcCtsY9wNPxuHGlr/vwSEP9Vnj9LybzmbxNqRgNr8u&#10;MHCXme1lBjRDqIqy4JJsUYKn/is4OzoY0Po7c5pWKF8YOdRG97R5vw+mlsnlZ75jZzjiaU7G6xjv&#10;0GWcqp5/GqufAAAA//8DAFBLAwQUAAYACAAAACEACgOU5t8AAAAIAQAADwAAAGRycy9kb3ducmV2&#10;LnhtbEyPwU7DMBBE70j8g7VIXBB1EtGCQpyqBXGhPUDLBzjx4gTidRS7aejXsz3BaXc0q9k3xXJy&#10;nRhxCK0nBeksAYFUe9OSVfCxf7l9ABGiJqM7T6jgBwMsy8uLQufGH+kdx120gkMo5FpBE2OfSxnq&#10;Bp0OM98jsffpB6cjy8FKM+gjh7tOZkmykE63xB8a3eNTg/X37uAUrLfZfpPa55vT68lWm7vRrr/e&#10;VkpdX02rRxARp/h3DGd8RoeSmSp/IBNEx3rOVSLPxRzE2c9SXioF91kCsizk/wLlLwAAAP//AwBQ&#10;SwECLQAUAAYACAAAACEAtoM4kv4AAADhAQAAEwAAAAAAAAAAAAAAAAAAAAAAW0NvbnRlbnRfVHlw&#10;ZXNdLnhtbFBLAQItABQABgAIAAAAIQA4/SH/1gAAAJQBAAALAAAAAAAAAAAAAAAAAC8BAABfcmVs&#10;cy8ucmVsc1BLAQItABQABgAIAAAAIQAkwKlJKgIAAHwEAAAOAAAAAAAAAAAAAAAAAC4CAABkcnMv&#10;ZTJvRG9jLnhtbFBLAQItABQABgAIAAAAIQAKA5Tm3wAAAAgBAAAPAAAAAAAAAAAAAAAAAIQEAABk&#10;cnMvZG93bnJldi54bWxQSwUGAAAAAAQABADzAAAAkAUAAAAA&#10;" strokeweight="2pt">
                <v:stroke joinstyle="round"/>
                <v:path arrowok="t"/>
                <v:textbox>
                  <w:txbxContent>
                    <w:p w14:paraId="7E5A4809" w14:textId="77777777" w:rsidR="004B421D" w:rsidRDefault="004B421D" w:rsidP="004B421D">
                      <w:pPr>
                        <w:jc w:val="center"/>
                        <w:rPr>
                          <w:rFonts w:ascii="Times New Roman" w:hAnsi="Times New Roman"/>
                          <w:sz w:val="28"/>
                          <w:szCs w:val="28"/>
                        </w:rPr>
                      </w:pPr>
                      <w:r>
                        <w:rPr>
                          <w:rFonts w:ascii="Times New Roman" w:hAnsi="Times New Roman"/>
                          <w:sz w:val="28"/>
                          <w:szCs w:val="28"/>
                        </w:rPr>
                        <w:t>T2</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5648" behindDoc="0" locked="0" layoutInCell="1" allowOverlap="1" wp14:anchorId="4C49050E" wp14:editId="2853CA12">
                <wp:simplePos x="0" y="0"/>
                <wp:positionH relativeFrom="column">
                  <wp:posOffset>2152650</wp:posOffset>
                </wp:positionH>
                <wp:positionV relativeFrom="paragraph">
                  <wp:posOffset>123825</wp:posOffset>
                </wp:positionV>
                <wp:extent cx="676275" cy="352425"/>
                <wp:effectExtent l="0" t="0" r="28575" b="28575"/>
                <wp:wrapNone/>
                <wp:docPr id="10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253C8934"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wps:txbx>
                      <wps:bodyPr vert="horz" wrap="square" lIns="91440" tIns="45720" rIns="91440" bIns="45720" anchor="ctr">
                        <a:prstTxWarp prst="textNoShape">
                          <a:avLst/>
                        </a:prstTxWarp>
                        <a:noAutofit/>
                      </wps:bodyPr>
                    </wps:wsp>
                  </a:graphicData>
                </a:graphic>
              </wp:anchor>
            </w:drawing>
          </mc:Choice>
          <mc:Fallback>
            <w:pict>
              <v:rect w14:anchorId="4C49050E" id="Rectangle 17" o:spid="_x0000_s1040" style="position:absolute;left:0;text-align:left;margin-left:169.5pt;margin-top:9.75pt;width:53.25pt;height:27.75pt;z-index:2516756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KFKQIAAHwEAAAOAAAAZHJzL2Uyb0RvYy54bWysVMGO0zAQvSPxD5bvNGlIW4iarhClCGm1&#10;rLSLOLu201g4thm7bcrXM3bSblk4IEQOVsYzeX7z3jjLm77T5CDBK2tqOp3klEjDrVBmV9Mvj5tX&#10;byjxgRnBtDWypifp6c3q5Yvl0VWysK3VQgJBEOOro6tpG4KrsszzVnbMT6yTBpONhY4FDGGXCWBH&#10;RO90VuT5PDtaEA4sl97j7npI0lXCbxrJw+em8TIQXVPkFtIKad3GNVstWbUD5lrFRxrsH1h0TBk8&#10;9AK1ZoGRPajfoDrFwXrbhAm3XWabRnGZesBupvmzbh5a5mTqBcXx7iKT/3+w/O7w4O4hUvfu1vJv&#10;HhXJjs5Xl0wM/FjTN9DFWiRO+qTi6aKi7APhuDlfzIvFjBKOqdezoixmUeWMVeePHfjwUdqOxJea&#10;ApqUtGOHWx+G0nNJ4mW1EhuldQpgt32vgRwYGrpJz4jur8u0IceaFrMyR9M5w8FqNAv42jlRU292&#10;6cBfPvHXyHl6/oQcma2ZbwcGCWEYIrB7I9I4tZKJD0aQcHI48QbnnkY2nRSUaInXJL6lysCU/ptK&#10;FE+b0ZfBimhK6Lc9UdjPtIxwcWtrxeke1ZGAwrYWfuDJONzY8vc9A+ShPxmcnrfTsoy3IQXlbFFg&#10;ANeZ7XWGGY5QNeUBkmxRgsf+KwM3OhjQ+jt7nlZWPTNyqI3uGftuH2yjkstPfMfOcMTTnIzXMd6h&#10;6zhVPf00Vj8BAAD//wMAUEsDBBQABgAIAAAAIQB2vgar4QAAAAkBAAAPAAAAZHJzL2Rvd25yZXYu&#10;eG1sTI/BTsMwEETvSPyDtUhcUOu0TQoNcaoWxIVygJYPcJLFCcTrKHbT0K9nOcFtRzOafZOtR9uK&#10;AXvfOFIwm0YgkEpXNWQUvB+eJncgfNBU6dYRKvhGD+v88iLTaeVO9IbDPhjBJeRTraAOoUul9GWN&#10;Vvup65DY+3C91YFlb2TV6xOX21bOo2gprW6IP9S6w4cay6/90SrYvswPu5l5vDk/n02xiwez/Xzd&#10;KHV9NW7uQQQcw18YfvEZHXJmKtyRKi9aBYvFircENlYJCA7EccJHoeA2iUDmmfy/IP8BAAD//wMA&#10;UEsBAi0AFAAGAAgAAAAhALaDOJL+AAAA4QEAABMAAAAAAAAAAAAAAAAAAAAAAFtDb250ZW50X1R5&#10;cGVzXS54bWxQSwECLQAUAAYACAAAACEAOP0h/9YAAACUAQAACwAAAAAAAAAAAAAAAAAvAQAAX3Jl&#10;bHMvLnJlbHNQSwECLQAUAAYACAAAACEAbYZShSkCAAB8BAAADgAAAAAAAAAAAAAAAAAuAgAAZHJz&#10;L2Uyb0RvYy54bWxQSwECLQAUAAYACAAAACEAdr4Gq+EAAAAJAQAADwAAAAAAAAAAAAAAAACDBAAA&#10;ZHJzL2Rvd25yZXYueG1sUEsFBgAAAAAEAAQA8wAAAJEFAAAAAA==&#10;" strokeweight="2pt">
                <v:stroke joinstyle="round"/>
                <v:path arrowok="t"/>
                <v:textbox>
                  <w:txbxContent>
                    <w:p w14:paraId="253C8934" w14:textId="77777777" w:rsidR="004B421D" w:rsidRDefault="004B421D" w:rsidP="004B421D">
                      <w:pPr>
                        <w:jc w:val="center"/>
                        <w:rPr>
                          <w:rFonts w:ascii="Times New Roman" w:hAnsi="Times New Roman"/>
                          <w:sz w:val="28"/>
                          <w:szCs w:val="28"/>
                        </w:rPr>
                      </w:pPr>
                      <w:r>
                        <w:rPr>
                          <w:rFonts w:ascii="Times New Roman" w:hAnsi="Times New Roman"/>
                          <w:sz w:val="28"/>
                          <w:szCs w:val="28"/>
                        </w:rPr>
                        <w:t>T1</w:t>
                      </w:r>
                    </w:p>
                  </w:txbxContent>
                </v:textbox>
              </v:rect>
            </w:pict>
          </mc:Fallback>
        </mc:AlternateContent>
      </w:r>
    </w:p>
    <w:p w14:paraId="768828B5" w14:textId="77777777" w:rsidR="00054EB5" w:rsidRPr="00F222E9" w:rsidRDefault="004B421D" w:rsidP="007B6FC2">
      <w:pPr>
        <w:tabs>
          <w:tab w:val="left" w:pos="1800"/>
        </w:tabs>
        <w:spacing w:after="160" w:line="480" w:lineRule="auto"/>
        <w:jc w:val="both"/>
        <w:rPr>
          <w:rFonts w:ascii="Arial" w:hAnsi="Arial" w:cs="Arial"/>
        </w:rPr>
      </w:pPr>
      <w:r w:rsidRPr="00F222E9">
        <w:rPr>
          <w:rFonts w:ascii="Arial" w:hAnsi="Arial" w:cs="Arial"/>
          <w:b/>
          <w:bCs/>
          <w:noProof/>
          <w:lang w:eastAsia="en-US"/>
        </w:rPr>
        <mc:AlternateContent>
          <mc:Choice Requires="wps">
            <w:drawing>
              <wp:anchor distT="0" distB="0" distL="0" distR="0" simplePos="0" relativeHeight="251661312" behindDoc="0" locked="0" layoutInCell="1" allowOverlap="1" wp14:anchorId="7E4289F7" wp14:editId="59B3D166">
                <wp:simplePos x="0" y="0"/>
                <wp:positionH relativeFrom="column">
                  <wp:posOffset>4181474</wp:posOffset>
                </wp:positionH>
                <wp:positionV relativeFrom="paragraph">
                  <wp:posOffset>508634</wp:posOffset>
                </wp:positionV>
                <wp:extent cx="676275" cy="352425"/>
                <wp:effectExtent l="0" t="0" r="28575" b="28575"/>
                <wp:wrapNone/>
                <wp:docPr id="10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2653E09E"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wps:txbx>
                      <wps:bodyPr vert="horz" wrap="square" lIns="91440" tIns="45720" rIns="91440" bIns="45720" anchor="ctr">
                        <a:prstTxWarp prst="textNoShape">
                          <a:avLst/>
                        </a:prstTxWarp>
                        <a:noAutofit/>
                      </wps:bodyPr>
                    </wps:wsp>
                  </a:graphicData>
                </a:graphic>
              </wp:anchor>
            </w:drawing>
          </mc:Choice>
          <mc:Fallback>
            <w:pict>
              <v:rect w14:anchorId="7E4289F7" id="Rectangle 3" o:spid="_x0000_s1041" style="position:absolute;left:0;text-align:left;margin-left:329.25pt;margin-top:40.05pt;width:53.25pt;height:27.75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qqKAIAAHwEAAAOAAAAZHJzL2Uyb0RvYy54bWysVE2P0zAQvSPxHyzfadLQD4iarhClCGm1&#10;rLSLOE9tp7FwbGO7TcqvZ+yk3bJwQIgcrIxn8vzmvXFWN32ryFE4L42u6HSSUyI0M1zqfUW/PG5f&#10;vaHEB9AclNGioifh6c365YtVZ0tRmMYoLhxBEO3Lzla0CcGWWeZZI1rwE2OFxmRtXAsBQ7fPuIMO&#10;0VuVFXm+yDrjuHWGCe9xdzMk6Trh17Vg4XNdexGIqihyC2l1ad3FNVuvoNw7sI1kIw34BxYtSI2H&#10;XqA2EIAcnPwNqpXMGW/qMGGmzUxdSyZSD9jNNH/WzUMDVqReUBxvLzL5/wfL7o4P9t5F6t7eGvbN&#10;oyJZZ315ycTAjzV97dpYi8RJn1Q8XVQUfSAMNxfLRbGcU8Iw9XpezIp5VDmD8vyxdT58FKYl8aWi&#10;Dk1K2sHx1oeh9FySeBkl+VYqlQK3371XjhwBDd2mZ0T312VKk66ixXyWo+kMcLBqBQFfW8sr6vU+&#10;HfjLJ/4aOU/Pn5Ajsw34ZmCQEIYhcuageRqnRgD/oDkJJ4sTr3HuaWTTCk6JEnhN4luqDCDV31Si&#10;eEqPvgxWRFNCv+uJxH6mSeG4tTP8dI/qCIfCNsb9wJNxuLHl7wdwyEN90jg9b6ezWbwNKZjNlwUG&#10;7jqzu86AZghVURZcki1K8Nh/BWdHBwNaf2fO0wrlMyOH2uieNu8OwdQyufzEd+wMRzzNyXgd4x26&#10;jlPV009j/RMAAP//AwBQSwMEFAAGAAgAAAAhAAMl7qThAAAACgEAAA8AAABkcnMvZG93bnJldi54&#10;bWxMj8FOg0AQhu8mvsNmTLwYu1AFCbI0rcaL9aCtD7DAuKDsLGG3FPv0jic9TubL/39/sZptLyYc&#10;fedIQbyIQCDVrunIKHjfP11nIHzQ1OjeESr4Rg+r8vys0HnjjvSG0y4YwSHkc62gDWHIpfR1i1b7&#10;hRuQ+PfhRqsDn6ORzaiPHG57uYyiVFrdETe0esCHFuuv3cEq2Lws99vYPF6dnk+m2t5OZvP5ulbq&#10;8mJe34MIOIc/GH71WR1KdqrcgRovegVpkiWMKsiiGAQDd2nC4yomb5IUZFnI/xPKHwAAAP//AwBQ&#10;SwECLQAUAAYACAAAACEAtoM4kv4AAADhAQAAEwAAAAAAAAAAAAAAAAAAAAAAW0NvbnRlbnRfVHlw&#10;ZXNdLnhtbFBLAQItABQABgAIAAAAIQA4/SH/1gAAAJQBAAALAAAAAAAAAAAAAAAAAC8BAABfcmVs&#10;cy8ucmVsc1BLAQItABQABgAIAAAAIQCuKhqqKAIAAHwEAAAOAAAAAAAAAAAAAAAAAC4CAABkcnMv&#10;ZTJvRG9jLnhtbFBLAQItABQABgAIAAAAIQADJe6k4QAAAAoBAAAPAAAAAAAAAAAAAAAAAIIEAABk&#10;cnMvZG93bnJldi54bWxQSwUGAAAAAAQABADzAAAAkAUAAAAA&#10;" strokeweight="2pt">
                <v:stroke joinstyle="round"/>
                <v:path arrowok="t"/>
                <v:textbox>
                  <w:txbxContent>
                    <w:p w14:paraId="2653E09E"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62336" behindDoc="0" locked="0" layoutInCell="1" allowOverlap="1" wp14:anchorId="62751BE1" wp14:editId="41BB812C">
                <wp:simplePos x="0" y="0"/>
                <wp:positionH relativeFrom="column">
                  <wp:posOffset>4181474</wp:posOffset>
                </wp:positionH>
                <wp:positionV relativeFrom="paragraph">
                  <wp:posOffset>60960</wp:posOffset>
                </wp:positionV>
                <wp:extent cx="676275" cy="352425"/>
                <wp:effectExtent l="0" t="0" r="28575" b="28575"/>
                <wp:wrapNone/>
                <wp:docPr id="105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03B4ADF9"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wps:txbx>
                      <wps:bodyPr vert="horz" wrap="square" lIns="91440" tIns="45720" rIns="91440" bIns="45720" anchor="ctr">
                        <a:prstTxWarp prst="textNoShape">
                          <a:avLst/>
                        </a:prstTxWarp>
                        <a:noAutofit/>
                      </wps:bodyPr>
                    </wps:wsp>
                  </a:graphicData>
                </a:graphic>
              </wp:anchor>
            </w:drawing>
          </mc:Choice>
          <mc:Fallback>
            <w:pict>
              <v:rect w14:anchorId="62751BE1" id="Rectangle 4" o:spid="_x0000_s1042" style="position:absolute;left:0;text-align:left;margin-left:329.25pt;margin-top:4.8pt;width:53.25pt;height:27.75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8PbKQIAAHwEAAAOAAAAZHJzL2Uyb0RvYy54bWysVE2P0zAQvSPxHyzfadLQD4iarhClCGm1&#10;rLSLOLu201g4thm7TcqvZ+yk3bJwQIgcrIxn8vzmvXFWN32ryVGCV9ZUdDrJKZGGW6HMvqJfHrev&#10;3lDiAzOCaWtkRU/S05v1yxerzpWysI3VQgJBEOPLzlW0CcGVWeZ5I1vmJ9ZJg8naQssChrDPBLAO&#10;0VudFXm+yDoLwoHl0nvc3QxJuk74dS15+FzXXgaiK4rcQlohrbu4ZusVK/fAXKP4SIP9A4uWKYOH&#10;XqA2LDByAPUbVKs4WG/rMOG2zWxdKy5TD9jNNH/WzUPDnEy9oDjeXWTy/w+W3x0f3D1E6t7dWv7N&#10;oyJZ53x5ycTAjzV9DW2sReKkTyqeLirKPhCOm4vloljOKeGYej0vZsU8qpyx8vyxAx8+StuS+FJR&#10;QJOSdux468NQei5JvKxWYqu0TgHsd+81kCNDQ7fpGdH9dZk2pKtoMZ/laDpnOFi1ZgFfWycq6s0+&#10;HfjLJ/4aOU/Pn5Ajsw3zzcAgIQxDBPZgRBqnRjLxwQgSTg4n3uDc08imlYISLfGaxLdUGZjSf1OJ&#10;4mkz+jJYEU0J/a4nCvuZLiJc3NpZcbpHdSSgsI2FH3gyDje2/P3AAHnoTwan5+10Nou3IQWz+bLA&#10;AK4zu+sMMxyhKsoDJNmiBI/9VwZudDCg9Xf2PK2sfGbkUBvdM/bdIdhaJZef+I6d4YinORmvY7xD&#10;13GqevpprH8CAAD//wMAUEsDBBQABgAIAAAAIQAHuM6r3wAAAAgBAAAPAAAAZHJzL2Rvd25yZXYu&#10;eG1sTI9BTsMwEEX3SNzBGiQ2iDqpSCghTtWC2FAW0HIAJxmcQDyOYjcNPX2nK1iO3tef9/PlZDsx&#10;4uBbRwriWQQCqXJ1S0bB5+7ldgHCB0217hyhgl/0sCwuL3Kd1e5AHzhugxFcQj7TCpoQ+kxKXzVo&#10;tZ+5HonZlxusDnwORtaDPnC57eQ8ilJpdUv8odE9PjVY/Wz3VsH6bb7bxOb55vh6NOXmbjTr7/eV&#10;UtdX0+oRRMAp/IXhrM/qULBT6fZUe9EpSJNFwlEFDykI5vdpwtvKM4hBFrn8P6A4AQAA//8DAFBL&#10;AQItABQABgAIAAAAIQC2gziS/gAAAOEBAAATAAAAAAAAAAAAAAAAAAAAAABbQ29udGVudF9UeXBl&#10;c10ueG1sUEsBAi0AFAAGAAgAAAAhADj9If/WAAAAlAEAAAsAAAAAAAAAAAAAAAAALwEAAF9yZWxz&#10;Ly5yZWxzUEsBAi0AFAAGAAgAAAAhAOvfw9spAgAAfAQAAA4AAAAAAAAAAAAAAAAALgIAAGRycy9l&#10;Mm9Eb2MueG1sUEsBAi0AFAAGAAgAAAAhAAe4zqvfAAAACAEAAA8AAAAAAAAAAAAAAAAAgwQAAGRy&#10;cy9kb3ducmV2LnhtbFBLBQYAAAAABAAEAPMAAACPBQAAAAA=&#10;" strokeweight="2pt">
                <v:stroke joinstyle="round"/>
                <v:path arrowok="t"/>
                <v:textbox>
                  <w:txbxContent>
                    <w:p w14:paraId="03B4ADF9" w14:textId="77777777" w:rsidR="004B421D" w:rsidRDefault="004B421D" w:rsidP="004B421D">
                      <w:pPr>
                        <w:jc w:val="center"/>
                        <w:rPr>
                          <w:rFonts w:ascii="Times New Roman" w:hAnsi="Times New Roman"/>
                          <w:sz w:val="28"/>
                          <w:szCs w:val="28"/>
                        </w:rPr>
                      </w:pPr>
                      <w:r>
                        <w:rPr>
                          <w:rFonts w:ascii="Times New Roman" w:hAnsi="Times New Roman"/>
                          <w:sz w:val="28"/>
                          <w:szCs w:val="28"/>
                        </w:rPr>
                        <w:t>T4</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2576" behindDoc="0" locked="0" layoutInCell="1" allowOverlap="1" wp14:anchorId="5157472E" wp14:editId="1C529385">
                <wp:simplePos x="0" y="0"/>
                <wp:positionH relativeFrom="column">
                  <wp:posOffset>114300</wp:posOffset>
                </wp:positionH>
                <wp:positionV relativeFrom="paragraph">
                  <wp:posOffset>508634</wp:posOffset>
                </wp:positionV>
                <wp:extent cx="676275" cy="352425"/>
                <wp:effectExtent l="0" t="0" r="28575" b="28575"/>
                <wp:wrapNone/>
                <wp:docPr id="105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565F0E6"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wps:txbx>
                      <wps:bodyPr vert="horz" wrap="square" lIns="91440" tIns="45720" rIns="91440" bIns="45720" anchor="ctr">
                        <a:prstTxWarp prst="textNoShape">
                          <a:avLst/>
                        </a:prstTxWarp>
                        <a:noAutofit/>
                      </wps:bodyPr>
                    </wps:wsp>
                  </a:graphicData>
                </a:graphic>
              </wp:anchor>
            </w:drawing>
          </mc:Choice>
          <mc:Fallback>
            <w:pict>
              <v:rect w14:anchorId="5157472E" id="Rectangle 14" o:spid="_x0000_s1043" style="position:absolute;left:0;text-align:left;margin-left:9pt;margin-top:40.05pt;width:53.25pt;height:27.75pt;z-index:2516725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4v0KQIAAHwEAAAOAAAAZHJzL2Uyb0RvYy54bWysVE2P0zAQvSPxHyzfadLQD4iarhClCGm1&#10;rLSLOLu201g4thm7TcqvZ+yk3bJwQIgcrIxn8vzmvXFWN32ryVGCV9ZUdDrJKZGGW6HMvqJfHrev&#10;3lDiAzOCaWtkRU/S05v1yxerzpWysI3VQgJBEOPLzlW0CcGVWeZ5I1vmJ9ZJg8naQssChrDPBLAO&#10;0VudFXm+yDoLwoHl0nvc3QxJuk74dS15+FzXXgaiK4rcQlohrbu4ZusVK/fAXKP4SIP9A4uWKYOH&#10;XqA2LDByAPUbVKs4WG/rMOG2zWxdKy5TD9jNNH/WzUPDnEy9oDjeXWTy/w+W3x0f3D1E6t7dWv7N&#10;oyJZ53x5ycTAjzV9DW2sReKkTyqeLirKPhCOm4vloljOKeGYej0vZsU8qpyx8vyxAx8+StuS+FJR&#10;QJOSdux468NQei5JvKxWYqu0TgHsd+81kCNDQ7fpGdH9dZk2pKtoMZ/laDpnOFi1ZgFfWycq6s0+&#10;HfjLJ/4aOU/Pn5Ajsw3zzcAgIQxDBPZgRBqnRjLxwQgSTg4n3uDc08imlYISLfGaxLdUGZjSf1OJ&#10;4mkz+jJYEU0J/a4nCvuZLiNc3NpZcbpHdSSgsI2FH3gyDje2/P3AAHnoTwan5+10Nou3IQWz+bLA&#10;AK4zu+sMMxyhKsoDJNmiBI/9VwZudDCg9Xf2PK2sfGbkUBvdM/bdIdhaJZef+I6d4YinORmvY7xD&#10;13GqevpprH8CAAD//wMAUEsDBBQABgAIAAAAIQCvH5km4AAAAAkBAAAPAAAAZHJzL2Rvd25yZXYu&#10;eG1sTI/BTsMwEETvSPyDtUhcEHUS2ioKcaoWxIX2AC0f4CSLE4jXUeymoV/P9gS3Hc1o9k2+mmwn&#10;Rhx860hBPItAIFWubsko+Di83KcgfNBU684RKvhBD6vi+irXWe1O9I7jPhjBJeQzraAJoc+k9FWD&#10;VvuZ65HY+3SD1YHlYGQ96BOX204mUbSUVrfEHxrd41OD1ff+aBVsdslhG5vnu/Pr2ZTb+Wg2X29r&#10;pW5vpvUjiIBT+AvDBZ/RoWCm0h2p9qJjnfKUoCCNYhAXP5kvQJR8PCyWIItc/l9Q/AIAAP//AwBQ&#10;SwECLQAUAAYACAAAACEAtoM4kv4AAADhAQAAEwAAAAAAAAAAAAAAAAAAAAAAW0NvbnRlbnRfVHlw&#10;ZXNdLnhtbFBLAQItABQABgAIAAAAIQA4/SH/1gAAAJQBAAALAAAAAAAAAAAAAAAAAC8BAABfcmVs&#10;cy8ucmVsc1BLAQItABQABgAIAAAAIQAoc4v0KQIAAHwEAAAOAAAAAAAAAAAAAAAAAC4CAABkcnMv&#10;ZTJvRG9jLnhtbFBLAQItABQABgAIAAAAIQCvH5km4AAAAAkBAAAPAAAAAAAAAAAAAAAAAIMEAABk&#10;cnMvZG93bnJldi54bWxQSwUGAAAAAAQABADzAAAAkAUAAAAA&#10;" strokeweight="2pt">
                <v:stroke joinstyle="round"/>
                <v:path arrowok="t"/>
                <v:textbox>
                  <w:txbxContent>
                    <w:p w14:paraId="4565F0E6"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1552" behindDoc="0" locked="0" layoutInCell="1" allowOverlap="1" wp14:anchorId="26F206B2" wp14:editId="2DF7A90A">
                <wp:simplePos x="0" y="0"/>
                <wp:positionH relativeFrom="column">
                  <wp:posOffset>104775</wp:posOffset>
                </wp:positionH>
                <wp:positionV relativeFrom="paragraph">
                  <wp:posOffset>60960</wp:posOffset>
                </wp:positionV>
                <wp:extent cx="676275" cy="352425"/>
                <wp:effectExtent l="0" t="0" r="28575" b="28575"/>
                <wp:wrapNone/>
                <wp:docPr id="105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4E07EE55"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wps:txbx>
                      <wps:bodyPr vert="horz" wrap="square" lIns="91440" tIns="45720" rIns="91440" bIns="45720" anchor="ctr">
                        <a:prstTxWarp prst="textNoShape">
                          <a:avLst/>
                        </a:prstTxWarp>
                        <a:noAutofit/>
                      </wps:bodyPr>
                    </wps:wsp>
                  </a:graphicData>
                </a:graphic>
              </wp:anchor>
            </w:drawing>
          </mc:Choice>
          <mc:Fallback>
            <w:pict>
              <v:rect w14:anchorId="26F206B2" id="Rectangle 13" o:spid="_x0000_s1044" style="position:absolute;left:0;text-align:left;margin-left:8.25pt;margin-top:4.8pt;width:53.25pt;height:27.75pt;z-index:2516715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USZKgIAAHwEAAAOAAAAZHJzL2Uyb0RvYy54bWysVMGO0zAQvSPxD5bvNGlou0vUdIUoRUir&#10;3ZV2Eeep7TQWjm1st0n5esZO2i0LB4TIwcp4Js9v3htnedO3ihyE89Loik4nOSVCM8Ol3lX0y9Pm&#10;zTUlPoDmoIwWFT0KT29Wr18tO1uKwjRGceEIgmhfdraiTQi2zDLPGtGCnxgrNCZr41oIGLpdxh10&#10;iN6qrMjzRdYZx60zTHiPu+shSVcJv64FC/d17UUgqqLILaTVpXUb12y1hHLnwDaSjTTgH1i0IDUe&#10;eoZaQwCyd/I3qFYyZ7ypw4SZNjN1LZlIPWA30/xFN48NWJF6QXG8Pcvk/x8suzs82gcXqXt7a9g3&#10;j4pknfXlORMDP9b0tWtjLRInfVLxeFZR9IEw3FxcLYqrOSUMU2/nxayYR5UzKE8fW+fDJ2FaEl8q&#10;6tCkpB0cbn0YSk8liZdRkm+kUilwu+0H5cgB0NBNekZ0f1mmNOkqWsxnOZrOAAerVhDwtbW8ol7v&#10;0oG/fOIvkfP0/Ak5MluDbwYGCWEYImf2mqdxagTwj5qTcLQ48RrnnkY2reCUKIHXJL6lygBS/U0l&#10;iqf06MtgRTQl9NueSOxneh3h4tbW8OMDqiMcCtsY9wNPxuHGlr/vwSEP9Vnj9LybzmbxNqRgNr8q&#10;MHCXme1lBjRDqIqy4JJsUYKn/is4OzoY0Po7c5pWKF8YOdRG97R5vw+mlsnlZ75jZzjiaU7G6xjv&#10;0GWcqp5/GqufAAAA//8DAFBLAwQUAAYACAAAACEASgNgFt4AAAAHAQAADwAAAGRycy9kb3ducmV2&#10;LnhtbEyPwU7DMBBE70j8g7VIXBB1EmhUQpyqBXGhHKDtBzjJ4gTidRS7aejXsz3BcTSjmTf5crKd&#10;GHHwrSMF8SwCgVS5uiWjYL97uV2A8EFTrTtHqOAHPSyLy4tcZ7U70geO22AEl5DPtIImhD6T0lcN&#10;Wu1nrkdi79MNVgeWg5H1oI9cbjuZRFEqrW6JFxrd41OD1ff2YBWs35LdJjbPN6fXkyk396NZf72v&#10;lLq+mlaPIAJO4S8MZ3xGh4KZSneg2ouOdTrnpIKHFMTZTu74Wqkgnccgi1z+5y9+AQAA//8DAFBL&#10;AQItABQABgAIAAAAIQC2gziS/gAAAOEBAAATAAAAAAAAAAAAAAAAAAAAAABbQ29udGVudF9UeXBl&#10;c10ueG1sUEsBAi0AFAAGAAgAAAAhADj9If/WAAAAlAEAAAsAAAAAAAAAAAAAAAAALwEAAF9yZWxz&#10;Ly5yZWxzUEsBAi0AFAAGAAgAAAAhADhVRJkqAgAAfAQAAA4AAAAAAAAAAAAAAAAALgIAAGRycy9l&#10;Mm9Eb2MueG1sUEsBAi0AFAAGAAgAAAAhAEoDYBbeAAAABwEAAA8AAAAAAAAAAAAAAAAAhAQAAGRy&#10;cy9kb3ducmV2LnhtbFBLBQYAAAAABAAEAPMAAACPBQAAAAA=&#10;" strokeweight="2pt">
                <v:stroke joinstyle="round"/>
                <v:path arrowok="t"/>
                <v:textbox>
                  <w:txbxContent>
                    <w:p w14:paraId="4E07EE55" w14:textId="77777777" w:rsidR="004B421D" w:rsidRDefault="004B421D" w:rsidP="004B421D">
                      <w:pPr>
                        <w:jc w:val="center"/>
                        <w:rPr>
                          <w:rFonts w:ascii="Times New Roman" w:hAnsi="Times New Roman"/>
                          <w:sz w:val="28"/>
                          <w:szCs w:val="28"/>
                        </w:rPr>
                      </w:pPr>
                      <w:r>
                        <w:rPr>
                          <w:rFonts w:ascii="Times New Roman" w:hAnsi="Times New Roman"/>
                          <w:sz w:val="28"/>
                          <w:szCs w:val="28"/>
                        </w:rPr>
                        <w:t>T5</w:t>
                      </w:r>
                    </w:p>
                  </w:txbxContent>
                </v:textbox>
              </v:rect>
            </w:pict>
          </mc:Fallback>
        </mc:AlternateContent>
      </w:r>
      <w:r w:rsidRPr="00F222E9">
        <w:rPr>
          <w:rFonts w:ascii="Arial" w:hAnsi="Arial" w:cs="Arial"/>
          <w:b/>
          <w:bCs/>
          <w:noProof/>
          <w:lang w:eastAsia="en-US"/>
        </w:rPr>
        <mc:AlternateContent>
          <mc:Choice Requires="wps">
            <w:drawing>
              <wp:anchor distT="0" distB="0" distL="0" distR="0" simplePos="0" relativeHeight="251674624" behindDoc="0" locked="0" layoutInCell="1" allowOverlap="1" wp14:anchorId="111CBE53" wp14:editId="16BE39E4">
                <wp:simplePos x="0" y="0"/>
                <wp:positionH relativeFrom="column">
                  <wp:posOffset>2143125</wp:posOffset>
                </wp:positionH>
                <wp:positionV relativeFrom="paragraph">
                  <wp:posOffset>89535</wp:posOffset>
                </wp:positionV>
                <wp:extent cx="676275" cy="352425"/>
                <wp:effectExtent l="0" t="0" r="28575" b="28575"/>
                <wp:wrapNone/>
                <wp:docPr id="105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70F83CE4"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wps:txbx>
                      <wps:bodyPr vert="horz" wrap="square" lIns="91440" tIns="45720" rIns="91440" bIns="45720" anchor="ctr">
                        <a:prstTxWarp prst="textNoShape">
                          <a:avLst/>
                        </a:prstTxWarp>
                        <a:noAutofit/>
                      </wps:bodyPr>
                    </wps:wsp>
                  </a:graphicData>
                </a:graphic>
              </wp:anchor>
            </w:drawing>
          </mc:Choice>
          <mc:Fallback>
            <w:pict>
              <v:rect w14:anchorId="111CBE53" id="Rectangle 16" o:spid="_x0000_s1045" style="position:absolute;left:0;text-align:left;margin-left:168.75pt;margin-top:7.05pt;width:53.25pt;height:27.75pt;z-index:2516746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y2KgIAAHwEAAAOAAAAZHJzL2Uyb0RvYy54bWysVMGO0zAQvSPxD5bvNGlou2zUdIUoRUir&#10;3ZV2Eeep7TQWjm1st0n5esZO2i0LB4TIwcp4Js9v3htnedO3ihyE89Loik4nOSVCM8Ol3lX0y9Pm&#10;zTtKfADNQRktKnoUnt6sXr9adrYUhWmM4sIRBNG+7GxFmxBsmWWeNaIFPzFWaEzWxrUQMHS7jDvo&#10;EL1VWZHni6wzjltnmPAed9dDkq4Sfl0LFu7r2otAVEWRW0irS+s2rtlqCeXOgW0kG2nAP7BoQWo8&#10;9Ay1hgBk7+RvUK1kznhThwkzbWbqWjKResBupvmLbh4bsCL1guJ4e5bJ/z9Ydnd4tA8uUvf21rBv&#10;HhXJOuvLcyYGfqzpa9fGWiRO+qTi8ayi6ANhuLm4WhRXc0oYpt7Oi1kxjypnUJ4+ts6HT8K0JL5U&#10;1KFJSTs43PowlJ5KEi+jJN9IpVLgdtsPypEDoKGb9Izo/rJMadJVtJjPcjSdAQ5WrSDga2t5Rb3e&#10;pQN/+cRfIufp+RNyZLYG3wwMEsIwRM7sNU/j1AjgHzUn4Whx4jXOPY1sWsEpUQKvSXxLlQGk+ptK&#10;FE/p0ZfBimhK6Lc9kdjP9DrCxa2t4ccHVEc4FLYx7geejMONLX/fg0Me6rPG6bmezmbxNqRgNr8q&#10;MHCXme1lBjRDqIqy4JJsUYKn/is4OzoY0Po7c5pWKF8YOdRG97R5vw+mlsnlZ75jZzjiaU7G6xjv&#10;0GWcqp5/GqufAAAA//8DAFBLAwQUAAYACAAAACEAJ0fjn+AAAAAJAQAADwAAAGRycy9kb3ducmV2&#10;LnhtbEyPQU7DMBBF90jcwRokNog6aU2AEKdqQWxaFtByACc2TiAeR7Gbhp6eYQXL0X/6836xnFzH&#10;RjOE1qOEdJYAM1h73aKV8L5/vr4DFqJCrTqPRsK3CbAsz88KlWt/xDcz7qJlVIIhVxKaGPuc81A3&#10;xqkw871Byj784FSkc7BcD+pI5a7j8yTJuFMt0odG9eaxMfXX7uAkrF/m+21qn65Om5OttmK068/X&#10;lZSXF9PqAVg0U/yD4Vef1KEkp8ofUAfWSVgsbm8IpUCkwAgQQtC4SkJ2nwEvC/5/QfkDAAD//wMA&#10;UEsBAi0AFAAGAAgAAAAhALaDOJL+AAAA4QEAABMAAAAAAAAAAAAAAAAAAAAAAFtDb250ZW50X1R5&#10;cGVzXS54bWxQSwECLQAUAAYACAAAACEAOP0h/9YAAACUAQAACwAAAAAAAAAAAAAAAAAvAQAAX3Jl&#10;bHMvLnJlbHNQSwECLQAUAAYACAAAACEA+/kMtioCAAB8BAAADgAAAAAAAAAAAAAAAAAuAgAAZHJz&#10;L2Uyb0RvYy54bWxQSwECLQAUAAYACAAAACEAJ0fjn+AAAAAJAQAADwAAAAAAAAAAAAAAAACEBAAA&#10;ZHJzL2Rvd25yZXYueG1sUEsFBgAAAAAEAAQA8wAAAJEFAAAAAA==&#10;" strokeweight="2pt">
                <v:stroke joinstyle="round"/>
                <v:path arrowok="t"/>
                <v:textbox>
                  <w:txbxContent>
                    <w:p w14:paraId="70F83CE4" w14:textId="77777777" w:rsidR="004B421D" w:rsidRDefault="004B421D" w:rsidP="004B421D">
                      <w:pPr>
                        <w:jc w:val="center"/>
                        <w:rPr>
                          <w:rFonts w:ascii="Times New Roman" w:hAnsi="Times New Roman"/>
                          <w:sz w:val="28"/>
                          <w:szCs w:val="28"/>
                        </w:rPr>
                      </w:pPr>
                      <w:r>
                        <w:rPr>
                          <w:rFonts w:ascii="Times New Roman" w:hAnsi="Times New Roman"/>
                          <w:sz w:val="28"/>
                          <w:szCs w:val="28"/>
                        </w:rPr>
                        <w:t>T7</w:t>
                      </w:r>
                    </w:p>
                  </w:txbxContent>
                </v:textbox>
              </v:rect>
            </w:pict>
          </mc:Fallback>
        </mc:AlternateContent>
      </w:r>
    </w:p>
    <w:p w14:paraId="608EB152"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b/>
          <w:bCs/>
          <w:noProof/>
          <w:lang w:eastAsia="en-US"/>
        </w:rPr>
        <mc:AlternateContent>
          <mc:Choice Requires="wps">
            <w:drawing>
              <wp:anchor distT="0" distB="0" distL="0" distR="0" simplePos="0" relativeHeight="251673600" behindDoc="0" locked="0" layoutInCell="1" allowOverlap="1" wp14:anchorId="088D79AB" wp14:editId="3681392A">
                <wp:simplePos x="0" y="0"/>
                <wp:positionH relativeFrom="column">
                  <wp:posOffset>2133600</wp:posOffset>
                </wp:positionH>
                <wp:positionV relativeFrom="paragraph">
                  <wp:posOffset>45720</wp:posOffset>
                </wp:positionV>
                <wp:extent cx="676275" cy="352425"/>
                <wp:effectExtent l="0" t="0" r="28575" b="28575"/>
                <wp:wrapNone/>
                <wp:docPr id="105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52425"/>
                        </a:xfrm>
                        <a:prstGeom prst="rect">
                          <a:avLst/>
                        </a:prstGeom>
                        <a:solidFill>
                          <a:srgbClr val="FFFFFF"/>
                        </a:solidFill>
                        <a:ln w="25400" cap="flat" cmpd="sng">
                          <a:solidFill>
                            <a:srgbClr val="000000"/>
                          </a:solidFill>
                          <a:prstDash val="solid"/>
                          <a:round/>
                          <a:headEnd type="none" w="med" len="med"/>
                          <a:tailEnd type="none" w="med" len="med"/>
                        </a:ln>
                      </wps:spPr>
                      <wps:txbx>
                        <w:txbxContent>
                          <w:p w14:paraId="36A900F2"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wps:txbx>
                      <wps:bodyPr vert="horz" wrap="square" lIns="91440" tIns="45720" rIns="91440" bIns="45720" anchor="ctr">
                        <a:prstTxWarp prst="textNoShape">
                          <a:avLst/>
                        </a:prstTxWarp>
                        <a:noAutofit/>
                      </wps:bodyPr>
                    </wps:wsp>
                  </a:graphicData>
                </a:graphic>
              </wp:anchor>
            </w:drawing>
          </mc:Choice>
          <mc:Fallback>
            <w:pict>
              <v:rect w14:anchorId="088D79AB" id="Rectangle 15" o:spid="_x0000_s1046" style="position:absolute;left:0;text-align:left;margin-left:168pt;margin-top:3.6pt;width:53.25pt;height:27.75pt;z-index:2516736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bc+KQIAAHwEAAAOAAAAZHJzL2Uyb0RvYy54bWysVE2P0zAQvSPxHyzfadLQD4iarhClCGm1&#10;rLSLOE9tp7FwbGO7TcqvZ+yk3bJwQIgcLNszfp557zmrm75V5Cicl0ZXdDrJKRGaGS71vqJfHrev&#10;3lDiA2gOymhR0ZPw9Gb98sWqs6UoTGMUF44giPZlZyvahGDLLPOsES34ibFCY7A2roWAS7fPuIMO&#10;0VuVFXm+yDrjuHWGCe9xdzME6Trh17Vg4XNdexGIqijWFtLo0riLY7ZeQbl3YBvJxjLgH6poQWq8&#10;9AK1gQDk4ORvUK1kznhThwkzbWbqWjKResBupvmzbh4asCL1guR4e6HJ/z9Ydnd8sPculu7trWHf&#10;PDKSddaXl0hc+DGnr10bc7Fw0icWTxcWRR8Iw83FclEs55QwDL2eF7NiHlnOoDwfts6Hj8K0JE4q&#10;6lCkxB0cb30YUs8pqS6jJN9KpdLC7XfvlSNHQEG36RvR/XWa0qSraDGf5Sg6AzRWrSDgtLW8ol7v&#10;04W/HPHXyHn6/oQcK9uAb4YKEsJgImcOmic7NQL4B81JOFl0vEbf01hNKzglSuAzibOUGUCqv8lE&#10;8pQedRmkiKKEftcTif0Uycdxa2f46R7ZEQ6JbYz7gTejubHl7wdwWIf6pNE9b6ezWXwNaTGbLxGA&#10;uOvI7joCmiFURVlwibZIwWP/FZwdFQwo/Z05uxXKZ0IOuVE9bd4dgqllUvmp3rEztHjyyfgc4xu6&#10;Xqesp5/G+icAAAD//wMAUEsDBBQABgAIAAAAIQBW++3c4AAAAAgBAAAPAAAAZHJzL2Rvd25yZXYu&#10;eG1sTI/BTsMwEETvSPyDtUhcEHXqhhSFbKoWxIVygJYPcGLjBOJ1FLtp6NfXnOA4mtHMm2I12Y6N&#10;evCtI4T5LAGmqXaqJYPwsX++vQfmgyQlO0ca4Ud7WJWXF4XMlTvSux53wbBYQj6XCE0Ifc65rxtt&#10;pZ+5XlP0Pt1gZYhyMFwN8hjLbcdFkmTcypbiQiN7/djo+nt3sAibV7Hfzs3TzenlZKptOprN19sa&#10;8fpqWj8AC3oKf2H4xY/oUEamyh1IedYhLBZZ/BIQlgJY9NNU3AGrEDKxBF4W/P+B8gwAAP//AwBQ&#10;SwECLQAUAAYACAAAACEAtoM4kv4AAADhAQAAEwAAAAAAAAAAAAAAAAAAAAAAW0NvbnRlbnRfVHlw&#10;ZXNdLnhtbFBLAQItABQABgAIAAAAIQA4/SH/1gAAAJQBAAALAAAAAAAAAAAAAAAAAC8BAABfcmVs&#10;cy8ucmVsc1BLAQItABQABgAIAAAAIQCLWbc+KQIAAHwEAAAOAAAAAAAAAAAAAAAAAC4CAABkcnMv&#10;ZTJvRG9jLnhtbFBLAQItABQABgAIAAAAIQBW++3c4AAAAAgBAAAPAAAAAAAAAAAAAAAAAIMEAABk&#10;cnMvZG93bnJldi54bWxQSwUGAAAAAAQABADzAAAAkAUAAAAA&#10;" strokeweight="2pt">
                <v:stroke joinstyle="round"/>
                <v:path arrowok="t"/>
                <v:textbox>
                  <w:txbxContent>
                    <w:p w14:paraId="36A900F2" w14:textId="77777777" w:rsidR="004B421D" w:rsidRDefault="004B421D" w:rsidP="004B421D">
                      <w:pPr>
                        <w:jc w:val="center"/>
                        <w:rPr>
                          <w:rFonts w:ascii="Times New Roman" w:hAnsi="Times New Roman"/>
                          <w:sz w:val="28"/>
                          <w:szCs w:val="28"/>
                        </w:rPr>
                      </w:pPr>
                      <w:r>
                        <w:rPr>
                          <w:rFonts w:ascii="Times New Roman" w:hAnsi="Times New Roman"/>
                          <w:sz w:val="28"/>
                          <w:szCs w:val="28"/>
                        </w:rPr>
                        <w:t>T6</w:t>
                      </w:r>
                    </w:p>
                  </w:txbxContent>
                </v:textbox>
              </v:rect>
            </w:pict>
          </mc:Fallback>
        </mc:AlternateContent>
      </w:r>
    </w:p>
    <w:p w14:paraId="5D358382"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cs="Arial"/>
          <w:sz w:val="24"/>
          <w:szCs w:val="24"/>
        </w:rPr>
        <w:t>The treatment codes were: T1 = 0 ton/ha PM, T2 = 5 tons/ha PM, T3 = 0.10 tons/ha NPK, T4 = 10 tons/ha PM, T5 = 0.15 tons/ha NPK, T6 = 15 tons/ha PM, and T7 = 0.20 tons/ha NPK.</w:t>
      </w:r>
    </w:p>
    <w:p w14:paraId="69030191" w14:textId="77777777" w:rsidR="00EB3E27" w:rsidRPr="00F222E9" w:rsidRDefault="00727917" w:rsidP="007B6FC2">
      <w:pPr>
        <w:pStyle w:val="Heading1"/>
        <w:jc w:val="both"/>
        <w:rPr>
          <w:rFonts w:ascii="Arial" w:hAnsi="Arial" w:cs="Arial"/>
          <w:sz w:val="24"/>
          <w:szCs w:val="24"/>
        </w:rPr>
      </w:pPr>
      <w:bookmarkStart w:id="10" w:name="_Toc190021205"/>
      <w:r w:rsidRPr="00F222E9">
        <w:rPr>
          <w:rFonts w:ascii="Arial" w:hAnsi="Arial" w:cs="Arial"/>
          <w:sz w:val="24"/>
          <w:szCs w:val="24"/>
        </w:rPr>
        <w:lastRenderedPageBreak/>
        <w:t>3.0 RESULTS</w:t>
      </w:r>
      <w:r w:rsidR="00AD5AA7" w:rsidRPr="00F222E9">
        <w:rPr>
          <w:rFonts w:ascii="Arial" w:hAnsi="Arial" w:cs="Arial"/>
          <w:sz w:val="24"/>
          <w:szCs w:val="24"/>
        </w:rPr>
        <w:t xml:space="preserve"> AND DISCUSSION</w:t>
      </w:r>
    </w:p>
    <w:p w14:paraId="336014BB" w14:textId="77777777" w:rsidR="004B421D" w:rsidRPr="00F222E9" w:rsidRDefault="00EB3E27" w:rsidP="007B6FC2">
      <w:pPr>
        <w:pStyle w:val="Heading1"/>
        <w:jc w:val="both"/>
        <w:rPr>
          <w:rFonts w:ascii="Arial" w:hAnsi="Arial" w:cs="Arial"/>
          <w:sz w:val="24"/>
          <w:szCs w:val="24"/>
        </w:rPr>
      </w:pPr>
      <w:r w:rsidRPr="00F222E9">
        <w:rPr>
          <w:rFonts w:ascii="Arial" w:hAnsi="Arial" w:cs="Arial"/>
          <w:sz w:val="24"/>
          <w:szCs w:val="24"/>
        </w:rPr>
        <w:t>3.1</w:t>
      </w:r>
      <w:r w:rsidR="004B421D" w:rsidRPr="00F222E9">
        <w:rPr>
          <w:rFonts w:ascii="Arial" w:hAnsi="Arial" w:cs="Arial"/>
          <w:sz w:val="24"/>
          <w:szCs w:val="24"/>
        </w:rPr>
        <w:t xml:space="preserve"> Effect of different levels of poultry manure and inorganic fertiliser on the leaf area (cm²) of cucumber</w:t>
      </w:r>
      <w:bookmarkEnd w:id="10"/>
    </w:p>
    <w:p w14:paraId="080829D8" w14:textId="77777777" w:rsidR="00727917"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Leaf area varied significantly among the poultry-manure and inorganic-fertiliser treatments (NPK 20:10:10) at each assessment time (p &lt; 0.05; Table 1). Application of 15 tons/ha poultry manure gave the largest leaf areas at 2, 4, and 6 WAP, with corresponding values of 59.26 cm², 73.65 cm², and 186.2 cm². At 2 and 4 WAP, the smallest values were recorded with 5 tons/ha poultry manure (40.46 cm² and 53.16 cm², respectively). By 6 WAP, the minimum leaf area was observed in the 0 ton/ha control (106 cm²).</w:t>
      </w:r>
    </w:p>
    <w:p w14:paraId="3C3A0A20" w14:textId="77777777" w:rsidR="004B421D" w:rsidRPr="00F222E9" w:rsidRDefault="004B421D" w:rsidP="007B6FC2">
      <w:pPr>
        <w:tabs>
          <w:tab w:val="left" w:pos="1800"/>
        </w:tabs>
        <w:spacing w:after="160" w:line="480" w:lineRule="auto"/>
        <w:jc w:val="both"/>
        <w:rPr>
          <w:rFonts w:ascii="Arial" w:hAnsi="Arial" w:cs="Arial"/>
          <w:b/>
          <w:bCs/>
          <w:sz w:val="24"/>
          <w:szCs w:val="24"/>
        </w:rPr>
      </w:pPr>
      <w:r w:rsidRPr="00F222E9">
        <w:rPr>
          <w:rFonts w:ascii="Arial" w:hAnsi="Arial" w:cs="Arial"/>
          <w:b/>
          <w:bCs/>
          <w:sz w:val="24"/>
          <w:szCs w:val="24"/>
        </w:rPr>
        <w:t>Table 1 Effect of different levels of poultry manure and inorganic fertiliser on the leaf area (cm²) of cucumber</w:t>
      </w:r>
    </w:p>
    <w:p w14:paraId="19A3527B"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Treatment                    2 WAP         4 WAP          6 WAP</w:t>
      </w:r>
    </w:p>
    <w:p w14:paraId="299FFEE5"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0</w:t>
      </w:r>
      <w:r w:rsidR="00E83F5B" w:rsidRPr="00F35688">
        <w:rPr>
          <w:rFonts w:ascii="Arial" w:hAnsi="Arial" w:cs="Arial"/>
          <w:lang w:val="nl-BE"/>
        </w:rPr>
        <w:t xml:space="preserve"> ton/ha                        </w:t>
      </w:r>
      <w:r w:rsidRPr="00F35688">
        <w:rPr>
          <w:rFonts w:ascii="Arial" w:hAnsi="Arial" w:cs="Arial"/>
          <w:lang w:val="nl-BE"/>
        </w:rPr>
        <w:t>41.57          53.19            106.0</w:t>
      </w:r>
    </w:p>
    <w:p w14:paraId="7A02523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5 tons /ha PM               40.46          53.16            121.2</w:t>
      </w:r>
    </w:p>
    <w:p w14:paraId="4619A6B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0.10 tons/ha </w:t>
      </w:r>
      <w:proofErr w:type="spellStart"/>
      <w:r w:rsidRPr="00F222E9">
        <w:rPr>
          <w:rFonts w:ascii="Arial" w:hAnsi="Arial" w:cs="Arial"/>
        </w:rPr>
        <w:t>npk</w:t>
      </w:r>
      <w:proofErr w:type="spellEnd"/>
      <w:r w:rsidRPr="00F222E9">
        <w:rPr>
          <w:rFonts w:ascii="Arial" w:hAnsi="Arial" w:cs="Arial"/>
        </w:rPr>
        <w:t xml:space="preserve">          46.23          </w:t>
      </w:r>
      <w:r w:rsidR="00617222" w:rsidRPr="00F222E9">
        <w:rPr>
          <w:rFonts w:ascii="Arial" w:hAnsi="Arial" w:cs="Arial"/>
        </w:rPr>
        <w:t xml:space="preserve"> </w:t>
      </w:r>
      <w:r w:rsidRPr="00F222E9">
        <w:rPr>
          <w:rFonts w:ascii="Arial" w:hAnsi="Arial" w:cs="Arial"/>
        </w:rPr>
        <w:t>60.48            124.9</w:t>
      </w:r>
    </w:p>
    <w:p w14:paraId="611E332A"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10 tons/ha PM             </w:t>
      </w:r>
      <w:r w:rsidR="00E83F5B" w:rsidRPr="00F222E9">
        <w:rPr>
          <w:rFonts w:ascii="Arial" w:hAnsi="Arial" w:cs="Arial"/>
        </w:rPr>
        <w:t xml:space="preserve"> </w:t>
      </w:r>
      <w:r w:rsidRPr="00F222E9">
        <w:rPr>
          <w:rFonts w:ascii="Arial" w:hAnsi="Arial" w:cs="Arial"/>
        </w:rPr>
        <w:t>5</w:t>
      </w:r>
      <w:r w:rsidR="00E83F5B" w:rsidRPr="00F222E9">
        <w:rPr>
          <w:rFonts w:ascii="Arial" w:hAnsi="Arial" w:cs="Arial"/>
        </w:rPr>
        <w:t xml:space="preserve">1.09          63.49           </w:t>
      </w:r>
      <w:r w:rsidR="000A4EAB" w:rsidRPr="00F222E9">
        <w:rPr>
          <w:rFonts w:ascii="Arial" w:hAnsi="Arial" w:cs="Arial"/>
        </w:rPr>
        <w:t xml:space="preserve"> </w:t>
      </w:r>
      <w:r w:rsidRPr="00F222E9">
        <w:rPr>
          <w:rFonts w:ascii="Arial" w:hAnsi="Arial" w:cs="Arial"/>
        </w:rPr>
        <w:t>137.3</w:t>
      </w:r>
    </w:p>
    <w:p w14:paraId="5E9DCD4A"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0.15 tons/ha </w:t>
      </w:r>
      <w:proofErr w:type="spellStart"/>
      <w:r w:rsidRPr="00F222E9">
        <w:rPr>
          <w:rFonts w:ascii="Arial" w:hAnsi="Arial" w:cs="Arial"/>
        </w:rPr>
        <w:t>npk</w:t>
      </w:r>
      <w:proofErr w:type="spellEnd"/>
      <w:r w:rsidRPr="00F222E9">
        <w:rPr>
          <w:rFonts w:ascii="Arial" w:hAnsi="Arial" w:cs="Arial"/>
        </w:rPr>
        <w:t xml:space="preserve">         </w:t>
      </w:r>
      <w:r w:rsidR="00E83F5B" w:rsidRPr="00F222E9">
        <w:rPr>
          <w:rFonts w:ascii="Arial" w:hAnsi="Arial" w:cs="Arial"/>
        </w:rPr>
        <w:t xml:space="preserve"> </w:t>
      </w:r>
      <w:r w:rsidRPr="00F222E9">
        <w:rPr>
          <w:rFonts w:ascii="Arial" w:hAnsi="Arial" w:cs="Arial"/>
        </w:rPr>
        <w:t>5</w:t>
      </w:r>
      <w:r w:rsidR="00E83F5B" w:rsidRPr="00F222E9">
        <w:rPr>
          <w:rFonts w:ascii="Arial" w:hAnsi="Arial" w:cs="Arial"/>
        </w:rPr>
        <w:t xml:space="preserve">5.78           68.59          </w:t>
      </w:r>
      <w:r w:rsidRPr="00F222E9">
        <w:rPr>
          <w:rFonts w:ascii="Arial" w:hAnsi="Arial" w:cs="Arial"/>
        </w:rPr>
        <w:t xml:space="preserve"> </w:t>
      </w:r>
      <w:r w:rsidR="000A4EAB" w:rsidRPr="00F222E9">
        <w:rPr>
          <w:rFonts w:ascii="Arial" w:hAnsi="Arial" w:cs="Arial"/>
        </w:rPr>
        <w:t xml:space="preserve"> </w:t>
      </w:r>
      <w:r w:rsidRPr="00F222E9">
        <w:rPr>
          <w:rFonts w:ascii="Arial" w:hAnsi="Arial" w:cs="Arial"/>
        </w:rPr>
        <w:t>162.8</w:t>
      </w:r>
    </w:p>
    <w:p w14:paraId="66D97376"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15 tons/ha PM             59.26           73.65            186.2</w:t>
      </w:r>
    </w:p>
    <w:p w14:paraId="3F2F5F11"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0.2 tons/ha </w:t>
      </w:r>
      <w:proofErr w:type="spellStart"/>
      <w:r w:rsidRPr="00F222E9">
        <w:rPr>
          <w:rFonts w:ascii="Arial" w:hAnsi="Arial" w:cs="Arial"/>
        </w:rPr>
        <w:t>npk</w:t>
      </w:r>
      <w:proofErr w:type="spellEnd"/>
      <w:r w:rsidRPr="00F222E9">
        <w:rPr>
          <w:rFonts w:ascii="Arial" w:hAnsi="Arial" w:cs="Arial"/>
        </w:rPr>
        <w:t xml:space="preserve">            58.86          </w:t>
      </w:r>
      <w:r w:rsidR="00E83F5B" w:rsidRPr="00F222E9">
        <w:rPr>
          <w:rFonts w:ascii="Arial" w:hAnsi="Arial" w:cs="Arial"/>
        </w:rPr>
        <w:t xml:space="preserve"> </w:t>
      </w:r>
      <w:r w:rsidRPr="00F222E9">
        <w:rPr>
          <w:rFonts w:ascii="Arial" w:hAnsi="Arial" w:cs="Arial"/>
        </w:rPr>
        <w:t>72.65            176.4</w:t>
      </w:r>
    </w:p>
    <w:p w14:paraId="175EE9E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Me</w:t>
      </w:r>
      <w:r w:rsidR="00E83F5B" w:rsidRPr="00F222E9">
        <w:rPr>
          <w:rFonts w:ascii="Arial" w:hAnsi="Arial" w:cs="Arial"/>
        </w:rPr>
        <w:t xml:space="preserve">an                            </w:t>
      </w:r>
      <w:r w:rsidRPr="00F222E9">
        <w:rPr>
          <w:rFonts w:ascii="Arial" w:hAnsi="Arial" w:cs="Arial"/>
        </w:rPr>
        <w:t xml:space="preserve">50.47           63.60           </w:t>
      </w:r>
      <w:r w:rsidR="00E83F5B" w:rsidRPr="00F222E9">
        <w:rPr>
          <w:rFonts w:ascii="Arial" w:hAnsi="Arial" w:cs="Arial"/>
        </w:rPr>
        <w:t xml:space="preserve"> </w:t>
      </w:r>
      <w:r w:rsidRPr="00F222E9">
        <w:rPr>
          <w:rFonts w:ascii="Arial" w:hAnsi="Arial" w:cs="Arial"/>
        </w:rPr>
        <w:t>145.0</w:t>
      </w:r>
    </w:p>
    <w:p w14:paraId="2F408E93"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lastRenderedPageBreak/>
        <w:t>LSD</w:t>
      </w:r>
      <w:r w:rsidR="00E83F5B" w:rsidRPr="00F222E9">
        <w:rPr>
          <w:rFonts w:ascii="Arial" w:hAnsi="Arial" w:cs="Arial"/>
        </w:rPr>
        <w:t xml:space="preserve">                              </w:t>
      </w:r>
      <w:r w:rsidRPr="00F222E9">
        <w:rPr>
          <w:rFonts w:ascii="Arial" w:hAnsi="Arial" w:cs="Arial"/>
        </w:rPr>
        <w:t xml:space="preserve">1.070           2.408           </w:t>
      </w:r>
      <w:r w:rsidR="00E83F5B" w:rsidRPr="00F222E9">
        <w:rPr>
          <w:rFonts w:ascii="Arial" w:hAnsi="Arial" w:cs="Arial"/>
        </w:rPr>
        <w:t xml:space="preserve"> </w:t>
      </w:r>
      <w:r w:rsidRPr="00F222E9">
        <w:rPr>
          <w:rFonts w:ascii="Arial" w:hAnsi="Arial" w:cs="Arial"/>
        </w:rPr>
        <w:t>22.78</w:t>
      </w:r>
    </w:p>
    <w:p w14:paraId="5AAA6BB3" w14:textId="77777777" w:rsidR="004B421D" w:rsidRPr="00F222E9" w:rsidRDefault="00EB3E27" w:rsidP="007B6FC2">
      <w:pPr>
        <w:tabs>
          <w:tab w:val="left" w:pos="1800"/>
        </w:tabs>
        <w:spacing w:after="160" w:line="480" w:lineRule="auto"/>
        <w:jc w:val="both"/>
        <w:rPr>
          <w:rFonts w:ascii="Arial" w:hAnsi="Arial" w:cs="Arial"/>
          <w:b/>
          <w:bCs/>
          <w:sz w:val="24"/>
          <w:szCs w:val="24"/>
        </w:rPr>
      </w:pPr>
      <w:r w:rsidRPr="00F222E9">
        <w:rPr>
          <w:rFonts w:ascii="Arial" w:hAnsi="Arial" w:cs="Arial"/>
          <w:b/>
          <w:bCs/>
          <w:sz w:val="24"/>
          <w:szCs w:val="24"/>
        </w:rPr>
        <w:t>3</w:t>
      </w:r>
      <w:r w:rsidR="004B421D" w:rsidRPr="00F222E9">
        <w:rPr>
          <w:rFonts w:ascii="Arial" w:hAnsi="Arial" w:cs="Arial"/>
          <w:b/>
          <w:bCs/>
          <w:sz w:val="24"/>
          <w:szCs w:val="24"/>
        </w:rPr>
        <w:t>.2</w:t>
      </w:r>
      <w:r w:rsidRPr="00F222E9">
        <w:rPr>
          <w:rFonts w:ascii="Arial" w:hAnsi="Arial" w:cs="Arial"/>
          <w:b/>
          <w:bCs/>
          <w:sz w:val="24"/>
          <w:szCs w:val="24"/>
        </w:rPr>
        <w:t xml:space="preserve"> </w:t>
      </w:r>
      <w:r w:rsidR="004B421D" w:rsidRPr="00F222E9">
        <w:rPr>
          <w:rFonts w:ascii="Arial" w:hAnsi="Arial" w:cs="Arial"/>
          <w:b/>
          <w:bCs/>
          <w:sz w:val="24"/>
          <w:szCs w:val="24"/>
        </w:rPr>
        <w:t>Effect of different levels of poultry manure and inorganic fertiliser on the number of leaves of cucumber.</w:t>
      </w:r>
    </w:p>
    <w:p w14:paraId="56F2AB1C"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The number of cucumber leaves was significantly influenced by the poultry-manure and inorganic-fertiliser treatments (NPK 20:10:10) at 2, 4, and 6 WAP (p &lt; 0.05; Table 2). At 2 WAP, both 15 tons/ha poultry manure and 0.2 tons/ha NPK fertiliser recorded the maximum value of 4.00 leaves, whereas the control and 5 tons/ha poultry manure each recorded 2.33 leaves. At 4 WAP, the largest leaf number was 13.33 under 0.2 tons/ha NPK, while the control and 5 tons/ha poultry manure each had the minimum value of 8.00. At 6 WAP, 0.2 tons/ha NPK again produced the greatest number of leaves (23.00), compared with the lowest value of 16.00 in the control.</w:t>
      </w:r>
    </w:p>
    <w:p w14:paraId="369B3F64" w14:textId="77777777" w:rsidR="004B421D" w:rsidRPr="00F222E9" w:rsidRDefault="00727917" w:rsidP="007B6FC2">
      <w:pPr>
        <w:tabs>
          <w:tab w:val="left" w:pos="1800"/>
        </w:tabs>
        <w:spacing w:after="160" w:line="480" w:lineRule="auto"/>
        <w:jc w:val="both"/>
        <w:rPr>
          <w:rFonts w:ascii="Arial" w:hAnsi="Arial" w:cs="Arial"/>
          <w:b/>
          <w:sz w:val="24"/>
          <w:szCs w:val="24"/>
        </w:rPr>
      </w:pPr>
      <w:r w:rsidRPr="00F222E9">
        <w:rPr>
          <w:rFonts w:ascii="Arial" w:hAnsi="Arial" w:cs="Arial"/>
          <w:b/>
          <w:sz w:val="24"/>
          <w:szCs w:val="24"/>
        </w:rPr>
        <w:t xml:space="preserve">Table 2: </w:t>
      </w:r>
      <w:r w:rsidR="004B421D" w:rsidRPr="00F222E9">
        <w:rPr>
          <w:rFonts w:ascii="Arial" w:hAnsi="Arial" w:cs="Arial"/>
          <w:b/>
          <w:sz w:val="24"/>
          <w:szCs w:val="24"/>
        </w:rPr>
        <w:t>Effect of different levels of poultry manure and inorganic fertiliser on the number of leaves of cucumber.</w:t>
      </w:r>
    </w:p>
    <w:p w14:paraId="7CDBC095"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Treatment                 2 WAP          4 WAP           6 WAP</w:t>
      </w:r>
    </w:p>
    <w:p w14:paraId="15780B7E"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0 ton/ha                      2.33</w:t>
      </w:r>
      <w:r w:rsidR="00CD02AC" w:rsidRPr="00F35688">
        <w:rPr>
          <w:rFonts w:ascii="Arial" w:hAnsi="Arial" w:cs="Arial"/>
          <w:lang w:val="nl-BE"/>
        </w:rPr>
        <w:t xml:space="preserve">               8.00            </w:t>
      </w:r>
      <w:r w:rsidRPr="00F35688">
        <w:rPr>
          <w:rFonts w:ascii="Arial" w:hAnsi="Arial" w:cs="Arial"/>
          <w:lang w:val="nl-BE"/>
        </w:rPr>
        <w:t>16.00</w:t>
      </w:r>
    </w:p>
    <w:p w14:paraId="395DA1E3"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5 tons /ha PM            2.33               8.00             17.00</w:t>
      </w:r>
    </w:p>
    <w:p w14:paraId="58185562"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0.10 tons/ha </w:t>
      </w:r>
      <w:proofErr w:type="spellStart"/>
      <w:r w:rsidRPr="00F222E9">
        <w:rPr>
          <w:rFonts w:ascii="Arial" w:hAnsi="Arial" w:cs="Arial"/>
        </w:rPr>
        <w:t>npk</w:t>
      </w:r>
      <w:proofErr w:type="spellEnd"/>
      <w:r w:rsidRPr="00F222E9">
        <w:rPr>
          <w:rFonts w:ascii="Arial" w:hAnsi="Arial" w:cs="Arial"/>
        </w:rPr>
        <w:t xml:space="preserve">       3.00             10.33             17.67</w:t>
      </w:r>
    </w:p>
    <w:p w14:paraId="38907B3A"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10 tons/ha </w:t>
      </w:r>
      <w:r w:rsidR="00CD02AC" w:rsidRPr="00F222E9">
        <w:rPr>
          <w:rFonts w:ascii="Arial" w:hAnsi="Arial" w:cs="Arial"/>
        </w:rPr>
        <w:t xml:space="preserve">PM          3.33              </w:t>
      </w:r>
      <w:r w:rsidRPr="00F222E9">
        <w:rPr>
          <w:rFonts w:ascii="Arial" w:hAnsi="Arial" w:cs="Arial"/>
        </w:rPr>
        <w:t>9.00             19.00</w:t>
      </w:r>
    </w:p>
    <w:p w14:paraId="19D425C2"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0.15 tons</w:t>
      </w:r>
      <w:r w:rsidR="00CD02AC" w:rsidRPr="00F222E9">
        <w:rPr>
          <w:rFonts w:ascii="Arial" w:hAnsi="Arial" w:cs="Arial"/>
        </w:rPr>
        <w:t xml:space="preserve">/ha </w:t>
      </w:r>
      <w:proofErr w:type="spellStart"/>
      <w:r w:rsidR="00CD02AC" w:rsidRPr="00F222E9">
        <w:rPr>
          <w:rFonts w:ascii="Arial" w:hAnsi="Arial" w:cs="Arial"/>
        </w:rPr>
        <w:t>npk</w:t>
      </w:r>
      <w:proofErr w:type="spellEnd"/>
      <w:r w:rsidR="00CD02AC" w:rsidRPr="00F222E9">
        <w:rPr>
          <w:rFonts w:ascii="Arial" w:hAnsi="Arial" w:cs="Arial"/>
        </w:rPr>
        <w:t xml:space="preserve">       3.00             </w:t>
      </w:r>
      <w:r w:rsidRPr="00F222E9">
        <w:rPr>
          <w:rFonts w:ascii="Arial" w:hAnsi="Arial" w:cs="Arial"/>
        </w:rPr>
        <w:t xml:space="preserve">10.67            </w:t>
      </w:r>
      <w:r w:rsidR="00CD02AC" w:rsidRPr="00F222E9">
        <w:rPr>
          <w:rFonts w:ascii="Arial" w:hAnsi="Arial" w:cs="Arial"/>
        </w:rPr>
        <w:t xml:space="preserve"> </w:t>
      </w:r>
      <w:r w:rsidRPr="00F222E9">
        <w:rPr>
          <w:rFonts w:ascii="Arial" w:hAnsi="Arial" w:cs="Arial"/>
        </w:rPr>
        <w:t>21.00</w:t>
      </w:r>
    </w:p>
    <w:p w14:paraId="7AB9341A"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15 tons/ha PM           4.00             11.33             22.00</w:t>
      </w:r>
    </w:p>
    <w:p w14:paraId="2E10C53A"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0.2 tons/ha </w:t>
      </w:r>
      <w:proofErr w:type="spellStart"/>
      <w:r w:rsidRPr="00F222E9">
        <w:rPr>
          <w:rFonts w:ascii="Arial" w:hAnsi="Arial" w:cs="Arial"/>
        </w:rPr>
        <w:t>npk</w:t>
      </w:r>
      <w:proofErr w:type="spellEnd"/>
      <w:r w:rsidRPr="00F222E9">
        <w:rPr>
          <w:rFonts w:ascii="Arial" w:hAnsi="Arial" w:cs="Arial"/>
        </w:rPr>
        <w:t xml:space="preserve">         4.00              13.33             23.00</w:t>
      </w:r>
    </w:p>
    <w:p w14:paraId="546B1E9B" w14:textId="77777777" w:rsidR="004B421D" w:rsidRPr="00F222E9" w:rsidRDefault="00CD02AC" w:rsidP="007B6FC2">
      <w:pPr>
        <w:tabs>
          <w:tab w:val="left" w:pos="1800"/>
        </w:tabs>
        <w:spacing w:after="160" w:line="480" w:lineRule="auto"/>
        <w:jc w:val="both"/>
        <w:rPr>
          <w:rFonts w:ascii="Arial" w:hAnsi="Arial" w:cs="Arial"/>
        </w:rPr>
      </w:pPr>
      <w:r w:rsidRPr="00F222E9">
        <w:rPr>
          <w:rFonts w:ascii="Arial" w:hAnsi="Arial" w:cs="Arial"/>
        </w:rPr>
        <w:lastRenderedPageBreak/>
        <w:t xml:space="preserve">Mean                         </w:t>
      </w:r>
      <w:r w:rsidR="004B421D" w:rsidRPr="00F222E9">
        <w:rPr>
          <w:rFonts w:ascii="Arial" w:hAnsi="Arial" w:cs="Arial"/>
        </w:rPr>
        <w:t>3.1</w:t>
      </w:r>
      <w:r w:rsidRPr="00F222E9">
        <w:rPr>
          <w:rFonts w:ascii="Arial" w:hAnsi="Arial" w:cs="Arial"/>
        </w:rPr>
        <w:t xml:space="preserve">4             10.10             </w:t>
      </w:r>
      <w:r w:rsidR="004B421D" w:rsidRPr="00F222E9">
        <w:rPr>
          <w:rFonts w:ascii="Arial" w:hAnsi="Arial" w:cs="Arial"/>
        </w:rPr>
        <w:t>19.38</w:t>
      </w:r>
    </w:p>
    <w:p w14:paraId="2C8206AA" w14:textId="77777777" w:rsidR="004B421D" w:rsidRPr="00F222E9" w:rsidRDefault="00CD02AC" w:rsidP="007B6FC2">
      <w:pPr>
        <w:tabs>
          <w:tab w:val="left" w:pos="1800"/>
        </w:tabs>
        <w:spacing w:after="160" w:line="480" w:lineRule="auto"/>
        <w:jc w:val="both"/>
        <w:rPr>
          <w:rFonts w:ascii="Arial" w:hAnsi="Arial" w:cs="Arial"/>
        </w:rPr>
      </w:pPr>
      <w:r w:rsidRPr="00F222E9">
        <w:rPr>
          <w:rFonts w:ascii="Arial" w:hAnsi="Arial" w:cs="Arial"/>
        </w:rPr>
        <w:t xml:space="preserve">LSD                           </w:t>
      </w:r>
      <w:r w:rsidR="004B421D" w:rsidRPr="00F222E9">
        <w:rPr>
          <w:rFonts w:ascii="Arial" w:hAnsi="Arial" w:cs="Arial"/>
        </w:rPr>
        <w:t>0.9</w:t>
      </w:r>
      <w:r w:rsidRPr="00F222E9">
        <w:rPr>
          <w:rFonts w:ascii="Arial" w:hAnsi="Arial" w:cs="Arial"/>
        </w:rPr>
        <w:t xml:space="preserve">90            3.130           </w:t>
      </w:r>
      <w:r w:rsidR="004B421D" w:rsidRPr="00F222E9">
        <w:rPr>
          <w:rFonts w:ascii="Arial" w:hAnsi="Arial" w:cs="Arial"/>
        </w:rPr>
        <w:t xml:space="preserve"> 2.661</w:t>
      </w:r>
    </w:p>
    <w:p w14:paraId="13465FE2" w14:textId="77777777" w:rsidR="004B421D" w:rsidRPr="00F222E9" w:rsidRDefault="0015670F" w:rsidP="007B6FC2">
      <w:pPr>
        <w:pStyle w:val="Heading1"/>
        <w:jc w:val="both"/>
        <w:rPr>
          <w:rFonts w:ascii="Arial" w:hAnsi="Arial" w:cs="Arial"/>
          <w:sz w:val="24"/>
          <w:szCs w:val="24"/>
        </w:rPr>
      </w:pPr>
      <w:bookmarkStart w:id="11" w:name="_Toc190021207"/>
      <w:r w:rsidRPr="00F222E9">
        <w:rPr>
          <w:rFonts w:ascii="Arial" w:hAnsi="Arial" w:cs="Arial"/>
          <w:sz w:val="24"/>
          <w:szCs w:val="24"/>
        </w:rPr>
        <w:t>3</w:t>
      </w:r>
      <w:r w:rsidR="004B421D" w:rsidRPr="00F222E9">
        <w:rPr>
          <w:rFonts w:ascii="Arial" w:hAnsi="Arial" w:cs="Arial"/>
          <w:sz w:val="24"/>
          <w:szCs w:val="24"/>
        </w:rPr>
        <w:t>.3 Effect of different levels  of poultry manure and inorganic fertiliser on the plant height (cm) of cucumber</w:t>
      </w:r>
      <w:bookmarkEnd w:id="11"/>
    </w:p>
    <w:p w14:paraId="0DD91674"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Significant differences in cucumber plant height occurred among poultry-manure and NPK 20:10:10 treatments at 2, 4, and 6 WAP (p &lt; 0.05; Table 3). The 0.2 tons/ha NPK treatment consistently produced the tallest plants, measuring 6.0 cm, 54.3 cm, and 79.3 cm at the three respective sampling times. The shortest plants at 2 and 6 WAP were found in the control, with heights of 4.0 cm and 47.2 cm. At 4 WAP, however, the minimum height was 34.3 cm under 5 tons/ha poultry manure.</w:t>
      </w:r>
    </w:p>
    <w:p w14:paraId="5C3F2034"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b/>
          <w:bCs/>
          <w:sz w:val="24"/>
          <w:szCs w:val="24"/>
        </w:rPr>
        <w:t>Table</w:t>
      </w:r>
      <w:r w:rsidR="007B6FC2" w:rsidRPr="00F222E9">
        <w:rPr>
          <w:rFonts w:ascii="Arial" w:hAnsi="Arial" w:cs="Arial"/>
          <w:b/>
          <w:bCs/>
          <w:sz w:val="24"/>
          <w:szCs w:val="24"/>
        </w:rPr>
        <w:t xml:space="preserve"> 3: Effect of different levels </w:t>
      </w:r>
      <w:r w:rsidRPr="00F222E9">
        <w:rPr>
          <w:rFonts w:ascii="Arial" w:hAnsi="Arial" w:cs="Arial"/>
          <w:b/>
          <w:bCs/>
          <w:sz w:val="24"/>
          <w:szCs w:val="24"/>
        </w:rPr>
        <w:t>of poultry manure and inorganic fertiliser on the plant height (cm) of cucumber</w:t>
      </w:r>
    </w:p>
    <w:p w14:paraId="7CC35057" w14:textId="77777777" w:rsidR="004B421D" w:rsidRPr="00F35688" w:rsidRDefault="004B421D" w:rsidP="007B6FC2">
      <w:pPr>
        <w:tabs>
          <w:tab w:val="left" w:pos="1800"/>
        </w:tabs>
        <w:spacing w:after="160" w:line="480" w:lineRule="auto"/>
        <w:jc w:val="both"/>
        <w:rPr>
          <w:rFonts w:ascii="Arial" w:hAnsi="Arial" w:cs="Arial"/>
          <w:sz w:val="24"/>
          <w:szCs w:val="24"/>
          <w:lang w:val="nl-BE"/>
        </w:rPr>
      </w:pPr>
      <w:r w:rsidRPr="00F35688">
        <w:rPr>
          <w:rFonts w:ascii="Arial" w:hAnsi="Arial" w:cs="Arial"/>
          <w:sz w:val="24"/>
          <w:szCs w:val="24"/>
          <w:lang w:val="nl-BE"/>
        </w:rPr>
        <w:t>Treatment               2 WAP             4 WAP             6 WAP</w:t>
      </w:r>
    </w:p>
    <w:p w14:paraId="6BEE178F" w14:textId="77777777" w:rsidR="004B421D" w:rsidRPr="00F35688" w:rsidRDefault="004B421D" w:rsidP="007B6FC2">
      <w:pPr>
        <w:tabs>
          <w:tab w:val="left" w:pos="1800"/>
        </w:tabs>
        <w:spacing w:after="160" w:line="480" w:lineRule="auto"/>
        <w:jc w:val="both"/>
        <w:rPr>
          <w:rFonts w:ascii="Arial" w:hAnsi="Arial" w:cs="Arial"/>
          <w:sz w:val="24"/>
          <w:szCs w:val="24"/>
          <w:lang w:val="nl-BE"/>
        </w:rPr>
      </w:pPr>
      <w:r w:rsidRPr="00F35688">
        <w:rPr>
          <w:rFonts w:ascii="Arial" w:hAnsi="Arial" w:cs="Arial"/>
          <w:sz w:val="24"/>
          <w:szCs w:val="24"/>
          <w:lang w:val="nl-BE"/>
        </w:rPr>
        <w:t xml:space="preserve">0 ton/ha                     4.0        </w:t>
      </w:r>
      <w:r w:rsidR="00CD02AC" w:rsidRPr="00F35688">
        <w:rPr>
          <w:rFonts w:ascii="Arial" w:hAnsi="Arial" w:cs="Arial"/>
          <w:sz w:val="24"/>
          <w:szCs w:val="24"/>
          <w:lang w:val="nl-BE"/>
        </w:rPr>
        <w:t xml:space="preserve">           35.5                </w:t>
      </w:r>
      <w:r w:rsidRPr="00F35688">
        <w:rPr>
          <w:rFonts w:ascii="Arial" w:hAnsi="Arial" w:cs="Arial"/>
          <w:sz w:val="24"/>
          <w:szCs w:val="24"/>
          <w:lang w:val="nl-BE"/>
        </w:rPr>
        <w:t>47.2</w:t>
      </w:r>
    </w:p>
    <w:p w14:paraId="280AAFD4"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5 tons /ha PM           4.5        </w:t>
      </w:r>
      <w:r w:rsidR="00CD02AC" w:rsidRPr="00F222E9">
        <w:rPr>
          <w:rFonts w:ascii="Arial" w:hAnsi="Arial" w:cs="Arial"/>
          <w:sz w:val="24"/>
          <w:szCs w:val="24"/>
        </w:rPr>
        <w:t xml:space="preserve">           34.3                </w:t>
      </w:r>
      <w:r w:rsidRPr="00F222E9">
        <w:rPr>
          <w:rFonts w:ascii="Arial" w:hAnsi="Arial" w:cs="Arial"/>
          <w:sz w:val="24"/>
          <w:szCs w:val="24"/>
        </w:rPr>
        <w:t>51.0</w:t>
      </w:r>
    </w:p>
    <w:p w14:paraId="3D081AA1"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0.10 tons/ha </w:t>
      </w:r>
      <w:proofErr w:type="spellStart"/>
      <w:r w:rsidRPr="00F222E9">
        <w:rPr>
          <w:rFonts w:ascii="Arial" w:hAnsi="Arial" w:cs="Arial"/>
          <w:sz w:val="24"/>
          <w:szCs w:val="24"/>
        </w:rPr>
        <w:t>npk</w:t>
      </w:r>
      <w:proofErr w:type="spellEnd"/>
      <w:r w:rsidRPr="00F222E9">
        <w:rPr>
          <w:rFonts w:ascii="Arial" w:hAnsi="Arial" w:cs="Arial"/>
          <w:sz w:val="24"/>
          <w:szCs w:val="24"/>
        </w:rPr>
        <w:t xml:space="preserve">      5.1          .   .    42.0                56.3</w:t>
      </w:r>
    </w:p>
    <w:p w14:paraId="7AF25851"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10 tons/ha PM          5.2        </w:t>
      </w:r>
      <w:r w:rsidR="00CD02AC" w:rsidRPr="00F222E9">
        <w:rPr>
          <w:rFonts w:ascii="Arial" w:hAnsi="Arial" w:cs="Arial"/>
          <w:sz w:val="24"/>
          <w:szCs w:val="24"/>
        </w:rPr>
        <w:t xml:space="preserve">           41.4                </w:t>
      </w:r>
      <w:r w:rsidRPr="00F222E9">
        <w:rPr>
          <w:rFonts w:ascii="Arial" w:hAnsi="Arial" w:cs="Arial"/>
          <w:sz w:val="24"/>
          <w:szCs w:val="24"/>
        </w:rPr>
        <w:t>52.9</w:t>
      </w:r>
    </w:p>
    <w:p w14:paraId="3E3326B8"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0.15 tons/ha </w:t>
      </w:r>
      <w:proofErr w:type="spellStart"/>
      <w:r w:rsidRPr="00F222E9">
        <w:rPr>
          <w:rFonts w:ascii="Arial" w:hAnsi="Arial" w:cs="Arial"/>
          <w:sz w:val="24"/>
          <w:szCs w:val="24"/>
        </w:rPr>
        <w:t>npk</w:t>
      </w:r>
      <w:proofErr w:type="spellEnd"/>
      <w:r w:rsidRPr="00F222E9">
        <w:rPr>
          <w:rFonts w:ascii="Arial" w:hAnsi="Arial" w:cs="Arial"/>
          <w:sz w:val="24"/>
          <w:szCs w:val="24"/>
        </w:rPr>
        <w:t xml:space="preserve">      5.5                   49.3                 64.0</w:t>
      </w:r>
    </w:p>
    <w:p w14:paraId="4B612E18"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15 tons/ha PM          5.9                   54.0                75.8</w:t>
      </w:r>
    </w:p>
    <w:p w14:paraId="6A3232F8"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0.2 tons/ha </w:t>
      </w:r>
      <w:proofErr w:type="spellStart"/>
      <w:r w:rsidRPr="00F222E9">
        <w:rPr>
          <w:rFonts w:ascii="Arial" w:hAnsi="Arial" w:cs="Arial"/>
          <w:sz w:val="24"/>
          <w:szCs w:val="24"/>
        </w:rPr>
        <w:t>npk</w:t>
      </w:r>
      <w:proofErr w:type="spellEnd"/>
      <w:r w:rsidRPr="00F222E9">
        <w:rPr>
          <w:rFonts w:ascii="Arial" w:hAnsi="Arial" w:cs="Arial"/>
          <w:sz w:val="24"/>
          <w:szCs w:val="24"/>
        </w:rPr>
        <w:t xml:space="preserve">        6.0                   54.3    .            79.3</w:t>
      </w:r>
    </w:p>
    <w:p w14:paraId="22DA55A6" w14:textId="77777777" w:rsidR="004B421D" w:rsidRPr="00F222E9" w:rsidRDefault="00CD02AC"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Mean                       </w:t>
      </w:r>
      <w:r w:rsidR="004B421D" w:rsidRPr="00F222E9">
        <w:rPr>
          <w:rFonts w:ascii="Arial" w:hAnsi="Arial" w:cs="Arial"/>
          <w:sz w:val="24"/>
          <w:szCs w:val="24"/>
        </w:rPr>
        <w:t xml:space="preserve"> 5.2        </w:t>
      </w:r>
      <w:r w:rsidRPr="00F222E9">
        <w:rPr>
          <w:rFonts w:ascii="Arial" w:hAnsi="Arial" w:cs="Arial"/>
          <w:sz w:val="24"/>
          <w:szCs w:val="24"/>
        </w:rPr>
        <w:t xml:space="preserve">           44.4                </w:t>
      </w:r>
      <w:r w:rsidR="004B421D" w:rsidRPr="00F222E9">
        <w:rPr>
          <w:rFonts w:ascii="Arial" w:hAnsi="Arial" w:cs="Arial"/>
          <w:sz w:val="24"/>
          <w:szCs w:val="24"/>
        </w:rPr>
        <w:t>60.9</w:t>
      </w:r>
    </w:p>
    <w:p w14:paraId="2D1476F4" w14:textId="77777777" w:rsidR="004B421D" w:rsidRPr="00F222E9" w:rsidRDefault="00CD02AC"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lastRenderedPageBreak/>
        <w:t xml:space="preserve">LSD                          </w:t>
      </w:r>
      <w:r w:rsidR="004B421D" w:rsidRPr="00F222E9">
        <w:rPr>
          <w:rFonts w:ascii="Arial" w:hAnsi="Arial" w:cs="Arial"/>
          <w:sz w:val="24"/>
          <w:szCs w:val="24"/>
        </w:rPr>
        <w:t xml:space="preserve">0.64      </w:t>
      </w:r>
      <w:r w:rsidRPr="00F222E9">
        <w:rPr>
          <w:rFonts w:ascii="Arial" w:hAnsi="Arial" w:cs="Arial"/>
          <w:sz w:val="24"/>
          <w:szCs w:val="24"/>
        </w:rPr>
        <w:t xml:space="preserve">           8.26               </w:t>
      </w:r>
      <w:r w:rsidR="004B421D" w:rsidRPr="00F222E9">
        <w:rPr>
          <w:rFonts w:ascii="Arial" w:hAnsi="Arial" w:cs="Arial"/>
          <w:sz w:val="24"/>
          <w:szCs w:val="24"/>
        </w:rPr>
        <w:t>10.85</w:t>
      </w:r>
    </w:p>
    <w:p w14:paraId="05244A95" w14:textId="77777777" w:rsidR="004B421D" w:rsidRPr="00F222E9" w:rsidRDefault="0015670F" w:rsidP="007B6FC2">
      <w:pPr>
        <w:pStyle w:val="Heading1"/>
        <w:jc w:val="both"/>
        <w:rPr>
          <w:rFonts w:ascii="Arial" w:hAnsi="Arial" w:cs="Arial"/>
          <w:noProof/>
          <w:sz w:val="24"/>
          <w:szCs w:val="24"/>
          <w:lang w:eastAsia="en-US"/>
        </w:rPr>
      </w:pPr>
      <w:bookmarkStart w:id="12" w:name="_Toc190021208"/>
      <w:r w:rsidRPr="00F222E9">
        <w:rPr>
          <w:rFonts w:ascii="Arial" w:hAnsi="Arial" w:cs="Arial"/>
          <w:noProof/>
          <w:sz w:val="24"/>
          <w:szCs w:val="24"/>
          <w:lang w:eastAsia="en-US"/>
        </w:rPr>
        <w:t>3</w:t>
      </w:r>
      <w:r w:rsidR="004B421D" w:rsidRPr="00F222E9">
        <w:rPr>
          <w:rFonts w:ascii="Arial" w:hAnsi="Arial" w:cs="Arial"/>
          <w:noProof/>
          <w:sz w:val="24"/>
          <w:szCs w:val="24"/>
          <w:lang w:eastAsia="en-US"/>
        </w:rPr>
        <w:t>.4 Effect of different levels of poultry manure and inorganic fertiliser on the days to 50% emergence of cucumber</w:t>
      </w:r>
    </w:p>
    <w:p w14:paraId="5C4DE4BC" w14:textId="77777777" w:rsidR="004B421D" w:rsidRPr="00F222E9" w:rsidRDefault="004B421D" w:rsidP="007B6FC2">
      <w:pPr>
        <w:jc w:val="both"/>
        <w:rPr>
          <w:rFonts w:ascii="Arial" w:hAnsi="Arial" w:cs="Arial"/>
          <w:noProof/>
          <w:sz w:val="24"/>
          <w:szCs w:val="24"/>
          <w:lang w:eastAsia="en-US"/>
        </w:rPr>
      </w:pPr>
      <w:r>
        <w:rPr>
          <w:rFonts w:ascii="Arial" w:hAnsi="Arial"/>
          <w:sz w:val="24"/>
        </w:rPr>
        <w:t>No significant difference in days to 50% emergence was detected among the poultry-manure and NPK 20:10:10 treatments (p &gt; 0.05; Table 4). The longest period to 50% emergence occurred in the control at 6.67 days, while 15 tons/ha poultry manure had the shortest period at 5.33 days.</w:t>
      </w:r>
    </w:p>
    <w:p w14:paraId="334CD963" w14:textId="77777777" w:rsidR="004B421D" w:rsidRPr="00F222E9" w:rsidRDefault="004B421D" w:rsidP="007B6FC2">
      <w:pPr>
        <w:pStyle w:val="Heading1"/>
        <w:jc w:val="both"/>
        <w:rPr>
          <w:rFonts w:ascii="Arial" w:hAnsi="Arial" w:cs="Arial"/>
          <w:sz w:val="24"/>
          <w:szCs w:val="24"/>
        </w:rPr>
      </w:pPr>
      <w:r w:rsidRPr="00F222E9">
        <w:rPr>
          <w:rFonts w:ascii="Arial" w:hAnsi="Arial" w:cs="Arial"/>
          <w:noProof/>
          <w:sz w:val="24"/>
          <w:szCs w:val="24"/>
          <w:lang w:eastAsia="en-US"/>
        </w:rPr>
        <w:t xml:space="preserve">Table </w:t>
      </w:r>
      <w:r w:rsidRPr="00F222E9">
        <w:rPr>
          <w:rFonts w:ascii="Arial" w:hAnsi="Arial" w:cs="Arial"/>
          <w:sz w:val="24"/>
          <w:szCs w:val="24"/>
        </w:rPr>
        <w:t>4: Effect of different levels of poultry manure and inorganic fertiliser on the days to 50% emergence of cucumber</w:t>
      </w:r>
      <w:bookmarkEnd w:id="12"/>
    </w:p>
    <w:p w14:paraId="263C83AF"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Treatment                     Days</w:t>
      </w:r>
    </w:p>
    <w:p w14:paraId="7A948672"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 </w:t>
      </w:r>
      <w:r w:rsidR="0045170E" w:rsidRPr="00F222E9">
        <w:rPr>
          <w:rFonts w:ascii="Arial" w:hAnsi="Arial" w:cs="Arial"/>
          <w:sz w:val="24"/>
          <w:szCs w:val="24"/>
        </w:rPr>
        <w:t xml:space="preserve">ton/ha                        </w:t>
      </w:r>
      <w:r w:rsidRPr="00F222E9">
        <w:rPr>
          <w:rFonts w:ascii="Arial" w:hAnsi="Arial" w:cs="Arial"/>
          <w:sz w:val="24"/>
          <w:szCs w:val="24"/>
        </w:rPr>
        <w:t>6.67</w:t>
      </w:r>
    </w:p>
    <w:p w14:paraId="2EF6B442" w14:textId="77777777" w:rsidR="004B421D" w:rsidRPr="00F222E9" w:rsidRDefault="0045170E"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5 tons /ha PM               </w:t>
      </w:r>
      <w:r w:rsidR="004B421D" w:rsidRPr="00F222E9">
        <w:rPr>
          <w:rFonts w:ascii="Arial" w:hAnsi="Arial" w:cs="Arial"/>
          <w:sz w:val="24"/>
          <w:szCs w:val="24"/>
        </w:rPr>
        <w:t>5.67</w:t>
      </w:r>
    </w:p>
    <w:p w14:paraId="496E10BB"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0.10 tons/ha </w:t>
      </w:r>
      <w:proofErr w:type="spellStart"/>
      <w:r w:rsidRPr="00F222E9">
        <w:rPr>
          <w:rFonts w:ascii="Arial" w:hAnsi="Arial" w:cs="Arial"/>
          <w:sz w:val="24"/>
          <w:szCs w:val="24"/>
        </w:rPr>
        <w:t>npk</w:t>
      </w:r>
      <w:proofErr w:type="spellEnd"/>
      <w:r w:rsidRPr="00F222E9">
        <w:rPr>
          <w:rFonts w:ascii="Arial" w:hAnsi="Arial" w:cs="Arial"/>
          <w:sz w:val="24"/>
          <w:szCs w:val="24"/>
        </w:rPr>
        <w:t xml:space="preserve">           6.33</w:t>
      </w:r>
    </w:p>
    <w:p w14:paraId="1E84BE16" w14:textId="77777777" w:rsidR="004B421D" w:rsidRPr="00F222E9" w:rsidRDefault="0045170E"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10 tons/ha PM              </w:t>
      </w:r>
      <w:r w:rsidR="004B421D" w:rsidRPr="00F222E9">
        <w:rPr>
          <w:rFonts w:ascii="Arial" w:hAnsi="Arial" w:cs="Arial"/>
          <w:sz w:val="24"/>
          <w:szCs w:val="24"/>
        </w:rPr>
        <w:t>6.00</w:t>
      </w:r>
    </w:p>
    <w:p w14:paraId="657D17E6"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0.15 tons/ha </w:t>
      </w:r>
      <w:proofErr w:type="spellStart"/>
      <w:r w:rsidRPr="00F222E9">
        <w:rPr>
          <w:rFonts w:ascii="Arial" w:hAnsi="Arial" w:cs="Arial"/>
          <w:sz w:val="24"/>
          <w:szCs w:val="24"/>
        </w:rPr>
        <w:t>npk</w:t>
      </w:r>
      <w:proofErr w:type="spellEnd"/>
      <w:r w:rsidRPr="00F222E9">
        <w:rPr>
          <w:rFonts w:ascii="Arial" w:hAnsi="Arial" w:cs="Arial"/>
          <w:sz w:val="24"/>
          <w:szCs w:val="24"/>
        </w:rPr>
        <w:t xml:space="preserve">          5.67</w:t>
      </w:r>
    </w:p>
    <w:p w14:paraId="0B0ABE74"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15 tons/ha PM              5.33</w:t>
      </w:r>
    </w:p>
    <w:p w14:paraId="36393132"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0.2 tons/ha </w:t>
      </w:r>
      <w:proofErr w:type="spellStart"/>
      <w:r w:rsidRPr="00F222E9">
        <w:rPr>
          <w:rFonts w:ascii="Arial" w:hAnsi="Arial" w:cs="Arial"/>
          <w:sz w:val="24"/>
          <w:szCs w:val="24"/>
        </w:rPr>
        <w:t>npk</w:t>
      </w:r>
      <w:proofErr w:type="spellEnd"/>
      <w:r w:rsidRPr="00F222E9">
        <w:rPr>
          <w:rFonts w:ascii="Arial" w:hAnsi="Arial" w:cs="Arial"/>
          <w:sz w:val="24"/>
          <w:szCs w:val="24"/>
        </w:rPr>
        <w:t xml:space="preserve">            5.67</w:t>
      </w:r>
    </w:p>
    <w:p w14:paraId="4B2128D3"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Me</w:t>
      </w:r>
      <w:r w:rsidR="0045170E" w:rsidRPr="00F222E9">
        <w:rPr>
          <w:rFonts w:ascii="Arial" w:hAnsi="Arial" w:cs="Arial"/>
          <w:sz w:val="24"/>
          <w:szCs w:val="24"/>
        </w:rPr>
        <w:t xml:space="preserve">an                            </w:t>
      </w:r>
      <w:r w:rsidRPr="00F222E9">
        <w:rPr>
          <w:rFonts w:ascii="Arial" w:hAnsi="Arial" w:cs="Arial"/>
          <w:sz w:val="24"/>
          <w:szCs w:val="24"/>
        </w:rPr>
        <w:t>5.90</w:t>
      </w:r>
    </w:p>
    <w:p w14:paraId="52280270"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sz w:val="24"/>
          <w:szCs w:val="24"/>
        </w:rPr>
        <w:t xml:space="preserve">LSD </w:t>
      </w:r>
      <w:r w:rsidR="0045170E" w:rsidRPr="00F222E9">
        <w:rPr>
          <w:rFonts w:ascii="Arial" w:hAnsi="Arial" w:cs="Arial"/>
          <w:sz w:val="24"/>
          <w:szCs w:val="24"/>
        </w:rPr>
        <w:t xml:space="preserve">                             </w:t>
      </w:r>
      <w:r w:rsidRPr="00F222E9">
        <w:rPr>
          <w:rFonts w:ascii="Arial" w:hAnsi="Arial" w:cs="Arial"/>
          <w:sz w:val="24"/>
          <w:szCs w:val="24"/>
        </w:rPr>
        <w:t>2.030 (NS)</w:t>
      </w:r>
    </w:p>
    <w:p w14:paraId="63F27015" w14:textId="77777777" w:rsidR="004B421D" w:rsidRPr="00F222E9" w:rsidRDefault="0015670F" w:rsidP="007B6FC2">
      <w:pPr>
        <w:pStyle w:val="Heading1"/>
        <w:jc w:val="both"/>
        <w:rPr>
          <w:rFonts w:ascii="Arial" w:hAnsi="Arial" w:cs="Arial"/>
          <w:sz w:val="24"/>
          <w:szCs w:val="24"/>
        </w:rPr>
      </w:pPr>
      <w:bookmarkStart w:id="13" w:name="_Toc190021209"/>
      <w:r w:rsidRPr="00F222E9">
        <w:rPr>
          <w:rFonts w:ascii="Arial" w:hAnsi="Arial" w:cs="Arial"/>
          <w:sz w:val="24"/>
          <w:szCs w:val="24"/>
        </w:rPr>
        <w:t>3</w:t>
      </w:r>
      <w:r w:rsidR="004B421D" w:rsidRPr="00F222E9">
        <w:rPr>
          <w:rFonts w:ascii="Arial" w:hAnsi="Arial" w:cs="Arial"/>
          <w:sz w:val="24"/>
          <w:szCs w:val="24"/>
        </w:rPr>
        <w:t>.5 Effect of different levels of poultry manure and inorganic fertiliser on the days to flowering and fruiting  of cucumber</w:t>
      </w:r>
      <w:bookmarkEnd w:id="13"/>
    </w:p>
    <w:p w14:paraId="66C2B6F5"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 xml:space="preserve">Flowering time differed significantly among the poultry-manure and NPK 20:10:10 treatments (p &lt; 0.05; Table 5). The control required the longest time to flowering, at </w:t>
      </w:r>
      <w:r>
        <w:rPr>
          <w:rFonts w:ascii="Arial" w:hAnsi="Arial"/>
          <w:sz w:val="24"/>
        </w:rPr>
        <w:lastRenderedPageBreak/>
        <w:t>37.10 days, whereas plants receiving 10 tons/ha poultry manure flowered earliest, at 28.57 days.</w:t>
      </w:r>
    </w:p>
    <w:p w14:paraId="56F1D355"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Days to fruiting were also significantly affected by the poultry-manure and NPK 20:10:10 treatments (p &lt; 0.05). Fruiting was latest in the control, which recorded 48.03 days, and earliest with 0.2 tons/ha NPK, which recorded 31.30 days.</w:t>
      </w:r>
    </w:p>
    <w:p w14:paraId="16454729"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b/>
          <w:bCs/>
          <w:sz w:val="24"/>
          <w:szCs w:val="24"/>
        </w:rPr>
        <w:t>Table 5: Effect of different levels of poultry manure and inorganic fertiliser on the days to flowering of cucumber</w:t>
      </w:r>
    </w:p>
    <w:p w14:paraId="7AC7BD38"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Treatment                     Days  to flowering       Days to fruiting</w:t>
      </w:r>
    </w:p>
    <w:p w14:paraId="5BB2F891"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 xml:space="preserve">0 ton/ha                           </w:t>
      </w:r>
      <w:r w:rsidR="00DA54B3" w:rsidRPr="00F35688">
        <w:rPr>
          <w:rFonts w:ascii="Arial" w:hAnsi="Arial" w:cs="Arial"/>
          <w:lang w:val="nl-BE"/>
        </w:rPr>
        <w:t xml:space="preserve">    </w:t>
      </w:r>
      <w:r w:rsidRPr="00F35688">
        <w:rPr>
          <w:rFonts w:ascii="Arial" w:hAnsi="Arial" w:cs="Arial"/>
          <w:lang w:val="nl-BE"/>
        </w:rPr>
        <w:t>37.10                          48.03</w:t>
      </w:r>
    </w:p>
    <w:p w14:paraId="7BF6A9D0"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5 to</w:t>
      </w:r>
      <w:r w:rsidR="00DA54B3" w:rsidRPr="00F35688">
        <w:rPr>
          <w:rFonts w:ascii="Arial" w:hAnsi="Arial" w:cs="Arial"/>
          <w:lang w:val="nl-BE"/>
        </w:rPr>
        <w:t xml:space="preserve">ns /ha PM                      </w:t>
      </w:r>
      <w:r w:rsidRPr="00F35688">
        <w:rPr>
          <w:rFonts w:ascii="Arial" w:hAnsi="Arial" w:cs="Arial"/>
          <w:lang w:val="nl-BE"/>
        </w:rPr>
        <w:t>32.50                          44.30</w:t>
      </w:r>
    </w:p>
    <w:p w14:paraId="40DD9A48"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0.10 tons/ha </w:t>
      </w:r>
      <w:proofErr w:type="spellStart"/>
      <w:r w:rsidRPr="00F222E9">
        <w:rPr>
          <w:rFonts w:ascii="Arial" w:hAnsi="Arial" w:cs="Arial"/>
        </w:rPr>
        <w:t>npk</w:t>
      </w:r>
      <w:proofErr w:type="spellEnd"/>
      <w:r w:rsidRPr="00F222E9">
        <w:rPr>
          <w:rFonts w:ascii="Arial" w:hAnsi="Arial" w:cs="Arial"/>
        </w:rPr>
        <w:t xml:space="preserve">                  34.70                          38.30</w:t>
      </w:r>
    </w:p>
    <w:p w14:paraId="1074909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10 </w:t>
      </w:r>
      <w:r w:rsidR="00DA54B3" w:rsidRPr="00F222E9">
        <w:rPr>
          <w:rFonts w:ascii="Arial" w:hAnsi="Arial" w:cs="Arial"/>
        </w:rPr>
        <w:t xml:space="preserve">tons/ha PM                     </w:t>
      </w:r>
      <w:r w:rsidRPr="00F222E9">
        <w:rPr>
          <w:rFonts w:ascii="Arial" w:hAnsi="Arial" w:cs="Arial"/>
        </w:rPr>
        <w:t>28.57                          34.30</w:t>
      </w:r>
    </w:p>
    <w:p w14:paraId="62DC329E"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0.</w:t>
      </w:r>
      <w:r w:rsidR="00DA54B3" w:rsidRPr="00F222E9">
        <w:rPr>
          <w:rFonts w:ascii="Arial" w:hAnsi="Arial" w:cs="Arial"/>
        </w:rPr>
        <w:t xml:space="preserve">15 tons/ha </w:t>
      </w:r>
      <w:proofErr w:type="spellStart"/>
      <w:r w:rsidR="00DA54B3" w:rsidRPr="00F222E9">
        <w:rPr>
          <w:rFonts w:ascii="Arial" w:hAnsi="Arial" w:cs="Arial"/>
        </w:rPr>
        <w:t>npk</w:t>
      </w:r>
      <w:proofErr w:type="spellEnd"/>
      <w:r w:rsidR="00DA54B3" w:rsidRPr="00F222E9">
        <w:rPr>
          <w:rFonts w:ascii="Arial" w:hAnsi="Arial" w:cs="Arial"/>
        </w:rPr>
        <w:t xml:space="preserve">                 </w:t>
      </w:r>
      <w:r w:rsidRPr="00F222E9">
        <w:rPr>
          <w:rFonts w:ascii="Arial" w:hAnsi="Arial" w:cs="Arial"/>
        </w:rPr>
        <w:t>35.03                          36.00</w:t>
      </w:r>
    </w:p>
    <w:p w14:paraId="348ECCF6"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15 tons/ha PM                     35.33                           37.00</w:t>
      </w:r>
    </w:p>
    <w:p w14:paraId="6559D2FB"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0.2 tons/ha </w:t>
      </w:r>
      <w:proofErr w:type="spellStart"/>
      <w:r w:rsidRPr="00F222E9">
        <w:rPr>
          <w:rFonts w:ascii="Arial" w:hAnsi="Arial" w:cs="Arial"/>
        </w:rPr>
        <w:t>npk</w:t>
      </w:r>
      <w:proofErr w:type="spellEnd"/>
      <w:r w:rsidRPr="00F222E9">
        <w:rPr>
          <w:rFonts w:ascii="Arial" w:hAnsi="Arial" w:cs="Arial"/>
        </w:rPr>
        <w:t xml:space="preserve">                    32.67                           31.30</w:t>
      </w:r>
    </w:p>
    <w:p w14:paraId="41FFCA50"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Mean                                 </w:t>
      </w:r>
      <w:r w:rsidR="00DA54B3" w:rsidRPr="00F222E9">
        <w:rPr>
          <w:rFonts w:ascii="Arial" w:hAnsi="Arial" w:cs="Arial"/>
        </w:rPr>
        <w:t xml:space="preserve">  </w:t>
      </w:r>
      <w:r w:rsidRPr="00F222E9">
        <w:rPr>
          <w:rFonts w:ascii="Arial" w:hAnsi="Arial" w:cs="Arial"/>
        </w:rPr>
        <w:t>33.70                           38.50</w:t>
      </w:r>
    </w:p>
    <w:p w14:paraId="0D0144D2" w14:textId="77777777" w:rsidR="000A197C"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LSD        </w:t>
      </w:r>
      <w:r w:rsidR="00DA54B3" w:rsidRPr="00F222E9">
        <w:rPr>
          <w:rFonts w:ascii="Arial" w:hAnsi="Arial" w:cs="Arial"/>
        </w:rPr>
        <w:t xml:space="preserve">                             </w:t>
      </w:r>
      <w:r w:rsidRPr="00F222E9">
        <w:rPr>
          <w:rFonts w:ascii="Arial" w:hAnsi="Arial" w:cs="Arial"/>
        </w:rPr>
        <w:t>1.964                           10.13</w:t>
      </w:r>
      <w:bookmarkStart w:id="14" w:name="_Toc190021211"/>
    </w:p>
    <w:p w14:paraId="04B9D308" w14:textId="77777777" w:rsidR="00D328C4" w:rsidRPr="00F222E9" w:rsidRDefault="00D328C4" w:rsidP="007B6FC2">
      <w:pPr>
        <w:tabs>
          <w:tab w:val="left" w:pos="1800"/>
        </w:tabs>
        <w:spacing w:after="160" w:line="480" w:lineRule="auto"/>
        <w:jc w:val="both"/>
        <w:rPr>
          <w:rStyle w:val="Heading1Char"/>
          <w:rFonts w:ascii="Arial" w:hAnsi="Arial" w:cs="Arial"/>
          <w:sz w:val="24"/>
          <w:szCs w:val="24"/>
        </w:rPr>
      </w:pPr>
    </w:p>
    <w:p w14:paraId="67E189DC" w14:textId="77777777" w:rsidR="00C50942" w:rsidRPr="00F222E9" w:rsidRDefault="00C50942" w:rsidP="007B6FC2">
      <w:pPr>
        <w:tabs>
          <w:tab w:val="left" w:pos="1800"/>
        </w:tabs>
        <w:spacing w:after="160" w:line="480" w:lineRule="auto"/>
        <w:jc w:val="both"/>
        <w:rPr>
          <w:rStyle w:val="Heading1Char"/>
          <w:rFonts w:ascii="Arial" w:hAnsi="Arial" w:cs="Arial"/>
          <w:sz w:val="24"/>
          <w:szCs w:val="24"/>
        </w:rPr>
      </w:pPr>
    </w:p>
    <w:p w14:paraId="5272A05A" w14:textId="77777777" w:rsidR="00C50942" w:rsidRPr="00F222E9" w:rsidRDefault="00C50942" w:rsidP="007B6FC2">
      <w:pPr>
        <w:tabs>
          <w:tab w:val="left" w:pos="1800"/>
        </w:tabs>
        <w:spacing w:after="160" w:line="480" w:lineRule="auto"/>
        <w:jc w:val="both"/>
        <w:rPr>
          <w:rStyle w:val="Heading1Char"/>
          <w:rFonts w:ascii="Arial" w:hAnsi="Arial" w:cs="Arial"/>
          <w:sz w:val="24"/>
          <w:szCs w:val="24"/>
        </w:rPr>
      </w:pPr>
    </w:p>
    <w:p w14:paraId="127E77F6" w14:textId="77777777" w:rsidR="004B421D" w:rsidRPr="00F222E9" w:rsidRDefault="0015670F" w:rsidP="007B6FC2">
      <w:pPr>
        <w:tabs>
          <w:tab w:val="left" w:pos="1800"/>
        </w:tabs>
        <w:spacing w:after="160" w:line="480" w:lineRule="auto"/>
        <w:jc w:val="both"/>
        <w:rPr>
          <w:rFonts w:ascii="Arial" w:hAnsi="Arial" w:cs="Arial"/>
          <w:sz w:val="24"/>
          <w:szCs w:val="24"/>
        </w:rPr>
      </w:pPr>
      <w:r w:rsidRPr="00F222E9">
        <w:rPr>
          <w:rStyle w:val="Heading1Char"/>
          <w:rFonts w:ascii="Arial" w:hAnsi="Arial" w:cs="Arial"/>
          <w:sz w:val="24"/>
          <w:szCs w:val="24"/>
        </w:rPr>
        <w:lastRenderedPageBreak/>
        <w:t>3</w:t>
      </w:r>
      <w:r w:rsidR="004B421D" w:rsidRPr="00F222E9">
        <w:rPr>
          <w:rStyle w:val="Heading1Char"/>
          <w:rFonts w:ascii="Arial" w:hAnsi="Arial" w:cs="Arial"/>
          <w:sz w:val="24"/>
          <w:szCs w:val="24"/>
        </w:rPr>
        <w:t>.6 Effect of different levels of poultry manure and inorganic fertiliser on</w:t>
      </w:r>
      <w:bookmarkEnd w:id="14"/>
      <w:r w:rsidR="004B421D" w:rsidRPr="00F222E9">
        <w:rPr>
          <w:rFonts w:ascii="Arial" w:hAnsi="Arial" w:cs="Arial"/>
          <w:b/>
          <w:bCs/>
          <w:sz w:val="24"/>
          <w:szCs w:val="24"/>
        </w:rPr>
        <w:t xml:space="preserve"> the average weight (</w:t>
      </w:r>
      <w:proofErr w:type="spellStart"/>
      <w:r w:rsidR="004B421D" w:rsidRPr="00F222E9">
        <w:rPr>
          <w:rFonts w:ascii="Arial" w:hAnsi="Arial" w:cs="Arial"/>
          <w:b/>
          <w:bCs/>
          <w:sz w:val="24"/>
          <w:szCs w:val="24"/>
        </w:rPr>
        <w:t>tha</w:t>
      </w:r>
      <w:proofErr w:type="spellEnd"/>
      <w:r w:rsidR="004B421D" w:rsidRPr="00F222E9">
        <w:rPr>
          <w:rFonts w:ascii="Arial" w:hAnsi="Arial" w:cs="Arial"/>
          <w:b/>
          <w:bCs/>
          <w:sz w:val="24"/>
          <w:szCs w:val="24"/>
        </w:rPr>
        <w:t>–¹) and number of fruits of cucumber after harvesting</w:t>
      </w:r>
    </w:p>
    <w:p w14:paraId="18CCD4FD" w14:textId="77777777" w:rsidR="004B421D" w:rsidRPr="00F222E9" w:rsidRDefault="004B421D" w:rsidP="007B6FC2">
      <w:pPr>
        <w:tabs>
          <w:tab w:val="left" w:pos="1800"/>
        </w:tabs>
        <w:spacing w:after="160" w:line="480" w:lineRule="auto"/>
        <w:jc w:val="both"/>
        <w:rPr>
          <w:rFonts w:ascii="Arial" w:hAnsi="Arial" w:cs="Arial"/>
          <w:sz w:val="24"/>
          <w:szCs w:val="24"/>
        </w:rPr>
      </w:pPr>
      <w:r>
        <w:rPr>
          <w:rFonts w:ascii="Arial" w:hAnsi="Arial"/>
          <w:sz w:val="24"/>
        </w:rPr>
        <w:t>As presented in Table 6, the poultry-manure and NPK 20:10:10 treatments significantly affected average cucumber fruit weight (p &lt; 0.05), but the number of fruits did not differ significantly. The greatest average fruit weight, 0.0021 t ha⁻¹, was recorded under 0.2 tons/ha NPK, whereas the control gave the lowest value of 0.0009 t ha⁻¹. Fruit number reached 6.00 under both 0.2 and 0.15 tons/ha NPK, compared with 4.00 in the control.</w:t>
      </w:r>
    </w:p>
    <w:p w14:paraId="05139F5E" w14:textId="77777777" w:rsidR="004B421D" w:rsidRPr="00F222E9" w:rsidRDefault="004B421D" w:rsidP="007B6FC2">
      <w:pPr>
        <w:tabs>
          <w:tab w:val="left" w:pos="1800"/>
        </w:tabs>
        <w:spacing w:after="160" w:line="480" w:lineRule="auto"/>
        <w:jc w:val="both"/>
        <w:rPr>
          <w:rFonts w:ascii="Arial" w:hAnsi="Arial" w:cs="Arial"/>
          <w:sz w:val="24"/>
          <w:szCs w:val="24"/>
        </w:rPr>
      </w:pPr>
      <w:r w:rsidRPr="00F222E9">
        <w:rPr>
          <w:rFonts w:ascii="Arial" w:hAnsi="Arial" w:cs="Arial"/>
          <w:b/>
          <w:bCs/>
          <w:noProof/>
          <w:sz w:val="24"/>
          <w:szCs w:val="24"/>
          <w:lang w:eastAsia="en-US"/>
        </w:rPr>
        <w:t>Table</w:t>
      </w:r>
      <w:r w:rsidRPr="00F222E9">
        <w:rPr>
          <w:rFonts w:ascii="Arial" w:hAnsi="Arial" w:cs="Arial"/>
          <w:noProof/>
          <w:sz w:val="24"/>
          <w:szCs w:val="24"/>
          <w:lang w:eastAsia="en-US"/>
        </w:rPr>
        <w:t xml:space="preserve"> </w:t>
      </w:r>
      <w:r w:rsidRPr="00F222E9">
        <w:rPr>
          <w:rFonts w:ascii="Arial" w:hAnsi="Arial" w:cs="Arial"/>
          <w:b/>
          <w:bCs/>
          <w:noProof/>
          <w:sz w:val="24"/>
          <w:szCs w:val="24"/>
          <w:lang w:eastAsia="en-US"/>
        </w:rPr>
        <w:t>6</w:t>
      </w:r>
      <w:r w:rsidRPr="00F222E9">
        <w:rPr>
          <w:rFonts w:ascii="Arial" w:hAnsi="Arial" w:cs="Arial"/>
          <w:b/>
          <w:bCs/>
          <w:sz w:val="24"/>
          <w:szCs w:val="24"/>
        </w:rPr>
        <w:t xml:space="preserve"> Effect of different levels of poultry manure and inorganic fertiliser on the average weight (</w:t>
      </w:r>
      <w:proofErr w:type="spellStart"/>
      <w:r w:rsidRPr="00F222E9">
        <w:rPr>
          <w:rFonts w:ascii="Arial" w:hAnsi="Arial" w:cs="Arial"/>
          <w:b/>
          <w:bCs/>
          <w:sz w:val="24"/>
          <w:szCs w:val="24"/>
        </w:rPr>
        <w:t>tha</w:t>
      </w:r>
      <w:proofErr w:type="spellEnd"/>
      <w:r w:rsidRPr="00F222E9">
        <w:rPr>
          <w:rFonts w:ascii="Arial" w:hAnsi="Arial" w:cs="Arial"/>
          <w:b/>
          <w:bCs/>
          <w:sz w:val="24"/>
          <w:szCs w:val="24"/>
        </w:rPr>
        <w:t>–¹) and number of fruits of cucumber after harvesting</w:t>
      </w:r>
    </w:p>
    <w:p w14:paraId="5CD58821"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Treatment                      Average weight                     Number of fruit</w:t>
      </w:r>
    </w:p>
    <w:p w14:paraId="06D42F8F"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0 ton/ha                                 0.0009                                      4.00</w:t>
      </w:r>
    </w:p>
    <w:p w14:paraId="15314510" w14:textId="77777777" w:rsidR="004B421D" w:rsidRPr="00F35688" w:rsidRDefault="004B421D" w:rsidP="007B6FC2">
      <w:pPr>
        <w:tabs>
          <w:tab w:val="left" w:pos="1800"/>
        </w:tabs>
        <w:spacing w:after="160" w:line="480" w:lineRule="auto"/>
        <w:jc w:val="both"/>
        <w:rPr>
          <w:rFonts w:ascii="Arial" w:hAnsi="Arial" w:cs="Arial"/>
          <w:lang w:val="nl-BE"/>
        </w:rPr>
      </w:pPr>
      <w:r w:rsidRPr="00F35688">
        <w:rPr>
          <w:rFonts w:ascii="Arial" w:hAnsi="Arial" w:cs="Arial"/>
          <w:lang w:val="nl-BE"/>
        </w:rPr>
        <w:t>5 tons /ha PM                       0.0015                                      5.33</w:t>
      </w:r>
    </w:p>
    <w:p w14:paraId="1E332E90"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0.10 tons/ha </w:t>
      </w:r>
      <w:proofErr w:type="spellStart"/>
      <w:r w:rsidRPr="00F222E9">
        <w:rPr>
          <w:rFonts w:ascii="Arial" w:hAnsi="Arial" w:cs="Arial"/>
        </w:rPr>
        <w:t>npk</w:t>
      </w:r>
      <w:proofErr w:type="spellEnd"/>
      <w:r w:rsidRPr="00F222E9">
        <w:rPr>
          <w:rFonts w:ascii="Arial" w:hAnsi="Arial" w:cs="Arial"/>
        </w:rPr>
        <w:t xml:space="preserve">                  0.0015                                      5.67</w:t>
      </w:r>
    </w:p>
    <w:p w14:paraId="2C8E032F"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10 tons/ha PM                       0.0014                                     5.00</w:t>
      </w:r>
    </w:p>
    <w:p w14:paraId="5F1CF6BE"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0.15 tons/ha </w:t>
      </w:r>
      <w:proofErr w:type="spellStart"/>
      <w:r w:rsidRPr="00F222E9">
        <w:rPr>
          <w:rFonts w:ascii="Arial" w:hAnsi="Arial" w:cs="Arial"/>
        </w:rPr>
        <w:t>npk</w:t>
      </w:r>
      <w:proofErr w:type="spellEnd"/>
      <w:r w:rsidRPr="00F222E9">
        <w:rPr>
          <w:rFonts w:ascii="Arial" w:hAnsi="Arial" w:cs="Arial"/>
        </w:rPr>
        <w:t xml:space="preserve">                   0.0018                                     6.00</w:t>
      </w:r>
    </w:p>
    <w:p w14:paraId="7532BA9A"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15 tons/ha PM                       0.0016                                     4.67</w:t>
      </w:r>
    </w:p>
    <w:p w14:paraId="362D8F25"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 xml:space="preserve">0.2 tons/ha </w:t>
      </w:r>
      <w:proofErr w:type="spellStart"/>
      <w:r w:rsidRPr="00F222E9">
        <w:rPr>
          <w:rFonts w:ascii="Arial" w:hAnsi="Arial" w:cs="Arial"/>
        </w:rPr>
        <w:t>npk</w:t>
      </w:r>
      <w:proofErr w:type="spellEnd"/>
      <w:r w:rsidRPr="00F222E9">
        <w:rPr>
          <w:rFonts w:ascii="Arial" w:hAnsi="Arial" w:cs="Arial"/>
        </w:rPr>
        <w:t xml:space="preserve">                     0.0021                                      6.00</w:t>
      </w:r>
    </w:p>
    <w:p w14:paraId="0CD9592F" w14:textId="77777777" w:rsidR="004B421D" w:rsidRPr="00F222E9" w:rsidRDefault="004B421D" w:rsidP="007B6FC2">
      <w:pPr>
        <w:tabs>
          <w:tab w:val="left" w:pos="1800"/>
        </w:tabs>
        <w:spacing w:after="160" w:line="480" w:lineRule="auto"/>
        <w:jc w:val="both"/>
        <w:rPr>
          <w:rFonts w:ascii="Arial" w:hAnsi="Arial" w:cs="Arial"/>
        </w:rPr>
      </w:pPr>
      <w:r w:rsidRPr="00F222E9">
        <w:rPr>
          <w:rFonts w:ascii="Arial" w:hAnsi="Arial" w:cs="Arial"/>
        </w:rPr>
        <w:t>Mean                                    0.015            . .     . .                5 24</w:t>
      </w:r>
    </w:p>
    <w:p w14:paraId="093F1248" w14:textId="77777777" w:rsidR="00400B3E" w:rsidRPr="00F222E9" w:rsidRDefault="004B421D" w:rsidP="00AD5AA7">
      <w:pPr>
        <w:tabs>
          <w:tab w:val="left" w:pos="1800"/>
        </w:tabs>
        <w:spacing w:after="160" w:line="480" w:lineRule="auto"/>
        <w:jc w:val="both"/>
        <w:rPr>
          <w:rFonts w:ascii="Arial" w:hAnsi="Arial" w:cs="Arial"/>
        </w:rPr>
      </w:pPr>
      <w:r w:rsidRPr="00F222E9">
        <w:rPr>
          <w:rFonts w:ascii="Arial" w:hAnsi="Arial" w:cs="Arial"/>
        </w:rPr>
        <w:t>LSD                                      2.294                                     1.639 (NS)</w:t>
      </w:r>
    </w:p>
    <w:p w14:paraId="53ACFC18" w14:textId="77777777" w:rsidR="00400B3E" w:rsidRPr="00F222E9" w:rsidRDefault="00400B3E" w:rsidP="007B6FC2">
      <w:pPr>
        <w:jc w:val="both"/>
        <w:rPr>
          <w:rFonts w:ascii="Arial" w:hAnsi="Arial" w:cs="Arial"/>
          <w:sz w:val="24"/>
          <w:szCs w:val="24"/>
        </w:rPr>
      </w:pPr>
      <w:r w:rsidRPr="00F222E9">
        <w:rPr>
          <w:rFonts w:ascii="Arial" w:hAnsi="Arial" w:cs="Arial"/>
          <w:sz w:val="24"/>
          <w:szCs w:val="24"/>
        </w:rPr>
        <w:t>Effect of different levels of poultry manure and inorganic fertiliser on the growth component of cucumber</w:t>
      </w:r>
    </w:p>
    <w:p w14:paraId="2E4FF771" w14:textId="77777777" w:rsidR="00400B3E" w:rsidRPr="00F222E9" w:rsidRDefault="00400B3E" w:rsidP="007B6FC2">
      <w:pPr>
        <w:jc w:val="both"/>
        <w:rPr>
          <w:rFonts w:ascii="Arial" w:hAnsi="Arial" w:cs="Arial"/>
          <w:sz w:val="24"/>
          <w:szCs w:val="24"/>
        </w:rPr>
      </w:pPr>
      <w:r>
        <w:rPr>
          <w:rFonts w:ascii="Arial" w:hAnsi="Arial"/>
          <w:sz w:val="24"/>
        </w:rPr>
        <w:lastRenderedPageBreak/>
        <w:t>Leaf area responded significantly to the applied rates of poultry manure and NPK 20:10:10 at 2, 4, and 6 WAP (p &lt; 0.05). Across these sampling periods, 15 tons/ha poultry manure gave the greatest leaf areas (59.26 cm², 73.65 cm², and 186.2 cm²). In contrast, 5 tons/ha poultry manure produced the smallest leaf areas at 2 and 4 WAP (40.46 cm² and 53.16 cm²), while the lowest value at 6 WAP occurred in the control (106 cm²).</w:t>
      </w:r>
    </w:p>
    <w:p w14:paraId="4CD471E8" w14:textId="77777777" w:rsidR="00400B3E" w:rsidRPr="00F222E9" w:rsidRDefault="00400B3E" w:rsidP="007B6FC2">
      <w:pPr>
        <w:jc w:val="both"/>
        <w:rPr>
          <w:rFonts w:ascii="Arial" w:hAnsi="Arial" w:cs="Arial"/>
          <w:sz w:val="24"/>
          <w:szCs w:val="24"/>
        </w:rPr>
      </w:pPr>
      <w:r>
        <w:rPr>
          <w:rFonts w:ascii="Arial" w:hAnsi="Arial"/>
          <w:sz w:val="24"/>
        </w:rPr>
        <w:t>The significant leaf-area response observed with poultry manure indicates that this nutrient source promoted greater expansion of cucumber leaves. This pattern agrees with the favourable cucumber growth response to poultry manure described by Sodimu (2020).</w:t>
      </w:r>
    </w:p>
    <w:p w14:paraId="0D22B28B" w14:textId="77777777" w:rsidR="00400B3E" w:rsidRPr="00F222E9" w:rsidRDefault="00400B3E" w:rsidP="007B6FC2">
      <w:pPr>
        <w:jc w:val="both"/>
        <w:rPr>
          <w:rFonts w:ascii="Arial" w:hAnsi="Arial" w:cs="Arial"/>
          <w:sz w:val="24"/>
          <w:szCs w:val="24"/>
        </w:rPr>
      </w:pPr>
      <w:r>
        <w:rPr>
          <w:rFonts w:ascii="Arial" w:hAnsi="Arial"/>
          <w:sz w:val="24"/>
        </w:rPr>
        <w:t>Leaf production also differed significantly among the poultry-manure and NPK 20:10:10 treatments (p &lt; 0.05), as shown in Table 2. At 2 WAP, the maximum of 4.00 leaves was obtained with both 15 tons/ha poultry manure and 0.2 tons/ha NPK fertiliser. The response is in line with previous reports that crop growth can benefit from both organic and mineral nutrient inputs (Alasiri et al., 1998; Satyanarayana et al., 2002).</w:t>
      </w:r>
    </w:p>
    <w:p w14:paraId="07282922" w14:textId="77777777" w:rsidR="00400B3E" w:rsidRPr="00F222E9" w:rsidRDefault="00AD5AA7" w:rsidP="007B6FC2">
      <w:pPr>
        <w:jc w:val="both"/>
        <w:rPr>
          <w:rFonts w:ascii="Arial" w:hAnsi="Arial" w:cs="Arial"/>
          <w:b/>
          <w:bCs/>
          <w:sz w:val="24"/>
          <w:szCs w:val="24"/>
        </w:rPr>
      </w:pPr>
      <w:r w:rsidRPr="00F222E9">
        <w:rPr>
          <w:rFonts w:ascii="Arial" w:hAnsi="Arial" w:cs="Arial"/>
          <w:b/>
          <w:bCs/>
          <w:sz w:val="24"/>
          <w:szCs w:val="24"/>
        </w:rPr>
        <w:t xml:space="preserve">3.7 </w:t>
      </w:r>
      <w:r w:rsidR="00400B3E" w:rsidRPr="00F222E9">
        <w:rPr>
          <w:rFonts w:ascii="Arial" w:hAnsi="Arial" w:cs="Arial"/>
          <w:b/>
          <w:bCs/>
          <w:sz w:val="24"/>
          <w:szCs w:val="24"/>
        </w:rPr>
        <w:t>Effect of different levels of poultry manure and inorganic fertiliser on the growth component of cucumber</w:t>
      </w:r>
    </w:p>
    <w:p w14:paraId="2ABEBE64" w14:textId="77777777" w:rsidR="00400B3E" w:rsidRPr="00F222E9" w:rsidRDefault="00400B3E" w:rsidP="007B6FC2">
      <w:pPr>
        <w:jc w:val="both"/>
        <w:rPr>
          <w:rFonts w:ascii="Arial" w:hAnsi="Arial" w:cs="Arial"/>
          <w:sz w:val="24"/>
          <w:szCs w:val="24"/>
        </w:rPr>
      </w:pPr>
      <w:r>
        <w:rPr>
          <w:rFonts w:ascii="Arial" w:hAnsi="Arial"/>
          <w:sz w:val="24"/>
        </w:rPr>
        <w:t>For the harvested fruits, average weight responded significantly to poultry-manure and NPK 20:10:10 application (p &lt; 0.05), whereas fruit number did not show a significant treatment response (Table 6). The highest average weight of 0.0021 t ha⁻¹ occurred with 0.2 tons/ha NPK, while the control recorded 0.0009 t ha⁻¹. Both 0.2 and 0.15 tons/ha NPK produced 6.00 fruits, and the control produced 4.00 fruits.</w:t>
      </w:r>
    </w:p>
    <w:p w14:paraId="729ACF47" w14:textId="77777777" w:rsidR="00400B3E" w:rsidRPr="00F222E9" w:rsidRDefault="00400B3E" w:rsidP="00D328C4">
      <w:pPr>
        <w:jc w:val="both"/>
        <w:rPr>
          <w:rFonts w:ascii="Arial" w:hAnsi="Arial" w:cs="Arial"/>
          <w:sz w:val="24"/>
          <w:szCs w:val="24"/>
        </w:rPr>
      </w:pPr>
      <w:r>
        <w:rPr>
          <w:rFonts w:ascii="Arial" w:hAnsi="Arial"/>
          <w:sz w:val="24"/>
        </w:rPr>
        <w:t>The present yield response is consistent with the improvement in cucumber yield under poultry-manure and NPK fertilisation previously reported by Opara et al. (2012).</w:t>
      </w:r>
    </w:p>
    <w:p w14:paraId="380EC58A" w14:textId="77777777" w:rsidR="00400B3E" w:rsidRPr="00F222E9" w:rsidRDefault="00AD5AA7" w:rsidP="007B6FC2">
      <w:pPr>
        <w:pStyle w:val="Heading1"/>
        <w:jc w:val="both"/>
        <w:rPr>
          <w:rFonts w:ascii="Arial" w:hAnsi="Arial" w:cs="Arial"/>
          <w:sz w:val="24"/>
          <w:szCs w:val="24"/>
        </w:rPr>
      </w:pPr>
      <w:bookmarkStart w:id="15" w:name="_Toc190021214"/>
      <w:r w:rsidRPr="00F222E9">
        <w:rPr>
          <w:rFonts w:ascii="Arial" w:hAnsi="Arial" w:cs="Arial"/>
          <w:sz w:val="24"/>
          <w:szCs w:val="24"/>
        </w:rPr>
        <w:t>4</w:t>
      </w:r>
      <w:r w:rsidR="00400B3E" w:rsidRPr="00F222E9">
        <w:rPr>
          <w:rFonts w:ascii="Arial" w:hAnsi="Arial" w:cs="Arial"/>
          <w:sz w:val="24"/>
          <w:szCs w:val="24"/>
        </w:rPr>
        <w:t>.</w:t>
      </w:r>
      <w:bookmarkEnd w:id="15"/>
      <w:r w:rsidR="0015670F" w:rsidRPr="00F222E9">
        <w:rPr>
          <w:rFonts w:ascii="Arial" w:hAnsi="Arial" w:cs="Arial"/>
          <w:sz w:val="24"/>
          <w:szCs w:val="24"/>
        </w:rPr>
        <w:t xml:space="preserve">0 </w:t>
      </w:r>
      <w:r w:rsidR="00400B3E" w:rsidRPr="00F222E9">
        <w:rPr>
          <w:rFonts w:ascii="Arial" w:hAnsi="Arial" w:cs="Arial"/>
          <w:sz w:val="24"/>
          <w:szCs w:val="24"/>
        </w:rPr>
        <w:t>Conclusion</w:t>
      </w:r>
    </w:p>
    <w:p w14:paraId="29BD0498" w14:textId="77777777" w:rsidR="00400B3E" w:rsidRPr="00F222E9" w:rsidRDefault="00400B3E" w:rsidP="007B6FC2">
      <w:pPr>
        <w:tabs>
          <w:tab w:val="left" w:pos="1800"/>
        </w:tabs>
        <w:spacing w:after="160" w:line="480" w:lineRule="auto"/>
        <w:jc w:val="both"/>
        <w:rPr>
          <w:rFonts w:ascii="Arial" w:hAnsi="Arial" w:cs="Arial"/>
          <w:sz w:val="24"/>
          <w:szCs w:val="24"/>
        </w:rPr>
      </w:pPr>
      <w:r>
        <w:rPr>
          <w:rFonts w:ascii="Arial" w:hAnsi="Arial"/>
          <w:sz w:val="24"/>
        </w:rPr>
        <w:t>The field trial was undertaken at the Federal University of Technology Teaching and Research Farm, Owerri, between October and December 2024. Using a Randomised Complete Block Design (RCBD), the study compared 0 ton/ha, 5 tons/ha PM, 0.1 ton/ha NPK, 10 tons/ha PM, 0.15 tons/ha NPK, 15 tons/ha PM, and 0.2 tons/ha NPK to determine their effects on cucumber growth and yield. Recommended cultural and agronomic practices were followed during crop management.</w:t>
      </w:r>
    </w:p>
    <w:p w14:paraId="5365FD4E" w14:textId="77777777" w:rsidR="00400B3E" w:rsidRPr="00F222E9" w:rsidRDefault="00400B3E" w:rsidP="007B6FC2">
      <w:pPr>
        <w:tabs>
          <w:tab w:val="left" w:pos="1800"/>
        </w:tabs>
        <w:spacing w:after="160" w:line="480" w:lineRule="auto"/>
        <w:jc w:val="both"/>
        <w:rPr>
          <w:rFonts w:ascii="Arial" w:hAnsi="Arial" w:cs="Arial"/>
          <w:sz w:val="24"/>
          <w:szCs w:val="24"/>
        </w:rPr>
      </w:pPr>
      <w:r>
        <w:rPr>
          <w:rFonts w:ascii="Arial" w:hAnsi="Arial"/>
          <w:sz w:val="24"/>
        </w:rPr>
        <w:lastRenderedPageBreak/>
        <w:t>Measurements of growth and yield were analysed using analysis of variance (ANOVA). Several of the assessed variables differed significantly among treatments, and the Least Significant Difference (LSD) test at the 5% probability level was used to separate treatment means.</w:t>
      </w:r>
    </w:p>
    <w:p w14:paraId="0AB37B1F" w14:textId="77777777" w:rsidR="00400B3E" w:rsidRPr="00F222E9" w:rsidRDefault="00400B3E" w:rsidP="007B6FC2">
      <w:pPr>
        <w:tabs>
          <w:tab w:val="left" w:pos="1800"/>
        </w:tabs>
        <w:spacing w:after="160" w:line="480" w:lineRule="auto"/>
        <w:jc w:val="both"/>
        <w:rPr>
          <w:rFonts w:ascii="Arial" w:hAnsi="Arial" w:cs="Arial"/>
          <w:sz w:val="24"/>
          <w:szCs w:val="24"/>
        </w:rPr>
      </w:pPr>
      <w:r>
        <w:rPr>
          <w:rFonts w:ascii="Arial" w:hAnsi="Arial"/>
          <w:sz w:val="24"/>
        </w:rPr>
        <w:t>Cucumber performance varied according to the rate and type of nutrient input. Among the treatments evaluated, 0.2 tons/ha NPK produced the greatest average fruit weight.</w:t>
      </w:r>
    </w:p>
    <w:p w14:paraId="22870950" w14:textId="77777777" w:rsidR="00400B3E" w:rsidRPr="00F222E9" w:rsidRDefault="00400B3E" w:rsidP="007B6FC2">
      <w:pPr>
        <w:tabs>
          <w:tab w:val="left" w:pos="1800"/>
        </w:tabs>
        <w:spacing w:after="160" w:line="480" w:lineRule="auto"/>
        <w:jc w:val="both"/>
        <w:rPr>
          <w:rFonts w:ascii="Arial" w:hAnsi="Arial" w:cs="Arial"/>
          <w:sz w:val="24"/>
          <w:szCs w:val="24"/>
        </w:rPr>
      </w:pPr>
      <w:r>
        <w:rPr>
          <w:rFonts w:ascii="Arial" w:hAnsi="Arial"/>
          <w:sz w:val="24"/>
        </w:rPr>
        <w:t>Vegetable crops, including cucumber, contribute to food security in rapidly growing populations such as that of Nigeria. Cucumber is especially relevant in locations where field-crop production is difficult and may face additional pressure from global warming. Improving cucumber productivity through moderate application rates of either poultry manure or inorganic fertiliser is therefore important.</w:t>
      </w:r>
    </w:p>
    <w:p w14:paraId="317D0C9E" w14:textId="77777777" w:rsidR="00400B3E" w:rsidRPr="00F222E9" w:rsidRDefault="00AD5AA7" w:rsidP="007B6FC2">
      <w:pPr>
        <w:pStyle w:val="Heading1"/>
        <w:jc w:val="both"/>
        <w:rPr>
          <w:rFonts w:ascii="Arial" w:hAnsi="Arial" w:cs="Arial"/>
          <w:sz w:val="24"/>
          <w:szCs w:val="24"/>
        </w:rPr>
      </w:pPr>
      <w:bookmarkStart w:id="16" w:name="_Toc190021216"/>
      <w:r w:rsidRPr="00F222E9">
        <w:rPr>
          <w:rFonts w:ascii="Arial" w:hAnsi="Arial" w:cs="Arial"/>
          <w:sz w:val="24"/>
          <w:szCs w:val="24"/>
        </w:rPr>
        <w:t>4.1</w:t>
      </w:r>
      <w:r w:rsidR="00400B3E" w:rsidRPr="00F222E9">
        <w:rPr>
          <w:rFonts w:ascii="Arial" w:hAnsi="Arial" w:cs="Arial"/>
          <w:sz w:val="24"/>
          <w:szCs w:val="24"/>
        </w:rPr>
        <w:t xml:space="preserve"> Recommendation</w:t>
      </w:r>
      <w:bookmarkEnd w:id="16"/>
    </w:p>
    <w:p w14:paraId="2559D8F9" w14:textId="77777777" w:rsidR="00400B3E" w:rsidRDefault="00400B3E" w:rsidP="007B6FC2">
      <w:pPr>
        <w:tabs>
          <w:tab w:val="left" w:pos="1800"/>
        </w:tabs>
        <w:spacing w:after="160" w:line="480" w:lineRule="auto"/>
        <w:jc w:val="both"/>
        <w:rPr>
          <w:rFonts w:ascii="Arial" w:hAnsi="Arial"/>
          <w:sz w:val="24"/>
        </w:rPr>
      </w:pPr>
      <w:r>
        <w:rPr>
          <w:rFonts w:ascii="Arial" w:hAnsi="Arial"/>
          <w:sz w:val="24"/>
        </w:rPr>
        <w:t>Under the conditions of this experiment, application of either 0.2 tons/ha NPK or 15 tons/ha poultry manure is recommended for farmers in Owerri, south-eastern Nigeria, because these rates produced favourable cucumber growth and yield responses.</w:t>
      </w:r>
    </w:p>
    <w:p w14:paraId="349EFEE3" w14:textId="77777777" w:rsidR="00F222E9" w:rsidRDefault="00F222E9" w:rsidP="007B6FC2">
      <w:pPr>
        <w:tabs>
          <w:tab w:val="left" w:pos="1800"/>
        </w:tabs>
        <w:spacing w:after="160" w:line="480" w:lineRule="auto"/>
        <w:jc w:val="both"/>
        <w:rPr>
          <w:rFonts w:ascii="Arial" w:hAnsi="Arial"/>
          <w:sz w:val="24"/>
        </w:rPr>
      </w:pPr>
    </w:p>
    <w:p w14:paraId="740721CD" w14:textId="6F9361F4" w:rsidR="00F222E9" w:rsidRPr="00F222E9" w:rsidRDefault="00F222E9" w:rsidP="00F222E9">
      <w:pPr>
        <w:spacing w:before="100" w:beforeAutospacing="1" w:after="100" w:afterAutospacing="1" w:line="240" w:lineRule="auto"/>
        <w:outlineLvl w:val="2"/>
        <w:rPr>
          <w:rFonts w:ascii="Times New Roman" w:eastAsia="Times New Roman" w:hAnsi="Times New Roman"/>
          <w:b/>
          <w:bCs/>
          <w:sz w:val="27"/>
          <w:szCs w:val="27"/>
          <w:lang w:eastAsia="en-US"/>
        </w:rPr>
      </w:pPr>
      <w:r w:rsidRPr="00F222E9">
        <w:rPr>
          <w:rFonts w:ascii="Times New Roman" w:eastAsia="Times New Roman" w:hAnsi="Times New Roman"/>
          <w:b/>
          <w:bCs/>
          <w:sz w:val="27"/>
          <w:szCs w:val="27"/>
          <w:lang w:eastAsia="en-US"/>
        </w:rPr>
        <w:t xml:space="preserve">Limitation </w:t>
      </w:r>
    </w:p>
    <w:p w14:paraId="50A8ADA8" w14:textId="0421BF63" w:rsidR="00F222E9" w:rsidRPr="00F222E9" w:rsidRDefault="00F222E9" w:rsidP="00F222E9">
      <w:pPr>
        <w:spacing w:before="100" w:beforeAutospacing="1" w:after="100" w:afterAutospacing="1"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Because the experiment was undertaken at only one location during a single production period, the results may not capture variation between seasons or sites. Poultry manure and NPK fertiliser were evaluated as separate treatments, and combinations of the organic and inorganic nutrient sources were not tested. In addition, changes in soil properties and economic returns were not reported; consequently, the study does not permit firm conclusions about long-term soil effects or profitability.</w:t>
      </w:r>
    </w:p>
    <w:p w14:paraId="2243CEF8" w14:textId="77777777" w:rsidR="00F222E9" w:rsidRPr="00F222E9" w:rsidRDefault="00F222E9" w:rsidP="007B6FC2">
      <w:pPr>
        <w:tabs>
          <w:tab w:val="left" w:pos="1800"/>
        </w:tabs>
        <w:spacing w:after="160" w:line="480" w:lineRule="auto"/>
        <w:jc w:val="both"/>
        <w:rPr>
          <w:rFonts w:ascii="Arial" w:hAnsi="Arial" w:cs="Arial"/>
          <w:sz w:val="24"/>
          <w:szCs w:val="24"/>
        </w:rPr>
      </w:pPr>
    </w:p>
    <w:p w14:paraId="02E59E8E" w14:textId="77777777" w:rsidR="005C580A" w:rsidRPr="00F222E9" w:rsidRDefault="005C580A" w:rsidP="005C580A">
      <w:pPr>
        <w:shd w:val="clear" w:color="auto" w:fill="FFFFFF"/>
        <w:spacing w:after="0" w:line="240" w:lineRule="auto"/>
        <w:rPr>
          <w:rFonts w:ascii="Arial" w:eastAsia="Times New Roman" w:hAnsi="Arial" w:cs="Arial"/>
          <w:color w:val="222222"/>
          <w:sz w:val="24"/>
          <w:szCs w:val="24"/>
          <w:lang w:val="en-IN" w:eastAsia="en-IN"/>
        </w:rPr>
      </w:pPr>
      <w:bookmarkStart w:id="17" w:name="_Hlk232854992"/>
      <w:bookmarkStart w:id="18" w:name="_Hlk238909442"/>
      <w:bookmarkStart w:id="19" w:name="_Hlk237857116"/>
    </w:p>
    <w:p w14:paraId="3E0055BF" w14:textId="77777777" w:rsidR="005C580A" w:rsidRPr="00F222E9" w:rsidRDefault="005C580A" w:rsidP="005C580A">
      <w:pPr>
        <w:spacing w:after="0" w:line="240" w:lineRule="auto"/>
        <w:rPr>
          <w:rFonts w:ascii="Arial" w:hAnsi="Arial" w:cs="Arial"/>
          <w:b/>
          <w:sz w:val="20"/>
          <w:szCs w:val="20"/>
        </w:rPr>
      </w:pPr>
      <w:bookmarkStart w:id="20" w:name="_Hlk238550938"/>
      <w:bookmarkStart w:id="21" w:name="_Hlk237856463"/>
      <w:bookmarkEnd w:id="17"/>
      <w:r w:rsidRPr="00F222E9">
        <w:rPr>
          <w:rFonts w:ascii="Arial" w:hAnsi="Arial" w:cs="Arial"/>
          <w:b/>
          <w:sz w:val="20"/>
          <w:szCs w:val="20"/>
        </w:rPr>
        <w:t>Declaration of AI Use</w:t>
      </w:r>
    </w:p>
    <w:p w14:paraId="2DE66804" w14:textId="77777777" w:rsidR="005C580A" w:rsidRPr="00F222E9" w:rsidRDefault="005C580A" w:rsidP="005C580A">
      <w:pPr>
        <w:spacing w:after="0" w:line="240" w:lineRule="auto"/>
        <w:rPr>
          <w:rFonts w:ascii="Arial" w:hAnsi="Arial" w:cs="Arial"/>
          <w:sz w:val="20"/>
          <w:szCs w:val="20"/>
        </w:rPr>
      </w:pPr>
      <w:bookmarkStart w:id="22" w:name="_Hlk239068730"/>
    </w:p>
    <w:p w14:paraId="7B3133F2" w14:textId="77777777" w:rsidR="005C580A" w:rsidRPr="00F222E9" w:rsidRDefault="005C580A" w:rsidP="005C580A">
      <w:pPr>
        <w:spacing w:after="0" w:line="240" w:lineRule="auto"/>
        <w:rPr>
          <w:rFonts w:ascii="Arial" w:hAnsi="Arial" w:cs="Arial"/>
          <w:sz w:val="20"/>
          <w:szCs w:val="20"/>
        </w:rPr>
      </w:pPr>
      <w:bookmarkStart w:id="23" w:name="_Hlk237862032"/>
      <w:bookmarkEnd w:id="18"/>
      <w:bookmarkEnd w:id="20"/>
      <w:r>
        <w:rPr>
          <w:rFonts w:ascii="Arial" w:hAnsi="Arial" w:cs="Arial"/>
          <w:sz w:val="20"/>
          <w:szCs w:val="20"/>
        </w:rPr>
        <w:t>The author(s) made the intellectual contributions to the study design, data analysis, interpretation of the results, and scholarly content of this manuscript. Grammarly and ChatGPT were used only as assistance for linguistic refinement, paraphrasing during manuscript revision, and reference formatting. Responsibility for the accuracy, integrity, and final content remains entirely with the author(s).</w:t>
      </w:r>
    </w:p>
    <w:bookmarkEnd w:id="19"/>
    <w:bookmarkEnd w:id="21"/>
    <w:bookmarkEnd w:id="22"/>
    <w:bookmarkEnd w:id="23"/>
    <w:p w14:paraId="29A2CA98" w14:textId="77777777" w:rsidR="005C580A" w:rsidRPr="00F222E9" w:rsidRDefault="005C580A" w:rsidP="007B6FC2">
      <w:pPr>
        <w:tabs>
          <w:tab w:val="left" w:pos="1800"/>
        </w:tabs>
        <w:spacing w:after="160" w:line="480" w:lineRule="auto"/>
        <w:jc w:val="both"/>
        <w:rPr>
          <w:rFonts w:ascii="Arial" w:hAnsi="Arial" w:cs="Arial"/>
          <w:sz w:val="24"/>
          <w:szCs w:val="24"/>
        </w:rPr>
      </w:pPr>
    </w:p>
    <w:p w14:paraId="6542F079" w14:textId="77777777" w:rsidR="00400B3E" w:rsidRPr="00F222E9" w:rsidRDefault="000A197C" w:rsidP="000A197C">
      <w:pPr>
        <w:pStyle w:val="Heading2"/>
        <w:spacing w:line="480" w:lineRule="auto"/>
        <w:jc w:val="both"/>
        <w:rPr>
          <w:rFonts w:ascii="Arial" w:hAnsi="Arial" w:cs="Arial"/>
          <w:b w:val="0"/>
          <w:color w:val="auto"/>
          <w:sz w:val="24"/>
          <w:szCs w:val="24"/>
        </w:rPr>
      </w:pPr>
      <w:bookmarkStart w:id="24" w:name="_Toc182422159"/>
      <w:bookmarkStart w:id="25" w:name="_Toc190021217"/>
      <w:r w:rsidRPr="00F222E9">
        <w:rPr>
          <w:rFonts w:ascii="Arial" w:hAnsi="Arial" w:cs="Arial"/>
          <w:color w:val="auto"/>
          <w:sz w:val="24"/>
          <w:szCs w:val="24"/>
        </w:rPr>
        <w:t xml:space="preserve">                                                      </w:t>
      </w:r>
      <w:r w:rsidR="00400B3E" w:rsidRPr="00F222E9">
        <w:rPr>
          <w:rFonts w:ascii="Arial" w:hAnsi="Arial" w:cs="Arial"/>
          <w:color w:val="auto"/>
          <w:sz w:val="24"/>
          <w:szCs w:val="24"/>
        </w:rPr>
        <w:t>REFERENCES</w:t>
      </w:r>
      <w:bookmarkEnd w:id="24"/>
      <w:bookmarkEnd w:id="25"/>
    </w:p>
    <w:p w14:paraId="34E0D155" w14:textId="1353E306"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Ahmed, N., Baloch, M. H., Haleem, A., Ejaz, M., &amp; Ahmed, N. (2007). Effect of different levels of nitrogen on the growth and production of cucumber. </w:t>
      </w:r>
      <w:r w:rsidRPr="00F35688">
        <w:rPr>
          <w:rFonts w:ascii="Times New Roman" w:eastAsia="Times New Roman" w:hAnsi="Times New Roman"/>
          <w:i/>
          <w:iCs/>
          <w:sz w:val="24"/>
          <w:szCs w:val="24"/>
          <w:lang w:eastAsia="en-US"/>
        </w:rPr>
        <w:t>Life Sciences International Journal, 1</w:t>
      </w:r>
      <w:r w:rsidRPr="00F35688">
        <w:rPr>
          <w:rFonts w:ascii="Times New Roman" w:eastAsia="Times New Roman" w:hAnsi="Times New Roman"/>
          <w:sz w:val="24"/>
          <w:szCs w:val="24"/>
          <w:lang w:eastAsia="en-US"/>
        </w:rPr>
        <w:t xml:space="preserve">(1), 99–102. </w:t>
      </w:r>
    </w:p>
    <w:p w14:paraId="2FCB66A6" w14:textId="545BEAF4"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proofErr w:type="spellStart"/>
      <w:r w:rsidRPr="00F35688">
        <w:rPr>
          <w:rFonts w:ascii="Times New Roman" w:eastAsia="Times New Roman" w:hAnsi="Times New Roman"/>
          <w:sz w:val="24"/>
          <w:szCs w:val="24"/>
          <w:lang w:eastAsia="en-US"/>
        </w:rPr>
        <w:t>Alasiri</w:t>
      </w:r>
      <w:proofErr w:type="spellEnd"/>
      <w:r w:rsidRPr="00F35688">
        <w:rPr>
          <w:rFonts w:ascii="Times New Roman" w:eastAsia="Times New Roman" w:hAnsi="Times New Roman"/>
          <w:sz w:val="24"/>
          <w:szCs w:val="24"/>
          <w:lang w:eastAsia="en-US"/>
        </w:rPr>
        <w:t xml:space="preserve">, K. O., Olaniyan, F. O., &amp; Salami, A. (1998). Growth and yield of plantain as influenced by the application of organic and mineral fertilizer. In </w:t>
      </w:r>
      <w:r w:rsidRPr="00F35688">
        <w:rPr>
          <w:rFonts w:ascii="Times New Roman" w:eastAsia="Times New Roman" w:hAnsi="Times New Roman"/>
          <w:i/>
          <w:iCs/>
          <w:sz w:val="24"/>
          <w:szCs w:val="24"/>
          <w:lang w:eastAsia="en-US"/>
        </w:rPr>
        <w:t>Proceedings of the 16th Annual Conference of the Horticultural Society of Nigeria</w:t>
      </w:r>
      <w:r w:rsidRPr="00F35688">
        <w:rPr>
          <w:rFonts w:ascii="Times New Roman" w:eastAsia="Times New Roman" w:hAnsi="Times New Roman"/>
          <w:sz w:val="24"/>
          <w:szCs w:val="24"/>
          <w:lang w:eastAsia="en-US"/>
        </w:rPr>
        <w:t xml:space="preserve"> (pp. 107–111). National Horticultural Research Institute. </w:t>
      </w:r>
      <w:hyperlink r:id="rId8" w:history="1">
        <w:r w:rsidRPr="00F35688">
          <w:rPr>
            <w:rFonts w:ascii="Times New Roman" w:eastAsia="Times New Roman" w:hAnsi="Times New Roman"/>
            <w:color w:val="0000FF"/>
            <w:sz w:val="24"/>
            <w:szCs w:val="24"/>
            <w:u w:val="single"/>
            <w:lang w:eastAsia="en-US"/>
          </w:rPr>
          <w:t>https://nihort.gov.ng/hortbase/growth-and-yield-of-plantain-as-influenced-by-the-application-of-organice-qnd-mineral-fertilizer/</w:t>
        </w:r>
      </w:hyperlink>
    </w:p>
    <w:p w14:paraId="292DADB2" w14:textId="65670D2F"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Aliyu, L. (2000). Effect of organic and mineral fertilizers on growth, yield and composition of pepper (</w:t>
      </w:r>
      <w:r w:rsidRPr="00F35688">
        <w:rPr>
          <w:rFonts w:ascii="Times New Roman" w:eastAsia="Times New Roman" w:hAnsi="Times New Roman"/>
          <w:i/>
          <w:iCs/>
          <w:sz w:val="24"/>
          <w:szCs w:val="24"/>
          <w:lang w:eastAsia="en-US"/>
        </w:rPr>
        <w:t>Capsicum annuum</w:t>
      </w:r>
      <w:r w:rsidRPr="00F35688">
        <w:rPr>
          <w:rFonts w:ascii="Times New Roman" w:eastAsia="Times New Roman" w:hAnsi="Times New Roman"/>
          <w:sz w:val="24"/>
          <w:szCs w:val="24"/>
          <w:lang w:eastAsia="en-US"/>
        </w:rPr>
        <w:t xml:space="preserve"> L.). </w:t>
      </w:r>
      <w:r w:rsidRPr="00F35688">
        <w:rPr>
          <w:rFonts w:ascii="Times New Roman" w:eastAsia="Times New Roman" w:hAnsi="Times New Roman"/>
          <w:i/>
          <w:iCs/>
          <w:sz w:val="24"/>
          <w:szCs w:val="24"/>
          <w:lang w:eastAsia="en-US"/>
        </w:rPr>
        <w:t>Biological Agriculture &amp; Horticulture, 18</w:t>
      </w:r>
      <w:r w:rsidRPr="00F35688">
        <w:rPr>
          <w:rFonts w:ascii="Times New Roman" w:eastAsia="Times New Roman" w:hAnsi="Times New Roman"/>
          <w:sz w:val="24"/>
          <w:szCs w:val="24"/>
          <w:lang w:eastAsia="en-US"/>
        </w:rPr>
        <w:t xml:space="preserve">(1), 29–36. </w:t>
      </w:r>
      <w:hyperlink r:id="rId9" w:history="1">
        <w:r w:rsidRPr="00F35688">
          <w:rPr>
            <w:rFonts w:ascii="Times New Roman" w:eastAsia="Times New Roman" w:hAnsi="Times New Roman"/>
            <w:color w:val="0000FF"/>
            <w:sz w:val="24"/>
            <w:szCs w:val="24"/>
            <w:u w:val="single"/>
            <w:lang w:eastAsia="en-US"/>
          </w:rPr>
          <w:t>https://doi.org/10.1080/01448765.2000.9754862</w:t>
        </w:r>
      </w:hyperlink>
    </w:p>
    <w:p w14:paraId="586D52C4" w14:textId="4DD46236"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proofErr w:type="spellStart"/>
      <w:r w:rsidRPr="00F35688">
        <w:rPr>
          <w:rFonts w:ascii="Times New Roman" w:eastAsia="Times New Roman" w:hAnsi="Times New Roman"/>
          <w:sz w:val="24"/>
          <w:szCs w:val="24"/>
          <w:lang w:eastAsia="en-US"/>
        </w:rPr>
        <w:t>Ayotamuno</w:t>
      </w:r>
      <w:proofErr w:type="spellEnd"/>
      <w:r w:rsidRPr="00F35688">
        <w:rPr>
          <w:rFonts w:ascii="Times New Roman" w:eastAsia="Times New Roman" w:hAnsi="Times New Roman"/>
          <w:sz w:val="24"/>
          <w:szCs w:val="24"/>
          <w:lang w:eastAsia="en-US"/>
        </w:rPr>
        <w:t xml:space="preserve">, J. M., </w:t>
      </w:r>
      <w:proofErr w:type="spellStart"/>
      <w:r w:rsidRPr="00F35688">
        <w:rPr>
          <w:rFonts w:ascii="Times New Roman" w:eastAsia="Times New Roman" w:hAnsi="Times New Roman"/>
          <w:sz w:val="24"/>
          <w:szCs w:val="24"/>
          <w:lang w:eastAsia="en-US"/>
        </w:rPr>
        <w:t>Zuofa</w:t>
      </w:r>
      <w:proofErr w:type="spellEnd"/>
      <w:r w:rsidRPr="00F35688">
        <w:rPr>
          <w:rFonts w:ascii="Times New Roman" w:eastAsia="Times New Roman" w:hAnsi="Times New Roman"/>
          <w:sz w:val="24"/>
          <w:szCs w:val="24"/>
          <w:lang w:eastAsia="en-US"/>
        </w:rPr>
        <w:t xml:space="preserve">, K., Ofori, S. A., &amp; </w:t>
      </w:r>
      <w:proofErr w:type="spellStart"/>
      <w:r w:rsidRPr="00F35688">
        <w:rPr>
          <w:rFonts w:ascii="Times New Roman" w:eastAsia="Times New Roman" w:hAnsi="Times New Roman"/>
          <w:sz w:val="24"/>
          <w:szCs w:val="24"/>
          <w:lang w:eastAsia="en-US"/>
        </w:rPr>
        <w:t>Kogbara</w:t>
      </w:r>
      <w:proofErr w:type="spellEnd"/>
      <w:r w:rsidRPr="00F35688">
        <w:rPr>
          <w:rFonts w:ascii="Times New Roman" w:eastAsia="Times New Roman" w:hAnsi="Times New Roman"/>
          <w:sz w:val="24"/>
          <w:szCs w:val="24"/>
          <w:lang w:eastAsia="en-US"/>
        </w:rPr>
        <w:t xml:space="preserve">, R. B. (2007). Response of maize and cucumber intercrop to soil moisture control through irrigation and mulching during the dry season in Nigeria. </w:t>
      </w:r>
      <w:r w:rsidRPr="00F35688">
        <w:rPr>
          <w:rFonts w:ascii="Times New Roman" w:eastAsia="Times New Roman" w:hAnsi="Times New Roman"/>
          <w:i/>
          <w:iCs/>
          <w:sz w:val="24"/>
          <w:szCs w:val="24"/>
          <w:lang w:eastAsia="en-US"/>
        </w:rPr>
        <w:t>African Journal of Biotechnology, 6</w:t>
      </w:r>
      <w:r w:rsidRPr="00F35688">
        <w:rPr>
          <w:rFonts w:ascii="Times New Roman" w:eastAsia="Times New Roman" w:hAnsi="Times New Roman"/>
          <w:sz w:val="24"/>
          <w:szCs w:val="24"/>
          <w:lang w:eastAsia="en-US"/>
        </w:rPr>
        <w:t xml:space="preserve">(5), 509–515. </w:t>
      </w:r>
      <w:hyperlink r:id="rId10" w:history="1">
        <w:r w:rsidRPr="00F35688">
          <w:rPr>
            <w:rFonts w:ascii="Times New Roman" w:eastAsia="Times New Roman" w:hAnsi="Times New Roman"/>
            <w:color w:val="0000FF"/>
            <w:sz w:val="24"/>
            <w:szCs w:val="24"/>
            <w:u w:val="single"/>
            <w:lang w:eastAsia="en-US"/>
          </w:rPr>
          <w:t>https://doi.org/10.5897/AJB2007.000-2061</w:t>
        </w:r>
      </w:hyperlink>
    </w:p>
    <w:p w14:paraId="750CFF85" w14:textId="777B22F1"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Dauda, S. N., Ajayi, F. A., &amp; </w:t>
      </w:r>
      <w:proofErr w:type="spellStart"/>
      <w:r w:rsidRPr="00F35688">
        <w:rPr>
          <w:rFonts w:ascii="Times New Roman" w:eastAsia="Times New Roman" w:hAnsi="Times New Roman"/>
          <w:sz w:val="24"/>
          <w:szCs w:val="24"/>
          <w:lang w:eastAsia="en-US"/>
        </w:rPr>
        <w:t>Ndor</w:t>
      </w:r>
      <w:proofErr w:type="spellEnd"/>
      <w:r w:rsidRPr="00F35688">
        <w:rPr>
          <w:rFonts w:ascii="Times New Roman" w:eastAsia="Times New Roman" w:hAnsi="Times New Roman"/>
          <w:sz w:val="24"/>
          <w:szCs w:val="24"/>
          <w:lang w:eastAsia="en-US"/>
        </w:rPr>
        <w:t>, E. (2008). Growth and yield of watermelon (</w:t>
      </w:r>
      <w:r w:rsidRPr="00F35688">
        <w:rPr>
          <w:rFonts w:ascii="Times New Roman" w:eastAsia="Times New Roman" w:hAnsi="Times New Roman"/>
          <w:i/>
          <w:iCs/>
          <w:sz w:val="24"/>
          <w:szCs w:val="24"/>
          <w:lang w:eastAsia="en-US"/>
        </w:rPr>
        <w:t>Citrullus lanatus</w:t>
      </w:r>
      <w:r w:rsidRPr="00F35688">
        <w:rPr>
          <w:rFonts w:ascii="Times New Roman" w:eastAsia="Times New Roman" w:hAnsi="Times New Roman"/>
          <w:sz w:val="24"/>
          <w:szCs w:val="24"/>
          <w:lang w:eastAsia="en-US"/>
        </w:rPr>
        <w:t xml:space="preserve">) as affected by poultry manure application. </w:t>
      </w:r>
      <w:r w:rsidRPr="00F35688">
        <w:rPr>
          <w:rFonts w:ascii="Times New Roman" w:eastAsia="Times New Roman" w:hAnsi="Times New Roman"/>
          <w:i/>
          <w:iCs/>
          <w:sz w:val="24"/>
          <w:szCs w:val="24"/>
          <w:lang w:eastAsia="en-US"/>
        </w:rPr>
        <w:t>Journal of Agriculture &amp; Social Sciences, 4</w:t>
      </w:r>
      <w:r w:rsidRPr="00F35688">
        <w:rPr>
          <w:rFonts w:ascii="Times New Roman" w:eastAsia="Times New Roman" w:hAnsi="Times New Roman"/>
          <w:sz w:val="24"/>
          <w:szCs w:val="24"/>
          <w:lang w:eastAsia="en-US"/>
        </w:rPr>
        <w:t xml:space="preserve">, 121–124. </w:t>
      </w:r>
      <w:hyperlink r:id="rId11" w:history="1">
        <w:r w:rsidRPr="00F35688">
          <w:rPr>
            <w:rFonts w:ascii="Times New Roman" w:eastAsia="Times New Roman" w:hAnsi="Times New Roman"/>
            <w:color w:val="0000FF"/>
            <w:sz w:val="24"/>
            <w:szCs w:val="24"/>
            <w:u w:val="single"/>
            <w:lang w:eastAsia="en-US"/>
          </w:rPr>
          <w:t>ResearchGate record</w:t>
        </w:r>
      </w:hyperlink>
    </w:p>
    <w:p w14:paraId="0EB374C0" w14:textId="7F24DDD6"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Directorate of Information and Publications of Agriculture. (2006). </w:t>
      </w:r>
      <w:r w:rsidRPr="00F35688">
        <w:rPr>
          <w:rFonts w:ascii="Times New Roman" w:eastAsia="Times New Roman" w:hAnsi="Times New Roman"/>
          <w:i/>
          <w:iCs/>
          <w:sz w:val="24"/>
          <w:szCs w:val="24"/>
          <w:lang w:eastAsia="en-US"/>
        </w:rPr>
        <w:t>Handbook of agriculture</w:t>
      </w:r>
      <w:r w:rsidRPr="00F35688">
        <w:rPr>
          <w:rFonts w:ascii="Times New Roman" w:eastAsia="Times New Roman" w:hAnsi="Times New Roman"/>
          <w:sz w:val="24"/>
          <w:szCs w:val="24"/>
          <w:lang w:eastAsia="en-US"/>
        </w:rPr>
        <w:t xml:space="preserve"> (5th ed.). Indian Council of Agricultural Research. </w:t>
      </w:r>
      <w:hyperlink r:id="rId12" w:history="1">
        <w:r w:rsidRPr="00F35688">
          <w:rPr>
            <w:rFonts w:ascii="Times New Roman" w:eastAsia="Times New Roman" w:hAnsi="Times New Roman"/>
            <w:color w:val="0000FF"/>
            <w:sz w:val="24"/>
            <w:szCs w:val="24"/>
            <w:u w:val="single"/>
            <w:lang w:eastAsia="en-US"/>
          </w:rPr>
          <w:t>https://icar.gov.in/en/node/2811</w:t>
        </w:r>
      </w:hyperlink>
    </w:p>
    <w:p w14:paraId="15929EBA" w14:textId="4D96A256"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proofErr w:type="spellStart"/>
      <w:r w:rsidRPr="00F35688">
        <w:rPr>
          <w:rFonts w:ascii="Times New Roman" w:eastAsia="Times New Roman" w:hAnsi="Times New Roman"/>
          <w:sz w:val="24"/>
          <w:szCs w:val="24"/>
          <w:lang w:eastAsia="en-US"/>
        </w:rPr>
        <w:t>Eifediyi</w:t>
      </w:r>
      <w:proofErr w:type="spellEnd"/>
      <w:r w:rsidRPr="00F35688">
        <w:rPr>
          <w:rFonts w:ascii="Times New Roman" w:eastAsia="Times New Roman" w:hAnsi="Times New Roman"/>
          <w:sz w:val="24"/>
          <w:szCs w:val="24"/>
          <w:lang w:eastAsia="en-US"/>
        </w:rPr>
        <w:t xml:space="preserve">, E. K., &amp; </w:t>
      </w:r>
      <w:proofErr w:type="spellStart"/>
      <w:r w:rsidRPr="00F35688">
        <w:rPr>
          <w:rFonts w:ascii="Times New Roman" w:eastAsia="Times New Roman" w:hAnsi="Times New Roman"/>
          <w:sz w:val="24"/>
          <w:szCs w:val="24"/>
          <w:lang w:eastAsia="en-US"/>
        </w:rPr>
        <w:t>Remison</w:t>
      </w:r>
      <w:proofErr w:type="spellEnd"/>
      <w:r w:rsidRPr="00F35688">
        <w:rPr>
          <w:rFonts w:ascii="Times New Roman" w:eastAsia="Times New Roman" w:hAnsi="Times New Roman"/>
          <w:sz w:val="24"/>
          <w:szCs w:val="24"/>
          <w:lang w:eastAsia="en-US"/>
        </w:rPr>
        <w:t>, S. U. (2010). Growth and yield of cucumber (</w:t>
      </w:r>
      <w:r w:rsidRPr="00F35688">
        <w:rPr>
          <w:rFonts w:ascii="Times New Roman" w:eastAsia="Times New Roman" w:hAnsi="Times New Roman"/>
          <w:i/>
          <w:iCs/>
          <w:sz w:val="24"/>
          <w:szCs w:val="24"/>
          <w:lang w:eastAsia="en-US"/>
        </w:rPr>
        <w:t>Cucumis sativus</w:t>
      </w:r>
      <w:r w:rsidRPr="00F35688">
        <w:rPr>
          <w:rFonts w:ascii="Times New Roman" w:eastAsia="Times New Roman" w:hAnsi="Times New Roman"/>
          <w:sz w:val="24"/>
          <w:szCs w:val="24"/>
          <w:lang w:eastAsia="en-US"/>
        </w:rPr>
        <w:t xml:space="preserve"> L.) as influenced by farmyard manure and inorganic fertilizer. </w:t>
      </w:r>
      <w:r w:rsidRPr="00F35688">
        <w:rPr>
          <w:rFonts w:ascii="Times New Roman" w:eastAsia="Times New Roman" w:hAnsi="Times New Roman"/>
          <w:i/>
          <w:iCs/>
          <w:sz w:val="24"/>
          <w:szCs w:val="24"/>
          <w:lang w:eastAsia="en-US"/>
        </w:rPr>
        <w:t>Journal of Plant Breeding and Crop Science, 2</w:t>
      </w:r>
      <w:r w:rsidRPr="00F35688">
        <w:rPr>
          <w:rFonts w:ascii="Times New Roman" w:eastAsia="Times New Roman" w:hAnsi="Times New Roman"/>
          <w:sz w:val="24"/>
          <w:szCs w:val="24"/>
          <w:lang w:eastAsia="en-US"/>
        </w:rPr>
        <w:t xml:space="preserve">(7), 216–220. </w:t>
      </w:r>
      <w:hyperlink r:id="rId13" w:history="1">
        <w:r w:rsidRPr="00F35688">
          <w:rPr>
            <w:rFonts w:ascii="Times New Roman" w:eastAsia="Times New Roman" w:hAnsi="Times New Roman"/>
            <w:color w:val="0000FF"/>
            <w:sz w:val="24"/>
            <w:szCs w:val="24"/>
            <w:u w:val="single"/>
            <w:lang w:eastAsia="en-US"/>
          </w:rPr>
          <w:t>https://doi.org/10.5897/JPBCS.9000074</w:t>
        </w:r>
      </w:hyperlink>
    </w:p>
    <w:p w14:paraId="34E00928" w14:textId="14391C92"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El-Amir, M. R., Helal, M. M., El-Shemi, A. H., &amp; Mahmoud, M. E. (2001). Economic feasibility of green houses for some vegetable crops in Middle Egypt. </w:t>
      </w:r>
      <w:r w:rsidRPr="00F35688">
        <w:rPr>
          <w:rFonts w:ascii="Times New Roman" w:eastAsia="Times New Roman" w:hAnsi="Times New Roman"/>
          <w:i/>
          <w:iCs/>
          <w:sz w:val="24"/>
          <w:szCs w:val="24"/>
          <w:lang w:eastAsia="en-US"/>
        </w:rPr>
        <w:t>Assiut Journal of Agricultural Sciences, 32</w:t>
      </w:r>
      <w:r w:rsidRPr="00F35688">
        <w:rPr>
          <w:rFonts w:ascii="Times New Roman" w:eastAsia="Times New Roman" w:hAnsi="Times New Roman"/>
          <w:sz w:val="24"/>
          <w:szCs w:val="24"/>
          <w:lang w:eastAsia="en-US"/>
        </w:rPr>
        <w:t xml:space="preserve">(1), 377–388. </w:t>
      </w:r>
    </w:p>
    <w:p w14:paraId="11CC173B" w14:textId="07028ED5"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proofErr w:type="spellStart"/>
      <w:r w:rsidRPr="00F35688">
        <w:rPr>
          <w:rFonts w:ascii="Times New Roman" w:eastAsia="Times New Roman" w:hAnsi="Times New Roman"/>
          <w:sz w:val="24"/>
          <w:szCs w:val="24"/>
          <w:lang w:eastAsia="en-US"/>
        </w:rPr>
        <w:t>Enujeke</w:t>
      </w:r>
      <w:proofErr w:type="spellEnd"/>
      <w:r w:rsidRPr="00F35688">
        <w:rPr>
          <w:rFonts w:ascii="Times New Roman" w:eastAsia="Times New Roman" w:hAnsi="Times New Roman"/>
          <w:sz w:val="24"/>
          <w:szCs w:val="24"/>
          <w:lang w:eastAsia="en-US"/>
        </w:rPr>
        <w:t xml:space="preserve">, E. C. (2013). Growth and yield responses of cucumber to five different rates of poultry manure in Asaba area of Delta State, Nigeria. </w:t>
      </w:r>
      <w:r w:rsidRPr="00F35688">
        <w:rPr>
          <w:rFonts w:ascii="Times New Roman" w:eastAsia="Times New Roman" w:hAnsi="Times New Roman"/>
          <w:i/>
          <w:iCs/>
          <w:sz w:val="24"/>
          <w:szCs w:val="24"/>
          <w:lang w:eastAsia="en-US"/>
        </w:rPr>
        <w:t>International Research Journal of Agricultural Science and Soil Science, 3</w:t>
      </w:r>
      <w:r w:rsidRPr="00F35688">
        <w:rPr>
          <w:rFonts w:ascii="Times New Roman" w:eastAsia="Times New Roman" w:hAnsi="Times New Roman"/>
          <w:sz w:val="24"/>
          <w:szCs w:val="24"/>
          <w:lang w:eastAsia="en-US"/>
        </w:rPr>
        <w:t xml:space="preserve">(11), 369–375. </w:t>
      </w:r>
      <w:hyperlink r:id="rId14" w:history="1">
        <w:r w:rsidRPr="00F35688">
          <w:rPr>
            <w:rFonts w:ascii="Times New Roman" w:eastAsia="Times New Roman" w:hAnsi="Times New Roman"/>
            <w:color w:val="0000FF"/>
            <w:sz w:val="24"/>
            <w:szCs w:val="24"/>
            <w:u w:val="single"/>
            <w:lang w:eastAsia="en-US"/>
          </w:rPr>
          <w:t>https://doi.org/10.14303/irjas.2013.124</w:t>
        </w:r>
      </w:hyperlink>
    </w:p>
    <w:p w14:paraId="5DA3E1C9" w14:textId="7B599C16"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Guan, X., Cao, W., Liu, D., Zhao, H., Lu, M., Gao, X., Chen, X., Liu, Y., &amp; Tian, S. (2025). Reducing cation leaching and improving greenhouse cucumber’s nutritional yield through optimized organic–inorganic fertilization. </w:t>
      </w:r>
      <w:r w:rsidRPr="00F35688">
        <w:rPr>
          <w:rFonts w:ascii="Times New Roman" w:eastAsia="Times New Roman" w:hAnsi="Times New Roman"/>
          <w:i/>
          <w:iCs/>
          <w:sz w:val="24"/>
          <w:szCs w:val="24"/>
          <w:lang w:eastAsia="en-US"/>
        </w:rPr>
        <w:t>Agronomy, 15</w:t>
      </w:r>
      <w:r w:rsidRPr="00F35688">
        <w:rPr>
          <w:rFonts w:ascii="Times New Roman" w:eastAsia="Times New Roman" w:hAnsi="Times New Roman"/>
          <w:sz w:val="24"/>
          <w:szCs w:val="24"/>
          <w:lang w:eastAsia="en-US"/>
        </w:rPr>
        <w:t xml:space="preserve">(7), 1523. </w:t>
      </w:r>
      <w:hyperlink r:id="rId15" w:history="1">
        <w:r w:rsidRPr="00F35688">
          <w:rPr>
            <w:rFonts w:ascii="Times New Roman" w:eastAsia="Times New Roman" w:hAnsi="Times New Roman"/>
            <w:color w:val="0000FF"/>
            <w:sz w:val="24"/>
            <w:szCs w:val="24"/>
            <w:u w:val="single"/>
            <w:lang w:eastAsia="en-US"/>
          </w:rPr>
          <w:t>https://doi.org/10.3390/agronomy15071523</w:t>
        </w:r>
      </w:hyperlink>
    </w:p>
    <w:p w14:paraId="7319D46D" w14:textId="186AF525"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lastRenderedPageBreak/>
        <w:t xml:space="preserve">Kisetu, E., &amp; Heri, P. (2014). Effects of poultry manure and NPK (23:10:5) fertilizer on tomato variety Tanya grown on selected soil of Morogoro Region, Tanzania. </w:t>
      </w:r>
      <w:r w:rsidRPr="00F35688">
        <w:rPr>
          <w:rFonts w:ascii="Times New Roman" w:eastAsia="Times New Roman" w:hAnsi="Times New Roman"/>
          <w:i/>
          <w:iCs/>
          <w:sz w:val="24"/>
          <w:szCs w:val="24"/>
          <w:lang w:eastAsia="en-US"/>
        </w:rPr>
        <w:t>Asian Journal of Crop Science, 6</w:t>
      </w:r>
      <w:r w:rsidRPr="00F35688">
        <w:rPr>
          <w:rFonts w:ascii="Times New Roman" w:eastAsia="Times New Roman" w:hAnsi="Times New Roman"/>
          <w:sz w:val="24"/>
          <w:szCs w:val="24"/>
          <w:lang w:eastAsia="en-US"/>
        </w:rPr>
        <w:t xml:space="preserve">(2), 165–175. </w:t>
      </w:r>
      <w:hyperlink r:id="rId16" w:history="1">
        <w:r w:rsidRPr="00F35688">
          <w:rPr>
            <w:rFonts w:ascii="Times New Roman" w:eastAsia="Times New Roman" w:hAnsi="Times New Roman"/>
            <w:color w:val="0000FF"/>
            <w:sz w:val="24"/>
            <w:szCs w:val="24"/>
            <w:u w:val="single"/>
            <w:lang w:eastAsia="en-US"/>
          </w:rPr>
          <w:t>https://doi.org/10.3923/ajcs.2014.165.175</w:t>
        </w:r>
      </w:hyperlink>
    </w:p>
    <w:p w14:paraId="40F755D4" w14:textId="16B46FB5"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val="nl-BE" w:eastAsia="en-US"/>
        </w:rPr>
        <w:t xml:space="preserve">Li, B., Liu, R., Jin, X., Wang, H., Li, M., Gao, W., &amp; Wu, D. (2026). </w:t>
      </w:r>
      <w:r w:rsidRPr="00F35688">
        <w:rPr>
          <w:rFonts w:ascii="Times New Roman" w:eastAsia="Times New Roman" w:hAnsi="Times New Roman"/>
          <w:sz w:val="24"/>
          <w:szCs w:val="24"/>
          <w:lang w:eastAsia="en-US"/>
        </w:rPr>
        <w:t xml:space="preserve">Organic–inorganic substitution improves cucumber yield and quality by enhancing carbon and nitrogen metabolism in cucumbers. </w:t>
      </w:r>
      <w:r w:rsidRPr="00F35688">
        <w:rPr>
          <w:rFonts w:ascii="Times New Roman" w:eastAsia="Times New Roman" w:hAnsi="Times New Roman"/>
          <w:i/>
          <w:iCs/>
          <w:sz w:val="24"/>
          <w:szCs w:val="24"/>
          <w:lang w:eastAsia="en-US"/>
        </w:rPr>
        <w:t>Plants, 15</w:t>
      </w:r>
      <w:r w:rsidRPr="00F35688">
        <w:rPr>
          <w:rFonts w:ascii="Times New Roman" w:eastAsia="Times New Roman" w:hAnsi="Times New Roman"/>
          <w:sz w:val="24"/>
          <w:szCs w:val="24"/>
          <w:lang w:eastAsia="en-US"/>
        </w:rPr>
        <w:t xml:space="preserve">(14), 2157. </w:t>
      </w:r>
      <w:hyperlink r:id="rId17" w:history="1">
        <w:r w:rsidRPr="00F35688">
          <w:rPr>
            <w:rFonts w:ascii="Times New Roman" w:eastAsia="Times New Roman" w:hAnsi="Times New Roman"/>
            <w:color w:val="0000FF"/>
            <w:sz w:val="24"/>
            <w:szCs w:val="24"/>
            <w:u w:val="single"/>
            <w:lang w:eastAsia="en-US"/>
          </w:rPr>
          <w:t>https://doi.org/10.3390/plants15142157</w:t>
        </w:r>
      </w:hyperlink>
    </w:p>
    <w:p w14:paraId="6BA48625" w14:textId="10B0B942"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Li, N., Wang, X.-X., Xue, Z., &amp; Li, Q. (2024). Water and potassium utilization efficiency and yield and quality of cucumber (</w:t>
      </w:r>
      <w:r w:rsidRPr="00F35688">
        <w:rPr>
          <w:rFonts w:ascii="Times New Roman" w:eastAsia="Times New Roman" w:hAnsi="Times New Roman"/>
          <w:i/>
          <w:iCs/>
          <w:sz w:val="24"/>
          <w:szCs w:val="24"/>
          <w:lang w:eastAsia="en-US"/>
        </w:rPr>
        <w:t>Cucumis sativus</w:t>
      </w:r>
      <w:r w:rsidRPr="00F35688">
        <w:rPr>
          <w:rFonts w:ascii="Times New Roman" w:eastAsia="Times New Roman" w:hAnsi="Times New Roman"/>
          <w:sz w:val="24"/>
          <w:szCs w:val="24"/>
          <w:lang w:eastAsia="en-US"/>
        </w:rPr>
        <w:t xml:space="preserve"> L.). </w:t>
      </w:r>
      <w:r w:rsidRPr="00F35688">
        <w:rPr>
          <w:rFonts w:ascii="Times New Roman" w:eastAsia="Times New Roman" w:hAnsi="Times New Roman"/>
          <w:i/>
          <w:iCs/>
          <w:sz w:val="24"/>
          <w:szCs w:val="24"/>
          <w:lang w:eastAsia="en-US"/>
        </w:rPr>
        <w:t xml:space="preserve">Scientia </w:t>
      </w:r>
      <w:proofErr w:type="spellStart"/>
      <w:r w:rsidRPr="00F35688">
        <w:rPr>
          <w:rFonts w:ascii="Times New Roman" w:eastAsia="Times New Roman" w:hAnsi="Times New Roman"/>
          <w:i/>
          <w:iCs/>
          <w:sz w:val="24"/>
          <w:szCs w:val="24"/>
          <w:lang w:eastAsia="en-US"/>
        </w:rPr>
        <w:t>Horticulturae</w:t>
      </w:r>
      <w:proofErr w:type="spellEnd"/>
      <w:r w:rsidRPr="00F35688">
        <w:rPr>
          <w:rFonts w:ascii="Times New Roman" w:eastAsia="Times New Roman" w:hAnsi="Times New Roman"/>
          <w:i/>
          <w:iCs/>
          <w:sz w:val="24"/>
          <w:szCs w:val="24"/>
          <w:lang w:eastAsia="en-US"/>
        </w:rPr>
        <w:t>, 330</w:t>
      </w:r>
      <w:r w:rsidRPr="00F35688">
        <w:rPr>
          <w:rFonts w:ascii="Times New Roman" w:eastAsia="Times New Roman" w:hAnsi="Times New Roman"/>
          <w:sz w:val="24"/>
          <w:szCs w:val="24"/>
          <w:lang w:eastAsia="en-US"/>
        </w:rPr>
        <w:t xml:space="preserve">, 113025. </w:t>
      </w:r>
      <w:hyperlink r:id="rId18" w:history="1">
        <w:r w:rsidRPr="00F35688">
          <w:rPr>
            <w:rFonts w:ascii="Times New Roman" w:eastAsia="Times New Roman" w:hAnsi="Times New Roman"/>
            <w:color w:val="0000FF"/>
            <w:sz w:val="24"/>
            <w:szCs w:val="24"/>
            <w:u w:val="single"/>
            <w:lang w:eastAsia="en-US"/>
          </w:rPr>
          <w:t>https://doi.org/10.1016/j.scienta.2024.113025</w:t>
        </w:r>
      </w:hyperlink>
    </w:p>
    <w:p w14:paraId="21BB3B5F" w14:textId="414CA747"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Li, Y. C., Klassen, W., Lamberts, M., &amp; Olczyk, T. (2006). </w:t>
      </w:r>
      <w:r w:rsidRPr="00F35688">
        <w:rPr>
          <w:rFonts w:ascii="Times New Roman" w:eastAsia="Times New Roman" w:hAnsi="Times New Roman"/>
          <w:i/>
          <w:iCs/>
          <w:sz w:val="24"/>
          <w:szCs w:val="24"/>
          <w:lang w:eastAsia="en-US"/>
        </w:rPr>
        <w:t>Cucumber production in Miami-Dade County, Florida</w:t>
      </w:r>
      <w:r w:rsidRPr="00F35688">
        <w:rPr>
          <w:rFonts w:ascii="Times New Roman" w:eastAsia="Times New Roman" w:hAnsi="Times New Roman"/>
          <w:sz w:val="24"/>
          <w:szCs w:val="24"/>
          <w:lang w:eastAsia="en-US"/>
        </w:rPr>
        <w:t xml:space="preserve"> (Publication HS-855). University of Florida IFAS Extension. </w:t>
      </w:r>
      <w:hyperlink r:id="rId19" w:history="1">
        <w:r w:rsidRPr="00F35688">
          <w:rPr>
            <w:rFonts w:ascii="Times New Roman" w:eastAsia="Times New Roman" w:hAnsi="Times New Roman"/>
            <w:color w:val="0000FF"/>
            <w:sz w:val="24"/>
            <w:szCs w:val="24"/>
            <w:u w:val="single"/>
            <w:lang w:eastAsia="en-US"/>
          </w:rPr>
          <w:t>https://ask.ifas.ufl.edu/publication/TR007</w:t>
        </w:r>
      </w:hyperlink>
    </w:p>
    <w:p w14:paraId="26E15DCA" w14:textId="0B026D66"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val="nl-BE" w:eastAsia="en-US"/>
        </w:rPr>
        <w:t xml:space="preserve">Makinde, E. A., Ayoola, O. T., &amp; Akande, M. O. (2007). </w:t>
      </w:r>
      <w:r w:rsidRPr="00F35688">
        <w:rPr>
          <w:rFonts w:ascii="Times New Roman" w:eastAsia="Times New Roman" w:hAnsi="Times New Roman"/>
          <w:sz w:val="24"/>
          <w:szCs w:val="24"/>
          <w:lang w:eastAsia="en-US"/>
        </w:rPr>
        <w:t>Effects of organo-mineral fertilizer application on the growth and yield of ‘</w:t>
      </w:r>
      <w:proofErr w:type="spellStart"/>
      <w:r w:rsidRPr="00F35688">
        <w:rPr>
          <w:rFonts w:ascii="Times New Roman" w:eastAsia="Times New Roman" w:hAnsi="Times New Roman"/>
          <w:sz w:val="24"/>
          <w:szCs w:val="24"/>
          <w:lang w:eastAsia="en-US"/>
        </w:rPr>
        <w:t>Egusi</w:t>
      </w:r>
      <w:proofErr w:type="spellEnd"/>
      <w:r w:rsidRPr="00F35688">
        <w:rPr>
          <w:rFonts w:ascii="Times New Roman" w:eastAsia="Times New Roman" w:hAnsi="Times New Roman"/>
          <w:sz w:val="24"/>
          <w:szCs w:val="24"/>
          <w:lang w:eastAsia="en-US"/>
        </w:rPr>
        <w:t xml:space="preserve">’ melon. </w:t>
      </w:r>
      <w:r w:rsidRPr="00F35688">
        <w:rPr>
          <w:rFonts w:ascii="Times New Roman" w:eastAsia="Times New Roman" w:hAnsi="Times New Roman"/>
          <w:i/>
          <w:iCs/>
          <w:sz w:val="24"/>
          <w:szCs w:val="24"/>
          <w:lang w:eastAsia="en-US"/>
        </w:rPr>
        <w:t>Australian Journal of Basic and Applied Sciences, 1</w:t>
      </w:r>
      <w:r w:rsidRPr="00F35688">
        <w:rPr>
          <w:rFonts w:ascii="Times New Roman" w:eastAsia="Times New Roman" w:hAnsi="Times New Roman"/>
          <w:sz w:val="24"/>
          <w:szCs w:val="24"/>
          <w:lang w:eastAsia="en-US"/>
        </w:rPr>
        <w:t xml:space="preserve">(1), 15–19. </w:t>
      </w:r>
    </w:p>
    <w:p w14:paraId="2ED7E3A7" w14:textId="6E09DA23"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proofErr w:type="spellStart"/>
      <w:r w:rsidRPr="00F35688">
        <w:rPr>
          <w:rFonts w:ascii="Times New Roman" w:eastAsia="Times New Roman" w:hAnsi="Times New Roman"/>
          <w:sz w:val="24"/>
          <w:szCs w:val="24"/>
          <w:lang w:eastAsia="en-US"/>
        </w:rPr>
        <w:t>Okonmah</w:t>
      </w:r>
      <w:proofErr w:type="spellEnd"/>
      <w:r w:rsidRPr="00F35688">
        <w:rPr>
          <w:rFonts w:ascii="Times New Roman" w:eastAsia="Times New Roman" w:hAnsi="Times New Roman"/>
          <w:sz w:val="24"/>
          <w:szCs w:val="24"/>
          <w:lang w:eastAsia="en-US"/>
        </w:rPr>
        <w:t xml:space="preserve">, L. U. (2011). Effects of different types of staking and their cost effectiveness on the growth, yield and yield components of cucumber. </w:t>
      </w:r>
      <w:r w:rsidRPr="00F35688">
        <w:rPr>
          <w:rFonts w:ascii="Times New Roman" w:eastAsia="Times New Roman" w:hAnsi="Times New Roman"/>
          <w:i/>
          <w:iCs/>
          <w:sz w:val="24"/>
          <w:szCs w:val="24"/>
          <w:lang w:eastAsia="en-US"/>
        </w:rPr>
        <w:t>International Journal of Agricultural Science, 1</w:t>
      </w:r>
      <w:r w:rsidRPr="00F35688">
        <w:rPr>
          <w:rFonts w:ascii="Times New Roman" w:eastAsia="Times New Roman" w:hAnsi="Times New Roman"/>
          <w:sz w:val="24"/>
          <w:szCs w:val="24"/>
          <w:lang w:eastAsia="en-US"/>
        </w:rPr>
        <w:t xml:space="preserve">(5), 290–295. </w:t>
      </w:r>
    </w:p>
    <w:p w14:paraId="2B454C45" w14:textId="0F21A64C"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Opara, E. C., </w:t>
      </w:r>
      <w:proofErr w:type="spellStart"/>
      <w:r w:rsidRPr="00F35688">
        <w:rPr>
          <w:rFonts w:ascii="Times New Roman" w:eastAsia="Times New Roman" w:hAnsi="Times New Roman"/>
          <w:sz w:val="24"/>
          <w:szCs w:val="24"/>
          <w:lang w:eastAsia="en-US"/>
        </w:rPr>
        <w:t>Zuofa</w:t>
      </w:r>
      <w:proofErr w:type="spellEnd"/>
      <w:r w:rsidRPr="00F35688">
        <w:rPr>
          <w:rFonts w:ascii="Times New Roman" w:eastAsia="Times New Roman" w:hAnsi="Times New Roman"/>
          <w:sz w:val="24"/>
          <w:szCs w:val="24"/>
          <w:lang w:eastAsia="en-US"/>
        </w:rPr>
        <w:t>, K., Isirimah, N. O., &amp; Douglas, D. C. (2012). Effects of poultry manure supplemented by NPK 15:15:15 fertilizer on cucumber (</w:t>
      </w:r>
      <w:r w:rsidRPr="00F35688">
        <w:rPr>
          <w:rFonts w:ascii="Times New Roman" w:eastAsia="Times New Roman" w:hAnsi="Times New Roman"/>
          <w:i/>
          <w:iCs/>
          <w:sz w:val="24"/>
          <w:szCs w:val="24"/>
          <w:lang w:eastAsia="en-US"/>
        </w:rPr>
        <w:t>Cucumis sativus</w:t>
      </w:r>
      <w:r w:rsidRPr="00F35688">
        <w:rPr>
          <w:rFonts w:ascii="Times New Roman" w:eastAsia="Times New Roman" w:hAnsi="Times New Roman"/>
          <w:sz w:val="24"/>
          <w:szCs w:val="24"/>
          <w:lang w:eastAsia="en-US"/>
        </w:rPr>
        <w:t xml:space="preserve"> L.) production in Port Harcourt (Nigeria). </w:t>
      </w:r>
      <w:r w:rsidRPr="00F35688">
        <w:rPr>
          <w:rFonts w:ascii="Times New Roman" w:eastAsia="Times New Roman" w:hAnsi="Times New Roman"/>
          <w:i/>
          <w:iCs/>
          <w:sz w:val="24"/>
          <w:szCs w:val="24"/>
          <w:lang w:eastAsia="en-US"/>
        </w:rPr>
        <w:t>African Journal of Biotechnology, 11</w:t>
      </w:r>
      <w:r w:rsidRPr="00F35688">
        <w:rPr>
          <w:rFonts w:ascii="Times New Roman" w:eastAsia="Times New Roman" w:hAnsi="Times New Roman"/>
          <w:sz w:val="24"/>
          <w:szCs w:val="24"/>
          <w:lang w:eastAsia="en-US"/>
        </w:rPr>
        <w:t xml:space="preserve">(46), 10548–10554. </w:t>
      </w:r>
      <w:hyperlink r:id="rId20" w:history="1">
        <w:r w:rsidRPr="00F35688">
          <w:rPr>
            <w:rFonts w:ascii="Times New Roman" w:eastAsia="Times New Roman" w:hAnsi="Times New Roman"/>
            <w:color w:val="0000FF"/>
            <w:sz w:val="24"/>
            <w:szCs w:val="24"/>
            <w:u w:val="single"/>
            <w:lang w:eastAsia="en-US"/>
          </w:rPr>
          <w:t>https://doi.org/10.5897/AJB11.1356</w:t>
        </w:r>
      </w:hyperlink>
    </w:p>
    <w:p w14:paraId="1C8BBB4D" w14:textId="633E3C42"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 xml:space="preserve">Satyanarayana, V., Prasad, P. V. V., Murthy, V. R. K., &amp; Boote, K. J. (2002). Influence of integrated use of farmyard manure and inorganic fertilizers on yield and yield components of irrigated lowland rice. </w:t>
      </w:r>
      <w:r w:rsidRPr="00F35688">
        <w:rPr>
          <w:rFonts w:ascii="Times New Roman" w:eastAsia="Times New Roman" w:hAnsi="Times New Roman"/>
          <w:i/>
          <w:iCs/>
          <w:sz w:val="24"/>
          <w:szCs w:val="24"/>
          <w:lang w:eastAsia="en-US"/>
        </w:rPr>
        <w:t>Journal of Plant Nutrition, 25</w:t>
      </w:r>
      <w:r w:rsidRPr="00F35688">
        <w:rPr>
          <w:rFonts w:ascii="Times New Roman" w:eastAsia="Times New Roman" w:hAnsi="Times New Roman"/>
          <w:sz w:val="24"/>
          <w:szCs w:val="24"/>
          <w:lang w:eastAsia="en-US"/>
        </w:rPr>
        <w:t xml:space="preserve">(10), 2081–2090. </w:t>
      </w:r>
      <w:hyperlink r:id="rId21" w:history="1">
        <w:r w:rsidRPr="00F35688">
          <w:rPr>
            <w:rFonts w:ascii="Times New Roman" w:eastAsia="Times New Roman" w:hAnsi="Times New Roman"/>
            <w:color w:val="0000FF"/>
            <w:sz w:val="24"/>
            <w:szCs w:val="24"/>
            <w:u w:val="single"/>
            <w:lang w:eastAsia="en-US"/>
          </w:rPr>
          <w:t>https://doi.org/10.1081/PLN-120014062</w:t>
        </w:r>
      </w:hyperlink>
    </w:p>
    <w:p w14:paraId="379D3058" w14:textId="7AC354E8"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eastAsia="en-US"/>
        </w:rPr>
        <w:t>Sodimu, A. I. (2020). Effect of poultry manure and NPK fertilizer on the growth, fruit and yield of cucumber (</w:t>
      </w:r>
      <w:r w:rsidRPr="00F35688">
        <w:rPr>
          <w:rFonts w:ascii="Times New Roman" w:eastAsia="Times New Roman" w:hAnsi="Times New Roman"/>
          <w:i/>
          <w:iCs/>
          <w:sz w:val="24"/>
          <w:szCs w:val="24"/>
          <w:lang w:eastAsia="en-US"/>
        </w:rPr>
        <w:t>Cucumis sativus</w:t>
      </w:r>
      <w:r w:rsidRPr="00F35688">
        <w:rPr>
          <w:rFonts w:ascii="Times New Roman" w:eastAsia="Times New Roman" w:hAnsi="Times New Roman"/>
          <w:sz w:val="24"/>
          <w:szCs w:val="24"/>
          <w:lang w:eastAsia="en-US"/>
        </w:rPr>
        <w:t xml:space="preserve"> L.) in </w:t>
      </w:r>
      <w:proofErr w:type="spellStart"/>
      <w:r w:rsidRPr="00F35688">
        <w:rPr>
          <w:rFonts w:ascii="Times New Roman" w:eastAsia="Times New Roman" w:hAnsi="Times New Roman"/>
          <w:sz w:val="24"/>
          <w:szCs w:val="24"/>
          <w:lang w:eastAsia="en-US"/>
        </w:rPr>
        <w:t>Afaka</w:t>
      </w:r>
      <w:proofErr w:type="spellEnd"/>
      <w:r w:rsidRPr="00F35688">
        <w:rPr>
          <w:rFonts w:ascii="Times New Roman" w:eastAsia="Times New Roman" w:hAnsi="Times New Roman"/>
          <w:sz w:val="24"/>
          <w:szCs w:val="24"/>
          <w:lang w:eastAsia="en-US"/>
        </w:rPr>
        <w:t xml:space="preserve"> Community of Guinea Savannah, Kaduna State, Nigeria. </w:t>
      </w:r>
      <w:r w:rsidRPr="00F35688">
        <w:rPr>
          <w:rFonts w:ascii="Times New Roman" w:eastAsia="Times New Roman" w:hAnsi="Times New Roman"/>
          <w:i/>
          <w:iCs/>
          <w:sz w:val="24"/>
          <w:szCs w:val="24"/>
          <w:lang w:eastAsia="en-US"/>
        </w:rPr>
        <w:t>Asian Journal of Advances in Agricultural Research, 13</w:t>
      </w:r>
      <w:r w:rsidRPr="00F35688">
        <w:rPr>
          <w:rFonts w:ascii="Times New Roman" w:eastAsia="Times New Roman" w:hAnsi="Times New Roman"/>
          <w:sz w:val="24"/>
          <w:szCs w:val="24"/>
          <w:lang w:eastAsia="en-US"/>
        </w:rPr>
        <w:t xml:space="preserve">(2), 1–8. </w:t>
      </w:r>
      <w:hyperlink r:id="rId22" w:history="1">
        <w:r w:rsidRPr="00F35688">
          <w:rPr>
            <w:rFonts w:ascii="Times New Roman" w:eastAsia="Times New Roman" w:hAnsi="Times New Roman"/>
            <w:color w:val="0000FF"/>
            <w:sz w:val="24"/>
            <w:szCs w:val="24"/>
            <w:u w:val="single"/>
            <w:lang w:eastAsia="en-US"/>
          </w:rPr>
          <w:t>https://doi.org/10.9734/ajaar/2020/v13i230098</w:t>
        </w:r>
      </w:hyperlink>
    </w:p>
    <w:p w14:paraId="245482BA" w14:textId="0D02F54B" w:rsidR="00F35688" w:rsidRPr="00F35688" w:rsidRDefault="00F35688" w:rsidP="00F35688">
      <w:pPr>
        <w:spacing w:after="0" w:line="240" w:lineRule="auto"/>
        <w:ind w:left="540" w:hanging="540"/>
        <w:jc w:val="both"/>
        <w:rPr>
          <w:rFonts w:ascii="Times New Roman" w:eastAsia="Times New Roman" w:hAnsi="Times New Roman"/>
          <w:sz w:val="24"/>
          <w:szCs w:val="24"/>
          <w:lang w:eastAsia="en-US"/>
        </w:rPr>
      </w:pPr>
      <w:r w:rsidRPr="00F35688">
        <w:rPr>
          <w:rFonts w:ascii="Times New Roman" w:eastAsia="Times New Roman" w:hAnsi="Times New Roman"/>
          <w:sz w:val="24"/>
          <w:szCs w:val="24"/>
          <w:lang w:val="nl-BE" w:eastAsia="en-US"/>
        </w:rPr>
        <w:t xml:space="preserve">Udounang, P. I., Ata, E. G., Esang, D. M., &amp; Ben, F. E. (2025). </w:t>
      </w:r>
      <w:r w:rsidRPr="00F35688">
        <w:rPr>
          <w:rFonts w:ascii="Times New Roman" w:eastAsia="Times New Roman" w:hAnsi="Times New Roman"/>
          <w:sz w:val="24"/>
          <w:szCs w:val="24"/>
          <w:lang w:eastAsia="en-US"/>
        </w:rPr>
        <w:t>Comparative effect of poultry-based organic manure on growth and yield of cucumber (</w:t>
      </w:r>
      <w:r w:rsidRPr="00F35688">
        <w:rPr>
          <w:rFonts w:ascii="Times New Roman" w:eastAsia="Times New Roman" w:hAnsi="Times New Roman"/>
          <w:i/>
          <w:iCs/>
          <w:sz w:val="24"/>
          <w:szCs w:val="24"/>
          <w:lang w:eastAsia="en-US"/>
        </w:rPr>
        <w:t>Cucumis sativus</w:t>
      </w:r>
      <w:r w:rsidRPr="00F35688">
        <w:rPr>
          <w:rFonts w:ascii="Times New Roman" w:eastAsia="Times New Roman" w:hAnsi="Times New Roman"/>
          <w:sz w:val="24"/>
          <w:szCs w:val="24"/>
          <w:lang w:eastAsia="en-US"/>
        </w:rPr>
        <w:t xml:space="preserve"> L.) in Obio Akpa, Akwa Ibom State, Nigeria. </w:t>
      </w:r>
      <w:r w:rsidRPr="00F35688">
        <w:rPr>
          <w:rFonts w:ascii="Times New Roman" w:eastAsia="Times New Roman" w:hAnsi="Times New Roman"/>
          <w:i/>
          <w:iCs/>
          <w:sz w:val="24"/>
          <w:szCs w:val="24"/>
          <w:lang w:eastAsia="en-US"/>
        </w:rPr>
        <w:t>Asian Journal of Plant and Soil Sciences, 10</w:t>
      </w:r>
      <w:r w:rsidRPr="00F35688">
        <w:rPr>
          <w:rFonts w:ascii="Times New Roman" w:eastAsia="Times New Roman" w:hAnsi="Times New Roman"/>
          <w:sz w:val="24"/>
          <w:szCs w:val="24"/>
          <w:lang w:eastAsia="en-US"/>
        </w:rPr>
        <w:t xml:space="preserve">(1), 54–62. </w:t>
      </w:r>
      <w:hyperlink r:id="rId23" w:history="1">
        <w:r w:rsidRPr="00F35688">
          <w:rPr>
            <w:rFonts w:ascii="Times New Roman" w:eastAsia="Times New Roman" w:hAnsi="Times New Roman"/>
            <w:color w:val="0000FF"/>
            <w:sz w:val="24"/>
            <w:szCs w:val="24"/>
            <w:u w:val="single"/>
            <w:lang w:eastAsia="en-US"/>
          </w:rPr>
          <w:t>https://doi.org/10.56557/ajopss/2025/v10i1116</w:t>
        </w:r>
      </w:hyperlink>
    </w:p>
    <w:p w14:paraId="0E32BEE3" w14:textId="328C2CC4" w:rsidR="00B8422A" w:rsidRPr="00F35688" w:rsidRDefault="00F35688" w:rsidP="00F35688">
      <w:pPr>
        <w:spacing w:line="480" w:lineRule="auto"/>
        <w:ind w:left="540" w:hanging="540"/>
        <w:jc w:val="both"/>
        <w:rPr>
          <w:rFonts w:ascii="Arial" w:hAnsi="Arial" w:cs="Arial"/>
          <w:sz w:val="24"/>
          <w:szCs w:val="24"/>
        </w:rPr>
      </w:pPr>
      <w:r w:rsidRPr="00F35688">
        <w:rPr>
          <w:rFonts w:ascii="Times New Roman" w:eastAsia="Times New Roman" w:hAnsi="Times New Roman"/>
          <w:sz w:val="24"/>
          <w:szCs w:val="24"/>
          <w:lang w:eastAsia="en-US"/>
        </w:rPr>
        <w:t xml:space="preserve">Musa, U. T., Yusuf, M., &amp; Olukotun, D. M. (2021). Effect of varying levels of poultry manure and inorganic fertilizer on the growth and yield of cucumber in </w:t>
      </w:r>
      <w:proofErr w:type="spellStart"/>
      <w:r w:rsidRPr="00F35688">
        <w:rPr>
          <w:rFonts w:ascii="Times New Roman" w:eastAsia="Times New Roman" w:hAnsi="Times New Roman"/>
          <w:sz w:val="24"/>
          <w:szCs w:val="24"/>
          <w:lang w:eastAsia="en-US"/>
        </w:rPr>
        <w:t>Anyigba</w:t>
      </w:r>
      <w:proofErr w:type="spellEnd"/>
      <w:r w:rsidRPr="00F35688">
        <w:rPr>
          <w:rFonts w:ascii="Times New Roman" w:eastAsia="Times New Roman" w:hAnsi="Times New Roman"/>
          <w:sz w:val="24"/>
          <w:szCs w:val="24"/>
          <w:lang w:eastAsia="en-US"/>
        </w:rPr>
        <w:t xml:space="preserve">, Kogi State. </w:t>
      </w:r>
      <w:r w:rsidRPr="00F35688">
        <w:rPr>
          <w:rFonts w:ascii="Times New Roman" w:eastAsia="Times New Roman" w:hAnsi="Times New Roman"/>
          <w:i/>
          <w:iCs/>
          <w:sz w:val="24"/>
          <w:szCs w:val="24"/>
          <w:lang w:eastAsia="en-US"/>
        </w:rPr>
        <w:t>American Journal of Agricultural Science, Engineering, and Technology, 5</w:t>
      </w:r>
      <w:r w:rsidRPr="00F35688">
        <w:rPr>
          <w:rFonts w:ascii="Times New Roman" w:eastAsia="Times New Roman" w:hAnsi="Times New Roman"/>
          <w:sz w:val="24"/>
          <w:szCs w:val="24"/>
          <w:lang w:eastAsia="en-US"/>
        </w:rPr>
        <w:t xml:space="preserve">(2), 326–338. </w:t>
      </w:r>
      <w:hyperlink r:id="rId24" w:history="1">
        <w:r w:rsidRPr="00F35688">
          <w:rPr>
            <w:rFonts w:ascii="Times New Roman" w:eastAsia="Times New Roman" w:hAnsi="Times New Roman"/>
            <w:color w:val="0000FF"/>
            <w:sz w:val="24"/>
            <w:szCs w:val="24"/>
            <w:u w:val="single"/>
            <w:lang w:eastAsia="en-US"/>
          </w:rPr>
          <w:t>https://doi.org/10.54536/ajaset.v5i2.105</w:t>
        </w:r>
      </w:hyperlink>
    </w:p>
    <w:p w14:paraId="5E53BE56" w14:textId="77777777" w:rsidR="00F35688" w:rsidRPr="00F35688" w:rsidRDefault="00F35688">
      <w:pPr>
        <w:spacing w:line="480" w:lineRule="auto"/>
        <w:ind w:left="540" w:hanging="540"/>
        <w:jc w:val="both"/>
        <w:rPr>
          <w:rFonts w:ascii="Arial" w:hAnsi="Arial" w:cs="Arial"/>
          <w:sz w:val="24"/>
          <w:szCs w:val="24"/>
        </w:rPr>
      </w:pPr>
    </w:p>
    <w:sectPr w:rsidR="00F35688" w:rsidRPr="00F35688">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34D95" w14:textId="77777777" w:rsidR="006F537B" w:rsidRDefault="006F537B" w:rsidP="00AE66DC">
      <w:pPr>
        <w:spacing w:after="0" w:line="240" w:lineRule="auto"/>
      </w:pPr>
      <w:r>
        <w:separator/>
      </w:r>
    </w:p>
  </w:endnote>
  <w:endnote w:type="continuationSeparator" w:id="0">
    <w:p w14:paraId="007B5C15" w14:textId="77777777" w:rsidR="006F537B" w:rsidRDefault="006F537B" w:rsidP="00AE6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06" w14:textId="77777777" w:rsidR="00AE66DC" w:rsidRDefault="00AE6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D5E9" w14:textId="77777777" w:rsidR="00AE66DC" w:rsidRDefault="00AE66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162C" w14:textId="77777777" w:rsidR="00AE66DC" w:rsidRDefault="00AE6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0467B" w14:textId="77777777" w:rsidR="006F537B" w:rsidRDefault="006F537B" w:rsidP="00AE66DC">
      <w:pPr>
        <w:spacing w:after="0" w:line="240" w:lineRule="auto"/>
      </w:pPr>
      <w:r>
        <w:separator/>
      </w:r>
    </w:p>
  </w:footnote>
  <w:footnote w:type="continuationSeparator" w:id="0">
    <w:p w14:paraId="7DCFD7DC" w14:textId="77777777" w:rsidR="006F537B" w:rsidRDefault="006F537B" w:rsidP="00AE6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216B8" w14:textId="77777777" w:rsidR="00AE66DC" w:rsidRDefault="00000000">
    <w:pPr>
      <w:pStyle w:val="Header"/>
    </w:pPr>
    <w:r>
      <w:rPr>
        <w:noProof/>
      </w:rPr>
      <w:pict w14:anchorId="6D8CE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107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1006" w14:textId="77777777" w:rsidR="00AE66DC" w:rsidRDefault="00000000">
    <w:pPr>
      <w:pStyle w:val="Header"/>
    </w:pPr>
    <w:r>
      <w:rPr>
        <w:noProof/>
      </w:rPr>
      <w:pict w14:anchorId="1FF48A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107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2CAC" w14:textId="77777777" w:rsidR="00AE66DC" w:rsidRDefault="00000000">
    <w:pPr>
      <w:pStyle w:val="Header"/>
    </w:pPr>
    <w:r>
      <w:rPr>
        <w:noProof/>
      </w:rPr>
      <w:pict w14:anchorId="5EEFBD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107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17074"/>
    <w:multiLevelType w:val="multilevel"/>
    <w:tmpl w:val="C3F8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8A7F7D"/>
    <w:multiLevelType w:val="hybridMultilevel"/>
    <w:tmpl w:val="7CAE8A1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57529"/>
    <w:multiLevelType w:val="hybridMultilevel"/>
    <w:tmpl w:val="02BE9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4851887">
    <w:abstractNumId w:val="0"/>
  </w:num>
  <w:num w:numId="2" w16cid:durableId="841818646">
    <w:abstractNumId w:val="2"/>
  </w:num>
  <w:num w:numId="3" w16cid:durableId="117835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21D"/>
    <w:rsid w:val="00054EB5"/>
    <w:rsid w:val="00057160"/>
    <w:rsid w:val="000A197C"/>
    <w:rsid w:val="000A4EAB"/>
    <w:rsid w:val="000A7C47"/>
    <w:rsid w:val="000D3244"/>
    <w:rsid w:val="0015670F"/>
    <w:rsid w:val="001E581F"/>
    <w:rsid w:val="00315C83"/>
    <w:rsid w:val="003809B5"/>
    <w:rsid w:val="003957F8"/>
    <w:rsid w:val="003A05C7"/>
    <w:rsid w:val="00400B3E"/>
    <w:rsid w:val="00402710"/>
    <w:rsid w:val="0045170E"/>
    <w:rsid w:val="004B421D"/>
    <w:rsid w:val="00595AD3"/>
    <w:rsid w:val="005C580A"/>
    <w:rsid w:val="005C62AD"/>
    <w:rsid w:val="005E53CF"/>
    <w:rsid w:val="00617222"/>
    <w:rsid w:val="00641849"/>
    <w:rsid w:val="006F537B"/>
    <w:rsid w:val="00727917"/>
    <w:rsid w:val="0079342E"/>
    <w:rsid w:val="007B6FC2"/>
    <w:rsid w:val="007E48B8"/>
    <w:rsid w:val="00881687"/>
    <w:rsid w:val="00890289"/>
    <w:rsid w:val="008C2E18"/>
    <w:rsid w:val="009A621B"/>
    <w:rsid w:val="00A365B2"/>
    <w:rsid w:val="00A841CE"/>
    <w:rsid w:val="00AD5AA7"/>
    <w:rsid w:val="00AE66DC"/>
    <w:rsid w:val="00B8422A"/>
    <w:rsid w:val="00C50942"/>
    <w:rsid w:val="00CD02AC"/>
    <w:rsid w:val="00CF5079"/>
    <w:rsid w:val="00CF51A3"/>
    <w:rsid w:val="00D328C4"/>
    <w:rsid w:val="00DA54B3"/>
    <w:rsid w:val="00E4014F"/>
    <w:rsid w:val="00E83F5B"/>
    <w:rsid w:val="00EB342D"/>
    <w:rsid w:val="00EB3E27"/>
    <w:rsid w:val="00F02A57"/>
    <w:rsid w:val="00F157E8"/>
    <w:rsid w:val="00F222E9"/>
    <w:rsid w:val="00F35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D11FF"/>
  <w15:docId w15:val="{0661C608-C861-495C-9082-52F186F1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21D"/>
    <w:rPr>
      <w:rFonts w:ascii="Calibri" w:eastAsia="SimSun" w:hAnsi="Calibri" w:cs="Times New Roman"/>
      <w:lang w:eastAsia="zh-CN"/>
    </w:rPr>
  </w:style>
  <w:style w:type="paragraph" w:styleId="Heading1">
    <w:name w:val="heading 1"/>
    <w:basedOn w:val="Normal"/>
    <w:next w:val="Normal"/>
    <w:link w:val="Heading1Char"/>
    <w:uiPriority w:val="9"/>
    <w:qFormat/>
    <w:rsid w:val="004B421D"/>
    <w:pPr>
      <w:keepNext/>
      <w:keepLines/>
      <w:spacing w:before="240" w:after="0" w:line="360" w:lineRule="auto"/>
      <w:outlineLvl w:val="0"/>
    </w:pPr>
    <w:rPr>
      <w:rFonts w:ascii="Times New Roman" w:hAnsi="Times New Roman" w:cs="SimSun"/>
      <w:b/>
      <w:color w:val="000000"/>
      <w:sz w:val="28"/>
      <w:szCs w:val="32"/>
    </w:rPr>
  </w:style>
  <w:style w:type="paragraph" w:styleId="Heading2">
    <w:name w:val="heading 2"/>
    <w:basedOn w:val="Normal"/>
    <w:next w:val="Normal"/>
    <w:link w:val="Heading2Char"/>
    <w:uiPriority w:val="9"/>
    <w:unhideWhenUsed/>
    <w:qFormat/>
    <w:rsid w:val="004B42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22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21D"/>
    <w:rPr>
      <w:rFonts w:ascii="Times New Roman" w:eastAsia="SimSun" w:hAnsi="Times New Roman" w:cs="SimSun"/>
      <w:b/>
      <w:color w:val="000000"/>
      <w:sz w:val="28"/>
      <w:szCs w:val="32"/>
      <w:lang w:eastAsia="zh-CN"/>
    </w:rPr>
  </w:style>
  <w:style w:type="character" w:customStyle="1" w:styleId="Heading2Char">
    <w:name w:val="Heading 2 Char"/>
    <w:basedOn w:val="DefaultParagraphFont"/>
    <w:link w:val="Heading2"/>
    <w:uiPriority w:val="9"/>
    <w:rsid w:val="004B421D"/>
    <w:rPr>
      <w:rFonts w:asciiTheme="majorHAnsi" w:eastAsiaTheme="majorEastAsia" w:hAnsiTheme="majorHAnsi" w:cstheme="majorBidi"/>
      <w:b/>
      <w:bCs/>
      <w:color w:val="4F81BD" w:themeColor="accent1"/>
      <w:sz w:val="26"/>
      <w:szCs w:val="26"/>
      <w:lang w:eastAsia="zh-CN"/>
    </w:rPr>
  </w:style>
  <w:style w:type="character" w:styleId="Strong">
    <w:name w:val="Strong"/>
    <w:basedOn w:val="DefaultParagraphFont"/>
    <w:uiPriority w:val="22"/>
    <w:qFormat/>
    <w:rsid w:val="00315C83"/>
    <w:rPr>
      <w:b/>
      <w:bCs/>
    </w:rPr>
  </w:style>
  <w:style w:type="paragraph" w:customStyle="1" w:styleId="ds-markdown-paragraph">
    <w:name w:val="ds-markdown-paragraph"/>
    <w:basedOn w:val="Normal"/>
    <w:rsid w:val="00315C83"/>
    <w:pPr>
      <w:spacing w:before="100" w:beforeAutospacing="1" w:after="100" w:afterAutospacing="1" w:line="240" w:lineRule="auto"/>
    </w:pPr>
    <w:rPr>
      <w:rFonts w:ascii="Times New Roman" w:eastAsia="Times New Roman" w:hAnsi="Times New Roman"/>
      <w:sz w:val="24"/>
      <w:szCs w:val="24"/>
      <w:lang w:eastAsia="en-US"/>
    </w:rPr>
  </w:style>
  <w:style w:type="character" w:styleId="Hyperlink">
    <w:name w:val="Hyperlink"/>
    <w:basedOn w:val="DefaultParagraphFont"/>
    <w:uiPriority w:val="99"/>
    <w:unhideWhenUsed/>
    <w:rsid w:val="00A365B2"/>
    <w:rPr>
      <w:color w:val="0000FF" w:themeColor="hyperlink"/>
      <w:u w:val="single"/>
    </w:rPr>
  </w:style>
  <w:style w:type="character" w:styleId="UnresolvedMention">
    <w:name w:val="Unresolved Mention"/>
    <w:basedOn w:val="DefaultParagraphFont"/>
    <w:uiPriority w:val="99"/>
    <w:semiHidden/>
    <w:unhideWhenUsed/>
    <w:rsid w:val="00A365B2"/>
    <w:rPr>
      <w:color w:val="605E5C"/>
      <w:shd w:val="clear" w:color="auto" w:fill="E1DFDD"/>
    </w:rPr>
  </w:style>
  <w:style w:type="paragraph" w:styleId="Header">
    <w:name w:val="header"/>
    <w:basedOn w:val="Normal"/>
    <w:link w:val="HeaderChar"/>
    <w:uiPriority w:val="99"/>
    <w:unhideWhenUsed/>
    <w:rsid w:val="00AE66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6DC"/>
    <w:rPr>
      <w:rFonts w:ascii="Calibri" w:eastAsia="SimSun" w:hAnsi="Calibri" w:cs="Times New Roman"/>
      <w:lang w:eastAsia="zh-CN"/>
    </w:rPr>
  </w:style>
  <w:style w:type="paragraph" w:styleId="Footer">
    <w:name w:val="footer"/>
    <w:basedOn w:val="Normal"/>
    <w:link w:val="FooterChar"/>
    <w:uiPriority w:val="99"/>
    <w:unhideWhenUsed/>
    <w:rsid w:val="00AE66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6DC"/>
    <w:rPr>
      <w:rFonts w:ascii="Calibri" w:eastAsia="SimSun" w:hAnsi="Calibri" w:cs="Times New Roman"/>
      <w:lang w:eastAsia="zh-CN"/>
    </w:rPr>
  </w:style>
  <w:style w:type="character" w:customStyle="1" w:styleId="Heading3Char">
    <w:name w:val="Heading 3 Char"/>
    <w:basedOn w:val="DefaultParagraphFont"/>
    <w:link w:val="Heading3"/>
    <w:uiPriority w:val="9"/>
    <w:semiHidden/>
    <w:rsid w:val="00F222E9"/>
    <w:rPr>
      <w:rFonts w:asciiTheme="majorHAnsi" w:eastAsiaTheme="majorEastAsia" w:hAnsiTheme="majorHAnsi" w:cstheme="majorBidi"/>
      <w:color w:val="243F60" w:themeColor="accent1" w:themeShade="7F"/>
      <w:sz w:val="24"/>
      <w:szCs w:val="24"/>
      <w:lang w:eastAsia="zh-CN"/>
    </w:rPr>
  </w:style>
  <w:style w:type="character" w:styleId="Emphasis">
    <w:name w:val="Emphasis"/>
    <w:basedOn w:val="DefaultParagraphFont"/>
    <w:uiPriority w:val="20"/>
    <w:qFormat/>
    <w:rsid w:val="00F222E9"/>
    <w:rPr>
      <w:i/>
      <w:iCs/>
    </w:rPr>
  </w:style>
  <w:style w:type="paragraph" w:styleId="ListParagraph">
    <w:name w:val="List Paragraph"/>
    <w:basedOn w:val="Normal"/>
    <w:uiPriority w:val="34"/>
    <w:qFormat/>
    <w:rsid w:val="00F356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002279">
      <w:bodyDiv w:val="1"/>
      <w:marLeft w:val="0"/>
      <w:marRight w:val="0"/>
      <w:marTop w:val="0"/>
      <w:marBottom w:val="0"/>
      <w:divBdr>
        <w:top w:val="none" w:sz="0" w:space="0" w:color="auto"/>
        <w:left w:val="none" w:sz="0" w:space="0" w:color="auto"/>
        <w:bottom w:val="none" w:sz="0" w:space="0" w:color="auto"/>
        <w:right w:val="none" w:sz="0" w:space="0" w:color="auto"/>
      </w:divBdr>
    </w:div>
    <w:div w:id="197101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hort.gov.ng/hortbase/growth-and-yield-of-plantain-as-influenced-by-the-application-of-organice-qnd-mineral-fertilizer/" TargetMode="External"/><Relationship Id="rId13" Type="http://schemas.openxmlformats.org/officeDocument/2006/relationships/hyperlink" Target="https://doi.org/10.5897/JPBCS.9000074" TargetMode="External"/><Relationship Id="rId18" Type="http://schemas.openxmlformats.org/officeDocument/2006/relationships/hyperlink" Target="https://doi.org/10.1016/j.scienta.2024.113025"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1081/PLN-120014062" TargetMode="External"/><Relationship Id="rId7" Type="http://schemas.openxmlformats.org/officeDocument/2006/relationships/endnotes" Target="endnotes.xml"/><Relationship Id="rId12" Type="http://schemas.openxmlformats.org/officeDocument/2006/relationships/hyperlink" Target="https://icar.gov.in/en/node/2811" TargetMode="External"/><Relationship Id="rId17" Type="http://schemas.openxmlformats.org/officeDocument/2006/relationships/hyperlink" Target="https://doi.org/10.3390/plants1514215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3923/ajcs.2014.165.175" TargetMode="External"/><Relationship Id="rId20" Type="http://schemas.openxmlformats.org/officeDocument/2006/relationships/hyperlink" Target="https://doi.org/10.5897/AJB11.135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228680492_Growth_and_yield_of_water_melon_Citrullus_lanatus_as_affected_by_poultry_manure_application?utm_source=chatgpt.com" TargetMode="External"/><Relationship Id="rId24" Type="http://schemas.openxmlformats.org/officeDocument/2006/relationships/hyperlink" Target="https://doi.org/10.54536/ajaset.v5i2.10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agronomy15071523" TargetMode="External"/><Relationship Id="rId23" Type="http://schemas.openxmlformats.org/officeDocument/2006/relationships/hyperlink" Target="https://doi.org/10.56557/ajopss/2025/v10i1116" TargetMode="External"/><Relationship Id="rId28" Type="http://schemas.openxmlformats.org/officeDocument/2006/relationships/footer" Target="footer2.xml"/><Relationship Id="rId10" Type="http://schemas.openxmlformats.org/officeDocument/2006/relationships/hyperlink" Target="https://doi.org/10.5897/AJB2007.000-2061" TargetMode="External"/><Relationship Id="rId19" Type="http://schemas.openxmlformats.org/officeDocument/2006/relationships/hyperlink" Target="https://ask.ifas.ufl.edu/publication/TR00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01448765.2000.9754862" TargetMode="External"/><Relationship Id="rId14" Type="http://schemas.openxmlformats.org/officeDocument/2006/relationships/hyperlink" Target="https://doi.org/10.14303/irjas.2013.124" TargetMode="External"/><Relationship Id="rId22" Type="http://schemas.openxmlformats.org/officeDocument/2006/relationships/hyperlink" Target="https://doi.org/10.9734/ajaar/2020/v13i230098"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2CB8B-856D-4734-9BD0-81BD45DCE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4488</Words>
  <Characters>25586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Editor-90</cp:lastModifiedBy>
  <cp:revision>23</cp:revision>
  <dcterms:created xsi:type="dcterms:W3CDTF">2026-09-05T17:20:00Z</dcterms:created>
  <dcterms:modified xsi:type="dcterms:W3CDTF">2026-09-12T06:00:00Z</dcterms:modified>
</cp:coreProperties>
</file>