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D3449" w:rsidRPr="00723A1B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723A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723A1B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23A1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723A1B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723A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163D05E6" w:rsidR="004D3449" w:rsidRPr="00723A1B" w:rsidRDefault="00032E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Ms_AJPAM_2843</w:t>
            </w:r>
          </w:p>
        </w:tc>
      </w:tr>
      <w:tr w:rsidR="004D3449" w:rsidRPr="00723A1B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723A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227AF9A5" w:rsidR="004D3449" w:rsidRPr="00723A1B" w:rsidRDefault="00032E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Effects of Seasonal Dividend with Time-Dependent Initial Conditions: A Benchmark Approach</w:t>
            </w:r>
          </w:p>
        </w:tc>
      </w:tr>
      <w:tr w:rsidR="004D3449" w:rsidRPr="00723A1B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723A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723A1B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2DE161A" w14:textId="77777777" w:rsidR="004D3449" w:rsidRPr="00723A1B" w:rsidRDefault="004D344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C1DF10A" w14:textId="77777777" w:rsidR="004D3449" w:rsidRPr="00723A1B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3B4F72F" w14:textId="77777777" w:rsidR="004D3449" w:rsidRPr="00723A1B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07B84CA" w14:textId="77777777" w:rsidR="004D3449" w:rsidRPr="00723A1B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723A1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23A1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23A1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723A1B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47"/>
        <w:gridCol w:w="4553"/>
      </w:tblGrid>
      <w:tr w:rsidR="004D3449" w:rsidRPr="00723A1B" w14:paraId="6542FB70" w14:textId="77777777" w:rsidTr="007F3A43">
        <w:trPr>
          <w:trHeight w:val="20"/>
          <w:jc w:val="center"/>
        </w:trPr>
        <w:tc>
          <w:tcPr>
            <w:tcW w:w="1192" w:type="pct"/>
            <w:noWrap/>
          </w:tcPr>
          <w:p w14:paraId="197AC1C6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41" w:type="pct"/>
            <w:hideMark/>
          </w:tcPr>
          <w:p w14:paraId="1568772A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723A1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23A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23A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49BB9AB8" w14:textId="77777777" w:rsidTr="007F3A43">
        <w:trPr>
          <w:trHeight w:val="20"/>
          <w:jc w:val="center"/>
        </w:trPr>
        <w:tc>
          <w:tcPr>
            <w:tcW w:w="1192" w:type="pct"/>
            <w:noWrap/>
            <w:hideMark/>
          </w:tcPr>
          <w:p w14:paraId="55B4D3EC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723A1B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2141" w:type="pct"/>
          </w:tcPr>
          <w:p w14:paraId="5F03F75F" w14:textId="2A220C61" w:rsidR="004D3449" w:rsidRPr="00723A1B" w:rsidRDefault="003C2FB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>The submitted manuscript addresses an important and practical topic in financial mathematics: modeling bank stock price dynamics considering dividend seasonality. By employing Geometric Brownian Motion (GBM) with time-dependent initial conditions, the authors effectively capture price jumps and cyclical volatility around dividend declaration periods, providing a superior reference framework compared to standard constant-parameter models. The mathematical derivation using Ito’s Lemma is rigorous and sound, and the theoretical results are well-supported by numerical path simulations. The paper holds significant value for portfolio risk management, market efficiency testing, and financial analysis in emerging stock markets.</w:t>
            </w:r>
          </w:p>
        </w:tc>
        <w:tc>
          <w:tcPr>
            <w:tcW w:w="1667" w:type="pct"/>
          </w:tcPr>
          <w:p w14:paraId="3635D1BA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723A1B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4674335F" w14:textId="77777777" w:rsidR="004D3449" w:rsidRPr="00723A1B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723A1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23A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723A1B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723A1B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723A1B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23A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723A1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723A1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723A1B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723A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7BD88236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4F685D00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11199A4D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30696891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1E4137B1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0EB8AFD2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3C085771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47025239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242C661B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270F4D6A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4DA8162D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66984D0A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569FDB2C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24EA0D61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723A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3CBC6062" w:rsidR="004D3449" w:rsidRPr="00723A1B" w:rsidRDefault="003C2FB3" w:rsidP="003C2FB3">
            <w:pPr>
              <w:ind w:firstLine="298"/>
              <w:contextualSpacing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uk-UA"/>
              </w:rPr>
              <w:lastRenderedPageBreak/>
              <w:t>4</w:t>
            </w:r>
          </w:p>
        </w:tc>
        <w:tc>
          <w:tcPr>
            <w:tcW w:w="1667" w:type="pct"/>
          </w:tcPr>
          <w:p w14:paraId="7FB7C85A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723A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723A1B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723A1B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21CA6579" w:rsidR="004D3449" w:rsidRPr="00723A1B" w:rsidRDefault="003C2FB3" w:rsidP="003C2FB3">
            <w:pPr>
              <w:ind w:firstLine="298"/>
              <w:contextualSpacing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2E0D9FB2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723A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6CA38C93" w:rsidR="004D3449" w:rsidRPr="00723A1B" w:rsidRDefault="003C2FB3" w:rsidP="003C2FB3">
            <w:pPr>
              <w:ind w:firstLine="298"/>
              <w:contextualSpacing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44701DFC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723A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63863E03" w:rsidR="004D3449" w:rsidRPr="00723A1B" w:rsidRDefault="003C2FB3" w:rsidP="003C2FB3">
            <w:pPr>
              <w:ind w:firstLine="298"/>
              <w:contextualSpacing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0E345E27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723A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3005E630" w:rsidR="004D3449" w:rsidRPr="00723A1B" w:rsidRDefault="003C2FB3" w:rsidP="003C2FB3">
            <w:pPr>
              <w:ind w:firstLine="298"/>
              <w:contextualSpacing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7A3221DF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723A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6D5C84E5" w:rsidR="004D3449" w:rsidRPr="00723A1B" w:rsidRDefault="003C2FB3" w:rsidP="003C2FB3">
            <w:pPr>
              <w:ind w:firstLine="298"/>
              <w:contextualSpacing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723A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723A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723A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11632DA5" w:rsidR="004D3449" w:rsidRPr="00723A1B" w:rsidRDefault="003C2FB3" w:rsidP="003C2FB3">
            <w:pPr>
              <w:ind w:firstLine="298"/>
              <w:contextualSpacing/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723A1B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723A1B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723A1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23A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723A1B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723A1B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723A1B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DC235D" w14:textId="7A47E2DF" w:rsidR="004D3449" w:rsidRPr="00723A1B" w:rsidRDefault="00000000" w:rsidP="007F3A4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uk-UA"/>
              </w:rPr>
            </w:pPr>
            <w:r w:rsidRPr="00723A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23A1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23A1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</w:tc>
      </w:tr>
      <w:tr w:rsidR="004D3449" w:rsidRPr="00723A1B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723A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723A1B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723A1B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1667" w:type="pct"/>
          </w:tcPr>
          <w:p w14:paraId="54381710" w14:textId="1D1C404C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>YES. The title accurately reflects the core focus and methodological framework of the study.</w:t>
            </w:r>
          </w:p>
        </w:tc>
        <w:tc>
          <w:tcPr>
            <w:tcW w:w="1667" w:type="pct"/>
          </w:tcPr>
          <w:p w14:paraId="06D9B459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723A1B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23F3E488" w:rsidR="004D3449" w:rsidRPr="00723A1B" w:rsidRDefault="003C2F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>YES. The abstract clearly outlines the problem formulation, methodology, simulation results, and practical implications.</w:t>
            </w:r>
          </w:p>
        </w:tc>
        <w:tc>
          <w:tcPr>
            <w:tcW w:w="1667" w:type="pct"/>
          </w:tcPr>
          <w:p w14:paraId="4D7A590E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723A1B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23A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723A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A75B4C2" w14:textId="77777777" w:rsidR="00050B63" w:rsidRPr="00723A1B" w:rsidRDefault="003C2FB3" w:rsidP="003C2FB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YES. </w:t>
            </w:r>
            <w:r w:rsidR="007F3A43" w:rsidRPr="00723A1B">
              <w:rPr>
                <w:rFonts w:ascii="Arial" w:hAnsi="Arial" w:cs="Arial"/>
                <w:b/>
                <w:bCs/>
                <w:sz w:val="20"/>
                <w:szCs w:val="20"/>
              </w:rPr>
              <w:t>The mathematical framework is applied correctly, the derivation of solutions to the stochastic differential equations (SDEs) is executed without errors, and the simulation results fully align with the analytical formulas.</w:t>
            </w:r>
          </w:p>
          <w:p w14:paraId="3A8DF609" w14:textId="77777777" w:rsidR="00050B63" w:rsidRPr="00723A1B" w:rsidRDefault="00050B63" w:rsidP="003C2FB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</w:p>
          <w:p w14:paraId="39C28F37" w14:textId="2A5CDAC9" w:rsidR="00050B63" w:rsidRPr="00723A1B" w:rsidRDefault="00050B63" w:rsidP="00050B6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>In formula</w:t>
            </w:r>
            <w:r w:rsidR="00E853F5" w:rsidRPr="00723A1B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(1.7)</w:t>
            </w:r>
            <w:r w:rsidR="00E853F5"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(1.14)</w:t>
            </w: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parameter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μ</m:t>
              </m:r>
            </m:oMath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contains an incorrect subscript index, which should be corrected for consistency with the rest of the model notation. </w:t>
            </w:r>
          </w:p>
          <w:p w14:paraId="21B57E69" w14:textId="77777777" w:rsidR="004D3449" w:rsidRPr="00723A1B" w:rsidRDefault="007F3A43" w:rsidP="003C2FB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F1824C1" w14:textId="71E4D946" w:rsidR="00361BA4" w:rsidRPr="00723A1B" w:rsidRDefault="00361BA4" w:rsidP="00361BA4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Equation (1.9), please remove the redundant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du</m:t>
              </m:r>
            </m:oMath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the end of the stochastic integral term (</w:t>
            </w:r>
            <m:oMath>
              <m:nary>
                <m:naryPr>
                  <m:limLoc m:val="subSup"/>
                  <m:ctrlPr>
                    <w:rPr>
                      <w:rFonts w:ascii="Cambria Math" w:hAnsi="Cambria Math" w:cs="Arial"/>
                      <w:b/>
                      <w:bCs/>
                      <w:sz w:val="20"/>
                      <w:szCs w:val="20"/>
                    </w:rPr>
                  </m:ctrlPr>
                </m:naryPr>
                <m:sub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σ</m:t>
                  </m:r>
                </m:e>
              </m:nary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d</m:t>
              </m:r>
              <m:sSub>
                <m:sSubPr>
                  <m:ctrlPr>
                    <w:rPr>
                      <w:rFonts w:ascii="Cambria Math" w:hAnsi="Cambria Math" w:cs="Arial"/>
                      <w:b/>
                      <w:b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W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du</m:t>
              </m:r>
            </m:oMath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and fix the notation inconsistencies regarding the dummy variables of integration (e.g.,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df</m:t>
              </m:r>
              <m:d>
                <m:dPr>
                  <m:ctrlPr>
                    <w:rPr>
                      <w:rFonts w:ascii="Cambria Math" w:hAnsi="Cambria Math" w:cs="Arial"/>
                      <w:b/>
                      <w:bCs/>
                      <w:sz w:val="2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b/>
                          <w:bCs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t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,u,u</m:t>
                  </m:r>
                </m:e>
              </m:d>
            </m:oMath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</w:p>
          <w:p w14:paraId="658A6F37" w14:textId="31385DDD" w:rsidR="00361BA4" w:rsidRPr="00723A1B" w:rsidRDefault="00361BA4" w:rsidP="003C2FB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667" w:type="pct"/>
          </w:tcPr>
          <w:p w14:paraId="0AD96E1F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723A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723A1B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723A1B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485C09" w14:textId="77777777" w:rsidR="00050B63" w:rsidRPr="00723A1B" w:rsidRDefault="003C2FB3" w:rsidP="007F3A4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YES. </w:t>
            </w:r>
            <w:r w:rsidR="007F3A43"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list of references covers both foundational works in stochastic analysis theory and modern specialized publications in the field. </w:t>
            </w:r>
          </w:p>
          <w:p w14:paraId="397FA9C3" w14:textId="77777777" w:rsidR="00050B63" w:rsidRPr="00723A1B" w:rsidRDefault="00050B63" w:rsidP="007F3A4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</w:p>
          <w:p w14:paraId="26320039" w14:textId="6FFF8AE0" w:rsidR="007F3A43" w:rsidRPr="00723A1B" w:rsidRDefault="00050B63" w:rsidP="007F3A4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t>The list of references requires unification according to a single standard</w:t>
            </w:r>
            <w:r w:rsidR="007F3A43" w:rsidRPr="00723A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  <w:p w14:paraId="476E7753" w14:textId="673F48F8" w:rsidR="004D3449" w:rsidRPr="00723A1B" w:rsidRDefault="004D3449" w:rsidP="003C2FB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73E48178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723A1B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723A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(YES or NO)</w:t>
            </w:r>
          </w:p>
          <w:p w14:paraId="54E5F3C3" w14:textId="77777777" w:rsidR="004D3449" w:rsidRPr="00723A1B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723A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723A1B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5478A1D8" w:rsidR="004D3449" w:rsidRPr="00723A1B" w:rsidRDefault="003C2FB3" w:rsidP="003C2FB3">
            <w:pPr>
              <w:ind w:left="298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23A1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NO.</w:t>
            </w:r>
          </w:p>
        </w:tc>
        <w:tc>
          <w:tcPr>
            <w:tcW w:w="1667" w:type="pct"/>
          </w:tcPr>
          <w:p w14:paraId="2E8EF690" w14:textId="77777777" w:rsidR="004D3449" w:rsidRPr="00723A1B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83FFD6" w14:textId="77777777" w:rsidR="004D3449" w:rsidRPr="00723A1B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6FA7E79" w14:textId="77777777" w:rsidR="004D3449" w:rsidRPr="00723A1B" w:rsidRDefault="004D3449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22579FDE" w14:textId="77777777" w:rsidR="00723A1B" w:rsidRPr="00723A1B" w:rsidRDefault="00723A1B" w:rsidP="00723A1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69CC731" w14:textId="77777777" w:rsidR="00723A1B" w:rsidRPr="00723A1B" w:rsidRDefault="00723A1B" w:rsidP="00723A1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792577A" w14:textId="77777777" w:rsidR="00723A1B" w:rsidRPr="00723A1B" w:rsidRDefault="00723A1B" w:rsidP="00723A1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23A1B">
        <w:rPr>
          <w:rFonts w:ascii="Arial" w:hAnsi="Arial" w:cs="Arial"/>
          <w:b/>
          <w:u w:val="single"/>
        </w:rPr>
        <w:t>Reviewer details:</w:t>
      </w:r>
    </w:p>
    <w:p w14:paraId="4885EE64" w14:textId="77777777" w:rsidR="00723A1B" w:rsidRPr="00723A1B" w:rsidRDefault="00723A1B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322FEB91" w14:textId="14ED7C9E" w:rsidR="00723A1B" w:rsidRPr="00723A1B" w:rsidRDefault="00723A1B" w:rsidP="00723A1B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723A1B">
        <w:rPr>
          <w:rFonts w:ascii="Arial" w:hAnsi="Arial" w:cs="Arial"/>
          <w:sz w:val="20"/>
          <w:szCs w:val="20"/>
          <w:lang w:val="en-GB"/>
        </w:rPr>
        <w:t>Larisa Norik</w:t>
      </w:r>
      <w:r w:rsidRPr="00723A1B">
        <w:rPr>
          <w:rFonts w:ascii="Arial" w:hAnsi="Arial" w:cs="Arial"/>
          <w:sz w:val="20"/>
          <w:szCs w:val="20"/>
          <w:lang w:val="en-GB"/>
        </w:rPr>
        <w:t xml:space="preserve">, </w:t>
      </w:r>
      <w:r w:rsidRPr="00723A1B">
        <w:rPr>
          <w:rFonts w:ascii="Arial" w:hAnsi="Arial" w:cs="Arial"/>
          <w:sz w:val="20"/>
          <w:szCs w:val="20"/>
          <w:lang w:val="en-GB"/>
        </w:rPr>
        <w:t>Simon Kuznets Kharkiv National University of Economics</w:t>
      </w:r>
      <w:r w:rsidRPr="00723A1B">
        <w:rPr>
          <w:rFonts w:ascii="Arial" w:hAnsi="Arial" w:cs="Arial"/>
          <w:sz w:val="20"/>
          <w:szCs w:val="20"/>
          <w:lang w:val="en-GB"/>
        </w:rPr>
        <w:t xml:space="preserve">, </w:t>
      </w:r>
      <w:r w:rsidRPr="00723A1B">
        <w:rPr>
          <w:rFonts w:ascii="Arial" w:hAnsi="Arial" w:cs="Arial"/>
          <w:sz w:val="20"/>
          <w:szCs w:val="20"/>
          <w:lang w:val="en-GB"/>
        </w:rPr>
        <w:t>Ukraine</w:t>
      </w:r>
    </w:p>
    <w:sectPr w:rsidR="00723A1B" w:rsidRPr="00723A1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6E08E" w14:textId="77777777" w:rsidR="00AE0F61" w:rsidRDefault="00AE0F61">
      <w:r>
        <w:separator/>
      </w:r>
    </w:p>
  </w:endnote>
  <w:endnote w:type="continuationSeparator" w:id="0">
    <w:p w14:paraId="3793B48D" w14:textId="77777777" w:rsidR="00AE0F61" w:rsidRDefault="00AE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DCCC5" w14:textId="77777777" w:rsidR="00AE0F61" w:rsidRDefault="00AE0F61">
      <w:r>
        <w:separator/>
      </w:r>
    </w:p>
  </w:footnote>
  <w:footnote w:type="continuationSeparator" w:id="0">
    <w:p w14:paraId="539F8341" w14:textId="77777777" w:rsidR="00AE0F61" w:rsidRDefault="00AE0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7999794">
    <w:abstractNumId w:val="4"/>
  </w:num>
  <w:num w:numId="2" w16cid:durableId="1637029615">
    <w:abstractNumId w:val="8"/>
  </w:num>
  <w:num w:numId="3" w16cid:durableId="155339279">
    <w:abstractNumId w:val="7"/>
  </w:num>
  <w:num w:numId="4" w16cid:durableId="101732956">
    <w:abstractNumId w:val="9"/>
  </w:num>
  <w:num w:numId="5" w16cid:durableId="1416976889">
    <w:abstractNumId w:val="6"/>
  </w:num>
  <w:num w:numId="6" w16cid:durableId="996222577">
    <w:abstractNumId w:val="0"/>
  </w:num>
  <w:num w:numId="7" w16cid:durableId="582489478">
    <w:abstractNumId w:val="3"/>
  </w:num>
  <w:num w:numId="8" w16cid:durableId="1351252061">
    <w:abstractNumId w:val="11"/>
  </w:num>
  <w:num w:numId="9" w16cid:durableId="319307346">
    <w:abstractNumId w:val="10"/>
  </w:num>
  <w:num w:numId="10" w16cid:durableId="899947248">
    <w:abstractNumId w:val="2"/>
  </w:num>
  <w:num w:numId="11" w16cid:durableId="382875331">
    <w:abstractNumId w:val="1"/>
  </w:num>
  <w:num w:numId="12" w16cid:durableId="139343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9"/>
    <w:rsid w:val="00032E28"/>
    <w:rsid w:val="00050B63"/>
    <w:rsid w:val="00123F96"/>
    <w:rsid w:val="00193421"/>
    <w:rsid w:val="00233492"/>
    <w:rsid w:val="00333858"/>
    <w:rsid w:val="00361BA4"/>
    <w:rsid w:val="003C2FB3"/>
    <w:rsid w:val="003F62D8"/>
    <w:rsid w:val="004D3449"/>
    <w:rsid w:val="005D075C"/>
    <w:rsid w:val="006F69EE"/>
    <w:rsid w:val="00723A1B"/>
    <w:rsid w:val="007B3EEF"/>
    <w:rsid w:val="007F3A43"/>
    <w:rsid w:val="00850879"/>
    <w:rsid w:val="00A8125F"/>
    <w:rsid w:val="00AD16BC"/>
    <w:rsid w:val="00AE0F61"/>
    <w:rsid w:val="00BB05FD"/>
    <w:rsid w:val="00C41B3A"/>
    <w:rsid w:val="00C6287B"/>
    <w:rsid w:val="00D0344E"/>
    <w:rsid w:val="00D50418"/>
    <w:rsid w:val="00E853F5"/>
    <w:rsid w:val="00F32752"/>
    <w:rsid w:val="00F546A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23A1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5960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9</cp:revision>
  <dcterms:created xsi:type="dcterms:W3CDTF">2026-09-09T19:01:00Z</dcterms:created>
  <dcterms:modified xsi:type="dcterms:W3CDTF">2026-09-16T10:22:00Z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