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54B99" w14:textId="33FE7B63" w:rsidR="003614FF" w:rsidRDefault="003614FF" w:rsidP="00A415E5">
      <w:pPr>
        <w:contextualSpacing/>
        <w:jc w:val="center"/>
        <w:rPr>
          <w:rFonts w:ascii="Times New Roman" w:hAnsi="Times New Roman" w:cs="Times New Roman"/>
          <w:b/>
          <w:bCs/>
          <w:sz w:val="24"/>
          <w:szCs w:val="24"/>
        </w:rPr>
      </w:pPr>
      <w:r w:rsidRPr="003614FF">
        <w:rPr>
          <w:rFonts w:ascii="Times New Roman" w:hAnsi="Times New Roman" w:cs="Times New Roman"/>
          <w:b/>
          <w:bCs/>
          <w:sz w:val="24"/>
          <w:szCs w:val="24"/>
        </w:rPr>
        <w:t>Use of Sun-Dried Cassava Leaves (</w:t>
      </w:r>
      <w:r w:rsidRPr="003614FF">
        <w:rPr>
          <w:rFonts w:ascii="Times New Roman" w:hAnsi="Times New Roman" w:cs="Times New Roman"/>
          <w:b/>
          <w:bCs/>
          <w:i/>
          <w:iCs/>
          <w:sz w:val="24"/>
          <w:szCs w:val="24"/>
        </w:rPr>
        <w:t>Manihot esculenta</w:t>
      </w:r>
      <w:r w:rsidRPr="003614FF">
        <w:rPr>
          <w:rFonts w:ascii="Times New Roman" w:hAnsi="Times New Roman" w:cs="Times New Roman"/>
          <w:b/>
          <w:bCs/>
          <w:sz w:val="24"/>
          <w:szCs w:val="24"/>
        </w:rPr>
        <w:t xml:space="preserve"> Crantz) in the Diet of Sahelian Bucks in Niger: Zootechn</w:t>
      </w:r>
      <w:r w:rsidR="002E43E3">
        <w:rPr>
          <w:rFonts w:ascii="Times New Roman" w:hAnsi="Times New Roman" w:cs="Times New Roman"/>
          <w:b/>
          <w:bCs/>
          <w:sz w:val="24"/>
          <w:szCs w:val="24"/>
        </w:rPr>
        <w:t>ical Performance, Digestibility</w:t>
      </w:r>
      <w:r w:rsidRPr="003614FF">
        <w:rPr>
          <w:rFonts w:ascii="Times New Roman" w:hAnsi="Times New Roman" w:cs="Times New Roman"/>
          <w:b/>
          <w:bCs/>
          <w:sz w:val="24"/>
          <w:szCs w:val="24"/>
        </w:rPr>
        <w:t xml:space="preserve"> and Economic Profitability</w:t>
      </w:r>
    </w:p>
    <w:p w14:paraId="44D042EE" w14:textId="04A4869F" w:rsidR="00E74046" w:rsidRDefault="00E74046" w:rsidP="00A415E5">
      <w:pPr>
        <w:contextualSpacing/>
        <w:jc w:val="center"/>
        <w:rPr>
          <w:rFonts w:ascii="Times New Roman" w:hAnsi="Times New Roman" w:cs="Times New Roman"/>
          <w:b/>
          <w:bCs/>
          <w:sz w:val="24"/>
          <w:szCs w:val="24"/>
        </w:rPr>
      </w:pPr>
    </w:p>
    <w:p w14:paraId="248FF4C6" w14:textId="77777777" w:rsidR="008974A2" w:rsidRPr="003614FF" w:rsidRDefault="008974A2" w:rsidP="00A415E5">
      <w:pPr>
        <w:spacing w:after="0"/>
        <w:contextualSpacing/>
        <w:jc w:val="center"/>
        <w:rPr>
          <w:rFonts w:ascii="Times New Roman" w:hAnsi="Times New Roman" w:cs="Times New Roman"/>
          <w:sz w:val="24"/>
          <w:szCs w:val="24"/>
        </w:rPr>
      </w:pPr>
    </w:p>
    <w:p w14:paraId="404BEAA4" w14:textId="7A4682D2" w:rsidR="003614FF" w:rsidRPr="003614FF" w:rsidRDefault="007C7D50" w:rsidP="00A415E5">
      <w:pPr>
        <w:spacing w:before="240"/>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Abstract</w:t>
      </w:r>
    </w:p>
    <w:p w14:paraId="167490E1" w14:textId="75D325CF" w:rsidR="003614FF" w:rsidRPr="003614FF" w:rsidRDefault="003614FF" w:rsidP="00A415E5">
      <w:pPr>
        <w:spacing w:line="480" w:lineRule="auto"/>
        <w:contextualSpacing/>
        <w:jc w:val="both"/>
        <w:rPr>
          <w:rFonts w:ascii="Times New Roman" w:hAnsi="Times New Roman" w:cs="Times New Roman"/>
          <w:i/>
          <w:iCs/>
          <w:sz w:val="24"/>
          <w:szCs w:val="24"/>
        </w:rPr>
      </w:pPr>
      <w:r w:rsidRPr="007C7D50">
        <w:rPr>
          <w:rFonts w:ascii="Times New Roman" w:hAnsi="Times New Roman" w:cs="Times New Roman"/>
          <w:iCs/>
          <w:sz w:val="24"/>
          <w:szCs w:val="24"/>
        </w:rPr>
        <w:t>The objective of this study was to evaluate the impact of gradual incorporation of sun-dried cassava leaves (</w:t>
      </w:r>
      <w:r w:rsidRPr="006B0227">
        <w:rPr>
          <w:rFonts w:ascii="Times New Roman" w:hAnsi="Times New Roman" w:cs="Times New Roman"/>
          <w:i/>
          <w:iCs/>
          <w:sz w:val="24"/>
          <w:szCs w:val="24"/>
        </w:rPr>
        <w:t>Manihot esculenta Crantz</w:t>
      </w:r>
      <w:r w:rsidRPr="007C7D50">
        <w:rPr>
          <w:rFonts w:ascii="Times New Roman" w:hAnsi="Times New Roman" w:cs="Times New Roman"/>
          <w:iCs/>
          <w:sz w:val="24"/>
          <w:szCs w:val="24"/>
        </w:rPr>
        <w:t xml:space="preserve">) into the concentrate ration on </w:t>
      </w:r>
      <w:r w:rsidR="00911341">
        <w:rPr>
          <w:rFonts w:ascii="Times New Roman" w:hAnsi="Times New Roman" w:cs="Times New Roman"/>
          <w:iCs/>
          <w:sz w:val="24"/>
          <w:szCs w:val="24"/>
        </w:rPr>
        <w:t xml:space="preserve">feed </w:t>
      </w:r>
      <w:r w:rsidRPr="007C7D50">
        <w:rPr>
          <w:rFonts w:ascii="Times New Roman" w:hAnsi="Times New Roman" w:cs="Times New Roman"/>
          <w:iCs/>
          <w:sz w:val="24"/>
          <w:szCs w:val="24"/>
        </w:rPr>
        <w:t>intake, apparent digestibility, growth performance, and economic profitability of fattening Sahelian bucks in Niger.</w:t>
      </w:r>
      <w:r w:rsidR="007C7D50">
        <w:rPr>
          <w:rFonts w:ascii="Times New Roman" w:hAnsi="Times New Roman" w:cs="Times New Roman"/>
          <w:iCs/>
          <w:sz w:val="24"/>
          <w:szCs w:val="24"/>
        </w:rPr>
        <w:t xml:space="preserve"> </w:t>
      </w:r>
      <w:r w:rsidRPr="007C7D50">
        <w:rPr>
          <w:rFonts w:ascii="Times New Roman" w:hAnsi="Times New Roman" w:cs="Times New Roman"/>
          <w:iCs/>
          <w:sz w:val="24"/>
          <w:szCs w:val="24"/>
        </w:rPr>
        <w:t xml:space="preserve">Twenty-four (24) Sahelian bucks, with an average initial live weight of </w:t>
      </w:r>
      <m:oMath>
        <m:r>
          <m:rPr>
            <m:sty m:val="p"/>
          </m:rPr>
          <w:rPr>
            <w:rFonts w:ascii="Cambria Math" w:hAnsi="Cambria Math" w:cs="Times New Roman"/>
            <w:sz w:val="24"/>
            <w:szCs w:val="24"/>
          </w:rPr>
          <m:t>14.5±1.2</m:t>
        </m:r>
        <m:r>
          <m:rPr>
            <m:nor/>
          </m:rPr>
          <w:rPr>
            <w:rFonts w:ascii="Times New Roman" w:hAnsi="Times New Roman" w:cs="Times New Roman"/>
            <w:iCs/>
            <w:sz w:val="24"/>
            <w:szCs w:val="24"/>
          </w:rPr>
          <m:t> kg</m:t>
        </m:r>
      </m:oMath>
      <w:r w:rsidRPr="007C7D50">
        <w:rPr>
          <w:rFonts w:ascii="Times New Roman" w:hAnsi="Times New Roman" w:cs="Times New Roman"/>
          <w:iCs/>
          <w:sz w:val="24"/>
          <w:szCs w:val="24"/>
        </w:rPr>
        <w:t xml:space="preserve"> and aged 7 to 9 months, were randomly assigned in a randomized complete block design to 4 treatments (</w:t>
      </w:r>
      <m:oMath>
        <m:r>
          <m:rPr>
            <m:sty m:val="p"/>
          </m:rPr>
          <w:rPr>
            <w:rFonts w:ascii="Cambria Math" w:hAnsi="Cambria Math" w:cs="Times New Roman"/>
            <w:sz w:val="24"/>
            <w:szCs w:val="24"/>
          </w:rPr>
          <m:t>n=6</m:t>
        </m:r>
      </m:oMath>
      <w:r w:rsidRPr="007C7D50">
        <w:rPr>
          <w:rFonts w:ascii="Times New Roman" w:hAnsi="Times New Roman" w:cs="Times New Roman"/>
          <w:iCs/>
          <w:sz w:val="24"/>
          <w:szCs w:val="24"/>
        </w:rPr>
        <w:t xml:space="preserve"> per treatment) for 70 days (14 days of adaptation and 56 days of data collection). Treatments consisted of a basal diet of sorghum stover fed ad libitum, supplemented with a concentrate containing different incorporation levels of shade-dried cassava leaves (DCL): 0% (DCL0 - Control), 15% (DCL15), 30% (DCL30), and 45% (DCL45).</w:t>
      </w:r>
      <w:r w:rsidR="007C7D50">
        <w:rPr>
          <w:rFonts w:ascii="Times New Roman" w:hAnsi="Times New Roman" w:cs="Times New Roman"/>
          <w:iCs/>
          <w:sz w:val="24"/>
          <w:szCs w:val="24"/>
        </w:rPr>
        <w:t xml:space="preserve"> </w:t>
      </w:r>
      <w:r w:rsidRPr="007C7D50">
        <w:rPr>
          <w:rFonts w:ascii="Times New Roman" w:hAnsi="Times New Roman" w:cs="Times New Roman"/>
          <w:iCs/>
          <w:sz w:val="24"/>
          <w:szCs w:val="24"/>
        </w:rPr>
        <w:t xml:space="preserve">The dry matter (DM) and crude protein (CP) contents of DCL were 91.8% and 21.4% </w:t>
      </w:r>
      <w:commentRangeStart w:id="0"/>
      <w:r w:rsidRPr="007C7D50">
        <w:rPr>
          <w:rFonts w:ascii="Times New Roman" w:hAnsi="Times New Roman" w:cs="Times New Roman"/>
          <w:iCs/>
          <w:sz w:val="24"/>
          <w:szCs w:val="24"/>
        </w:rPr>
        <w:t>of</w:t>
      </w:r>
      <w:commentRangeEnd w:id="0"/>
      <w:r w:rsidR="00A0436E" w:rsidRPr="007C7D50">
        <w:rPr>
          <w:rStyle w:val="CommentReference"/>
          <w:rFonts w:ascii="Times New Roman" w:hAnsi="Times New Roman" w:cs="Times New Roman"/>
          <w:iCs/>
          <w:sz w:val="24"/>
          <w:szCs w:val="24"/>
        </w:rPr>
        <w:commentReference w:id="0"/>
      </w:r>
      <w:r w:rsidRPr="007C7D50">
        <w:rPr>
          <w:rFonts w:ascii="Times New Roman" w:hAnsi="Times New Roman" w:cs="Times New Roman"/>
          <w:iCs/>
          <w:sz w:val="24"/>
          <w:szCs w:val="24"/>
        </w:rPr>
        <w:t xml:space="preserve"> DM, respectively. Total DM intake increased linearly with the DCL level (</w:t>
      </w:r>
      <m:oMath>
        <m:r>
          <m:rPr>
            <m:sty m:val="p"/>
          </m:rPr>
          <w:rPr>
            <w:rFonts w:ascii="Cambria Math" w:hAnsi="Cambria Math" w:cs="Times New Roman"/>
            <w:sz w:val="24"/>
            <w:szCs w:val="24"/>
          </w:rPr>
          <m:t>P&lt;0.05</m:t>
        </m:r>
      </m:oMath>
      <w:r w:rsidRPr="007C7D50">
        <w:rPr>
          <w:rFonts w:ascii="Times New Roman" w:hAnsi="Times New Roman" w:cs="Times New Roman"/>
          <w:iCs/>
          <w:sz w:val="24"/>
          <w:szCs w:val="24"/>
        </w:rPr>
        <w:t xml:space="preserve">), reaching </w:t>
      </w:r>
      <m:oMath>
        <m:r>
          <m:rPr>
            <m:sty m:val="p"/>
          </m:rPr>
          <w:rPr>
            <w:rFonts w:ascii="Cambria Math" w:hAnsi="Cambria Math" w:cs="Times New Roman"/>
            <w:sz w:val="24"/>
            <w:szCs w:val="24"/>
          </w:rPr>
          <m:t>612.4</m:t>
        </m:r>
        <m:r>
          <m:rPr>
            <m:nor/>
          </m:rPr>
          <w:rPr>
            <w:rFonts w:ascii="Times New Roman" w:hAnsi="Times New Roman" w:cs="Times New Roman"/>
            <w:iCs/>
            <w:sz w:val="24"/>
            <w:szCs w:val="24"/>
          </w:rPr>
          <m:t> g DM/day</m:t>
        </m:r>
      </m:oMath>
      <w:r w:rsidRPr="007C7D50">
        <w:rPr>
          <w:rFonts w:ascii="Times New Roman" w:hAnsi="Times New Roman" w:cs="Times New Roman"/>
          <w:iCs/>
          <w:sz w:val="24"/>
          <w:szCs w:val="24"/>
        </w:rPr>
        <w:t xml:space="preserve"> for DCL30 compared to </w:t>
      </w:r>
      <m:oMath>
        <m:r>
          <m:rPr>
            <m:sty m:val="p"/>
          </m:rPr>
          <w:rPr>
            <w:rFonts w:ascii="Cambria Math" w:hAnsi="Cambria Math" w:cs="Times New Roman"/>
            <w:sz w:val="24"/>
            <w:szCs w:val="24"/>
          </w:rPr>
          <m:t>515.2</m:t>
        </m:r>
        <m:r>
          <m:rPr>
            <m:nor/>
          </m:rPr>
          <w:rPr>
            <w:rFonts w:ascii="Times New Roman" w:hAnsi="Times New Roman" w:cs="Times New Roman"/>
            <w:iCs/>
            <w:sz w:val="24"/>
            <w:szCs w:val="24"/>
          </w:rPr>
          <m:t> g DM/day</m:t>
        </m:r>
      </m:oMath>
      <w:r w:rsidRPr="007C7D50">
        <w:rPr>
          <w:rFonts w:ascii="Times New Roman" w:hAnsi="Times New Roman" w:cs="Times New Roman"/>
          <w:iCs/>
          <w:sz w:val="24"/>
          <w:szCs w:val="24"/>
        </w:rPr>
        <w:t xml:space="preserve"> for DCL0. Average Daily Gain (ADG) was significantly higher in the DCL30 (</w:t>
      </w:r>
      <m:oMath>
        <m:r>
          <m:rPr>
            <m:sty m:val="p"/>
          </m:rPr>
          <w:rPr>
            <w:rFonts w:ascii="Cambria Math" w:hAnsi="Cambria Math" w:cs="Times New Roman"/>
            <w:sz w:val="24"/>
            <w:szCs w:val="24"/>
          </w:rPr>
          <m:t>78.5</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and DCL15 (</w:t>
      </w:r>
      <m:oMath>
        <m:r>
          <m:rPr>
            <m:sty m:val="p"/>
          </m:rPr>
          <w:rPr>
            <w:rFonts w:ascii="Cambria Math" w:hAnsi="Cambria Math" w:cs="Times New Roman"/>
            <w:sz w:val="24"/>
            <w:szCs w:val="24"/>
          </w:rPr>
          <m:t>71.2</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groups compared to the control group DCL0 (</w:t>
      </w:r>
      <m:oMath>
        <m:r>
          <m:rPr>
            <m:sty m:val="p"/>
          </m:rPr>
          <w:rPr>
            <w:rFonts w:ascii="Cambria Math" w:hAnsi="Cambria Math" w:cs="Times New Roman"/>
            <w:sz w:val="24"/>
            <w:szCs w:val="24"/>
          </w:rPr>
          <m:t>52.4</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w:t>
      </w:r>
      <m:oMath>
        <m:r>
          <m:rPr>
            <m:sty m:val="p"/>
          </m:rPr>
          <w:rPr>
            <w:rFonts w:ascii="Cambria Math" w:hAnsi="Cambria Math" w:cs="Times New Roman"/>
            <w:sz w:val="24"/>
            <w:szCs w:val="24"/>
          </w:rPr>
          <m:t>P&lt;0.01</m:t>
        </m:r>
      </m:oMath>
      <w:r w:rsidRPr="007C7D50">
        <w:rPr>
          <w:rFonts w:ascii="Times New Roman" w:hAnsi="Times New Roman" w:cs="Times New Roman"/>
          <w:iCs/>
          <w:sz w:val="24"/>
          <w:szCs w:val="24"/>
        </w:rPr>
        <w:t>). Beyond 30% incorporation (DCL45), a slight non-significant drop in ADG (</w:t>
      </w:r>
      <m:oMath>
        <m:r>
          <m:rPr>
            <m:sty m:val="p"/>
          </m:rPr>
          <w:rPr>
            <w:rFonts w:ascii="Cambria Math" w:hAnsi="Cambria Math" w:cs="Times New Roman"/>
            <w:sz w:val="24"/>
            <w:szCs w:val="24"/>
          </w:rPr>
          <m:t>68.1</m:t>
        </m:r>
        <m:r>
          <m:rPr>
            <m:nor/>
          </m:rPr>
          <w:rPr>
            <w:rFonts w:ascii="Times New Roman" w:hAnsi="Times New Roman" w:cs="Times New Roman"/>
            <w:iCs/>
            <w:sz w:val="24"/>
            <w:szCs w:val="24"/>
          </w:rPr>
          <m:t> g/day</m:t>
        </m:r>
      </m:oMath>
      <w:r w:rsidRPr="007C7D50">
        <w:rPr>
          <w:rFonts w:ascii="Times New Roman" w:hAnsi="Times New Roman" w:cs="Times New Roman"/>
          <w:iCs/>
          <w:sz w:val="24"/>
          <w:szCs w:val="24"/>
        </w:rPr>
        <w:t>) and DM digestibility was observed. The most efficient feed conversion ratio was recorded for the DCL30 group (7.80). Economic analysis shows that the feed cost per kilogram of live weight gain decreased by 35.7% for the DCL30 treatment compared to the control.</w:t>
      </w:r>
      <w:r w:rsidR="007C7D50">
        <w:rPr>
          <w:rFonts w:ascii="Times New Roman" w:hAnsi="Times New Roman" w:cs="Times New Roman"/>
          <w:iCs/>
          <w:sz w:val="24"/>
          <w:szCs w:val="24"/>
        </w:rPr>
        <w:t xml:space="preserve"> </w:t>
      </w:r>
      <w:r w:rsidRPr="007C7D50">
        <w:rPr>
          <w:rFonts w:ascii="Times New Roman" w:hAnsi="Times New Roman" w:cs="Times New Roman"/>
          <w:iCs/>
          <w:sz w:val="24"/>
          <w:szCs w:val="24"/>
        </w:rPr>
        <w:t>Incorporating sun-dried cassava leaves up to 30% in the concentrate significantly improves the growth of Sahelian bucks while substantially reducing production costs in semi-arid zones.</w:t>
      </w:r>
    </w:p>
    <w:p w14:paraId="10E6B346" w14:textId="73CC0C2F" w:rsidR="003614FF" w:rsidRDefault="003614FF" w:rsidP="00A415E5">
      <w:pPr>
        <w:contextualSpacing/>
        <w:jc w:val="both"/>
        <w:rPr>
          <w:rFonts w:ascii="Times New Roman" w:hAnsi="Times New Roman" w:cs="Times New Roman"/>
          <w:sz w:val="24"/>
          <w:szCs w:val="24"/>
        </w:rPr>
      </w:pPr>
      <w:r w:rsidRPr="003614FF">
        <w:rPr>
          <w:rFonts w:ascii="Times New Roman" w:hAnsi="Times New Roman" w:cs="Times New Roman"/>
          <w:b/>
          <w:bCs/>
          <w:sz w:val="24"/>
          <w:szCs w:val="24"/>
        </w:rPr>
        <w:t>Keywords:</w:t>
      </w:r>
      <w:r w:rsidRPr="003614FF">
        <w:rPr>
          <w:rFonts w:ascii="Times New Roman" w:hAnsi="Times New Roman" w:cs="Times New Roman"/>
          <w:sz w:val="24"/>
          <w:szCs w:val="24"/>
        </w:rPr>
        <w:t xml:space="preserve"> Goats, </w:t>
      </w:r>
      <w:r w:rsidRPr="003614FF">
        <w:rPr>
          <w:rFonts w:ascii="Times New Roman" w:hAnsi="Times New Roman" w:cs="Times New Roman"/>
          <w:i/>
          <w:iCs/>
          <w:sz w:val="24"/>
          <w:szCs w:val="24"/>
        </w:rPr>
        <w:t>Manihot esculenta</w:t>
      </w:r>
      <w:r w:rsidRPr="003614FF">
        <w:rPr>
          <w:rFonts w:ascii="Times New Roman" w:hAnsi="Times New Roman" w:cs="Times New Roman"/>
          <w:sz w:val="24"/>
          <w:szCs w:val="24"/>
        </w:rPr>
        <w:t>, Fattening, Weight gain, Protein substrate, Niger.</w:t>
      </w:r>
    </w:p>
    <w:p w14:paraId="75FC59F0" w14:textId="77777777" w:rsidR="00237B32" w:rsidRPr="003614FF" w:rsidRDefault="00237B32" w:rsidP="00A415E5">
      <w:pPr>
        <w:contextualSpacing/>
        <w:jc w:val="both"/>
        <w:rPr>
          <w:rFonts w:ascii="Times New Roman" w:hAnsi="Times New Roman" w:cs="Times New Roman"/>
          <w:sz w:val="24"/>
          <w:szCs w:val="24"/>
        </w:rPr>
      </w:pPr>
    </w:p>
    <w:p w14:paraId="7D784C5C" w14:textId="66ECBCD6"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I</w:t>
      </w:r>
      <w:r w:rsidR="007C7D50" w:rsidRPr="003614FF">
        <w:rPr>
          <w:rFonts w:ascii="Times New Roman" w:hAnsi="Times New Roman" w:cs="Times New Roman"/>
          <w:b/>
          <w:bCs/>
          <w:sz w:val="24"/>
          <w:szCs w:val="24"/>
        </w:rPr>
        <w:t>ntroduction</w:t>
      </w:r>
    </w:p>
    <w:p w14:paraId="6E3D21F4" w14:textId="2947C588" w:rsidR="00B26887" w:rsidRPr="008737A9" w:rsidRDefault="003614FF" w:rsidP="00A415E5">
      <w:pPr>
        <w:spacing w:line="480" w:lineRule="auto"/>
        <w:contextualSpacing/>
        <w:jc w:val="both"/>
        <w:rPr>
          <w:rFonts w:ascii="Times New Roman" w:hAnsi="Times New Roman" w:cs="Times New Roman"/>
          <w:sz w:val="24"/>
        </w:rPr>
      </w:pPr>
      <w:r w:rsidRPr="003614FF">
        <w:rPr>
          <w:rFonts w:ascii="Times New Roman" w:hAnsi="Times New Roman" w:cs="Times New Roman"/>
          <w:sz w:val="24"/>
          <w:szCs w:val="24"/>
        </w:rPr>
        <w:lastRenderedPageBreak/>
        <w:t>In West Africa and particularly in Niger, small ruminant farming constitutes a major socio-economic pillar for food security, resilience, and rural household income (Réseau Billital Maroobé [RBM], 2020; FAO, 2022). However, goat production faces a major nutritional constraint related to low availability and high seasonal variability in the nutritive va</w:t>
      </w:r>
      <w:r w:rsidR="002E43E3">
        <w:rPr>
          <w:rFonts w:ascii="Times New Roman" w:hAnsi="Times New Roman" w:cs="Times New Roman"/>
          <w:sz w:val="24"/>
          <w:szCs w:val="24"/>
        </w:rPr>
        <w:t>lue of natural forages (Ndlovu and Sibanda, 1996 and</w:t>
      </w:r>
      <w:r w:rsidRPr="003614FF">
        <w:rPr>
          <w:rFonts w:ascii="Times New Roman" w:hAnsi="Times New Roman" w:cs="Times New Roman"/>
          <w:sz w:val="24"/>
          <w:szCs w:val="24"/>
        </w:rPr>
        <w:t xml:space="preserve"> Toutain </w:t>
      </w:r>
      <w:r w:rsidRPr="002E43E3">
        <w:rPr>
          <w:rFonts w:ascii="Times New Roman" w:hAnsi="Times New Roman" w:cs="Times New Roman"/>
          <w:i/>
          <w:sz w:val="24"/>
          <w:szCs w:val="24"/>
        </w:rPr>
        <w:t>et al.,</w:t>
      </w:r>
      <w:r w:rsidRPr="003614FF">
        <w:rPr>
          <w:rFonts w:ascii="Times New Roman" w:hAnsi="Times New Roman" w:cs="Times New Roman"/>
          <w:sz w:val="24"/>
          <w:szCs w:val="24"/>
        </w:rPr>
        <w:t xml:space="preserve"> 2012). During the long dry season (8 to 9 months), protein deficiency in crop residues and rangelands leads to a negative nutritional balance, causing considerable weight loss, decreased fertility, and increased morta</w:t>
      </w:r>
      <w:r w:rsidR="002E43E3">
        <w:rPr>
          <w:rFonts w:ascii="Times New Roman" w:hAnsi="Times New Roman" w:cs="Times New Roman"/>
          <w:sz w:val="24"/>
          <w:szCs w:val="24"/>
        </w:rPr>
        <w:t>lity in young animals (Preston and Leng, 1987 and</w:t>
      </w:r>
      <w:r w:rsidRPr="003614FF">
        <w:rPr>
          <w:rFonts w:ascii="Times New Roman" w:hAnsi="Times New Roman" w:cs="Times New Roman"/>
          <w:sz w:val="24"/>
          <w:szCs w:val="24"/>
        </w:rPr>
        <w:t xml:space="preserve"> Boutonnet </w:t>
      </w:r>
      <w:r w:rsidRPr="002E43E3">
        <w:rPr>
          <w:rFonts w:ascii="Times New Roman" w:hAnsi="Times New Roman" w:cs="Times New Roman"/>
          <w:i/>
          <w:sz w:val="24"/>
          <w:szCs w:val="24"/>
        </w:rPr>
        <w:t>et al.,</w:t>
      </w:r>
      <w:r w:rsidRPr="003614FF">
        <w:rPr>
          <w:rFonts w:ascii="Times New Roman" w:hAnsi="Times New Roman" w:cs="Times New Roman"/>
          <w:sz w:val="24"/>
          <w:szCs w:val="24"/>
        </w:rPr>
        <w:t xml:space="preserve"> 2000).</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 xml:space="preserve">To maintain growth performance, protein supplementation is essential (Devendra, 1990). Nevertheless, access to conventional industrial concentrates (cottonseed cake, wheat bran) remains limited for smallholders due to high costs and local market fluctuations (Sanon </w:t>
      </w:r>
      <w:r w:rsidRPr="002E43E3">
        <w:rPr>
          <w:rFonts w:ascii="Times New Roman" w:hAnsi="Times New Roman" w:cs="Times New Roman"/>
          <w:i/>
          <w:sz w:val="24"/>
          <w:szCs w:val="24"/>
        </w:rPr>
        <w:t>et al.,</w:t>
      </w:r>
      <w:r w:rsidRPr="003614FF">
        <w:rPr>
          <w:rFonts w:ascii="Times New Roman" w:hAnsi="Times New Roman" w:cs="Times New Roman"/>
          <w:sz w:val="24"/>
          <w:szCs w:val="24"/>
        </w:rPr>
        <w:t xml:space="preserve"> 2008; INRAN, 2019). The search for local, renewable, and economically accessible protein alternatives is therefore a priority for the sustainability of Sahelian-Sudanian</w:t>
      </w:r>
      <w:r w:rsidR="002E43E3">
        <w:rPr>
          <w:rFonts w:ascii="Times New Roman" w:hAnsi="Times New Roman" w:cs="Times New Roman"/>
          <w:sz w:val="24"/>
          <w:szCs w:val="24"/>
        </w:rPr>
        <w:t xml:space="preserve"> livestock systems (Smith, 1992</w:t>
      </w:r>
      <w:r w:rsidRPr="003614FF">
        <w:rPr>
          <w:rFonts w:ascii="Times New Roman" w:hAnsi="Times New Roman" w:cs="Times New Roman"/>
          <w:sz w:val="24"/>
          <w:szCs w:val="24"/>
        </w:rPr>
        <w:t>).</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Among underutilized resources, cassava leaves (</w:t>
      </w:r>
      <w:r w:rsidRPr="003614FF">
        <w:rPr>
          <w:rFonts w:ascii="Times New Roman" w:hAnsi="Times New Roman" w:cs="Times New Roman"/>
          <w:i/>
          <w:iCs/>
          <w:sz w:val="24"/>
          <w:szCs w:val="24"/>
        </w:rPr>
        <w:t>Manihot esculenta</w:t>
      </w:r>
      <w:r w:rsidRPr="003614FF">
        <w:rPr>
          <w:rFonts w:ascii="Times New Roman" w:hAnsi="Times New Roman" w:cs="Times New Roman"/>
          <w:sz w:val="24"/>
          <w:szCs w:val="24"/>
        </w:rPr>
        <w:t xml:space="preserve"> Crantz), obtained as a byproduct during tuber harvesting, exhibit remarkable nutritive value, with a crude protein (CP) content ranging between 18% and 25% of d</w:t>
      </w:r>
      <w:r w:rsidR="002E43E3">
        <w:rPr>
          <w:rFonts w:ascii="Times New Roman" w:hAnsi="Times New Roman" w:cs="Times New Roman"/>
          <w:sz w:val="24"/>
          <w:szCs w:val="24"/>
        </w:rPr>
        <w:t>ry matter (DM) (Ravindran, 1993 and</w:t>
      </w:r>
      <w:r w:rsidRPr="003614FF">
        <w:rPr>
          <w:rFonts w:ascii="Times New Roman" w:hAnsi="Times New Roman" w:cs="Times New Roman"/>
          <w:sz w:val="24"/>
          <w:szCs w:val="24"/>
        </w:rPr>
        <w:t xml:space="preserve"> Wanapat, 2003). They also offer a balanced essential amino acid profile compared to other tropical legumes (Ffoulkes </w:t>
      </w:r>
      <w:r w:rsidR="002E43E3">
        <w:rPr>
          <w:rFonts w:ascii="Times New Roman" w:hAnsi="Times New Roman" w:cs="Times New Roman"/>
          <w:sz w:val="24"/>
          <w:szCs w:val="24"/>
        </w:rPr>
        <w:t>and</w:t>
      </w:r>
      <w:r w:rsidRPr="003614FF">
        <w:rPr>
          <w:rFonts w:ascii="Times New Roman" w:hAnsi="Times New Roman" w:cs="Times New Roman"/>
          <w:sz w:val="24"/>
          <w:szCs w:val="24"/>
        </w:rPr>
        <w:t xml:space="preserve"> Preston, 1978).</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 xml:space="preserve">However, the use of fresh cassava leaves is restricted by the presence of cyanogenic glycosides (mainly linamarin and lotaustraline) metabolized into hydrocyanic acid (HCN), a compound potentially </w:t>
      </w:r>
      <w:r w:rsidR="002E43E3">
        <w:rPr>
          <w:rFonts w:ascii="Times New Roman" w:hAnsi="Times New Roman" w:cs="Times New Roman"/>
          <w:sz w:val="24"/>
          <w:szCs w:val="24"/>
        </w:rPr>
        <w:t>toxic to animals (Bokanga, 1994 and</w:t>
      </w:r>
      <w:r w:rsidRPr="003614FF">
        <w:rPr>
          <w:rFonts w:ascii="Times New Roman" w:hAnsi="Times New Roman" w:cs="Times New Roman"/>
          <w:sz w:val="24"/>
          <w:szCs w:val="24"/>
        </w:rPr>
        <w:t xml:space="preserve"> Nhassico </w:t>
      </w:r>
      <w:r w:rsidRPr="002E43E3">
        <w:rPr>
          <w:rFonts w:ascii="Times New Roman" w:hAnsi="Times New Roman" w:cs="Times New Roman"/>
          <w:i/>
          <w:sz w:val="24"/>
          <w:szCs w:val="24"/>
        </w:rPr>
        <w:t>et al.,</w:t>
      </w:r>
      <w:r w:rsidRPr="003614FF">
        <w:rPr>
          <w:rFonts w:ascii="Times New Roman" w:hAnsi="Times New Roman" w:cs="Times New Roman"/>
          <w:sz w:val="24"/>
          <w:szCs w:val="24"/>
        </w:rPr>
        <w:t xml:space="preserve"> 2008). Fortunately, simple farmer-level processing methods such as wilting and solar drying in the shade activate endogenous linamarase and volatilize hydrocyanic acid, reducing HCN levels to safe thresholds for ruminal digestion (</w:t>
      </w:r>
      <m:oMath>
        <m:r>
          <w:rPr>
            <w:rFonts w:ascii="Cambria Math" w:hAnsi="Cambria Math" w:cs="Times New Roman"/>
            <w:sz w:val="24"/>
            <w:szCs w:val="24"/>
          </w:rPr>
          <m:t>&lt;50</m:t>
        </m:r>
        <m:r>
          <m:rPr>
            <m:nor/>
          </m:rPr>
          <w:rPr>
            <w:rFonts w:ascii="Times New Roman" w:hAnsi="Times New Roman" w:cs="Times New Roman"/>
            <w:sz w:val="24"/>
            <w:szCs w:val="24"/>
          </w:rPr>
          <m:t> mg HCN/kg DM</m:t>
        </m:r>
      </m:oMath>
      <w:r w:rsidR="00403BCE">
        <w:rPr>
          <w:rFonts w:ascii="Times New Roman" w:hAnsi="Times New Roman" w:cs="Times New Roman"/>
          <w:sz w:val="24"/>
          <w:szCs w:val="24"/>
        </w:rPr>
        <w:t>) (Ravindran, 1995 and Hang and</w:t>
      </w:r>
      <w:r w:rsidRPr="003614FF">
        <w:rPr>
          <w:rFonts w:ascii="Times New Roman" w:hAnsi="Times New Roman" w:cs="Times New Roman"/>
          <w:sz w:val="24"/>
          <w:szCs w:val="24"/>
        </w:rPr>
        <w:t xml:space="preserve"> Preston, 2005).</w:t>
      </w:r>
      <w:r w:rsidR="002E43E3">
        <w:rPr>
          <w:rFonts w:ascii="Times New Roman" w:hAnsi="Times New Roman" w:cs="Times New Roman"/>
          <w:sz w:val="24"/>
          <w:szCs w:val="24"/>
        </w:rPr>
        <w:t xml:space="preserve"> </w:t>
      </w:r>
      <w:r w:rsidRPr="003614FF">
        <w:rPr>
          <w:rFonts w:ascii="Times New Roman" w:hAnsi="Times New Roman" w:cs="Times New Roman"/>
          <w:sz w:val="24"/>
          <w:szCs w:val="24"/>
        </w:rPr>
        <w:t xml:space="preserve">While the beneficial effects of incorporating dried cassava leaves have been widely documented in goats and sheep in humid tropical zones </w:t>
      </w:r>
      <w:r w:rsidRPr="003614FF">
        <w:rPr>
          <w:rFonts w:ascii="Times New Roman" w:hAnsi="Times New Roman" w:cs="Times New Roman"/>
          <w:sz w:val="24"/>
          <w:szCs w:val="24"/>
        </w:rPr>
        <w:lastRenderedPageBreak/>
        <w:t xml:space="preserve">(Onwuka, 1992; Ba </w:t>
      </w:r>
      <w:r w:rsidRPr="00403BCE">
        <w:rPr>
          <w:rFonts w:ascii="Times New Roman" w:hAnsi="Times New Roman" w:cs="Times New Roman"/>
          <w:i/>
          <w:sz w:val="24"/>
          <w:szCs w:val="24"/>
        </w:rPr>
        <w:t>et al.,</w:t>
      </w:r>
      <w:r w:rsidR="00403BCE">
        <w:rPr>
          <w:rFonts w:ascii="Times New Roman" w:hAnsi="Times New Roman" w:cs="Times New Roman"/>
          <w:sz w:val="24"/>
          <w:szCs w:val="24"/>
        </w:rPr>
        <w:t xml:space="preserve"> 2005 and</w:t>
      </w:r>
      <w:r w:rsidRPr="003614FF">
        <w:rPr>
          <w:rFonts w:ascii="Times New Roman" w:hAnsi="Times New Roman" w:cs="Times New Roman"/>
          <w:sz w:val="24"/>
          <w:szCs w:val="24"/>
        </w:rPr>
        <w:t xml:space="preserve"> Anaeto </w:t>
      </w:r>
      <w:r w:rsidRPr="00403BCE">
        <w:rPr>
          <w:rFonts w:ascii="Times New Roman" w:hAnsi="Times New Roman" w:cs="Times New Roman"/>
          <w:i/>
          <w:sz w:val="24"/>
          <w:szCs w:val="24"/>
        </w:rPr>
        <w:t>et al.,</w:t>
      </w:r>
      <w:r w:rsidRPr="003614FF">
        <w:rPr>
          <w:rFonts w:ascii="Times New Roman" w:hAnsi="Times New Roman" w:cs="Times New Roman"/>
          <w:sz w:val="24"/>
          <w:szCs w:val="24"/>
        </w:rPr>
        <w:t xml:space="preserve"> 2013), very little research has quantified their intake value, digestibility, and economic profitability in Sahelian goats under semi-arid conditions.</w:t>
      </w:r>
      <w:r w:rsidR="00B26887">
        <w:rPr>
          <w:rFonts w:ascii="Times New Roman" w:hAnsi="Times New Roman" w:cs="Times New Roman"/>
          <w:sz w:val="24"/>
          <w:szCs w:val="24"/>
        </w:rPr>
        <w:t xml:space="preserve"> </w:t>
      </w:r>
      <w:r w:rsidR="00B26887" w:rsidRPr="008737A9">
        <w:rPr>
          <w:rFonts w:ascii="Times New Roman" w:hAnsi="Times New Roman" w:cs="Times New Roman"/>
          <w:sz w:val="24"/>
        </w:rPr>
        <w:t>Cassava (</w:t>
      </w:r>
      <w:r w:rsidR="00B26887" w:rsidRPr="008737A9">
        <w:rPr>
          <w:rFonts w:ascii="Times New Roman" w:hAnsi="Times New Roman" w:cs="Times New Roman"/>
          <w:i/>
          <w:sz w:val="24"/>
        </w:rPr>
        <w:t>Manihot esculenta</w:t>
      </w:r>
      <w:r w:rsidR="00B26887" w:rsidRPr="008737A9">
        <w:rPr>
          <w:rFonts w:ascii="Times New Roman" w:hAnsi="Times New Roman" w:cs="Times New Roman"/>
          <w:sz w:val="24"/>
        </w:rPr>
        <w:t xml:space="preserve"> Crantz) is an important common food for many Nigeriens and Nigerians aside from its use as livestock feed, hence, having the potential to promote the economic development and provide food security for the rural populace of the majority of farming communities (Chidozie </w:t>
      </w:r>
      <w:r w:rsidR="00B26887" w:rsidRPr="008737A9">
        <w:rPr>
          <w:rFonts w:ascii="Times New Roman" w:hAnsi="Times New Roman" w:cs="Times New Roman"/>
          <w:i/>
          <w:sz w:val="24"/>
        </w:rPr>
        <w:t>at al.,</w:t>
      </w:r>
      <w:r w:rsidR="00B26887" w:rsidRPr="008737A9">
        <w:rPr>
          <w:rFonts w:ascii="Times New Roman" w:hAnsi="Times New Roman" w:cs="Times New Roman"/>
          <w:sz w:val="24"/>
        </w:rPr>
        <w:t xml:space="preserve"> 2019). Cassava is produced in large quantities in Niger and Nigeria and its tuber products are consumed for food by animals and humans across sub-Saharan Africa (Ayasan, 2010). Most of the products from cassava did not contain its peels which are usually discarded contributing about 13% of the tuber (Omotosho and Sangodoyin, 2013). The utilization of cassava leaves by ruminants as supplement feed in Niger Republic served as an alternative means of feed security that can enhance productivity.</w:t>
      </w:r>
    </w:p>
    <w:p w14:paraId="29D39338" w14:textId="3A4C7438" w:rsidR="003614FF" w:rsidRPr="003614FF" w:rsidRDefault="00B26887" w:rsidP="00A415E5">
      <w:pPr>
        <w:spacing w:line="480" w:lineRule="auto"/>
        <w:contextualSpacing/>
        <w:jc w:val="both"/>
        <w:rPr>
          <w:rFonts w:ascii="Times New Roman" w:hAnsi="Times New Roman" w:cs="Times New Roman"/>
          <w:sz w:val="24"/>
          <w:szCs w:val="24"/>
        </w:rPr>
      </w:pPr>
      <w:r w:rsidRPr="008737A9">
        <w:rPr>
          <w:rFonts w:ascii="Times New Roman" w:hAnsi="Times New Roman" w:cs="Times New Roman"/>
          <w:sz w:val="24"/>
        </w:rPr>
        <w:t xml:space="preserve">Cassava leaves and peels in recent times have become an important ingredient in sheep and goat feeds. This depends largely on its high availability and a progressive demand for alternative energy sources for ruminant production as its effectiveness has been shown to reduce cost of feeding (Fasae </w:t>
      </w:r>
      <w:r w:rsidRPr="008737A9">
        <w:rPr>
          <w:rFonts w:ascii="Times New Roman" w:hAnsi="Times New Roman" w:cs="Times New Roman"/>
          <w:i/>
          <w:sz w:val="24"/>
        </w:rPr>
        <w:t>at al.,</w:t>
      </w:r>
      <w:r w:rsidRPr="008737A9">
        <w:rPr>
          <w:rFonts w:ascii="Times New Roman" w:hAnsi="Times New Roman" w:cs="Times New Roman"/>
          <w:sz w:val="24"/>
        </w:rPr>
        <w:t xml:space="preserve"> 2015). These residues are sources of nutrients such as carbohydrates, proteins, vitamins, minerals and phytochemicals of great importance for health and nutrition of livestock (Wanapat and Kang, 2013). Cassava has many essential nutrients. The leaves and roots contain an enormous amount of certain minerals, proteins, amino acids, vitamins, and other nutrients. The root part of the cassava contains 25% to 35% of carbohydrates of fresh weight. The calcium content of the root is higher than many staple foods in which the byproducts are utilized by the ruminants (Montagnac </w:t>
      </w:r>
      <w:r w:rsidRPr="008737A9">
        <w:rPr>
          <w:rFonts w:ascii="Times New Roman" w:hAnsi="Times New Roman" w:cs="Times New Roman"/>
          <w:i/>
          <w:sz w:val="24"/>
        </w:rPr>
        <w:t>at al.,</w:t>
      </w:r>
      <w:r w:rsidRPr="008737A9">
        <w:rPr>
          <w:rFonts w:ascii="Times New Roman" w:hAnsi="Times New Roman" w:cs="Times New Roman"/>
          <w:sz w:val="24"/>
        </w:rPr>
        <w:t xml:space="preserve"> 2009). Cassava roots contain higher amounts of amino acids like arginine, glutamic acid, and aspartic acid than many tubers (Bayata, 2019). The carbohydrate content of the leaves and roots contains small amounts of fructose, sucrose, glucose, and maltose. Cassava leaves and roots contain high amount of essential minerals such as iron, calcium, magnesium, potassium, zinc, copper and manganese. </w:t>
      </w:r>
      <w:r w:rsidRPr="008737A9">
        <w:rPr>
          <w:rFonts w:ascii="Times New Roman" w:hAnsi="Times New Roman" w:cs="Times New Roman"/>
          <w:sz w:val="24"/>
        </w:rPr>
        <w:lastRenderedPageBreak/>
        <w:t>However, cassava roots are very low in B vitamins, including riboflavin, thiamine, and niacin but very rich in Vitamin C ranging between 15 to 45 mg per 100g edible portions while the leaves contained utilizable quantities  (Okigbo, 1980). Also, cassava peel is the major energy based alternative agro-waste product that can effectively replace maize and also reduce cost of production incurred on feeding livestock especially sheep and goat during period of feed scarcity.</w:t>
      </w:r>
      <w:r w:rsidR="002E43E3">
        <w:rPr>
          <w:rFonts w:ascii="Times New Roman" w:hAnsi="Times New Roman" w:cs="Times New Roman"/>
          <w:sz w:val="24"/>
          <w:szCs w:val="24"/>
        </w:rPr>
        <w:t xml:space="preserve"> </w:t>
      </w:r>
      <w:r w:rsidR="003614FF" w:rsidRPr="003614FF">
        <w:rPr>
          <w:rFonts w:ascii="Times New Roman" w:hAnsi="Times New Roman" w:cs="Times New Roman"/>
          <w:sz w:val="24"/>
          <w:szCs w:val="24"/>
        </w:rPr>
        <w:t>The objective of this study is to evaluate the impact of gradual incorporation of sun-dried cassava leaves (</w:t>
      </w:r>
      <w:r w:rsidR="003614FF" w:rsidRPr="003614FF">
        <w:rPr>
          <w:rFonts w:ascii="Times New Roman" w:hAnsi="Times New Roman" w:cs="Times New Roman"/>
          <w:i/>
          <w:iCs/>
          <w:sz w:val="24"/>
          <w:szCs w:val="24"/>
        </w:rPr>
        <w:t>Manihot esculenta</w:t>
      </w:r>
      <w:r w:rsidR="003614FF" w:rsidRPr="003614FF">
        <w:rPr>
          <w:rFonts w:ascii="Times New Roman" w:hAnsi="Times New Roman" w:cs="Times New Roman"/>
          <w:sz w:val="24"/>
          <w:szCs w:val="24"/>
        </w:rPr>
        <w:t xml:space="preserve"> Crantz) into fattening concentrate on digestibility, average daily gain (ADG), and economic profitability of Sahelian bucks in Niger.</w:t>
      </w:r>
    </w:p>
    <w:p w14:paraId="34C3A6D5" w14:textId="51AE5DCB"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M</w:t>
      </w:r>
      <w:r w:rsidR="007C7D50">
        <w:rPr>
          <w:rFonts w:ascii="Times New Roman" w:hAnsi="Times New Roman" w:cs="Times New Roman"/>
          <w:b/>
          <w:bCs/>
          <w:sz w:val="24"/>
          <w:szCs w:val="24"/>
        </w:rPr>
        <w:t>aterials a</w:t>
      </w:r>
      <w:r w:rsidR="007C7D50" w:rsidRPr="003614FF">
        <w:rPr>
          <w:rFonts w:ascii="Times New Roman" w:hAnsi="Times New Roman" w:cs="Times New Roman"/>
          <w:b/>
          <w:bCs/>
          <w:sz w:val="24"/>
          <w:szCs w:val="24"/>
        </w:rPr>
        <w:t>nd Methods</w:t>
      </w:r>
    </w:p>
    <w:p w14:paraId="50E40AE6" w14:textId="67C35B12"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Study Area</w:t>
      </w:r>
    </w:p>
    <w:p w14:paraId="57830B5F"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The trial was conducted at the experimental station of the Regional Center of Agricultural Research (CERRA) of Maradi, affiliated with the National Institute of Agricultural Research of Niger (INRAN). The climate of the area is Sahelo-Sudanian, characterized by an 8 to 9-month dry season and an average annual rainfall between 400 and 600 mm.</w:t>
      </w:r>
    </w:p>
    <w:p w14:paraId="595811FA" w14:textId="4C89AEB6"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Preparation of Plant Material</w:t>
      </w:r>
    </w:p>
    <w:p w14:paraId="22B69530"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Cassava leaves were harvested immediately after tuber uprooting. They were spread out on a clean concrete floor, dried in the shade for 4 to 5 days under natural ventilation until reaching approximately 90% dry matter, and then ground (6 mm screen) to facilitate homogeneous integration into the concentrate.</w:t>
      </w:r>
    </w:p>
    <w:p w14:paraId="51862575" w14:textId="5900488B"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Animals and Experimental Design</w:t>
      </w:r>
    </w:p>
    <w:p w14:paraId="2257DD3C"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Twenty-four (24) Sahelian bucks in apparent good health, previously dewormed (internal and external) and vaccinated against contagious caprine pleuropneumonia and peste des petits ruminants, were used. They were housed in individual cages equipped with feeders and drinkers.</w:t>
      </w:r>
    </w:p>
    <w:p w14:paraId="1FCF1792" w14:textId="3399C92C"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The experimental design comprised 4 treatments with 6 replicates each, fed in a randomized complete block design balanced by initial live weight (</w:t>
      </w:r>
      <m:oMath>
        <m:r>
          <w:rPr>
            <w:rFonts w:ascii="Cambria Math" w:hAnsi="Cambria Math" w:cs="Times New Roman"/>
            <w:sz w:val="24"/>
            <w:szCs w:val="24"/>
          </w:rPr>
          <m:t>14.5±1.2</m:t>
        </m:r>
        <m:r>
          <m:rPr>
            <m:nor/>
          </m:rPr>
          <w:rPr>
            <w:rFonts w:ascii="Times New Roman" w:hAnsi="Times New Roman" w:cs="Times New Roman"/>
            <w:sz w:val="24"/>
            <w:szCs w:val="24"/>
          </w:rPr>
          <m:t> kg</m:t>
        </m:r>
      </m:oMath>
      <w:r w:rsidRPr="003614FF">
        <w:rPr>
          <w:rFonts w:ascii="Times New Roman" w:hAnsi="Times New Roman" w:cs="Times New Roman"/>
          <w:sz w:val="24"/>
          <w:szCs w:val="24"/>
        </w:rPr>
        <w:t>):</w:t>
      </w:r>
    </w:p>
    <w:p w14:paraId="66C80E88"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DCL0 (Control):</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Control Concentrate (0% DCL)</w:t>
      </w:r>
    </w:p>
    <w:p w14:paraId="23E27716"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lastRenderedPageBreak/>
        <w:t>DCL15:</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Concentrate with 15% DCL</w:t>
      </w:r>
    </w:p>
    <w:p w14:paraId="41FF4E40"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DCL30:</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Concentrate with 30% DCL</w:t>
      </w:r>
    </w:p>
    <w:p w14:paraId="7A69BD1F" w14:textId="77777777" w:rsidR="003614FF" w:rsidRPr="003614FF" w:rsidRDefault="003614FF" w:rsidP="00A415E5">
      <w:pPr>
        <w:numPr>
          <w:ilvl w:val="0"/>
          <w:numId w:val="2"/>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DCL45:</w:t>
      </w:r>
      <w:r w:rsidRPr="003614FF">
        <w:rPr>
          <w:rFonts w:ascii="Times New Roman" w:hAnsi="Times New Roman" w:cs="Times New Roman"/>
          <w:sz w:val="24"/>
          <w:szCs w:val="24"/>
        </w:rPr>
        <w:t xml:space="preserve"> Sorghum stover </w:t>
      </w:r>
      <w:r w:rsidRPr="003614FF">
        <w:rPr>
          <w:rFonts w:ascii="Times New Roman" w:hAnsi="Times New Roman" w:cs="Times New Roman"/>
          <w:i/>
          <w:iCs/>
          <w:sz w:val="24"/>
          <w:szCs w:val="24"/>
        </w:rPr>
        <w:t>ad libitum</w:t>
      </w:r>
      <w:r w:rsidRPr="003614FF">
        <w:rPr>
          <w:rFonts w:ascii="Times New Roman" w:hAnsi="Times New Roman" w:cs="Times New Roman"/>
          <w:sz w:val="24"/>
          <w:szCs w:val="24"/>
        </w:rPr>
        <w:t xml:space="preserve"> + Concentrate with 45% DCL</w:t>
      </w:r>
    </w:p>
    <w:p w14:paraId="4589403A" w14:textId="7AEBE0D2"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Data Collection and Measurements</w:t>
      </w:r>
    </w:p>
    <w:p w14:paraId="3D71D58D" w14:textId="77777777"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Intake:</w:t>
      </w:r>
      <w:r w:rsidRPr="003614FF">
        <w:rPr>
          <w:rFonts w:ascii="Times New Roman" w:hAnsi="Times New Roman" w:cs="Times New Roman"/>
          <w:sz w:val="24"/>
          <w:szCs w:val="24"/>
        </w:rPr>
        <w:t xml:space="preserve"> The quantities of feed offered and refusals were weighed daily every morning to determine voluntary DM intake.</w:t>
      </w:r>
    </w:p>
    <w:p w14:paraId="531A4BF4" w14:textId="53F61E90"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Growth:</w:t>
      </w:r>
      <w:r w:rsidRPr="003614FF">
        <w:rPr>
          <w:rFonts w:ascii="Times New Roman" w:hAnsi="Times New Roman" w:cs="Times New Roman"/>
          <w:sz w:val="24"/>
          <w:szCs w:val="24"/>
        </w:rPr>
        <w:t xml:space="preserve"> Animals were weighed individually once a week in the morning before feeding using a precision hanging scale (</w:t>
      </w:r>
      <m:oMath>
        <m:r>
          <w:rPr>
            <w:rFonts w:ascii="Cambria Math" w:hAnsi="Cambria Math" w:cs="Times New Roman"/>
            <w:sz w:val="24"/>
            <w:szCs w:val="24"/>
          </w:rPr>
          <m:t>±50</m:t>
        </m:r>
        <m:r>
          <m:rPr>
            <m:nor/>
          </m:rPr>
          <w:rPr>
            <w:rFonts w:ascii="Times New Roman" w:hAnsi="Times New Roman" w:cs="Times New Roman"/>
            <w:sz w:val="24"/>
            <w:szCs w:val="24"/>
          </w:rPr>
          <m:t> g</m:t>
        </m:r>
      </m:oMath>
      <w:r w:rsidRPr="003614FF">
        <w:rPr>
          <w:rFonts w:ascii="Times New Roman" w:hAnsi="Times New Roman" w:cs="Times New Roman"/>
          <w:sz w:val="24"/>
          <w:szCs w:val="24"/>
        </w:rPr>
        <w:t>).</w:t>
      </w:r>
    </w:p>
    <w:p w14:paraId="32E09F4A" w14:textId="77777777"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Digestibility:</w:t>
      </w:r>
      <w:r w:rsidRPr="003614FF">
        <w:rPr>
          <w:rFonts w:ascii="Times New Roman" w:hAnsi="Times New Roman" w:cs="Times New Roman"/>
          <w:sz w:val="24"/>
          <w:szCs w:val="24"/>
        </w:rPr>
        <w:t xml:space="preserve"> A total fecal collection period of 7 days was conducted in the middle of the trial on all animals fitted with waterproof collection bags.</w:t>
      </w:r>
    </w:p>
    <w:p w14:paraId="6E4BB6F1" w14:textId="77777777" w:rsidR="003614FF" w:rsidRPr="003614FF" w:rsidRDefault="003614FF" w:rsidP="00A415E5">
      <w:pPr>
        <w:numPr>
          <w:ilvl w:val="0"/>
          <w:numId w:val="3"/>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Chemical Analysis:</w:t>
      </w:r>
      <w:r w:rsidRPr="003614FF">
        <w:rPr>
          <w:rFonts w:ascii="Times New Roman" w:hAnsi="Times New Roman" w:cs="Times New Roman"/>
          <w:sz w:val="24"/>
          <w:szCs w:val="24"/>
        </w:rPr>
        <w:t xml:space="preserve"> Samples of feeds, refusals, and feces were analyzed for DM, crude ash (CA), crude protein (CP, Kjeldahl method), and crude fiber (CF, Weende method).</w:t>
      </w:r>
    </w:p>
    <w:p w14:paraId="69B62C51" w14:textId="461CE0CF"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Economic Analysis</w:t>
      </w:r>
    </w:p>
    <w:p w14:paraId="0CCF0781"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Profitability was evaluated by calculating feed acquisition costs, daily ration cost, feed cost per kg of live weight gain (CGPV), and gross margin per animal.</w:t>
      </w:r>
    </w:p>
    <w:p w14:paraId="7D5F9ECD" w14:textId="5CE93D3D"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Statistical Analysis</w:t>
      </w:r>
    </w:p>
    <w:p w14:paraId="585C0E7D" w14:textId="13B26E3F"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Data were subjected to analysis of variance (ANOVA) using the General Linear Model (GLM) in SPSS (Version 25.0). Means were compared using Duncan’s test at a significance threshold of </w:t>
      </w:r>
      <m:oMath>
        <m:r>
          <w:rPr>
            <w:rFonts w:ascii="Cambria Math" w:hAnsi="Cambria Math" w:cs="Times New Roman"/>
            <w:sz w:val="24"/>
            <w:szCs w:val="24"/>
          </w:rPr>
          <m:t>P&lt;0.05</m:t>
        </m:r>
      </m:oMath>
      <w:r w:rsidRPr="003614FF">
        <w:rPr>
          <w:rFonts w:ascii="Times New Roman" w:hAnsi="Times New Roman" w:cs="Times New Roman"/>
          <w:sz w:val="24"/>
          <w:szCs w:val="24"/>
        </w:rPr>
        <w:t>.</w:t>
      </w:r>
    </w:p>
    <w:p w14:paraId="5EA4C087" w14:textId="7E11C200"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R</w:t>
      </w:r>
      <w:r w:rsidR="007C7D50" w:rsidRPr="003614FF">
        <w:rPr>
          <w:rFonts w:ascii="Times New Roman" w:hAnsi="Times New Roman" w:cs="Times New Roman"/>
          <w:b/>
          <w:bCs/>
          <w:sz w:val="24"/>
          <w:szCs w:val="24"/>
        </w:rPr>
        <w:t>esults</w:t>
      </w:r>
    </w:p>
    <w:p w14:paraId="717AE331" w14:textId="0A4C7AE1"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Chemical Composition of Ingredients and Diets</w:t>
      </w:r>
    </w:p>
    <w:p w14:paraId="126ABB13" w14:textId="7FA11565"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Bromatological analysis of dried cassava leaves (DCL) revealed a content of 21.4% CP and 16.8% CF relative to DM. Detoxification by drying reduced free HCN content to </w:t>
      </w:r>
      <m:oMath>
        <m:r>
          <w:rPr>
            <w:rFonts w:ascii="Cambria Math" w:hAnsi="Cambria Math" w:cs="Times New Roman"/>
            <w:sz w:val="24"/>
            <w:szCs w:val="24"/>
          </w:rPr>
          <m:t>28.5</m:t>
        </m:r>
        <m:r>
          <m:rPr>
            <m:nor/>
          </m:rPr>
          <w:rPr>
            <w:rFonts w:ascii="Times New Roman" w:hAnsi="Times New Roman" w:cs="Times New Roman"/>
            <w:sz w:val="24"/>
            <w:szCs w:val="24"/>
          </w:rPr>
          <m:t> mg/kg DM</m:t>
        </m:r>
      </m:oMath>
      <w:r w:rsidRPr="003614FF">
        <w:rPr>
          <w:rFonts w:ascii="Times New Roman" w:hAnsi="Times New Roman" w:cs="Times New Roman"/>
          <w:sz w:val="24"/>
          <w:szCs w:val="24"/>
        </w:rPr>
        <w:t>, a level presenting no risk of acute or chronic toxicity.</w:t>
      </w:r>
    </w:p>
    <w:p w14:paraId="735E9CB7" w14:textId="63951DD0" w:rsidR="007C7D50"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Zootechnical Performance and Digestibility</w:t>
      </w:r>
    </w:p>
    <w:p w14:paraId="081CAA9E" w14:textId="09488296" w:rsidR="003614FF" w:rsidRPr="007C7D50" w:rsidRDefault="003614FF" w:rsidP="00A415E5">
      <w:pPr>
        <w:contextualSpacing/>
        <w:jc w:val="both"/>
        <w:rPr>
          <w:rFonts w:ascii="Times New Roman" w:hAnsi="Times New Roman" w:cs="Times New Roman"/>
          <w:b/>
          <w:sz w:val="24"/>
          <w:szCs w:val="24"/>
        </w:rPr>
      </w:pPr>
      <w:r w:rsidRPr="007C7D50">
        <w:rPr>
          <w:rFonts w:ascii="Times New Roman" w:hAnsi="Times New Roman" w:cs="Times New Roman"/>
          <w:b/>
          <w:bCs/>
          <w:sz w:val="24"/>
          <w:szCs w:val="24"/>
        </w:rPr>
        <w:lastRenderedPageBreak/>
        <w:t>Table 1:</w:t>
      </w:r>
      <w:r w:rsidRPr="007C7D50">
        <w:rPr>
          <w:rFonts w:ascii="Times New Roman" w:hAnsi="Times New Roman" w:cs="Times New Roman"/>
          <w:b/>
          <w:sz w:val="24"/>
          <w:szCs w:val="24"/>
        </w:rPr>
        <w:t xml:space="preserve"> Intake, apparent digestibility, and growth performance of Sahelian bucks according to the DCL incorporation rate.</w:t>
      </w:r>
    </w:p>
    <w:tbl>
      <w:tblPr>
        <w:tblStyle w:val="TableGridLight"/>
        <w:tblW w:w="9463" w:type="dxa"/>
        <w:tblBorders>
          <w:top w:val="single" w:sz="4" w:space="0" w:color="auto"/>
          <w:bottom w:val="single" w:sz="4" w:space="0" w:color="auto"/>
        </w:tblBorders>
        <w:tblLook w:val="04A0" w:firstRow="1" w:lastRow="0" w:firstColumn="1" w:lastColumn="0" w:noHBand="0" w:noVBand="1"/>
      </w:tblPr>
      <w:tblGrid>
        <w:gridCol w:w="3809"/>
        <w:gridCol w:w="893"/>
        <w:gridCol w:w="996"/>
        <w:gridCol w:w="996"/>
        <w:gridCol w:w="996"/>
        <w:gridCol w:w="762"/>
        <w:gridCol w:w="1011"/>
      </w:tblGrid>
      <w:tr w:rsidR="003614FF" w:rsidRPr="003614FF" w14:paraId="4352BFDA" w14:textId="77777777" w:rsidTr="00723E01">
        <w:trPr>
          <w:trHeight w:val="19"/>
        </w:trPr>
        <w:tc>
          <w:tcPr>
            <w:tcW w:w="0" w:type="auto"/>
            <w:tcBorders>
              <w:top w:val="single" w:sz="4" w:space="0" w:color="auto"/>
              <w:bottom w:val="single" w:sz="4" w:space="0" w:color="auto"/>
            </w:tcBorders>
            <w:hideMark/>
          </w:tcPr>
          <w:p w14:paraId="4ECA2293"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b/>
                <w:bCs/>
                <w:sz w:val="24"/>
                <w:szCs w:val="24"/>
              </w:rPr>
              <w:t>Parameters</w:t>
            </w:r>
          </w:p>
        </w:tc>
        <w:tc>
          <w:tcPr>
            <w:tcW w:w="0" w:type="auto"/>
            <w:tcBorders>
              <w:top w:val="single" w:sz="4" w:space="0" w:color="auto"/>
              <w:bottom w:val="single" w:sz="4" w:space="0" w:color="auto"/>
            </w:tcBorders>
            <w:hideMark/>
          </w:tcPr>
          <w:p w14:paraId="3B9D3D91"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DCL0</w:t>
            </w:r>
          </w:p>
        </w:tc>
        <w:tc>
          <w:tcPr>
            <w:tcW w:w="0" w:type="auto"/>
            <w:tcBorders>
              <w:top w:val="single" w:sz="4" w:space="0" w:color="auto"/>
              <w:bottom w:val="single" w:sz="4" w:space="0" w:color="auto"/>
            </w:tcBorders>
            <w:hideMark/>
          </w:tcPr>
          <w:p w14:paraId="1A4FA73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DCL15</w:t>
            </w:r>
          </w:p>
        </w:tc>
        <w:tc>
          <w:tcPr>
            <w:tcW w:w="0" w:type="auto"/>
            <w:tcBorders>
              <w:top w:val="single" w:sz="4" w:space="0" w:color="auto"/>
              <w:bottom w:val="single" w:sz="4" w:space="0" w:color="auto"/>
            </w:tcBorders>
            <w:hideMark/>
          </w:tcPr>
          <w:p w14:paraId="7CCDA92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DCL30</w:t>
            </w:r>
          </w:p>
        </w:tc>
        <w:tc>
          <w:tcPr>
            <w:tcW w:w="0" w:type="auto"/>
            <w:tcBorders>
              <w:top w:val="single" w:sz="4" w:space="0" w:color="auto"/>
              <w:bottom w:val="single" w:sz="4" w:space="0" w:color="auto"/>
            </w:tcBorders>
            <w:hideMark/>
          </w:tcPr>
          <w:p w14:paraId="78DF8A18"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DCL45</w:t>
            </w:r>
          </w:p>
        </w:tc>
        <w:tc>
          <w:tcPr>
            <w:tcW w:w="0" w:type="auto"/>
            <w:tcBorders>
              <w:top w:val="single" w:sz="4" w:space="0" w:color="auto"/>
              <w:bottom w:val="single" w:sz="4" w:space="0" w:color="auto"/>
            </w:tcBorders>
            <w:hideMark/>
          </w:tcPr>
          <w:p w14:paraId="32C1B2D4"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SEM</w:t>
            </w:r>
          </w:p>
        </w:tc>
        <w:tc>
          <w:tcPr>
            <w:tcW w:w="0" w:type="auto"/>
            <w:tcBorders>
              <w:top w:val="single" w:sz="4" w:space="0" w:color="auto"/>
              <w:bottom w:val="single" w:sz="4" w:space="0" w:color="auto"/>
            </w:tcBorders>
            <w:hideMark/>
          </w:tcPr>
          <w:p w14:paraId="4BF64F73"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b/>
                <w:bCs/>
                <w:sz w:val="24"/>
                <w:szCs w:val="24"/>
              </w:rPr>
              <w:t>p-value</w:t>
            </w:r>
          </w:p>
        </w:tc>
      </w:tr>
      <w:tr w:rsidR="003614FF" w:rsidRPr="003614FF" w14:paraId="5CD93972" w14:textId="77777777" w:rsidTr="00723E01">
        <w:trPr>
          <w:trHeight w:val="19"/>
        </w:trPr>
        <w:tc>
          <w:tcPr>
            <w:tcW w:w="0" w:type="auto"/>
            <w:tcBorders>
              <w:top w:val="single" w:sz="4" w:space="0" w:color="auto"/>
            </w:tcBorders>
            <w:hideMark/>
          </w:tcPr>
          <w:p w14:paraId="5896D633"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Initial weight (kg)</w:t>
            </w:r>
          </w:p>
        </w:tc>
        <w:tc>
          <w:tcPr>
            <w:tcW w:w="0" w:type="auto"/>
            <w:tcBorders>
              <w:top w:val="single" w:sz="4" w:space="0" w:color="auto"/>
            </w:tcBorders>
            <w:hideMark/>
          </w:tcPr>
          <w:p w14:paraId="2DA451B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14.4</w:t>
            </w:r>
          </w:p>
        </w:tc>
        <w:tc>
          <w:tcPr>
            <w:tcW w:w="0" w:type="auto"/>
            <w:tcBorders>
              <w:top w:val="single" w:sz="4" w:space="0" w:color="auto"/>
            </w:tcBorders>
            <w:hideMark/>
          </w:tcPr>
          <w:p w14:paraId="13DFEEF7"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14.6</w:t>
            </w:r>
          </w:p>
        </w:tc>
        <w:tc>
          <w:tcPr>
            <w:tcW w:w="0" w:type="auto"/>
            <w:tcBorders>
              <w:top w:val="single" w:sz="4" w:space="0" w:color="auto"/>
            </w:tcBorders>
            <w:hideMark/>
          </w:tcPr>
          <w:p w14:paraId="10DF3B85"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14.5</w:t>
            </w:r>
          </w:p>
        </w:tc>
        <w:tc>
          <w:tcPr>
            <w:tcW w:w="0" w:type="auto"/>
            <w:tcBorders>
              <w:top w:val="single" w:sz="4" w:space="0" w:color="auto"/>
            </w:tcBorders>
            <w:hideMark/>
          </w:tcPr>
          <w:p w14:paraId="5EFB233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14.5</w:t>
            </w:r>
          </w:p>
        </w:tc>
        <w:tc>
          <w:tcPr>
            <w:tcW w:w="0" w:type="auto"/>
            <w:tcBorders>
              <w:top w:val="single" w:sz="4" w:space="0" w:color="auto"/>
            </w:tcBorders>
            <w:hideMark/>
          </w:tcPr>
          <w:p w14:paraId="63832D9A"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0.21</w:t>
            </w:r>
          </w:p>
        </w:tc>
        <w:tc>
          <w:tcPr>
            <w:tcW w:w="0" w:type="auto"/>
            <w:tcBorders>
              <w:top w:val="single" w:sz="4" w:space="0" w:color="auto"/>
            </w:tcBorders>
            <w:hideMark/>
          </w:tcPr>
          <w:p w14:paraId="3A795C5D"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0.921</w:t>
            </w:r>
          </w:p>
        </w:tc>
      </w:tr>
      <w:tr w:rsidR="003614FF" w:rsidRPr="003614FF" w14:paraId="770645BC" w14:textId="77777777" w:rsidTr="00723E01">
        <w:trPr>
          <w:trHeight w:val="19"/>
        </w:trPr>
        <w:tc>
          <w:tcPr>
            <w:tcW w:w="0" w:type="auto"/>
            <w:hideMark/>
          </w:tcPr>
          <w:p w14:paraId="147DA634"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Final weight (kg)</w:t>
            </w:r>
          </w:p>
        </w:tc>
        <w:tc>
          <w:tcPr>
            <w:tcW w:w="0" w:type="auto"/>
            <w:hideMark/>
          </w:tcPr>
          <w:p w14:paraId="335DDFEC" w14:textId="3CFAFB81"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17.3</w:t>
            </w:r>
            <w:r w:rsidRPr="003614FF">
              <w:rPr>
                <w:rFonts w:ascii="Times New Roman" w:hAnsi="Times New Roman" w:cs="Times New Roman"/>
                <w:sz w:val="24"/>
                <w:szCs w:val="24"/>
                <w:vertAlign w:val="superscript"/>
              </w:rPr>
              <w:t>c</w:t>
            </w:r>
          </w:p>
        </w:tc>
        <w:tc>
          <w:tcPr>
            <w:tcW w:w="0" w:type="auto"/>
            <w:hideMark/>
          </w:tcPr>
          <w:p w14:paraId="33644211" w14:textId="221DC90B"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18.6</w:t>
            </w:r>
            <w:r w:rsidRPr="003614FF">
              <w:rPr>
                <w:rFonts w:ascii="Times New Roman" w:hAnsi="Times New Roman" w:cs="Times New Roman"/>
                <w:sz w:val="24"/>
                <w:szCs w:val="24"/>
                <w:vertAlign w:val="superscript"/>
              </w:rPr>
              <w:t>b</w:t>
            </w:r>
          </w:p>
        </w:tc>
        <w:tc>
          <w:tcPr>
            <w:tcW w:w="0" w:type="auto"/>
            <w:hideMark/>
          </w:tcPr>
          <w:p w14:paraId="28475E25" w14:textId="624A5F24"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18.9</w:t>
            </w:r>
            <w:r w:rsidRPr="003614FF">
              <w:rPr>
                <w:rFonts w:ascii="Times New Roman" w:hAnsi="Times New Roman" w:cs="Times New Roman"/>
                <w:sz w:val="24"/>
                <w:szCs w:val="24"/>
                <w:vertAlign w:val="superscript"/>
              </w:rPr>
              <w:t>a</w:t>
            </w:r>
          </w:p>
        </w:tc>
        <w:tc>
          <w:tcPr>
            <w:tcW w:w="0" w:type="auto"/>
            <w:hideMark/>
          </w:tcPr>
          <w:p w14:paraId="54F36E5B" w14:textId="747C1906"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18.3</w:t>
            </w:r>
            <w:r w:rsidRPr="003614FF">
              <w:rPr>
                <w:rFonts w:ascii="Times New Roman" w:hAnsi="Times New Roman" w:cs="Times New Roman"/>
                <w:sz w:val="24"/>
                <w:szCs w:val="24"/>
                <w:vertAlign w:val="superscript"/>
              </w:rPr>
              <w:t>b</w:t>
            </w:r>
          </w:p>
        </w:tc>
        <w:tc>
          <w:tcPr>
            <w:tcW w:w="0" w:type="auto"/>
            <w:hideMark/>
          </w:tcPr>
          <w:p w14:paraId="19DD8CC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0.34</w:t>
            </w:r>
          </w:p>
        </w:tc>
        <w:tc>
          <w:tcPr>
            <w:tcW w:w="0" w:type="auto"/>
            <w:hideMark/>
          </w:tcPr>
          <w:p w14:paraId="636D669B"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0.012</w:t>
            </w:r>
          </w:p>
        </w:tc>
      </w:tr>
      <w:tr w:rsidR="003614FF" w:rsidRPr="003614FF" w14:paraId="21ABC0A7" w14:textId="77777777" w:rsidTr="00723E01">
        <w:trPr>
          <w:trHeight w:val="19"/>
        </w:trPr>
        <w:tc>
          <w:tcPr>
            <w:tcW w:w="0" w:type="auto"/>
            <w:hideMark/>
          </w:tcPr>
          <w:p w14:paraId="46AE400C"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Stover DM Intake (g DM/day)</w:t>
            </w:r>
          </w:p>
        </w:tc>
        <w:tc>
          <w:tcPr>
            <w:tcW w:w="0" w:type="auto"/>
            <w:hideMark/>
          </w:tcPr>
          <w:p w14:paraId="25DBE4DA" w14:textId="7A7D0BE5"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280.5</w:t>
            </w:r>
            <w:r w:rsidRPr="00723E01">
              <w:rPr>
                <w:rFonts w:ascii="Times New Roman" w:hAnsi="Times New Roman" w:cs="Times New Roman"/>
                <w:sz w:val="24"/>
                <w:szCs w:val="24"/>
                <w:vertAlign w:val="superscript"/>
              </w:rPr>
              <w:t>a</w:t>
            </w:r>
          </w:p>
        </w:tc>
        <w:tc>
          <w:tcPr>
            <w:tcW w:w="0" w:type="auto"/>
            <w:hideMark/>
          </w:tcPr>
          <w:p w14:paraId="7FE74686" w14:textId="7E9221BA"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265.2</w:t>
            </w:r>
            <w:r w:rsidRPr="00723E01">
              <w:rPr>
                <w:rFonts w:ascii="Times New Roman" w:hAnsi="Times New Roman" w:cs="Times New Roman"/>
                <w:sz w:val="24"/>
                <w:szCs w:val="24"/>
                <w:vertAlign w:val="superscript"/>
              </w:rPr>
              <w:t>b</w:t>
            </w:r>
          </w:p>
        </w:tc>
        <w:tc>
          <w:tcPr>
            <w:tcW w:w="0" w:type="auto"/>
            <w:hideMark/>
          </w:tcPr>
          <w:p w14:paraId="66897FE2" w14:textId="3E09F49A"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252.1</w:t>
            </w:r>
            <w:r w:rsidRPr="00723E01">
              <w:rPr>
                <w:rFonts w:ascii="Times New Roman" w:hAnsi="Times New Roman" w:cs="Times New Roman"/>
                <w:sz w:val="24"/>
                <w:szCs w:val="24"/>
                <w:vertAlign w:val="superscript"/>
              </w:rPr>
              <w:t>c</w:t>
            </w:r>
          </w:p>
        </w:tc>
        <w:tc>
          <w:tcPr>
            <w:tcW w:w="0" w:type="auto"/>
            <w:hideMark/>
          </w:tcPr>
          <w:p w14:paraId="43FBEF05" w14:textId="08C5EFB1"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240.0</w:t>
            </w:r>
            <w:r w:rsidRPr="00723E01">
              <w:rPr>
                <w:rFonts w:ascii="Times New Roman" w:hAnsi="Times New Roman" w:cs="Times New Roman"/>
                <w:sz w:val="24"/>
                <w:szCs w:val="24"/>
                <w:vertAlign w:val="superscript"/>
              </w:rPr>
              <w:t>d</w:t>
            </w:r>
          </w:p>
        </w:tc>
        <w:tc>
          <w:tcPr>
            <w:tcW w:w="0" w:type="auto"/>
            <w:hideMark/>
          </w:tcPr>
          <w:p w14:paraId="330D7E9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8.12</w:t>
            </w:r>
          </w:p>
        </w:tc>
        <w:tc>
          <w:tcPr>
            <w:tcW w:w="0" w:type="auto"/>
            <w:hideMark/>
          </w:tcPr>
          <w:p w14:paraId="27BD3BCC"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0.004</w:t>
            </w:r>
          </w:p>
        </w:tc>
      </w:tr>
      <w:tr w:rsidR="003614FF" w:rsidRPr="003614FF" w14:paraId="3FFE2BF4" w14:textId="77777777" w:rsidTr="00723E01">
        <w:trPr>
          <w:trHeight w:val="19"/>
        </w:trPr>
        <w:tc>
          <w:tcPr>
            <w:tcW w:w="0" w:type="auto"/>
            <w:hideMark/>
          </w:tcPr>
          <w:p w14:paraId="550A7B57"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Concentrate DM Intake (g DM/day)</w:t>
            </w:r>
          </w:p>
        </w:tc>
        <w:tc>
          <w:tcPr>
            <w:tcW w:w="0" w:type="auto"/>
            <w:hideMark/>
          </w:tcPr>
          <w:p w14:paraId="0E2AAD0C" w14:textId="5784CE13"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234.7</w:t>
            </w:r>
            <w:r w:rsidRPr="00723E01">
              <w:rPr>
                <w:rFonts w:ascii="Times New Roman" w:hAnsi="Times New Roman" w:cs="Times New Roman"/>
                <w:sz w:val="24"/>
                <w:szCs w:val="24"/>
                <w:vertAlign w:val="superscript"/>
              </w:rPr>
              <w:t>c</w:t>
            </w:r>
          </w:p>
        </w:tc>
        <w:tc>
          <w:tcPr>
            <w:tcW w:w="0" w:type="auto"/>
            <w:hideMark/>
          </w:tcPr>
          <w:p w14:paraId="163D632E" w14:textId="6AA898C5"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310.2</w:t>
            </w:r>
            <w:r w:rsidRPr="00723E01">
              <w:rPr>
                <w:rFonts w:ascii="Times New Roman" w:hAnsi="Times New Roman" w:cs="Times New Roman"/>
                <w:sz w:val="24"/>
                <w:szCs w:val="24"/>
                <w:vertAlign w:val="superscript"/>
              </w:rPr>
              <w:t>b</w:t>
            </w:r>
          </w:p>
        </w:tc>
        <w:tc>
          <w:tcPr>
            <w:tcW w:w="0" w:type="auto"/>
            <w:hideMark/>
          </w:tcPr>
          <w:p w14:paraId="4C128991" w14:textId="229FEC19"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360.3</w:t>
            </w:r>
            <w:r w:rsidRPr="00723E01">
              <w:rPr>
                <w:rFonts w:ascii="Times New Roman" w:hAnsi="Times New Roman" w:cs="Times New Roman"/>
                <w:sz w:val="24"/>
                <w:szCs w:val="24"/>
                <w:vertAlign w:val="superscript"/>
              </w:rPr>
              <w:t>a</w:t>
            </w:r>
          </w:p>
        </w:tc>
        <w:tc>
          <w:tcPr>
            <w:tcW w:w="0" w:type="auto"/>
            <w:hideMark/>
          </w:tcPr>
          <w:p w14:paraId="7E345FCE" w14:textId="22D40201"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355.1</w:t>
            </w:r>
            <w:r w:rsidRPr="00723E01">
              <w:rPr>
                <w:rFonts w:ascii="Times New Roman" w:hAnsi="Times New Roman" w:cs="Times New Roman"/>
                <w:sz w:val="24"/>
                <w:szCs w:val="24"/>
                <w:vertAlign w:val="superscript"/>
              </w:rPr>
              <w:t>a</w:t>
            </w:r>
          </w:p>
        </w:tc>
        <w:tc>
          <w:tcPr>
            <w:tcW w:w="0" w:type="auto"/>
            <w:hideMark/>
          </w:tcPr>
          <w:p w14:paraId="3A4C63C3"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12.4</w:t>
            </w:r>
          </w:p>
        </w:tc>
        <w:tc>
          <w:tcPr>
            <w:tcW w:w="0" w:type="auto"/>
            <w:hideMark/>
          </w:tcPr>
          <w:p w14:paraId="1F9C087B"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0.001</w:t>
            </w:r>
          </w:p>
        </w:tc>
      </w:tr>
      <w:tr w:rsidR="003614FF" w:rsidRPr="003614FF" w14:paraId="5E9200EB" w14:textId="77777777" w:rsidTr="00723E01">
        <w:trPr>
          <w:trHeight w:val="19"/>
        </w:trPr>
        <w:tc>
          <w:tcPr>
            <w:tcW w:w="0" w:type="auto"/>
            <w:hideMark/>
          </w:tcPr>
          <w:p w14:paraId="14E8FE3E"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Total DM Intake (g DM/day)</w:t>
            </w:r>
          </w:p>
        </w:tc>
        <w:tc>
          <w:tcPr>
            <w:tcW w:w="0" w:type="auto"/>
            <w:hideMark/>
          </w:tcPr>
          <w:p w14:paraId="496E58C1" w14:textId="047E78BD"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515.2c</w:t>
            </w:r>
          </w:p>
        </w:tc>
        <w:tc>
          <w:tcPr>
            <w:tcW w:w="0" w:type="auto"/>
            <w:hideMark/>
          </w:tcPr>
          <w:p w14:paraId="294FC1DA" w14:textId="079C398D"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575.4</w:t>
            </w:r>
            <w:r w:rsidRPr="00723E01">
              <w:rPr>
                <w:rFonts w:ascii="Times New Roman" w:hAnsi="Times New Roman" w:cs="Times New Roman"/>
                <w:sz w:val="24"/>
                <w:szCs w:val="24"/>
                <w:vertAlign w:val="superscript"/>
              </w:rPr>
              <w:t>b</w:t>
            </w:r>
          </w:p>
        </w:tc>
        <w:tc>
          <w:tcPr>
            <w:tcW w:w="0" w:type="auto"/>
            <w:hideMark/>
          </w:tcPr>
          <w:p w14:paraId="73CC8496" w14:textId="051145BD"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612.4</w:t>
            </w:r>
            <w:r w:rsidRPr="00723E01">
              <w:rPr>
                <w:rFonts w:ascii="Times New Roman" w:hAnsi="Times New Roman" w:cs="Times New Roman"/>
                <w:sz w:val="24"/>
                <w:szCs w:val="24"/>
                <w:vertAlign w:val="superscript"/>
              </w:rPr>
              <w:t>a</w:t>
            </w:r>
          </w:p>
        </w:tc>
        <w:tc>
          <w:tcPr>
            <w:tcW w:w="0" w:type="auto"/>
            <w:hideMark/>
          </w:tcPr>
          <w:p w14:paraId="080757C5" w14:textId="3DA9C48C"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595.1</w:t>
            </w:r>
            <w:r w:rsidRPr="00723E01">
              <w:rPr>
                <w:rFonts w:ascii="Times New Roman" w:hAnsi="Times New Roman" w:cs="Times New Roman"/>
                <w:sz w:val="24"/>
                <w:szCs w:val="24"/>
                <w:vertAlign w:val="superscript"/>
              </w:rPr>
              <w:t>ab</w:t>
            </w:r>
          </w:p>
        </w:tc>
        <w:tc>
          <w:tcPr>
            <w:tcW w:w="0" w:type="auto"/>
            <w:hideMark/>
          </w:tcPr>
          <w:p w14:paraId="1CBEDBFD"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15.3</w:t>
            </w:r>
          </w:p>
        </w:tc>
        <w:tc>
          <w:tcPr>
            <w:tcW w:w="0" w:type="auto"/>
            <w:hideMark/>
          </w:tcPr>
          <w:p w14:paraId="610A2DF5"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0.002</w:t>
            </w:r>
          </w:p>
        </w:tc>
      </w:tr>
      <w:tr w:rsidR="003614FF" w:rsidRPr="003614FF" w14:paraId="75B3D531" w14:textId="77777777" w:rsidTr="00723E01">
        <w:trPr>
          <w:trHeight w:val="19"/>
        </w:trPr>
        <w:tc>
          <w:tcPr>
            <w:tcW w:w="0" w:type="auto"/>
            <w:hideMark/>
          </w:tcPr>
          <w:p w14:paraId="223A2D4F"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ADG (g/day)</w:t>
            </w:r>
          </w:p>
        </w:tc>
        <w:tc>
          <w:tcPr>
            <w:tcW w:w="0" w:type="auto"/>
            <w:hideMark/>
          </w:tcPr>
          <w:p w14:paraId="2CE905CB" w14:textId="6CED89A4"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52.4</w:t>
            </w:r>
            <w:r w:rsidRPr="00723E01">
              <w:rPr>
                <w:rFonts w:ascii="Times New Roman" w:hAnsi="Times New Roman" w:cs="Times New Roman"/>
                <w:sz w:val="24"/>
                <w:szCs w:val="24"/>
                <w:vertAlign w:val="superscript"/>
              </w:rPr>
              <w:t>c</w:t>
            </w:r>
          </w:p>
        </w:tc>
        <w:tc>
          <w:tcPr>
            <w:tcW w:w="0" w:type="auto"/>
            <w:hideMark/>
          </w:tcPr>
          <w:p w14:paraId="02900B46" w14:textId="35EB42F6"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71.2</w:t>
            </w:r>
            <w:r w:rsidRPr="00723E01">
              <w:rPr>
                <w:rFonts w:ascii="Times New Roman" w:hAnsi="Times New Roman" w:cs="Times New Roman"/>
                <w:sz w:val="24"/>
                <w:szCs w:val="24"/>
                <w:vertAlign w:val="superscript"/>
              </w:rPr>
              <w:t>b</w:t>
            </w:r>
          </w:p>
        </w:tc>
        <w:tc>
          <w:tcPr>
            <w:tcW w:w="0" w:type="auto"/>
            <w:hideMark/>
          </w:tcPr>
          <w:p w14:paraId="6B0D3DB1" w14:textId="54D9E8E9"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78.5</w:t>
            </w:r>
            <w:r w:rsidRPr="00723E01">
              <w:rPr>
                <w:rFonts w:ascii="Times New Roman" w:hAnsi="Times New Roman" w:cs="Times New Roman"/>
                <w:sz w:val="24"/>
                <w:szCs w:val="24"/>
                <w:vertAlign w:val="superscript"/>
              </w:rPr>
              <w:t>a</w:t>
            </w:r>
          </w:p>
        </w:tc>
        <w:tc>
          <w:tcPr>
            <w:tcW w:w="0" w:type="auto"/>
            <w:hideMark/>
          </w:tcPr>
          <w:p w14:paraId="76049128" w14:textId="27EC434D"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68.1</w:t>
            </w:r>
            <w:r w:rsidRPr="00723E01">
              <w:rPr>
                <w:rFonts w:ascii="Times New Roman" w:hAnsi="Times New Roman" w:cs="Times New Roman"/>
                <w:sz w:val="24"/>
                <w:szCs w:val="24"/>
                <w:vertAlign w:val="superscript"/>
              </w:rPr>
              <w:t>b</w:t>
            </w:r>
          </w:p>
        </w:tc>
        <w:tc>
          <w:tcPr>
            <w:tcW w:w="0" w:type="auto"/>
            <w:hideMark/>
          </w:tcPr>
          <w:p w14:paraId="2841A4FE"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3.45</w:t>
            </w:r>
          </w:p>
        </w:tc>
        <w:tc>
          <w:tcPr>
            <w:tcW w:w="0" w:type="auto"/>
            <w:hideMark/>
          </w:tcPr>
          <w:p w14:paraId="796368AE"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0.001</w:t>
            </w:r>
          </w:p>
        </w:tc>
      </w:tr>
      <w:tr w:rsidR="003614FF" w:rsidRPr="003614FF" w14:paraId="68197F68" w14:textId="77777777" w:rsidTr="00723E01">
        <w:trPr>
          <w:trHeight w:val="19"/>
        </w:trPr>
        <w:tc>
          <w:tcPr>
            <w:tcW w:w="0" w:type="auto"/>
            <w:hideMark/>
          </w:tcPr>
          <w:p w14:paraId="0F06ADEB"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DM Digestibility (%)</w:t>
            </w:r>
          </w:p>
        </w:tc>
        <w:tc>
          <w:tcPr>
            <w:tcW w:w="0" w:type="auto"/>
            <w:hideMark/>
          </w:tcPr>
          <w:p w14:paraId="0E4AC041" w14:textId="4AE1B672"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61.2</w:t>
            </w:r>
            <w:r w:rsidRPr="00723E01">
              <w:rPr>
                <w:rFonts w:ascii="Times New Roman" w:hAnsi="Times New Roman" w:cs="Times New Roman"/>
                <w:sz w:val="24"/>
                <w:szCs w:val="24"/>
                <w:vertAlign w:val="superscript"/>
              </w:rPr>
              <w:t>b</w:t>
            </w:r>
          </w:p>
        </w:tc>
        <w:tc>
          <w:tcPr>
            <w:tcW w:w="0" w:type="auto"/>
            <w:hideMark/>
          </w:tcPr>
          <w:p w14:paraId="64BE33B6" w14:textId="746A0230"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65.4</w:t>
            </w:r>
            <w:r w:rsidRPr="00723E01">
              <w:rPr>
                <w:rFonts w:ascii="Times New Roman" w:hAnsi="Times New Roman" w:cs="Times New Roman"/>
                <w:sz w:val="24"/>
                <w:szCs w:val="24"/>
                <w:vertAlign w:val="superscript"/>
              </w:rPr>
              <w:t>a</w:t>
            </w:r>
          </w:p>
        </w:tc>
        <w:tc>
          <w:tcPr>
            <w:tcW w:w="0" w:type="auto"/>
            <w:hideMark/>
          </w:tcPr>
          <w:p w14:paraId="6FD2AC80" w14:textId="727998BD"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67.1</w:t>
            </w:r>
            <w:r w:rsidRPr="00723E01">
              <w:rPr>
                <w:rFonts w:ascii="Times New Roman" w:hAnsi="Times New Roman" w:cs="Times New Roman"/>
                <w:sz w:val="24"/>
                <w:szCs w:val="24"/>
                <w:vertAlign w:val="superscript"/>
              </w:rPr>
              <w:t>a</w:t>
            </w:r>
          </w:p>
        </w:tc>
        <w:tc>
          <w:tcPr>
            <w:tcW w:w="0" w:type="auto"/>
            <w:hideMark/>
          </w:tcPr>
          <w:p w14:paraId="00308D1C" w14:textId="1DA6104B"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63.8</w:t>
            </w:r>
            <w:r w:rsidRPr="00723E01">
              <w:rPr>
                <w:rFonts w:ascii="Times New Roman" w:hAnsi="Times New Roman" w:cs="Times New Roman"/>
                <w:sz w:val="24"/>
                <w:szCs w:val="24"/>
                <w:vertAlign w:val="superscript"/>
              </w:rPr>
              <w:t>ab</w:t>
            </w:r>
          </w:p>
        </w:tc>
        <w:tc>
          <w:tcPr>
            <w:tcW w:w="0" w:type="auto"/>
            <w:hideMark/>
          </w:tcPr>
          <w:p w14:paraId="61A22025"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1.12</w:t>
            </w:r>
          </w:p>
        </w:tc>
        <w:tc>
          <w:tcPr>
            <w:tcW w:w="0" w:type="auto"/>
            <w:hideMark/>
          </w:tcPr>
          <w:p w14:paraId="23B81565"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0.028</w:t>
            </w:r>
          </w:p>
        </w:tc>
      </w:tr>
      <w:tr w:rsidR="003614FF" w:rsidRPr="003614FF" w14:paraId="7CB30B65" w14:textId="77777777" w:rsidTr="00723E01">
        <w:trPr>
          <w:trHeight w:val="19"/>
        </w:trPr>
        <w:tc>
          <w:tcPr>
            <w:tcW w:w="0" w:type="auto"/>
            <w:hideMark/>
          </w:tcPr>
          <w:p w14:paraId="3539B011"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CP Digestibility (%)</w:t>
            </w:r>
          </w:p>
        </w:tc>
        <w:tc>
          <w:tcPr>
            <w:tcW w:w="0" w:type="auto"/>
            <w:hideMark/>
          </w:tcPr>
          <w:p w14:paraId="01245C9D" w14:textId="5FDD7D80"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64.5</w:t>
            </w:r>
            <w:r w:rsidRPr="00723E01">
              <w:rPr>
                <w:rFonts w:ascii="Times New Roman" w:hAnsi="Times New Roman" w:cs="Times New Roman"/>
                <w:sz w:val="24"/>
                <w:szCs w:val="24"/>
                <w:vertAlign w:val="superscript"/>
              </w:rPr>
              <w:t>c</w:t>
            </w:r>
          </w:p>
        </w:tc>
        <w:tc>
          <w:tcPr>
            <w:tcW w:w="0" w:type="auto"/>
            <w:hideMark/>
          </w:tcPr>
          <w:p w14:paraId="6B019DBE" w14:textId="17A583F2"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70.1</w:t>
            </w:r>
            <w:r w:rsidRPr="00723E01">
              <w:rPr>
                <w:rFonts w:ascii="Times New Roman" w:hAnsi="Times New Roman" w:cs="Times New Roman"/>
                <w:sz w:val="24"/>
                <w:szCs w:val="24"/>
                <w:vertAlign w:val="superscript"/>
              </w:rPr>
              <w:t>b</w:t>
            </w:r>
          </w:p>
        </w:tc>
        <w:tc>
          <w:tcPr>
            <w:tcW w:w="0" w:type="auto"/>
            <w:hideMark/>
          </w:tcPr>
          <w:p w14:paraId="380D7065" w14:textId="7EE63A1A"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73.8</w:t>
            </w:r>
            <w:r w:rsidRPr="00723E01">
              <w:rPr>
                <w:rFonts w:ascii="Times New Roman" w:hAnsi="Times New Roman" w:cs="Times New Roman"/>
                <w:sz w:val="24"/>
                <w:szCs w:val="24"/>
                <w:vertAlign w:val="superscript"/>
              </w:rPr>
              <w:t>a</w:t>
            </w:r>
          </w:p>
        </w:tc>
        <w:tc>
          <w:tcPr>
            <w:tcW w:w="0" w:type="auto"/>
            <w:hideMark/>
          </w:tcPr>
          <w:p w14:paraId="769DA722" w14:textId="77195E96"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71.2</w:t>
            </w:r>
            <w:r w:rsidRPr="00723E01">
              <w:rPr>
                <w:rFonts w:ascii="Times New Roman" w:hAnsi="Times New Roman" w:cs="Times New Roman"/>
                <w:sz w:val="24"/>
                <w:szCs w:val="24"/>
                <w:vertAlign w:val="superscript"/>
              </w:rPr>
              <w:t>ab</w:t>
            </w:r>
          </w:p>
        </w:tc>
        <w:tc>
          <w:tcPr>
            <w:tcW w:w="0" w:type="auto"/>
            <w:hideMark/>
          </w:tcPr>
          <w:p w14:paraId="1921B864"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1.31</w:t>
            </w:r>
          </w:p>
        </w:tc>
        <w:tc>
          <w:tcPr>
            <w:tcW w:w="0" w:type="auto"/>
            <w:hideMark/>
          </w:tcPr>
          <w:p w14:paraId="3DABA3AD"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0.008</w:t>
            </w:r>
          </w:p>
        </w:tc>
      </w:tr>
      <w:tr w:rsidR="003614FF" w:rsidRPr="003614FF" w14:paraId="175CEF8C" w14:textId="77777777" w:rsidTr="00723E01">
        <w:trPr>
          <w:trHeight w:val="19"/>
        </w:trPr>
        <w:tc>
          <w:tcPr>
            <w:tcW w:w="0" w:type="auto"/>
            <w:hideMark/>
          </w:tcPr>
          <w:p w14:paraId="7BC922F0" w14:textId="77777777" w:rsidR="003614FF" w:rsidRPr="003614FF" w:rsidRDefault="003614FF" w:rsidP="00A415E5">
            <w:pPr>
              <w:contextualSpacing/>
              <w:rPr>
                <w:rFonts w:ascii="Times New Roman" w:hAnsi="Times New Roman" w:cs="Times New Roman"/>
                <w:sz w:val="24"/>
                <w:szCs w:val="24"/>
              </w:rPr>
            </w:pPr>
            <w:r w:rsidRPr="003614FF">
              <w:rPr>
                <w:rFonts w:ascii="Times New Roman" w:hAnsi="Times New Roman" w:cs="Times New Roman"/>
                <w:sz w:val="24"/>
                <w:szCs w:val="24"/>
              </w:rPr>
              <w:t>Feed Conversion Ratio</w:t>
            </w:r>
          </w:p>
        </w:tc>
        <w:tc>
          <w:tcPr>
            <w:tcW w:w="0" w:type="auto"/>
            <w:hideMark/>
          </w:tcPr>
          <w:p w14:paraId="6E4E5E20" w14:textId="01DECCFA"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9.83</w:t>
            </w:r>
            <w:r w:rsidRPr="00723E01">
              <w:rPr>
                <w:rFonts w:ascii="Times New Roman" w:hAnsi="Times New Roman" w:cs="Times New Roman"/>
                <w:sz w:val="24"/>
                <w:szCs w:val="24"/>
                <w:vertAlign w:val="superscript"/>
              </w:rPr>
              <w:t>a</w:t>
            </w:r>
          </w:p>
        </w:tc>
        <w:tc>
          <w:tcPr>
            <w:tcW w:w="0" w:type="auto"/>
            <w:hideMark/>
          </w:tcPr>
          <w:p w14:paraId="4F7DE517" w14:textId="325E08DB"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8.08</w:t>
            </w:r>
            <w:r w:rsidRPr="00723E01">
              <w:rPr>
                <w:rFonts w:ascii="Times New Roman" w:hAnsi="Times New Roman" w:cs="Times New Roman"/>
                <w:sz w:val="24"/>
                <w:szCs w:val="24"/>
                <w:vertAlign w:val="superscript"/>
              </w:rPr>
              <w:t>b</w:t>
            </w:r>
          </w:p>
        </w:tc>
        <w:tc>
          <w:tcPr>
            <w:tcW w:w="0" w:type="auto"/>
            <w:hideMark/>
          </w:tcPr>
          <w:p w14:paraId="2BCA79C0" w14:textId="7A9E70B5"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7.80</w:t>
            </w:r>
            <w:r w:rsidRPr="00723E01">
              <w:rPr>
                <w:rFonts w:ascii="Times New Roman" w:hAnsi="Times New Roman" w:cs="Times New Roman"/>
                <w:sz w:val="24"/>
                <w:szCs w:val="24"/>
                <w:vertAlign w:val="superscript"/>
              </w:rPr>
              <w:t>b</w:t>
            </w:r>
          </w:p>
        </w:tc>
        <w:tc>
          <w:tcPr>
            <w:tcW w:w="0" w:type="auto"/>
            <w:hideMark/>
          </w:tcPr>
          <w:p w14:paraId="11AD7ECA" w14:textId="02B1DDF3"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8.73</w:t>
            </w:r>
            <w:r w:rsidRPr="00723E01">
              <w:rPr>
                <w:rFonts w:ascii="Times New Roman" w:hAnsi="Times New Roman" w:cs="Times New Roman"/>
                <w:sz w:val="24"/>
                <w:szCs w:val="24"/>
                <w:vertAlign w:val="superscript"/>
              </w:rPr>
              <w:t>b</w:t>
            </w:r>
          </w:p>
        </w:tc>
        <w:tc>
          <w:tcPr>
            <w:tcW w:w="0" w:type="auto"/>
            <w:hideMark/>
          </w:tcPr>
          <w:p w14:paraId="47E5BC29"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0.42</w:t>
            </w:r>
          </w:p>
        </w:tc>
        <w:tc>
          <w:tcPr>
            <w:tcW w:w="0" w:type="auto"/>
            <w:hideMark/>
          </w:tcPr>
          <w:p w14:paraId="53705440" w14:textId="77777777" w:rsidR="003614FF" w:rsidRPr="003614FF" w:rsidRDefault="003614FF" w:rsidP="00A415E5">
            <w:pPr>
              <w:contextualSpacing/>
              <w:jc w:val="center"/>
              <w:rPr>
                <w:rFonts w:ascii="Times New Roman" w:hAnsi="Times New Roman" w:cs="Times New Roman"/>
                <w:sz w:val="24"/>
                <w:szCs w:val="24"/>
              </w:rPr>
            </w:pPr>
            <w:r w:rsidRPr="003614FF">
              <w:rPr>
                <w:rFonts w:ascii="Times New Roman" w:hAnsi="Times New Roman" w:cs="Times New Roman"/>
                <w:sz w:val="24"/>
                <w:szCs w:val="24"/>
              </w:rPr>
              <w:t>0.015</w:t>
            </w:r>
          </w:p>
        </w:tc>
      </w:tr>
    </w:tbl>
    <w:p w14:paraId="0FAF1072" w14:textId="31E98337" w:rsidR="007C7D50" w:rsidRPr="001A4782" w:rsidRDefault="003614FF" w:rsidP="00A415E5">
      <w:pPr>
        <w:contextualSpacing/>
        <w:jc w:val="both"/>
        <w:rPr>
          <w:rFonts w:ascii="Times New Roman" w:hAnsi="Times New Roman" w:cs="Times New Roman"/>
          <w:sz w:val="20"/>
          <w:szCs w:val="20"/>
        </w:rPr>
      </w:pPr>
      <w:r w:rsidRPr="003614FF">
        <w:rPr>
          <w:rFonts w:ascii="Times New Roman" w:hAnsi="Times New Roman" w:cs="Times New Roman"/>
          <w:i/>
          <w:iCs/>
          <w:sz w:val="20"/>
          <w:szCs w:val="20"/>
        </w:rPr>
        <w:t>Means in the same row with different superscripts (</w:t>
      </w:r>
      <m:oMath>
        <m:r>
          <w:rPr>
            <w:rFonts w:ascii="Cambria Math" w:hAnsi="Cambria Math" w:cs="Times New Roman"/>
            <w:sz w:val="20"/>
            <w:szCs w:val="20"/>
          </w:rPr>
          <m:t>a,b,c,d</m:t>
        </m:r>
      </m:oMath>
      <w:r w:rsidRPr="003614FF">
        <w:rPr>
          <w:rFonts w:ascii="Times New Roman" w:hAnsi="Times New Roman" w:cs="Times New Roman"/>
          <w:i/>
          <w:iCs/>
          <w:sz w:val="20"/>
          <w:szCs w:val="20"/>
        </w:rPr>
        <w:t>) differ significantly (</w:t>
      </w:r>
      <m:oMath>
        <m:r>
          <w:rPr>
            <w:rFonts w:ascii="Cambria Math" w:hAnsi="Cambria Math" w:cs="Times New Roman"/>
            <w:sz w:val="20"/>
            <w:szCs w:val="20"/>
          </w:rPr>
          <m:t>P&lt;0.05</m:t>
        </m:r>
      </m:oMath>
      <w:r w:rsidRPr="003614FF">
        <w:rPr>
          <w:rFonts w:ascii="Times New Roman" w:hAnsi="Times New Roman" w:cs="Times New Roman"/>
          <w:i/>
          <w:iCs/>
          <w:sz w:val="20"/>
          <w:szCs w:val="20"/>
        </w:rPr>
        <w:t>). SEM = Standard Error of the Mean.</w:t>
      </w:r>
    </w:p>
    <w:p w14:paraId="3D915B06" w14:textId="27A34551"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Intake:</w:t>
      </w:r>
      <w:r w:rsidRPr="003614FF">
        <w:rPr>
          <w:rFonts w:ascii="Times New Roman" w:hAnsi="Times New Roman" w:cs="Times New Roman"/>
          <w:sz w:val="24"/>
          <w:szCs w:val="24"/>
        </w:rPr>
        <w:t xml:space="preserve"> The gradual incorporation of dried cassava leaves (DCL) improved the overall palatability of the diet. Total intake increased from </w:t>
      </w:r>
      <m:oMath>
        <m:r>
          <w:rPr>
            <w:rFonts w:ascii="Cambria Math" w:hAnsi="Cambria Math" w:cs="Times New Roman"/>
            <w:sz w:val="24"/>
            <w:szCs w:val="24"/>
          </w:rPr>
          <m:t>515.2</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xml:space="preserve"> in the control group (DCL0) to a peak of </w:t>
      </w:r>
      <m:oMath>
        <m:r>
          <w:rPr>
            <w:rFonts w:ascii="Cambria Math" w:hAnsi="Cambria Math" w:cs="Times New Roman"/>
            <w:sz w:val="24"/>
            <w:szCs w:val="24"/>
          </w:rPr>
          <m:t>612.4</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xml:space="preserve"> for DCL30 (+18.9%). Beyond DCL45, a slight decline in intake was observed (</w:t>
      </w:r>
      <m:oMath>
        <m:r>
          <w:rPr>
            <w:rFonts w:ascii="Cambria Math" w:hAnsi="Cambria Math" w:cs="Times New Roman"/>
            <w:sz w:val="24"/>
            <w:szCs w:val="24"/>
          </w:rPr>
          <m:t>595.1</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This is explained by an increase in poorly digestible fiber (CF) content and forage gut-fill effect, combined with a faster satiety effect induced by residual condensed tannins.</w:t>
      </w:r>
    </w:p>
    <w:p w14:paraId="0C5DCE0C"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Digestibility:</w:t>
      </w:r>
      <w:r w:rsidRPr="003614FF">
        <w:rPr>
          <w:rFonts w:ascii="Times New Roman" w:hAnsi="Times New Roman" w:cs="Times New Roman"/>
          <w:sz w:val="24"/>
          <w:szCs w:val="24"/>
        </w:rPr>
        <w:t xml:space="preserve"> Dry Matter Digestibility reached its maximum with the DCL30 treatment (67.1%) compared to 61.2% in the control group. Protein digestibility increased from 64.5% (DCL0) to 73.8% (DCL30). DCL provided high-quality fermentable nitrogen in the rumen. Combined with readily accessible carbohydrates from wheat/rice bran (40%), they yielded an optimal Nitrogen/Energy ratio, stimulating ruminal microbial flora and accelerating organic matter degradation.</w:t>
      </w:r>
    </w:p>
    <w:p w14:paraId="05B6662C" w14:textId="1D593771"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Growth (ADG):</w:t>
      </w:r>
      <w:r w:rsidRPr="003614FF">
        <w:rPr>
          <w:rFonts w:ascii="Times New Roman" w:hAnsi="Times New Roman" w:cs="Times New Roman"/>
          <w:sz w:val="24"/>
          <w:szCs w:val="24"/>
        </w:rPr>
        <w:t xml:space="preserve"> The DCL30 group recorded the highest growth rate (</w:t>
      </w:r>
      <m:oMath>
        <m:r>
          <w:rPr>
            <w:rFonts w:ascii="Cambria Math" w:hAnsi="Cambria Math" w:cs="Times New Roman"/>
            <w:sz w:val="24"/>
            <w:szCs w:val="24"/>
          </w:rPr>
          <m:t>78.5</m:t>
        </m:r>
        <m:r>
          <m:rPr>
            <m:nor/>
          </m:rPr>
          <w:rPr>
            <w:rFonts w:ascii="Times New Roman" w:hAnsi="Times New Roman" w:cs="Times New Roman"/>
            <w:sz w:val="24"/>
            <w:szCs w:val="24"/>
          </w:rPr>
          <m:t> g/day</m:t>
        </m:r>
      </m:oMath>
      <w:r w:rsidRPr="003614FF">
        <w:rPr>
          <w:rFonts w:ascii="Times New Roman" w:hAnsi="Times New Roman" w:cs="Times New Roman"/>
          <w:sz w:val="24"/>
          <w:szCs w:val="24"/>
        </w:rPr>
        <w:t>), representing a +49.8% weight gain superiority over the non-cassava group (</w:t>
      </w:r>
      <m:oMath>
        <m:r>
          <w:rPr>
            <w:rFonts w:ascii="Cambria Math" w:hAnsi="Cambria Math" w:cs="Times New Roman"/>
            <w:sz w:val="24"/>
            <w:szCs w:val="24"/>
          </w:rPr>
          <m:t>52.4</m:t>
        </m:r>
        <m:r>
          <m:rPr>
            <m:nor/>
          </m:rPr>
          <w:rPr>
            <w:rFonts w:ascii="Times New Roman" w:hAnsi="Times New Roman" w:cs="Times New Roman"/>
            <w:sz w:val="24"/>
            <w:szCs w:val="24"/>
          </w:rPr>
          <m:t> g/day</m:t>
        </m:r>
      </m:oMath>
      <w:r w:rsidRPr="003614FF">
        <w:rPr>
          <w:rFonts w:ascii="Times New Roman" w:hAnsi="Times New Roman" w:cs="Times New Roman"/>
          <w:sz w:val="24"/>
          <w:szCs w:val="24"/>
        </w:rPr>
        <w:t>). The DCL15 treatment also showed notable progression (</w:t>
      </w:r>
      <m:oMath>
        <m:r>
          <w:rPr>
            <w:rFonts w:ascii="Cambria Math" w:hAnsi="Cambria Math" w:cs="Times New Roman"/>
            <w:sz w:val="24"/>
            <w:szCs w:val="24"/>
          </w:rPr>
          <m:t>71.2</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while DCL45 declined to </w:t>
      </w:r>
      <m:oMath>
        <m:r>
          <w:rPr>
            <w:rFonts w:ascii="Cambria Math" w:hAnsi="Cambria Math" w:cs="Times New Roman"/>
            <w:sz w:val="24"/>
            <w:szCs w:val="24"/>
          </w:rPr>
          <m:t>68.1</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due to the drop in intake/digestibility observed beyond the 30% threshold.</w:t>
      </w:r>
    </w:p>
    <w:p w14:paraId="417A6839"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lastRenderedPageBreak/>
        <w:t>Feed Conversion Ratio (FCR):</w:t>
      </w:r>
      <w:r w:rsidRPr="003614FF">
        <w:rPr>
          <w:rFonts w:ascii="Times New Roman" w:hAnsi="Times New Roman" w:cs="Times New Roman"/>
          <w:sz w:val="24"/>
          <w:szCs w:val="24"/>
        </w:rPr>
        <w:t xml:space="preserve"> The lowest (thus most efficient) FCR was obtained by the DCL30 group (7.80), compared to 9.83 for the control. Animals consuming the 30% DCL diet converted ingested dry matter into muscle mass significantly more effectively.</w:t>
      </w:r>
    </w:p>
    <w:p w14:paraId="0FFD1C11" w14:textId="4A16918C"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Economic Profitability</w:t>
      </w:r>
    </w:p>
    <w:p w14:paraId="7C2A64FB" w14:textId="7F9A629A" w:rsidR="003614FF" w:rsidRPr="007C7D50" w:rsidRDefault="003614FF" w:rsidP="00A415E5">
      <w:pPr>
        <w:contextualSpacing/>
        <w:jc w:val="both"/>
        <w:rPr>
          <w:rFonts w:ascii="Times New Roman" w:hAnsi="Times New Roman" w:cs="Times New Roman"/>
          <w:b/>
          <w:sz w:val="24"/>
          <w:szCs w:val="24"/>
        </w:rPr>
      </w:pPr>
      <w:r w:rsidRPr="007C7D50">
        <w:rPr>
          <w:rFonts w:ascii="Times New Roman" w:hAnsi="Times New Roman" w:cs="Times New Roman"/>
          <w:b/>
          <w:bCs/>
          <w:sz w:val="24"/>
          <w:szCs w:val="24"/>
        </w:rPr>
        <w:t>Table 2:</w:t>
      </w:r>
      <w:r w:rsidRPr="007C7D50">
        <w:rPr>
          <w:rFonts w:ascii="Times New Roman" w:hAnsi="Times New Roman" w:cs="Times New Roman"/>
          <w:b/>
          <w:sz w:val="24"/>
          <w:szCs w:val="24"/>
        </w:rPr>
        <w:t xml:space="preserve"> Economic evaluat</w:t>
      </w:r>
      <w:r w:rsidR="007C7D50">
        <w:rPr>
          <w:rFonts w:ascii="Times New Roman" w:hAnsi="Times New Roman" w:cs="Times New Roman"/>
          <w:b/>
          <w:sz w:val="24"/>
          <w:szCs w:val="24"/>
        </w:rPr>
        <w:t xml:space="preserve">ion of Sahelian bucks </w:t>
      </w:r>
      <w:commentRangeStart w:id="1"/>
      <w:r w:rsidR="007C7D50">
        <w:rPr>
          <w:rFonts w:ascii="Times New Roman" w:hAnsi="Times New Roman" w:cs="Times New Roman"/>
          <w:b/>
          <w:sz w:val="24"/>
          <w:szCs w:val="24"/>
        </w:rPr>
        <w:t>fattening</w:t>
      </w:r>
      <w:commentRangeEnd w:id="1"/>
      <w:r w:rsidR="00074B97" w:rsidRPr="007C7D50">
        <w:rPr>
          <w:rStyle w:val="CommentReference"/>
          <w:rFonts w:ascii="Times New Roman" w:hAnsi="Times New Roman" w:cs="Times New Roman"/>
          <w:b/>
          <w:sz w:val="24"/>
          <w:szCs w:val="24"/>
        </w:rPr>
        <w:commentReference w:id="1"/>
      </w:r>
    </w:p>
    <w:tbl>
      <w:tblPr>
        <w:tblStyle w:val="TableGridLight"/>
        <w:tblW w:w="9625" w:type="dxa"/>
        <w:tblBorders>
          <w:bottom w:val="single" w:sz="4" w:space="0" w:color="auto"/>
        </w:tblBorders>
        <w:tblLook w:val="04A0" w:firstRow="1" w:lastRow="0" w:firstColumn="1" w:lastColumn="0" w:noHBand="0" w:noVBand="1"/>
      </w:tblPr>
      <w:tblGrid>
        <w:gridCol w:w="4023"/>
        <w:gridCol w:w="1282"/>
        <w:gridCol w:w="1440"/>
        <w:gridCol w:w="1440"/>
        <w:gridCol w:w="1440"/>
      </w:tblGrid>
      <w:tr w:rsidR="003614FF" w:rsidRPr="003614FF" w14:paraId="69B18E72" w14:textId="77777777" w:rsidTr="00403BCE">
        <w:tc>
          <w:tcPr>
            <w:tcW w:w="0" w:type="auto"/>
            <w:tcBorders>
              <w:top w:val="single" w:sz="4" w:space="0" w:color="auto"/>
              <w:bottom w:val="single" w:sz="4" w:space="0" w:color="auto"/>
            </w:tcBorders>
            <w:hideMark/>
          </w:tcPr>
          <w:p w14:paraId="0170E2DB"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Economic Indicators</w:t>
            </w:r>
          </w:p>
        </w:tc>
        <w:tc>
          <w:tcPr>
            <w:tcW w:w="1282" w:type="dxa"/>
            <w:tcBorders>
              <w:top w:val="single" w:sz="4" w:space="0" w:color="auto"/>
              <w:bottom w:val="single" w:sz="4" w:space="0" w:color="auto"/>
            </w:tcBorders>
            <w:hideMark/>
          </w:tcPr>
          <w:p w14:paraId="62BB8DCD"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DCL0</w:t>
            </w:r>
          </w:p>
        </w:tc>
        <w:tc>
          <w:tcPr>
            <w:tcW w:w="1440" w:type="dxa"/>
            <w:tcBorders>
              <w:top w:val="single" w:sz="4" w:space="0" w:color="auto"/>
              <w:bottom w:val="single" w:sz="4" w:space="0" w:color="auto"/>
            </w:tcBorders>
            <w:hideMark/>
          </w:tcPr>
          <w:p w14:paraId="503BCBB0"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DCL15</w:t>
            </w:r>
          </w:p>
        </w:tc>
        <w:tc>
          <w:tcPr>
            <w:tcW w:w="1440" w:type="dxa"/>
            <w:tcBorders>
              <w:top w:val="single" w:sz="4" w:space="0" w:color="auto"/>
              <w:bottom w:val="single" w:sz="4" w:space="0" w:color="auto"/>
            </w:tcBorders>
            <w:hideMark/>
          </w:tcPr>
          <w:p w14:paraId="2101F88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DCL30</w:t>
            </w:r>
          </w:p>
        </w:tc>
        <w:tc>
          <w:tcPr>
            <w:tcW w:w="1440" w:type="dxa"/>
            <w:tcBorders>
              <w:top w:val="single" w:sz="4" w:space="0" w:color="auto"/>
              <w:bottom w:val="single" w:sz="4" w:space="0" w:color="auto"/>
            </w:tcBorders>
            <w:hideMark/>
          </w:tcPr>
          <w:p w14:paraId="63A91C5A"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DCL45</w:t>
            </w:r>
          </w:p>
        </w:tc>
      </w:tr>
      <w:tr w:rsidR="003614FF" w:rsidRPr="003614FF" w14:paraId="158EDA14" w14:textId="77777777" w:rsidTr="00403BCE">
        <w:tc>
          <w:tcPr>
            <w:tcW w:w="0" w:type="auto"/>
            <w:tcBorders>
              <w:top w:val="single" w:sz="4" w:space="0" w:color="auto"/>
            </w:tcBorders>
            <w:hideMark/>
          </w:tcPr>
          <w:p w14:paraId="5BB29EE1"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Concentrate cost (FCFA/kg)</w:t>
            </w:r>
          </w:p>
        </w:tc>
        <w:tc>
          <w:tcPr>
            <w:tcW w:w="1282" w:type="dxa"/>
            <w:tcBorders>
              <w:top w:val="single" w:sz="4" w:space="0" w:color="auto"/>
            </w:tcBorders>
            <w:hideMark/>
          </w:tcPr>
          <w:p w14:paraId="6E85F40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185</w:t>
            </w:r>
          </w:p>
        </w:tc>
        <w:tc>
          <w:tcPr>
            <w:tcW w:w="1440" w:type="dxa"/>
            <w:tcBorders>
              <w:top w:val="single" w:sz="4" w:space="0" w:color="auto"/>
            </w:tcBorders>
            <w:hideMark/>
          </w:tcPr>
          <w:p w14:paraId="23F0A085"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160</w:t>
            </w:r>
          </w:p>
        </w:tc>
        <w:tc>
          <w:tcPr>
            <w:tcW w:w="1440" w:type="dxa"/>
            <w:tcBorders>
              <w:top w:val="single" w:sz="4" w:space="0" w:color="auto"/>
            </w:tcBorders>
            <w:hideMark/>
          </w:tcPr>
          <w:p w14:paraId="614AC34A"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135</w:t>
            </w:r>
          </w:p>
        </w:tc>
        <w:tc>
          <w:tcPr>
            <w:tcW w:w="1440" w:type="dxa"/>
            <w:tcBorders>
              <w:top w:val="single" w:sz="4" w:space="0" w:color="auto"/>
            </w:tcBorders>
            <w:hideMark/>
          </w:tcPr>
          <w:p w14:paraId="0C32D7D6"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115</w:t>
            </w:r>
          </w:p>
        </w:tc>
      </w:tr>
      <w:tr w:rsidR="003614FF" w:rsidRPr="003614FF" w14:paraId="0D66E10D" w14:textId="77777777" w:rsidTr="00403BCE">
        <w:tc>
          <w:tcPr>
            <w:tcW w:w="0" w:type="auto"/>
            <w:hideMark/>
          </w:tcPr>
          <w:p w14:paraId="2450E09F"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Total concentrate intake (kg)</w:t>
            </w:r>
          </w:p>
        </w:tc>
        <w:tc>
          <w:tcPr>
            <w:tcW w:w="1282" w:type="dxa"/>
            <w:hideMark/>
          </w:tcPr>
          <w:p w14:paraId="4DC605CF"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13.1</w:t>
            </w:r>
          </w:p>
        </w:tc>
        <w:tc>
          <w:tcPr>
            <w:tcW w:w="1440" w:type="dxa"/>
            <w:hideMark/>
          </w:tcPr>
          <w:p w14:paraId="40D9AC11"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17.3</w:t>
            </w:r>
          </w:p>
        </w:tc>
        <w:tc>
          <w:tcPr>
            <w:tcW w:w="1440" w:type="dxa"/>
            <w:hideMark/>
          </w:tcPr>
          <w:p w14:paraId="79AAE82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20.1</w:t>
            </w:r>
          </w:p>
        </w:tc>
        <w:tc>
          <w:tcPr>
            <w:tcW w:w="1440" w:type="dxa"/>
            <w:hideMark/>
          </w:tcPr>
          <w:p w14:paraId="2C993A86"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19.8</w:t>
            </w:r>
          </w:p>
        </w:tc>
      </w:tr>
      <w:tr w:rsidR="003614FF" w:rsidRPr="003614FF" w14:paraId="7E5BE482" w14:textId="77777777" w:rsidTr="00403BCE">
        <w:tc>
          <w:tcPr>
            <w:tcW w:w="0" w:type="auto"/>
            <w:hideMark/>
          </w:tcPr>
          <w:p w14:paraId="3ED4764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Total feed cost (FCFA/animal)</w:t>
            </w:r>
          </w:p>
        </w:tc>
        <w:tc>
          <w:tcPr>
            <w:tcW w:w="1282" w:type="dxa"/>
            <w:hideMark/>
          </w:tcPr>
          <w:p w14:paraId="77CB6C3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3,850</w:t>
            </w:r>
          </w:p>
        </w:tc>
        <w:tc>
          <w:tcPr>
            <w:tcW w:w="1440" w:type="dxa"/>
            <w:hideMark/>
          </w:tcPr>
          <w:p w14:paraId="52039109"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3,810</w:t>
            </w:r>
          </w:p>
        </w:tc>
        <w:tc>
          <w:tcPr>
            <w:tcW w:w="1440" w:type="dxa"/>
            <w:hideMark/>
          </w:tcPr>
          <w:p w14:paraId="6DDFE74D"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3,710</w:t>
            </w:r>
          </w:p>
        </w:tc>
        <w:tc>
          <w:tcPr>
            <w:tcW w:w="1440" w:type="dxa"/>
            <w:hideMark/>
          </w:tcPr>
          <w:p w14:paraId="41B9576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3,220</w:t>
            </w:r>
          </w:p>
        </w:tc>
      </w:tr>
      <w:tr w:rsidR="003614FF" w:rsidRPr="003614FF" w14:paraId="3D788574" w14:textId="77777777" w:rsidTr="00403BCE">
        <w:tc>
          <w:tcPr>
            <w:tcW w:w="0" w:type="auto"/>
            <w:hideMark/>
          </w:tcPr>
          <w:p w14:paraId="265A4F5B"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Total weight gain (kg)</w:t>
            </w:r>
          </w:p>
        </w:tc>
        <w:tc>
          <w:tcPr>
            <w:tcW w:w="1282" w:type="dxa"/>
            <w:hideMark/>
          </w:tcPr>
          <w:p w14:paraId="71A320E9"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2.93</w:t>
            </w:r>
          </w:p>
        </w:tc>
        <w:tc>
          <w:tcPr>
            <w:tcW w:w="1440" w:type="dxa"/>
            <w:hideMark/>
          </w:tcPr>
          <w:p w14:paraId="1A32761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3.98</w:t>
            </w:r>
          </w:p>
        </w:tc>
        <w:tc>
          <w:tcPr>
            <w:tcW w:w="1440" w:type="dxa"/>
            <w:hideMark/>
          </w:tcPr>
          <w:p w14:paraId="1CE93C7B"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4.39</w:t>
            </w:r>
          </w:p>
        </w:tc>
        <w:tc>
          <w:tcPr>
            <w:tcW w:w="1440" w:type="dxa"/>
            <w:hideMark/>
          </w:tcPr>
          <w:p w14:paraId="3AC1F24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3.81</w:t>
            </w:r>
          </w:p>
        </w:tc>
      </w:tr>
      <w:tr w:rsidR="003614FF" w:rsidRPr="003614FF" w14:paraId="26C25853" w14:textId="77777777" w:rsidTr="00403BCE">
        <w:tc>
          <w:tcPr>
            <w:tcW w:w="0" w:type="auto"/>
            <w:hideMark/>
          </w:tcPr>
          <w:p w14:paraId="53A4900D"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Cost/kg of live weight gain (FCFA)</w:t>
            </w:r>
          </w:p>
        </w:tc>
        <w:tc>
          <w:tcPr>
            <w:tcW w:w="1282" w:type="dxa"/>
            <w:hideMark/>
          </w:tcPr>
          <w:p w14:paraId="6B37258D"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1,314</w:t>
            </w:r>
          </w:p>
        </w:tc>
        <w:tc>
          <w:tcPr>
            <w:tcW w:w="1440" w:type="dxa"/>
            <w:hideMark/>
          </w:tcPr>
          <w:p w14:paraId="3DA88277"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957</w:t>
            </w:r>
          </w:p>
        </w:tc>
        <w:tc>
          <w:tcPr>
            <w:tcW w:w="1440" w:type="dxa"/>
            <w:hideMark/>
          </w:tcPr>
          <w:p w14:paraId="04A1ECF8"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845</w:t>
            </w:r>
          </w:p>
        </w:tc>
        <w:tc>
          <w:tcPr>
            <w:tcW w:w="1440" w:type="dxa"/>
            <w:hideMark/>
          </w:tcPr>
          <w:p w14:paraId="530CA27C"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845</w:t>
            </w:r>
          </w:p>
        </w:tc>
      </w:tr>
      <w:tr w:rsidR="003614FF" w:rsidRPr="003614FF" w14:paraId="1CA6363C" w14:textId="77777777" w:rsidTr="00403BCE">
        <w:tc>
          <w:tcPr>
            <w:tcW w:w="0" w:type="auto"/>
            <w:hideMark/>
          </w:tcPr>
          <w:p w14:paraId="08C32380"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Estimated gross margin/animal (FCFA)</w:t>
            </w:r>
          </w:p>
        </w:tc>
        <w:tc>
          <w:tcPr>
            <w:tcW w:w="1282" w:type="dxa"/>
            <w:hideMark/>
          </w:tcPr>
          <w:p w14:paraId="41359395"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2,010</w:t>
            </w:r>
          </w:p>
        </w:tc>
        <w:tc>
          <w:tcPr>
            <w:tcW w:w="1440" w:type="dxa"/>
            <w:hideMark/>
          </w:tcPr>
          <w:p w14:paraId="3F6B89CE"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4,150</w:t>
            </w:r>
          </w:p>
        </w:tc>
        <w:tc>
          <w:tcPr>
            <w:tcW w:w="1440" w:type="dxa"/>
            <w:hideMark/>
          </w:tcPr>
          <w:p w14:paraId="1B92730A"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5,070</w:t>
            </w:r>
          </w:p>
        </w:tc>
        <w:tc>
          <w:tcPr>
            <w:tcW w:w="1440" w:type="dxa"/>
            <w:hideMark/>
          </w:tcPr>
          <w:p w14:paraId="5C53F9E2" w14:textId="77777777" w:rsidR="003614FF" w:rsidRPr="003614FF" w:rsidRDefault="003614FF" w:rsidP="00A415E5">
            <w:pPr>
              <w:spacing w:after="160" w:line="259"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4,400</w:t>
            </w:r>
          </w:p>
        </w:tc>
      </w:tr>
    </w:tbl>
    <w:p w14:paraId="2F7B5B30" w14:textId="59125D53" w:rsidR="003614FF" w:rsidRDefault="003614FF" w:rsidP="00A415E5">
      <w:pPr>
        <w:spacing w:before="240"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Partial replacement of cottonseed cake (a very expensive protein feed) by DCL dropped the concentrate cost from </w:t>
      </w:r>
      <m:oMath>
        <m:r>
          <w:rPr>
            <w:rFonts w:ascii="Cambria Math" w:hAnsi="Cambria Math" w:cs="Times New Roman"/>
            <w:sz w:val="24"/>
            <w:szCs w:val="24"/>
          </w:rPr>
          <m:t>185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to </w:t>
      </w:r>
      <m:oMath>
        <m:r>
          <w:rPr>
            <w:rFonts w:ascii="Cambria Math" w:hAnsi="Cambria Math" w:cs="Times New Roman"/>
            <w:sz w:val="24"/>
            <w:szCs w:val="24"/>
          </w:rPr>
          <m:t>135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(a 27% savings). The production cost per kilogram of live weight gain decreased from </w:t>
      </w:r>
      <m:oMath>
        <m:r>
          <w:rPr>
            <w:rFonts w:ascii="Cambria Math" w:hAnsi="Cambria Math" w:cs="Times New Roman"/>
            <w:sz w:val="24"/>
            <w:szCs w:val="24"/>
          </w:rPr>
          <m:t>1,314</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(DCL0) to </w:t>
      </w:r>
      <m:oMath>
        <m:r>
          <w:rPr>
            <w:rFonts w:ascii="Cambria Math" w:hAnsi="Cambria Math" w:cs="Times New Roman"/>
            <w:sz w:val="24"/>
            <w:szCs w:val="24"/>
          </w:rPr>
          <m:t>845</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(DCL30), representing a 35.7% reduction. Over the 56-day fattening period, the gross margin per animal more than doubled, rising from </w:t>
      </w:r>
      <m:oMath>
        <m:r>
          <w:rPr>
            <w:rFonts w:ascii="Cambria Math" w:hAnsi="Cambria Math" w:cs="Times New Roman"/>
            <w:sz w:val="24"/>
            <w:szCs w:val="24"/>
          </w:rPr>
          <m:t>2,010</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(DCL0) to </w:t>
      </w:r>
      <m:oMath>
        <m:r>
          <w:rPr>
            <w:rFonts w:ascii="Cambria Math" w:hAnsi="Cambria Math" w:cs="Times New Roman"/>
            <w:sz w:val="24"/>
            <w:szCs w:val="24"/>
          </w:rPr>
          <m:t>5,070</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(+152%).</w:t>
      </w:r>
    </w:p>
    <w:p w14:paraId="2A660D8A" w14:textId="2791820D"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D</w:t>
      </w:r>
      <w:r w:rsidR="007C7D50" w:rsidRPr="003614FF">
        <w:rPr>
          <w:rFonts w:ascii="Times New Roman" w:hAnsi="Times New Roman" w:cs="Times New Roman"/>
          <w:b/>
          <w:bCs/>
          <w:sz w:val="24"/>
          <w:szCs w:val="24"/>
        </w:rPr>
        <w:t>iscussion</w:t>
      </w:r>
    </w:p>
    <w:p w14:paraId="28223D74" w14:textId="1437025E" w:rsidR="003614FF" w:rsidRPr="003614FF" w:rsidRDefault="003614FF"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Dry Matter Intake (DMI) and Palatability</w:t>
      </w:r>
    </w:p>
    <w:p w14:paraId="449C4835" w14:textId="6B4B3DA1"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The significant increase in total dry matter intake (DMI) observed from DCL0 (</w:t>
      </w:r>
      <m:oMath>
        <m:r>
          <w:rPr>
            <w:rFonts w:ascii="Cambria Math" w:hAnsi="Cambria Math" w:cs="Times New Roman"/>
            <w:sz w:val="24"/>
            <w:szCs w:val="24"/>
          </w:rPr>
          <m:t>515.2</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to DCL30 (</w:t>
      </w:r>
      <m:oMath>
        <m:r>
          <w:rPr>
            <w:rFonts w:ascii="Cambria Math" w:hAnsi="Cambria Math" w:cs="Times New Roman"/>
            <w:sz w:val="24"/>
            <w:szCs w:val="24"/>
          </w:rPr>
          <m:t>612.4</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w:t>
      </w:r>
      <m:oMath>
        <m:r>
          <w:rPr>
            <w:rFonts w:ascii="Cambria Math" w:hAnsi="Cambria Math" w:cs="Times New Roman"/>
            <w:sz w:val="24"/>
            <w:szCs w:val="24"/>
          </w:rPr>
          <m:t>P&lt;0.02</m:t>
        </m:r>
      </m:oMath>
      <w:r w:rsidRPr="003614FF">
        <w:rPr>
          <w:rFonts w:ascii="Times New Roman" w:hAnsi="Times New Roman" w:cs="Times New Roman"/>
          <w:sz w:val="24"/>
          <w:szCs w:val="24"/>
        </w:rPr>
        <w:t>) highlights the excellent palatability of cassava leaves when shade-dried and ground. This result is explained by the supply of immediately fermentable nitrogen from cassava protein degradation, which stimulates microbial multiplication rate and cellulolytic activity in the rumen (Preston &amp; Leng, 1987; Wanapat, 2003). The resulting acceleration of ruminal transit reduces the gut-fill effect of sorghum stover and stimulates voluntary intake.</w:t>
      </w:r>
    </w:p>
    <w:p w14:paraId="3A8AF484" w14:textId="23343608"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Our observations agree with work by Ba </w:t>
      </w:r>
      <w:r w:rsidRPr="00403BCE">
        <w:rPr>
          <w:rFonts w:ascii="Times New Roman" w:hAnsi="Times New Roman" w:cs="Times New Roman"/>
          <w:i/>
          <w:sz w:val="24"/>
          <w:szCs w:val="24"/>
        </w:rPr>
        <w:t>et al.</w:t>
      </w:r>
      <w:r w:rsidR="00403BCE" w:rsidRPr="00403BCE">
        <w:rPr>
          <w:rFonts w:ascii="Times New Roman" w:hAnsi="Times New Roman" w:cs="Times New Roman"/>
          <w:i/>
          <w:sz w:val="24"/>
          <w:szCs w:val="24"/>
        </w:rPr>
        <w:t>,</w:t>
      </w:r>
      <w:r w:rsidRPr="003614FF">
        <w:rPr>
          <w:rFonts w:ascii="Times New Roman" w:hAnsi="Times New Roman" w:cs="Times New Roman"/>
          <w:sz w:val="24"/>
          <w:szCs w:val="24"/>
        </w:rPr>
        <w:t xml:space="preserve"> (2005) in Vietnam and Anaeto </w:t>
      </w:r>
      <w:r w:rsidRPr="00403BCE">
        <w:rPr>
          <w:rFonts w:ascii="Times New Roman" w:hAnsi="Times New Roman" w:cs="Times New Roman"/>
          <w:i/>
          <w:sz w:val="24"/>
          <w:szCs w:val="24"/>
        </w:rPr>
        <w:t>et al.</w:t>
      </w:r>
      <w:r w:rsidR="00403BCE" w:rsidRPr="00403BCE">
        <w:rPr>
          <w:rFonts w:ascii="Times New Roman" w:hAnsi="Times New Roman" w:cs="Times New Roman"/>
          <w:i/>
          <w:sz w:val="24"/>
          <w:szCs w:val="24"/>
        </w:rPr>
        <w:t>,</w:t>
      </w:r>
      <w:r w:rsidRPr="003614FF">
        <w:rPr>
          <w:rFonts w:ascii="Times New Roman" w:hAnsi="Times New Roman" w:cs="Times New Roman"/>
          <w:sz w:val="24"/>
          <w:szCs w:val="24"/>
        </w:rPr>
        <w:t xml:space="preserve"> (2013) in Nigeria, who reported a linear increase in basal diet intake in small ruminants receiving cassava leaf supplementation as a partial replacement for commercial concentrates. However, beyond </w:t>
      </w:r>
      <w:r w:rsidRPr="003614FF">
        <w:rPr>
          <w:rFonts w:ascii="Times New Roman" w:hAnsi="Times New Roman" w:cs="Times New Roman"/>
          <w:sz w:val="24"/>
          <w:szCs w:val="24"/>
        </w:rPr>
        <w:lastRenderedPageBreak/>
        <w:t>the 30% threshold (DCL45 group), stagnation followed by a slight decline in total DMI (</w:t>
      </w:r>
      <m:oMath>
        <m:r>
          <w:rPr>
            <w:rFonts w:ascii="Cambria Math" w:hAnsi="Cambria Math" w:cs="Times New Roman"/>
            <w:sz w:val="24"/>
            <w:szCs w:val="24"/>
          </w:rPr>
          <m:t>595.1</m:t>
        </m:r>
        <m:r>
          <m:rPr>
            <m:nor/>
          </m:rPr>
          <w:rPr>
            <w:rFonts w:ascii="Times New Roman" w:hAnsi="Times New Roman" w:cs="Times New Roman"/>
            <w:sz w:val="24"/>
            <w:szCs w:val="24"/>
          </w:rPr>
          <m:t> g DM/day</m:t>
        </m:r>
      </m:oMath>
      <w:r w:rsidRPr="003614FF">
        <w:rPr>
          <w:rFonts w:ascii="Times New Roman" w:hAnsi="Times New Roman" w:cs="Times New Roman"/>
          <w:sz w:val="24"/>
          <w:szCs w:val="24"/>
        </w:rPr>
        <w:t>) was recorded. This phenomenon can be attributed to two main factors:</w:t>
      </w:r>
    </w:p>
    <w:p w14:paraId="7FD34EEE" w14:textId="30ED4E3F" w:rsidR="003614FF" w:rsidRPr="003614FF" w:rsidRDefault="003614FF" w:rsidP="00A415E5">
      <w:pPr>
        <w:numPr>
          <w:ilvl w:val="0"/>
          <w:numId w:val="5"/>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Condensed tannin load:</w:t>
      </w:r>
      <w:r w:rsidRPr="003614FF">
        <w:rPr>
          <w:rFonts w:ascii="Times New Roman" w:hAnsi="Times New Roman" w:cs="Times New Roman"/>
          <w:sz w:val="24"/>
          <w:szCs w:val="24"/>
        </w:rPr>
        <w:t xml:space="preserve"> Cassava leaves contain secondary phenolic compounds (</w:t>
      </w:r>
      <m:oMath>
        <m:r>
          <w:rPr>
            <w:rFonts w:ascii="Cambria Math" w:hAnsi="Cambria Math" w:cs="Times New Roman"/>
            <w:sz w:val="24"/>
            <w:szCs w:val="24"/>
          </w:rPr>
          <m:t>30</m:t>
        </m:r>
        <m:r>
          <m:rPr>
            <m:nor/>
          </m:rPr>
          <w:rPr>
            <w:rFonts w:ascii="Times New Roman" w:hAnsi="Times New Roman" w:cs="Times New Roman"/>
            <w:sz w:val="24"/>
            <w:szCs w:val="24"/>
          </w:rPr>
          <m:t> to </m:t>
        </m:r>
        <m:r>
          <w:rPr>
            <w:rFonts w:ascii="Cambria Math" w:hAnsi="Cambria Math" w:cs="Times New Roman"/>
            <w:sz w:val="24"/>
            <w:szCs w:val="24"/>
          </w:rPr>
          <m:t>50</m:t>
        </m:r>
        <m:r>
          <m:rPr>
            <m:nor/>
          </m:rPr>
          <w:rPr>
            <w:rFonts w:ascii="Times New Roman" w:hAnsi="Times New Roman" w:cs="Times New Roman"/>
            <w:sz w:val="24"/>
            <w:szCs w:val="24"/>
          </w:rPr>
          <m:t> g/kg DM</m:t>
        </m:r>
      </m:oMath>
      <w:r w:rsidRPr="003614FF">
        <w:rPr>
          <w:rFonts w:ascii="Times New Roman" w:hAnsi="Times New Roman" w:cs="Times New Roman"/>
          <w:sz w:val="24"/>
          <w:szCs w:val="24"/>
        </w:rPr>
        <w:t>) which, at high concentrations, complex proteins and inhibit ruminal enzyme activity, thereby reducing mixtur</w:t>
      </w:r>
      <w:r w:rsidR="00403BCE">
        <w:rPr>
          <w:rFonts w:ascii="Times New Roman" w:hAnsi="Times New Roman" w:cs="Times New Roman"/>
          <w:sz w:val="24"/>
          <w:szCs w:val="24"/>
        </w:rPr>
        <w:t>e palatability (Ravindran, 1993 and</w:t>
      </w:r>
      <w:r w:rsidRPr="003614FF">
        <w:rPr>
          <w:rFonts w:ascii="Times New Roman" w:hAnsi="Times New Roman" w:cs="Times New Roman"/>
          <w:sz w:val="24"/>
          <w:szCs w:val="24"/>
        </w:rPr>
        <w:t xml:space="preserve"> McSweeney </w:t>
      </w:r>
      <w:r w:rsidRPr="00403BCE">
        <w:rPr>
          <w:rFonts w:ascii="Times New Roman" w:hAnsi="Times New Roman" w:cs="Times New Roman"/>
          <w:i/>
          <w:sz w:val="24"/>
          <w:szCs w:val="24"/>
        </w:rPr>
        <w:t>et al.,</w:t>
      </w:r>
      <w:r w:rsidRPr="003614FF">
        <w:rPr>
          <w:rFonts w:ascii="Times New Roman" w:hAnsi="Times New Roman" w:cs="Times New Roman"/>
          <w:sz w:val="24"/>
          <w:szCs w:val="24"/>
        </w:rPr>
        <w:t xml:space="preserve"> 2001).</w:t>
      </w:r>
    </w:p>
    <w:p w14:paraId="6887FEA3" w14:textId="77777777" w:rsidR="003614FF" w:rsidRPr="003614FF" w:rsidRDefault="003614FF" w:rsidP="00A415E5">
      <w:pPr>
        <w:numPr>
          <w:ilvl w:val="0"/>
          <w:numId w:val="5"/>
        </w:numPr>
        <w:spacing w:line="480" w:lineRule="auto"/>
        <w:contextualSpacing/>
        <w:jc w:val="both"/>
        <w:rPr>
          <w:rFonts w:ascii="Times New Roman" w:hAnsi="Times New Roman" w:cs="Times New Roman"/>
          <w:sz w:val="24"/>
          <w:szCs w:val="24"/>
        </w:rPr>
      </w:pPr>
      <w:r w:rsidRPr="003614FF">
        <w:rPr>
          <w:rFonts w:ascii="Times New Roman" w:hAnsi="Times New Roman" w:cs="Times New Roman"/>
          <w:b/>
          <w:bCs/>
          <w:sz w:val="24"/>
          <w:szCs w:val="24"/>
        </w:rPr>
        <w:t>Fiber content:</w:t>
      </w:r>
      <w:r w:rsidRPr="003614FF">
        <w:rPr>
          <w:rFonts w:ascii="Times New Roman" w:hAnsi="Times New Roman" w:cs="Times New Roman"/>
          <w:sz w:val="24"/>
          <w:szCs w:val="24"/>
        </w:rPr>
        <w:t xml:space="preserve"> The increase in crude fiber associated with high foliage inclusion slows ruminal degradability compared to a starch-rich concentrate (Onwuka, 1992).</w:t>
      </w:r>
    </w:p>
    <w:p w14:paraId="4440AEEC" w14:textId="6BB57D98"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Apparent Digestibility of Dry Matter (dDM) and Nitrogen (dCP)</w:t>
      </w:r>
    </w:p>
    <w:p w14:paraId="0083694F" w14:textId="6487F11C"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Apparent digestibility of DM and CP peaked in the DCL30 treatment (67.1% and 73.8%, respectively), showing a highly significant difference compared to the control group DCL0 (61.2% and 64.5%). The improvement in crude protein digestibility (dCP) demonstrates the high biological value of cassava leaf protein. According to Devendra</w:t>
      </w:r>
      <w:r w:rsidR="00403BCE">
        <w:rPr>
          <w:rFonts w:ascii="Times New Roman" w:hAnsi="Times New Roman" w:cs="Times New Roman"/>
          <w:sz w:val="24"/>
          <w:szCs w:val="24"/>
        </w:rPr>
        <w:t>,</w:t>
      </w:r>
      <w:r w:rsidRPr="003614FF">
        <w:rPr>
          <w:rFonts w:ascii="Times New Roman" w:hAnsi="Times New Roman" w:cs="Times New Roman"/>
          <w:sz w:val="24"/>
          <w:szCs w:val="24"/>
        </w:rPr>
        <w:t xml:space="preserve"> (1988) and Ravindran</w:t>
      </w:r>
      <w:r w:rsidR="00403BCE">
        <w:rPr>
          <w:rFonts w:ascii="Times New Roman" w:hAnsi="Times New Roman" w:cs="Times New Roman"/>
          <w:sz w:val="24"/>
          <w:szCs w:val="24"/>
        </w:rPr>
        <w:t>,</w:t>
      </w:r>
      <w:r w:rsidRPr="003614FF">
        <w:rPr>
          <w:rFonts w:ascii="Times New Roman" w:hAnsi="Times New Roman" w:cs="Times New Roman"/>
          <w:sz w:val="24"/>
          <w:szCs w:val="24"/>
        </w:rPr>
        <w:t xml:space="preserve"> (1993), cassava foliage proteins are rich in essential amino acids (notably lysine), while exhibiting a fraction of tannic proteins that escape ruminal degradation ("bypass" proteins). These tannin-protected proteins are subsequently released and digested in the abomasum and small intestine under acidic pH, thereby enhancing nitrogen assimilation effic</w:t>
      </w:r>
      <w:r w:rsidR="00403BCE">
        <w:rPr>
          <w:rFonts w:ascii="Times New Roman" w:hAnsi="Times New Roman" w:cs="Times New Roman"/>
          <w:sz w:val="24"/>
          <w:szCs w:val="24"/>
        </w:rPr>
        <w:t>iency in the animal (Leng, 1990 and Hang and</w:t>
      </w:r>
      <w:r w:rsidRPr="003614FF">
        <w:rPr>
          <w:rFonts w:ascii="Times New Roman" w:hAnsi="Times New Roman" w:cs="Times New Roman"/>
          <w:sz w:val="24"/>
          <w:szCs w:val="24"/>
        </w:rPr>
        <w:t xml:space="preserve"> Preston, 2005).</w:t>
      </w:r>
    </w:p>
    <w:p w14:paraId="4C6B9972" w14:textId="33802121"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Similar results were reported by Nguyen </w:t>
      </w:r>
      <w:r w:rsidRPr="00403BCE">
        <w:rPr>
          <w:rFonts w:ascii="Times New Roman" w:hAnsi="Times New Roman" w:cs="Times New Roman"/>
          <w:i/>
          <w:sz w:val="24"/>
          <w:szCs w:val="24"/>
        </w:rPr>
        <w:t>et al.</w:t>
      </w:r>
      <w:r w:rsidR="00403BCE" w:rsidRPr="00403BCE">
        <w:rPr>
          <w:rFonts w:ascii="Times New Roman" w:hAnsi="Times New Roman" w:cs="Times New Roman"/>
          <w:i/>
          <w:sz w:val="24"/>
          <w:szCs w:val="24"/>
        </w:rPr>
        <w:t>,</w:t>
      </w:r>
      <w:r w:rsidRPr="003614FF">
        <w:rPr>
          <w:rFonts w:ascii="Times New Roman" w:hAnsi="Times New Roman" w:cs="Times New Roman"/>
          <w:sz w:val="24"/>
          <w:szCs w:val="24"/>
        </w:rPr>
        <w:t xml:space="preserve"> (2012) in indigenous goats in tropical conditions, where combining an easily available energy source (cereal brans) with dried cassava leaves maximized microbial protein synthesis yield. The relative drop in dDM observed in the DCL45 group (63.8%) confirms the partial inhibitory effect exerted by excessive tannins and lignified fractions on ruminal cellulolytic mic</w:t>
      </w:r>
      <w:r w:rsidR="00403BCE">
        <w:rPr>
          <w:rFonts w:ascii="Times New Roman" w:hAnsi="Times New Roman" w:cs="Times New Roman"/>
          <w:sz w:val="24"/>
          <w:szCs w:val="24"/>
        </w:rPr>
        <w:t>robes, as highlighted by Barry and</w:t>
      </w:r>
      <w:r w:rsidRPr="003614FF">
        <w:rPr>
          <w:rFonts w:ascii="Times New Roman" w:hAnsi="Times New Roman" w:cs="Times New Roman"/>
          <w:sz w:val="24"/>
          <w:szCs w:val="24"/>
        </w:rPr>
        <w:t xml:space="preserve"> McNabb (1999).</w:t>
      </w:r>
    </w:p>
    <w:p w14:paraId="56EA8886" w14:textId="6A121343"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Growth Performance (ADG) and Feed Conversion Ratio (FCR)</w:t>
      </w:r>
    </w:p>
    <w:p w14:paraId="7E846760" w14:textId="371D1CC8"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lastRenderedPageBreak/>
        <w:t>The maximum Average Daily Gain (ADG) recorded for the DCL30 group (</w:t>
      </w:r>
      <m:oMath>
        <m:r>
          <w:rPr>
            <w:rFonts w:ascii="Cambria Math" w:hAnsi="Cambria Math" w:cs="Times New Roman"/>
            <w:sz w:val="24"/>
            <w:szCs w:val="24"/>
          </w:rPr>
          <m:t>78.5</m:t>
        </m:r>
        <m:r>
          <m:rPr>
            <m:nor/>
          </m:rPr>
          <w:rPr>
            <w:rFonts w:ascii="Times New Roman" w:hAnsi="Times New Roman" w:cs="Times New Roman"/>
            <w:sz w:val="24"/>
            <w:szCs w:val="24"/>
          </w:rPr>
          <m:t> g/day</m:t>
        </m:r>
      </m:oMath>
      <w:r w:rsidRPr="003614FF">
        <w:rPr>
          <w:rFonts w:ascii="Times New Roman" w:hAnsi="Times New Roman" w:cs="Times New Roman"/>
          <w:sz w:val="24"/>
          <w:szCs w:val="24"/>
        </w:rPr>
        <w:t>) represents a 49.8% increase compared to the control group DCL0 (</w:t>
      </w:r>
      <m:oMath>
        <m:r>
          <w:rPr>
            <w:rFonts w:ascii="Cambria Math" w:hAnsi="Cambria Math" w:cs="Times New Roman"/>
            <w:sz w:val="24"/>
            <w:szCs w:val="24"/>
          </w:rPr>
          <m:t>52.4</m:t>
        </m:r>
        <m:r>
          <m:rPr>
            <m:nor/>
          </m:rPr>
          <w:rPr>
            <w:rFonts w:ascii="Times New Roman" w:hAnsi="Times New Roman" w:cs="Times New Roman"/>
            <w:sz w:val="24"/>
            <w:szCs w:val="24"/>
          </w:rPr>
          <m:t> g/day</m:t>
        </m:r>
      </m:oMath>
      <w:r w:rsidRPr="003614FF">
        <w:rPr>
          <w:rFonts w:ascii="Times New Roman" w:hAnsi="Times New Roman" w:cs="Times New Roman"/>
          <w:sz w:val="24"/>
          <w:szCs w:val="24"/>
        </w:rPr>
        <w:t>). This live weight gain falls within the upper range of performances observed in Sahelian goats under controlled station feeding (</w:t>
      </w:r>
      <m:oMath>
        <m:r>
          <w:rPr>
            <w:rFonts w:ascii="Cambria Math" w:hAnsi="Cambria Math" w:cs="Times New Roman"/>
            <w:sz w:val="24"/>
            <w:szCs w:val="24"/>
          </w:rPr>
          <m:t>60</m:t>
        </m:r>
        <m:r>
          <m:rPr>
            <m:nor/>
          </m:rPr>
          <w:rPr>
            <w:rFonts w:ascii="Times New Roman" w:hAnsi="Times New Roman" w:cs="Times New Roman"/>
            <w:sz w:val="24"/>
            <w:szCs w:val="24"/>
          </w:rPr>
          <m:t> to </m:t>
        </m:r>
        <m:r>
          <w:rPr>
            <w:rFonts w:ascii="Cambria Math" w:hAnsi="Cambria Math" w:cs="Times New Roman"/>
            <w:sz w:val="24"/>
            <w:szCs w:val="24"/>
          </w:rPr>
          <m:t>85</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(Alassan </w:t>
      </w:r>
      <w:r w:rsidRPr="00403BCE">
        <w:rPr>
          <w:rFonts w:ascii="Times New Roman" w:hAnsi="Times New Roman" w:cs="Times New Roman"/>
          <w:i/>
          <w:sz w:val="24"/>
          <w:szCs w:val="24"/>
        </w:rPr>
        <w:t>et al.,</w:t>
      </w:r>
      <w:r w:rsidR="00403BCE">
        <w:rPr>
          <w:rFonts w:ascii="Times New Roman" w:hAnsi="Times New Roman" w:cs="Times New Roman"/>
          <w:sz w:val="24"/>
          <w:szCs w:val="24"/>
        </w:rPr>
        <w:t xml:space="preserve"> 2023 and</w:t>
      </w:r>
      <w:r w:rsidRPr="003614FF">
        <w:rPr>
          <w:rFonts w:ascii="Times New Roman" w:hAnsi="Times New Roman" w:cs="Times New Roman"/>
          <w:sz w:val="24"/>
          <w:szCs w:val="24"/>
        </w:rPr>
        <w:t xml:space="preserve"> Zahraddeen </w:t>
      </w:r>
      <w:r w:rsidRPr="00403BCE">
        <w:rPr>
          <w:rFonts w:ascii="Times New Roman" w:hAnsi="Times New Roman" w:cs="Times New Roman"/>
          <w:i/>
          <w:sz w:val="24"/>
          <w:szCs w:val="24"/>
        </w:rPr>
        <w:t>et al.,</w:t>
      </w:r>
      <w:r w:rsidRPr="003614FF">
        <w:rPr>
          <w:rFonts w:ascii="Times New Roman" w:hAnsi="Times New Roman" w:cs="Times New Roman"/>
          <w:sz w:val="24"/>
          <w:szCs w:val="24"/>
        </w:rPr>
        <w:t xml:space="preserve"> 2011). It is directly explained by the combination of increased intake and improved metabolic efficiency of ingested nitrogen. Similar trends were observed by several authors:</w:t>
      </w:r>
    </w:p>
    <w:p w14:paraId="387EC0E4" w14:textId="72E5EC5C" w:rsidR="003614FF" w:rsidRPr="003614FF" w:rsidRDefault="003614FF" w:rsidP="00A415E5">
      <w:pPr>
        <w:numPr>
          <w:ilvl w:val="0"/>
          <w:numId w:val="6"/>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Sanon </w:t>
      </w:r>
      <w:r w:rsidRPr="00403BCE">
        <w:rPr>
          <w:rFonts w:ascii="Times New Roman" w:hAnsi="Times New Roman" w:cs="Times New Roman"/>
          <w:i/>
          <w:sz w:val="24"/>
          <w:szCs w:val="24"/>
        </w:rPr>
        <w:t>et al.</w:t>
      </w:r>
      <w:r w:rsidR="00403BCE" w:rsidRPr="00403BCE">
        <w:rPr>
          <w:rFonts w:ascii="Times New Roman" w:hAnsi="Times New Roman" w:cs="Times New Roman"/>
          <w:i/>
          <w:sz w:val="24"/>
          <w:szCs w:val="24"/>
        </w:rPr>
        <w:t>,</w:t>
      </w:r>
      <w:r w:rsidRPr="003614FF">
        <w:rPr>
          <w:rFonts w:ascii="Times New Roman" w:hAnsi="Times New Roman" w:cs="Times New Roman"/>
          <w:sz w:val="24"/>
          <w:szCs w:val="24"/>
        </w:rPr>
        <w:t xml:space="preserve"> (2008) in Burkina Faso obtained ADGs of </w:t>
      </w:r>
      <m:oMath>
        <m:r>
          <w:rPr>
            <w:rFonts w:ascii="Cambria Math" w:hAnsi="Cambria Math" w:cs="Times New Roman"/>
            <w:sz w:val="24"/>
            <w:szCs w:val="24"/>
          </w:rPr>
          <m:t>68</m:t>
        </m:r>
        <m:r>
          <m:rPr>
            <m:nor/>
          </m:rPr>
          <w:rPr>
            <w:rFonts w:ascii="Times New Roman" w:hAnsi="Times New Roman" w:cs="Times New Roman"/>
            <w:sz w:val="24"/>
            <w:szCs w:val="24"/>
          </w:rPr>
          <m:t> g/day</m:t>
        </m:r>
      </m:oMath>
      <w:r w:rsidRPr="003614FF">
        <w:rPr>
          <w:rFonts w:ascii="Times New Roman" w:hAnsi="Times New Roman" w:cs="Times New Roman"/>
          <w:sz w:val="24"/>
          <w:szCs w:val="24"/>
        </w:rPr>
        <w:t xml:space="preserve"> in goats supplemented with local woody protein species.</w:t>
      </w:r>
    </w:p>
    <w:p w14:paraId="71BABDC5" w14:textId="79A97F1A" w:rsidR="003614FF" w:rsidRPr="003614FF" w:rsidRDefault="003614FF" w:rsidP="00A415E5">
      <w:pPr>
        <w:numPr>
          <w:ilvl w:val="0"/>
          <w:numId w:val="6"/>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Ho Quang Do </w:t>
      </w:r>
      <w:r w:rsidRPr="00403BCE">
        <w:rPr>
          <w:rFonts w:ascii="Times New Roman" w:hAnsi="Times New Roman" w:cs="Times New Roman"/>
          <w:i/>
          <w:sz w:val="24"/>
          <w:szCs w:val="24"/>
        </w:rPr>
        <w:t>et al.</w:t>
      </w:r>
      <w:r w:rsidR="00403BCE" w:rsidRPr="00403BCE">
        <w:rPr>
          <w:rFonts w:ascii="Times New Roman" w:hAnsi="Times New Roman" w:cs="Times New Roman"/>
          <w:i/>
          <w:sz w:val="24"/>
          <w:szCs w:val="24"/>
        </w:rPr>
        <w:t>,</w:t>
      </w:r>
      <w:r w:rsidRPr="003614FF">
        <w:rPr>
          <w:rFonts w:ascii="Times New Roman" w:hAnsi="Times New Roman" w:cs="Times New Roman"/>
          <w:sz w:val="24"/>
          <w:szCs w:val="24"/>
        </w:rPr>
        <w:t xml:space="preserve"> (2002) observed a linear weight gain increase in goats receiving up to 30–35% dried cassava leaves as a substitute for soybean or cake meals.</w:t>
      </w:r>
    </w:p>
    <w:p w14:paraId="240F31B1" w14:textId="3E015F9C" w:rsid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The lowest and most efficient FCR was obtained with DCL30 (7.80). This value reflects improved feed conversion compared to the control group (9.83). The balanced supply of nitrogen and energy in the DCL30 ration reduced the amount of dry matter required to produce </w:t>
      </w:r>
      <m:oMath>
        <m:r>
          <w:rPr>
            <w:rFonts w:ascii="Cambria Math" w:hAnsi="Cambria Math" w:cs="Times New Roman"/>
            <w:sz w:val="24"/>
            <w:szCs w:val="24"/>
          </w:rPr>
          <m:t>1</m:t>
        </m:r>
        <m:r>
          <m:rPr>
            <m:nor/>
          </m:rPr>
          <w:rPr>
            <w:rFonts w:ascii="Times New Roman" w:hAnsi="Times New Roman" w:cs="Times New Roman"/>
            <w:sz w:val="24"/>
            <w:szCs w:val="24"/>
          </w:rPr>
          <m:t> kg</m:t>
        </m:r>
      </m:oMath>
      <w:r w:rsidRPr="003614FF">
        <w:rPr>
          <w:rFonts w:ascii="Times New Roman" w:hAnsi="Times New Roman" w:cs="Times New Roman"/>
          <w:sz w:val="24"/>
          <w:szCs w:val="24"/>
        </w:rPr>
        <w:t xml:space="preserve"> of goat live weight gain.</w:t>
      </w:r>
    </w:p>
    <w:p w14:paraId="75F22857" w14:textId="40F73236" w:rsidR="003614FF" w:rsidRPr="003614FF" w:rsidRDefault="003614FF" w:rsidP="00A415E5">
      <w:pPr>
        <w:spacing w:line="480" w:lineRule="auto"/>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Economic Profitability and Practical Implications</w:t>
      </w:r>
    </w:p>
    <w:p w14:paraId="66029806" w14:textId="64708DF5"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Financially, replacing cottonseed cake and cereals with dried cassava leaves reduced the unit cost per kilogram of concentrate from </w:t>
      </w:r>
      <m:oMath>
        <m:r>
          <w:rPr>
            <w:rFonts w:ascii="Cambria Math" w:hAnsi="Cambria Math" w:cs="Times New Roman"/>
            <w:sz w:val="24"/>
            <w:szCs w:val="24"/>
          </w:rPr>
          <m:t>185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(DCL0) to </w:t>
      </w:r>
      <m:oMath>
        <m:r>
          <w:rPr>
            <w:rFonts w:ascii="Cambria Math" w:hAnsi="Cambria Math" w:cs="Times New Roman"/>
            <w:sz w:val="24"/>
            <w:szCs w:val="24"/>
          </w:rPr>
          <m:t>135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(DCL30) and </w:t>
      </w:r>
      <m:oMath>
        <m:r>
          <w:rPr>
            <w:rFonts w:ascii="Cambria Math" w:hAnsi="Cambria Math" w:cs="Times New Roman"/>
            <w:sz w:val="24"/>
            <w:szCs w:val="24"/>
          </w:rPr>
          <m:t>115</m:t>
        </m:r>
        <m:r>
          <m:rPr>
            <m:nor/>
          </m:rPr>
          <w:rPr>
            <w:rFonts w:ascii="Times New Roman" w:hAnsi="Times New Roman" w:cs="Times New Roman"/>
            <w:sz w:val="24"/>
            <w:szCs w:val="24"/>
          </w:rPr>
          <m:t> FCFA/kg</m:t>
        </m:r>
      </m:oMath>
      <w:r w:rsidRPr="003614FF">
        <w:rPr>
          <w:rFonts w:ascii="Times New Roman" w:hAnsi="Times New Roman" w:cs="Times New Roman"/>
          <w:sz w:val="24"/>
          <w:szCs w:val="24"/>
        </w:rPr>
        <w:t xml:space="preserve"> (DCL45). The reduction in cost per kg of live weight gain (-35.7% between DCL0 and DCL30, dropping from </w:t>
      </w:r>
      <m:oMath>
        <m:r>
          <w:rPr>
            <w:rFonts w:ascii="Cambria Math" w:hAnsi="Cambria Math" w:cs="Times New Roman"/>
            <w:sz w:val="24"/>
            <w:szCs w:val="24"/>
          </w:rPr>
          <m:t>1,314</m:t>
        </m:r>
        <m:r>
          <m:rPr>
            <m:nor/>
          </m:rPr>
          <w:rPr>
            <w:rFonts w:ascii="Times New Roman" w:hAnsi="Times New Roman" w:cs="Times New Roman"/>
            <w:sz w:val="24"/>
            <w:szCs w:val="24"/>
          </w:rPr>
          <m:t> FCFA</m:t>
        </m:r>
      </m:oMath>
      <w:r w:rsidRPr="003614FF">
        <w:rPr>
          <w:rFonts w:ascii="Times New Roman" w:hAnsi="Times New Roman" w:cs="Times New Roman"/>
          <w:sz w:val="24"/>
          <w:szCs w:val="24"/>
        </w:rPr>
        <w:t xml:space="preserve"> to </w:t>
      </w:r>
      <m:oMath>
        <m:r>
          <w:rPr>
            <w:rFonts w:ascii="Cambria Math" w:hAnsi="Cambria Math" w:cs="Times New Roman"/>
            <w:sz w:val="24"/>
            <w:szCs w:val="24"/>
          </w:rPr>
          <m:t>845</m:t>
        </m:r>
        <m:r>
          <m:rPr>
            <m:nor/>
          </m:rPr>
          <w:rPr>
            <w:rFonts w:ascii="Times New Roman" w:hAnsi="Times New Roman" w:cs="Times New Roman"/>
            <w:sz w:val="24"/>
            <w:szCs w:val="24"/>
          </w:rPr>
          <m:t> FCFA</m:t>
        </m:r>
      </m:oMath>
      <w:r w:rsidRPr="003614FF">
        <w:rPr>
          <w:rFonts w:ascii="Times New Roman" w:hAnsi="Times New Roman" w:cs="Times New Roman"/>
          <w:sz w:val="24"/>
          <w:szCs w:val="24"/>
        </w:rPr>
        <w:t>) is driven by two synergistic effects:</w:t>
      </w:r>
    </w:p>
    <w:p w14:paraId="0C8F194A" w14:textId="77777777" w:rsidR="003614FF" w:rsidRPr="003614FF" w:rsidRDefault="003614FF" w:rsidP="00A415E5">
      <w:pPr>
        <w:numPr>
          <w:ilvl w:val="0"/>
          <w:numId w:val="7"/>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Increased zootechnical performance (higher ADG reducing fattening duration).</w:t>
      </w:r>
    </w:p>
    <w:p w14:paraId="68C9F011" w14:textId="01FC369F" w:rsidR="003614FF" w:rsidRPr="003614FF" w:rsidRDefault="003614FF" w:rsidP="00A415E5">
      <w:pPr>
        <w:numPr>
          <w:ilvl w:val="0"/>
          <w:numId w:val="7"/>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The very low opportunity cost of cassava leaves, which represent an </w:t>
      </w:r>
      <w:r w:rsidR="009A2163" w:rsidRPr="003614FF">
        <w:rPr>
          <w:rFonts w:ascii="Times New Roman" w:hAnsi="Times New Roman" w:cs="Times New Roman"/>
          <w:sz w:val="24"/>
          <w:szCs w:val="24"/>
        </w:rPr>
        <w:t>unvaporized</w:t>
      </w:r>
      <w:r w:rsidRPr="003614FF">
        <w:rPr>
          <w:rFonts w:ascii="Times New Roman" w:hAnsi="Times New Roman" w:cs="Times New Roman"/>
          <w:sz w:val="24"/>
          <w:szCs w:val="24"/>
        </w:rPr>
        <w:t xml:space="preserve"> crop residue in market gardening or agricultural zones in Niger.</w:t>
      </w:r>
    </w:p>
    <w:p w14:paraId="260BA142" w14:textId="2718BE6E"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This finding corroborates the technico-economic analyses of Dung </w:t>
      </w:r>
      <w:r w:rsidRPr="00BD77CF">
        <w:rPr>
          <w:rFonts w:ascii="Times New Roman" w:hAnsi="Times New Roman" w:cs="Times New Roman"/>
          <w:i/>
          <w:sz w:val="24"/>
          <w:szCs w:val="24"/>
        </w:rPr>
        <w:t>et al.</w:t>
      </w:r>
      <w:r w:rsidR="00BD77CF" w:rsidRPr="00BD77CF">
        <w:rPr>
          <w:rFonts w:ascii="Times New Roman" w:hAnsi="Times New Roman" w:cs="Times New Roman"/>
          <w:i/>
          <w:sz w:val="24"/>
          <w:szCs w:val="24"/>
        </w:rPr>
        <w:t>,</w:t>
      </w:r>
      <w:r w:rsidR="00BD77CF">
        <w:rPr>
          <w:rFonts w:ascii="Times New Roman" w:hAnsi="Times New Roman" w:cs="Times New Roman"/>
          <w:sz w:val="24"/>
          <w:szCs w:val="24"/>
        </w:rPr>
        <w:t xml:space="preserve"> (2005) and Phengvichith and</w:t>
      </w:r>
      <w:r w:rsidRPr="003614FF">
        <w:rPr>
          <w:rFonts w:ascii="Times New Roman" w:hAnsi="Times New Roman" w:cs="Times New Roman"/>
          <w:sz w:val="24"/>
          <w:szCs w:val="24"/>
        </w:rPr>
        <w:t xml:space="preserve"> Ledin (2007), who concluded that integrating cassava foliage and local </w:t>
      </w:r>
      <w:r w:rsidRPr="003614FF">
        <w:rPr>
          <w:rFonts w:ascii="Times New Roman" w:hAnsi="Times New Roman" w:cs="Times New Roman"/>
          <w:sz w:val="24"/>
          <w:szCs w:val="24"/>
        </w:rPr>
        <w:lastRenderedPageBreak/>
        <w:t>legumes improves farmers' gross margins by 40% to 60% compared to exclusive reliance on commercial concentrates.</w:t>
      </w:r>
    </w:p>
    <w:p w14:paraId="273615BA" w14:textId="50B645B2" w:rsidR="003614FF" w:rsidRPr="003614FF" w:rsidRDefault="007C7D50" w:rsidP="00A415E5">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Conclusion a</w:t>
      </w:r>
      <w:r w:rsidRPr="003614FF">
        <w:rPr>
          <w:rFonts w:ascii="Times New Roman" w:hAnsi="Times New Roman" w:cs="Times New Roman"/>
          <w:b/>
          <w:bCs/>
          <w:sz w:val="24"/>
          <w:szCs w:val="24"/>
        </w:rPr>
        <w:t>nd Recommendations</w:t>
      </w:r>
    </w:p>
    <w:p w14:paraId="60EC559D" w14:textId="77777777" w:rsidR="003614FF" w:rsidRPr="003614FF" w:rsidRDefault="003614FF" w:rsidP="00A415E5">
      <w:p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This study demonstrates that shade-dried cassava leaves constitute a viable, effective, and economical local protein alternative for goat fattening in Niger.</w:t>
      </w:r>
    </w:p>
    <w:p w14:paraId="659D4817" w14:textId="01FFF2E0" w:rsidR="003614FF" w:rsidRPr="003614FF" w:rsidRDefault="003614FF" w:rsidP="00A415E5">
      <w:pPr>
        <w:numPr>
          <w:ilvl w:val="0"/>
          <w:numId w:val="8"/>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An incorporation rate of </w:t>
      </w:r>
      <w:r w:rsidRPr="003614FF">
        <w:rPr>
          <w:rFonts w:ascii="Times New Roman" w:hAnsi="Times New Roman" w:cs="Times New Roman"/>
          <w:b/>
          <w:bCs/>
          <w:sz w:val="24"/>
          <w:szCs w:val="24"/>
        </w:rPr>
        <w:t>30% DCL</w:t>
      </w:r>
      <w:r w:rsidRPr="003614FF">
        <w:rPr>
          <w:rFonts w:ascii="Times New Roman" w:hAnsi="Times New Roman" w:cs="Times New Roman"/>
          <w:sz w:val="24"/>
          <w:szCs w:val="24"/>
        </w:rPr>
        <w:t xml:space="preserve"> in the concentrate is recommended to simultaneously optimize live weight gain (</w:t>
      </w:r>
      <m:oMath>
        <m:r>
          <w:rPr>
            <w:rFonts w:ascii="Cambria Math" w:hAnsi="Cambria Math" w:cs="Times New Roman"/>
            <w:sz w:val="24"/>
            <w:szCs w:val="24"/>
          </w:rPr>
          <m:t>78.5</m:t>
        </m:r>
        <m:r>
          <m:rPr>
            <m:nor/>
          </m:rPr>
          <w:rPr>
            <w:rFonts w:ascii="Times New Roman" w:hAnsi="Times New Roman" w:cs="Times New Roman"/>
            <w:sz w:val="24"/>
            <w:szCs w:val="24"/>
          </w:rPr>
          <m:t> g/day</m:t>
        </m:r>
      </m:oMath>
      <w:r w:rsidRPr="003614FF">
        <w:rPr>
          <w:rFonts w:ascii="Times New Roman" w:hAnsi="Times New Roman" w:cs="Times New Roman"/>
          <w:sz w:val="24"/>
          <w:szCs w:val="24"/>
        </w:rPr>
        <w:t>), diet digestibility, and farmer profit margin.</w:t>
      </w:r>
    </w:p>
    <w:p w14:paraId="5DE39550" w14:textId="71B95647" w:rsidR="003614FF" w:rsidRDefault="003614FF" w:rsidP="00A415E5">
      <w:pPr>
        <w:numPr>
          <w:ilvl w:val="0"/>
          <w:numId w:val="8"/>
        </w:numPr>
        <w:spacing w:line="480" w:lineRule="auto"/>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Extension of simple harvesting and shade-drying techniques to </w:t>
      </w:r>
      <w:r w:rsidR="009A2163" w:rsidRPr="003614FF">
        <w:rPr>
          <w:rFonts w:ascii="Times New Roman" w:hAnsi="Times New Roman" w:cs="Times New Roman"/>
          <w:sz w:val="24"/>
          <w:szCs w:val="24"/>
        </w:rPr>
        <w:t>agropastoral</w:t>
      </w:r>
      <w:r w:rsidRPr="003614FF">
        <w:rPr>
          <w:rFonts w:ascii="Times New Roman" w:hAnsi="Times New Roman" w:cs="Times New Roman"/>
          <w:sz w:val="24"/>
          <w:szCs w:val="24"/>
        </w:rPr>
        <w:t xml:space="preserve"> is recommended to secure goat nutrition during the dry season.</w:t>
      </w:r>
    </w:p>
    <w:p w14:paraId="0B120AF3" w14:textId="77777777" w:rsidR="00237B32" w:rsidRPr="00FA316B" w:rsidRDefault="00237B32" w:rsidP="00FA316B">
      <w:pPr>
        <w:spacing w:after="0" w:line="240" w:lineRule="auto"/>
        <w:ind w:left="360"/>
        <w:rPr>
          <w:rFonts w:ascii="Arial" w:hAnsi="Arial" w:cs="Arial"/>
          <w:b/>
          <w:sz w:val="20"/>
          <w:szCs w:val="20"/>
        </w:rPr>
      </w:pPr>
      <w:bookmarkStart w:id="2" w:name="_Hlk238550938"/>
      <w:bookmarkStart w:id="3" w:name="_Hlk237856463"/>
      <w:r w:rsidRPr="00FA316B">
        <w:rPr>
          <w:rFonts w:ascii="Arial" w:hAnsi="Arial" w:cs="Arial"/>
          <w:b/>
          <w:sz w:val="20"/>
          <w:szCs w:val="20"/>
        </w:rPr>
        <w:t>Declaration of AI Use</w:t>
      </w:r>
    </w:p>
    <w:p w14:paraId="4E3AC1DA" w14:textId="77777777" w:rsidR="00237B32" w:rsidRPr="00FA316B" w:rsidRDefault="00237B32" w:rsidP="00FA316B">
      <w:pPr>
        <w:spacing w:after="0" w:line="240" w:lineRule="auto"/>
        <w:ind w:left="360"/>
        <w:rPr>
          <w:rFonts w:ascii="Arial" w:hAnsi="Arial" w:cs="Arial"/>
          <w:sz w:val="20"/>
          <w:szCs w:val="20"/>
        </w:rPr>
      </w:pPr>
      <w:bookmarkStart w:id="4" w:name="_Hlk239068730"/>
    </w:p>
    <w:p w14:paraId="3F2B9D2A" w14:textId="77777777" w:rsidR="00237B32" w:rsidRPr="00FA316B" w:rsidRDefault="00237B32" w:rsidP="00FA316B">
      <w:pPr>
        <w:spacing w:after="0" w:line="240" w:lineRule="auto"/>
        <w:ind w:left="360"/>
        <w:rPr>
          <w:rFonts w:ascii="Arial" w:hAnsi="Arial" w:cs="Arial"/>
          <w:sz w:val="20"/>
          <w:szCs w:val="20"/>
        </w:rPr>
      </w:pPr>
      <w:bookmarkStart w:id="5" w:name="_Hlk237862032"/>
      <w:r w:rsidRPr="00FA316B">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
      <w:r w:rsidRPr="00FA316B">
        <w:rPr>
          <w:rFonts w:ascii="Arial" w:hAnsi="Arial" w:cs="Arial"/>
          <w:sz w:val="20"/>
          <w:szCs w:val="20"/>
        </w:rPr>
        <w:t>.</w:t>
      </w:r>
    </w:p>
    <w:bookmarkEnd w:id="3"/>
    <w:bookmarkEnd w:id="4"/>
    <w:bookmarkEnd w:id="5"/>
    <w:p w14:paraId="32CEABB1" w14:textId="77777777" w:rsidR="00B725B5" w:rsidRPr="00B725B5" w:rsidRDefault="00B725B5" w:rsidP="00A415E5">
      <w:pPr>
        <w:pStyle w:val="Default"/>
        <w:contextualSpacing/>
        <w:jc w:val="both"/>
        <w:rPr>
          <w:rFonts w:ascii="Times New Roman" w:hAnsi="Times New Roman" w:cs="Times New Roman"/>
          <w:color w:val="auto"/>
        </w:rPr>
      </w:pPr>
    </w:p>
    <w:p w14:paraId="006972A3" w14:textId="77777777" w:rsidR="00B725B5" w:rsidRPr="00B725B5" w:rsidRDefault="00B725B5" w:rsidP="00A415E5">
      <w:pPr>
        <w:pStyle w:val="Default"/>
        <w:contextualSpacing/>
        <w:rPr>
          <w:rFonts w:ascii="Times New Roman" w:hAnsi="Times New Roman" w:cs="Times New Roman"/>
          <w:color w:val="auto"/>
        </w:rPr>
      </w:pPr>
    </w:p>
    <w:p w14:paraId="57AD53DF" w14:textId="5493C482" w:rsidR="00B725B5" w:rsidRPr="00B725B5" w:rsidRDefault="009A2163" w:rsidP="00A415E5">
      <w:pPr>
        <w:pStyle w:val="Default"/>
        <w:contextualSpacing/>
        <w:rPr>
          <w:rFonts w:ascii="Times New Roman" w:hAnsi="Times New Roman" w:cs="Times New Roman"/>
          <w:b/>
          <w:bCs/>
          <w:color w:val="auto"/>
        </w:rPr>
      </w:pPr>
      <w:r w:rsidRPr="00B725B5">
        <w:rPr>
          <w:rFonts w:ascii="Times New Roman" w:hAnsi="Times New Roman" w:cs="Times New Roman"/>
          <w:b/>
          <w:bCs/>
          <w:color w:val="auto"/>
        </w:rPr>
        <w:t xml:space="preserve">Competing Interests </w:t>
      </w:r>
    </w:p>
    <w:p w14:paraId="75ABE596" w14:textId="2F7770F2" w:rsidR="00B725B5" w:rsidRPr="003614FF" w:rsidRDefault="00B725B5" w:rsidP="00A415E5">
      <w:pPr>
        <w:spacing w:line="480" w:lineRule="auto"/>
        <w:contextualSpacing/>
        <w:jc w:val="both"/>
        <w:rPr>
          <w:rFonts w:ascii="Times New Roman" w:hAnsi="Times New Roman" w:cs="Times New Roman"/>
          <w:sz w:val="24"/>
          <w:szCs w:val="24"/>
        </w:rPr>
      </w:pPr>
      <w:r w:rsidRPr="00B725B5">
        <w:rPr>
          <w:rFonts w:ascii="Times New Roman" w:hAnsi="Times New Roman" w:cs="Times New Roman"/>
          <w:sz w:val="24"/>
          <w:szCs w:val="24"/>
        </w:rPr>
        <w:t>Authors have declared that no competing interests exist.</w:t>
      </w:r>
    </w:p>
    <w:p w14:paraId="7EE3FAAC" w14:textId="4B1DF55C" w:rsidR="003614FF" w:rsidRPr="003614FF" w:rsidRDefault="007C7D50" w:rsidP="00A415E5">
      <w:pPr>
        <w:contextualSpacing/>
        <w:jc w:val="both"/>
        <w:rPr>
          <w:rFonts w:ascii="Times New Roman" w:hAnsi="Times New Roman" w:cs="Times New Roman"/>
          <w:b/>
          <w:bCs/>
          <w:sz w:val="24"/>
          <w:szCs w:val="24"/>
        </w:rPr>
      </w:pPr>
      <w:r w:rsidRPr="003614FF">
        <w:rPr>
          <w:rFonts w:ascii="Times New Roman" w:hAnsi="Times New Roman" w:cs="Times New Roman"/>
          <w:b/>
          <w:bCs/>
          <w:sz w:val="24"/>
          <w:szCs w:val="24"/>
        </w:rPr>
        <w:t>References</w:t>
      </w:r>
    </w:p>
    <w:p w14:paraId="7453A226"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Anaeto, M., Chioma, G. O.</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Olarinmoye, A. O. (2013). Cassava leaf meal as a protein supplement for West African Dwarf goats. </w:t>
      </w:r>
      <w:r w:rsidRPr="003614FF">
        <w:rPr>
          <w:rFonts w:ascii="Times New Roman" w:hAnsi="Times New Roman" w:cs="Times New Roman"/>
          <w:i/>
          <w:iCs/>
          <w:sz w:val="24"/>
          <w:szCs w:val="24"/>
        </w:rPr>
        <w:t>Global Journal of Agricultural Sciences</w:t>
      </w:r>
      <w:r w:rsidRPr="003614FF">
        <w:rPr>
          <w:rFonts w:ascii="Times New Roman" w:hAnsi="Times New Roman" w:cs="Times New Roman"/>
          <w:sz w:val="24"/>
          <w:szCs w:val="24"/>
        </w:rPr>
        <w:t>, 12(1), 1-7.</w:t>
      </w:r>
      <w:r w:rsidR="00BB78CB">
        <w:rPr>
          <w:rFonts w:ascii="Times New Roman" w:hAnsi="Times New Roman" w:cs="Times New Roman"/>
          <w:sz w:val="24"/>
          <w:szCs w:val="24"/>
        </w:rPr>
        <w:t xml:space="preserve"> </w:t>
      </w:r>
    </w:p>
    <w:p w14:paraId="28D002C0"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AOAC. (2005). </w:t>
      </w:r>
      <w:r w:rsidRPr="003614FF">
        <w:rPr>
          <w:rFonts w:ascii="Times New Roman" w:hAnsi="Times New Roman" w:cs="Times New Roman"/>
          <w:i/>
          <w:iCs/>
          <w:sz w:val="24"/>
          <w:szCs w:val="24"/>
        </w:rPr>
        <w:t>Official Methods of Analysis</w:t>
      </w:r>
      <w:r w:rsidRPr="003614FF">
        <w:rPr>
          <w:rFonts w:ascii="Times New Roman" w:hAnsi="Times New Roman" w:cs="Times New Roman"/>
          <w:sz w:val="24"/>
          <w:szCs w:val="24"/>
        </w:rPr>
        <w:t>. 18th Edition, Association of Official Analytical Chemists, Washington DC.</w:t>
      </w:r>
      <w:r w:rsidR="00BB78CB">
        <w:rPr>
          <w:rFonts w:ascii="Times New Roman" w:hAnsi="Times New Roman" w:cs="Times New Roman"/>
          <w:sz w:val="24"/>
          <w:szCs w:val="24"/>
        </w:rPr>
        <w:t xml:space="preserve"> </w:t>
      </w:r>
    </w:p>
    <w:p w14:paraId="24F16613" w14:textId="4F065B50" w:rsidR="00BB78CB" w:rsidRPr="00BB78CB" w:rsidRDefault="00BB78CB" w:rsidP="00A415E5">
      <w:pPr>
        <w:spacing w:after="0" w:line="240" w:lineRule="auto"/>
        <w:ind w:left="720" w:hanging="720"/>
        <w:contextualSpacing/>
        <w:jc w:val="both"/>
        <w:rPr>
          <w:rFonts w:ascii="Times New Roman" w:hAnsi="Times New Roman" w:cs="Times New Roman"/>
          <w:sz w:val="24"/>
          <w:szCs w:val="24"/>
        </w:rPr>
      </w:pPr>
      <w:r w:rsidRPr="008737A9">
        <w:rPr>
          <w:rFonts w:ascii="Times New Roman" w:hAnsi="Times New Roman" w:cs="Times New Roman"/>
          <w:sz w:val="24"/>
        </w:rPr>
        <w:t>Ayasan</w:t>
      </w:r>
      <w:r>
        <w:rPr>
          <w:rFonts w:ascii="Times New Roman" w:hAnsi="Times New Roman" w:cs="Times New Roman"/>
          <w:sz w:val="24"/>
        </w:rPr>
        <w:t>,</w:t>
      </w:r>
      <w:r w:rsidRPr="008737A9">
        <w:rPr>
          <w:rFonts w:ascii="Times New Roman" w:hAnsi="Times New Roman" w:cs="Times New Roman"/>
          <w:sz w:val="24"/>
        </w:rPr>
        <w:t xml:space="preserve"> T</w:t>
      </w:r>
      <w:r>
        <w:rPr>
          <w:rFonts w:ascii="Times New Roman" w:hAnsi="Times New Roman" w:cs="Times New Roman"/>
          <w:sz w:val="24"/>
        </w:rPr>
        <w:t>.</w:t>
      </w:r>
      <w:r w:rsidRPr="008737A9">
        <w:rPr>
          <w:rFonts w:ascii="Times New Roman" w:hAnsi="Times New Roman" w:cs="Times New Roman"/>
          <w:sz w:val="24"/>
        </w:rPr>
        <w:t xml:space="preserve"> (2010). Use of cassava and products in animal nutrition. Journal of Agricultural Faculty of Gaziosmanpasa University 27:73- 83.</w:t>
      </w:r>
    </w:p>
    <w:p w14:paraId="0BBD027D" w14:textId="2DA7C70B"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Ba, N. X., Giang, V. D.</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Ledin, I. (2005). Effect of replacing concentrate with cassava foliage on growth and feed intake of local goats. </w:t>
      </w:r>
      <w:r w:rsidRPr="003614FF">
        <w:rPr>
          <w:rFonts w:ascii="Times New Roman" w:hAnsi="Times New Roman" w:cs="Times New Roman"/>
          <w:i/>
          <w:iCs/>
          <w:sz w:val="24"/>
          <w:szCs w:val="24"/>
        </w:rPr>
        <w:t>Tropical Animal Health and Production</w:t>
      </w:r>
      <w:r w:rsidRPr="003614FF">
        <w:rPr>
          <w:rFonts w:ascii="Times New Roman" w:hAnsi="Times New Roman" w:cs="Times New Roman"/>
          <w:sz w:val="24"/>
          <w:szCs w:val="24"/>
        </w:rPr>
        <w:t>, 37(8), 609-619.</w:t>
      </w:r>
    </w:p>
    <w:p w14:paraId="22C31A2E" w14:textId="77777777" w:rsidR="00B26887"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Barry, T. N.</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McNabb, W. C. (1999). The effect of condensed tannins in temperate forages on animal nutrition and productivity. </w:t>
      </w:r>
      <w:r w:rsidRPr="003614FF">
        <w:rPr>
          <w:rFonts w:ascii="Times New Roman" w:hAnsi="Times New Roman" w:cs="Times New Roman"/>
          <w:i/>
          <w:iCs/>
          <w:sz w:val="24"/>
          <w:szCs w:val="24"/>
        </w:rPr>
        <w:t>Comparative Biochemistry and Physiology Part A</w:t>
      </w:r>
      <w:r w:rsidRPr="003614FF">
        <w:rPr>
          <w:rFonts w:ascii="Times New Roman" w:hAnsi="Times New Roman" w:cs="Times New Roman"/>
          <w:sz w:val="24"/>
          <w:szCs w:val="24"/>
        </w:rPr>
        <w:t>, 124(4), 433-441.</w:t>
      </w:r>
    </w:p>
    <w:p w14:paraId="0338D7AE" w14:textId="31D021CA" w:rsidR="00B26887" w:rsidRPr="00B26887" w:rsidRDefault="00B26887" w:rsidP="00A415E5">
      <w:pPr>
        <w:spacing w:after="0" w:line="240" w:lineRule="auto"/>
        <w:ind w:left="720" w:hanging="720"/>
        <w:contextualSpacing/>
        <w:jc w:val="both"/>
        <w:rPr>
          <w:rFonts w:ascii="Times New Roman" w:hAnsi="Times New Roman" w:cs="Times New Roman"/>
          <w:sz w:val="24"/>
          <w:szCs w:val="24"/>
        </w:rPr>
      </w:pPr>
      <w:r w:rsidRPr="008737A9">
        <w:rPr>
          <w:rFonts w:ascii="Times New Roman" w:hAnsi="Times New Roman" w:cs="Times New Roman"/>
          <w:sz w:val="24"/>
        </w:rPr>
        <w:t>Bayata, A. (2019). Review on nutritional value of cassava for use as a staple food. Science Journal of Analytical Chemistry, 7(4), 83. https://doi.org/10.11648/j.sjac.20190704.12</w:t>
      </w:r>
    </w:p>
    <w:p w14:paraId="54E6CD77"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Bokanga, M. (1994). Processing of cassava leaves to remove cyanogen content. </w:t>
      </w:r>
      <w:r w:rsidRPr="003614FF">
        <w:rPr>
          <w:rFonts w:ascii="Times New Roman" w:hAnsi="Times New Roman" w:cs="Times New Roman"/>
          <w:i/>
          <w:iCs/>
          <w:sz w:val="24"/>
          <w:szCs w:val="24"/>
        </w:rPr>
        <w:t>Acta Horticulturae</w:t>
      </w:r>
      <w:r w:rsidRPr="003614FF">
        <w:rPr>
          <w:rFonts w:ascii="Times New Roman" w:hAnsi="Times New Roman" w:cs="Times New Roman"/>
          <w:sz w:val="24"/>
          <w:szCs w:val="24"/>
        </w:rPr>
        <w:t>, 375, 357-364.</w:t>
      </w:r>
      <w:r w:rsidR="00BB78CB">
        <w:rPr>
          <w:rFonts w:ascii="Times New Roman" w:hAnsi="Times New Roman" w:cs="Times New Roman"/>
          <w:sz w:val="24"/>
          <w:szCs w:val="24"/>
        </w:rPr>
        <w:t xml:space="preserve"> </w:t>
      </w:r>
    </w:p>
    <w:p w14:paraId="047A0F52"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lastRenderedPageBreak/>
        <w:t>Boutonnet, J. P. (2000). L'élevage des petits rumina</w:t>
      </w:r>
      <w:r w:rsidR="00906537">
        <w:rPr>
          <w:rFonts w:ascii="Times New Roman" w:hAnsi="Times New Roman" w:cs="Times New Roman"/>
          <w:sz w:val="24"/>
          <w:szCs w:val="24"/>
        </w:rPr>
        <w:t>nts en zone aride et semi-aride</w:t>
      </w:r>
      <w:r w:rsidRPr="003614FF">
        <w:rPr>
          <w:rFonts w:ascii="Times New Roman" w:hAnsi="Times New Roman" w:cs="Times New Roman"/>
          <w:sz w:val="24"/>
          <w:szCs w:val="24"/>
        </w:rPr>
        <w:t xml:space="preserve">: contraintes nutritionnelles et stratégies d'adaptation. </w:t>
      </w:r>
      <w:r w:rsidRPr="003614FF">
        <w:rPr>
          <w:rFonts w:ascii="Times New Roman" w:hAnsi="Times New Roman" w:cs="Times New Roman"/>
          <w:i/>
          <w:iCs/>
          <w:sz w:val="24"/>
          <w:szCs w:val="24"/>
        </w:rPr>
        <w:t>Sécheresse</w:t>
      </w:r>
      <w:r w:rsidRPr="003614FF">
        <w:rPr>
          <w:rFonts w:ascii="Times New Roman" w:hAnsi="Times New Roman" w:cs="Times New Roman"/>
          <w:sz w:val="24"/>
          <w:szCs w:val="24"/>
        </w:rPr>
        <w:t>, 11(4), 231-238.</w:t>
      </w:r>
      <w:r w:rsidR="00BB78CB">
        <w:rPr>
          <w:rFonts w:ascii="Times New Roman" w:hAnsi="Times New Roman" w:cs="Times New Roman"/>
          <w:sz w:val="24"/>
          <w:szCs w:val="24"/>
        </w:rPr>
        <w:t xml:space="preserve"> </w:t>
      </w:r>
    </w:p>
    <w:p w14:paraId="6DC0EF5F" w14:textId="59AA5FA1" w:rsidR="00BB78CB" w:rsidRPr="008737A9" w:rsidRDefault="00BB78CB" w:rsidP="00A415E5">
      <w:pPr>
        <w:spacing w:after="0" w:line="240" w:lineRule="auto"/>
        <w:ind w:left="720" w:hanging="720"/>
        <w:contextualSpacing/>
        <w:jc w:val="both"/>
        <w:rPr>
          <w:rFonts w:ascii="Times New Roman" w:hAnsi="Times New Roman" w:cs="Times New Roman"/>
          <w:sz w:val="24"/>
        </w:rPr>
      </w:pPr>
      <w:r w:rsidRPr="008737A9">
        <w:rPr>
          <w:rFonts w:ascii="Times New Roman" w:hAnsi="Times New Roman" w:cs="Times New Roman"/>
          <w:sz w:val="24"/>
        </w:rPr>
        <w:t>Chidozie, J. C, Chinaka, E. C. and Okoye, B.C. (2019). Cassava Value Chain as Instrument for Economic Growth and Food Security in Nigeria, Universal Journal of Agricultural Research 7(6):197- 202</w:t>
      </w:r>
    </w:p>
    <w:p w14:paraId="304E0D6B"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Devendra, C. (1988). Forage ficus and cassava leaves as protein supplements for goats and sheep in the tropics. </w:t>
      </w:r>
      <w:r w:rsidRPr="003614FF">
        <w:rPr>
          <w:rFonts w:ascii="Times New Roman" w:hAnsi="Times New Roman" w:cs="Times New Roman"/>
          <w:i/>
          <w:iCs/>
          <w:sz w:val="24"/>
          <w:szCs w:val="24"/>
        </w:rPr>
        <w:t>Asian-Australasian Journal of Animal Sciences</w:t>
      </w:r>
      <w:r w:rsidRPr="003614FF">
        <w:rPr>
          <w:rFonts w:ascii="Times New Roman" w:hAnsi="Times New Roman" w:cs="Times New Roman"/>
          <w:sz w:val="24"/>
          <w:szCs w:val="24"/>
        </w:rPr>
        <w:t>, 1(1), 29-35.</w:t>
      </w:r>
    </w:p>
    <w:p w14:paraId="3D658B87"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Devendra, C. (1990). The use of shrubs and tree fodders by ruminants. In </w:t>
      </w:r>
      <w:r w:rsidRPr="003614FF">
        <w:rPr>
          <w:rFonts w:ascii="Times New Roman" w:hAnsi="Times New Roman" w:cs="Times New Roman"/>
          <w:i/>
          <w:iCs/>
          <w:sz w:val="24"/>
          <w:szCs w:val="24"/>
        </w:rPr>
        <w:t>Shrub and Tree Fodders for Farm Animals</w:t>
      </w:r>
      <w:r w:rsidRPr="003614FF">
        <w:rPr>
          <w:rFonts w:ascii="Times New Roman" w:hAnsi="Times New Roman" w:cs="Times New Roman"/>
          <w:sz w:val="24"/>
          <w:szCs w:val="24"/>
        </w:rPr>
        <w:t xml:space="preserve"> (pp. 42-60). IDRC, Ottawa.</w:t>
      </w:r>
    </w:p>
    <w:p w14:paraId="65A3BF34"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Dung, N. T., Mui, N. T.</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Ledin, I. (2005). Effect of replacing concentrate with cassava foliage on feed intake, digestibility and growth rate of goats. </w:t>
      </w:r>
      <w:r w:rsidRPr="003614FF">
        <w:rPr>
          <w:rFonts w:ascii="Times New Roman" w:hAnsi="Times New Roman" w:cs="Times New Roman"/>
          <w:i/>
          <w:iCs/>
          <w:sz w:val="24"/>
          <w:szCs w:val="24"/>
        </w:rPr>
        <w:t>Tropical Animal Health and Production</w:t>
      </w:r>
      <w:r w:rsidRPr="003614FF">
        <w:rPr>
          <w:rFonts w:ascii="Times New Roman" w:hAnsi="Times New Roman" w:cs="Times New Roman"/>
          <w:sz w:val="24"/>
          <w:szCs w:val="24"/>
        </w:rPr>
        <w:t>, 37(4), 301-311.</w:t>
      </w:r>
    </w:p>
    <w:p w14:paraId="365A8E2C"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FAO. (2022). </w:t>
      </w:r>
      <w:r w:rsidRPr="00906537">
        <w:rPr>
          <w:rFonts w:ascii="Times New Roman" w:hAnsi="Times New Roman" w:cs="Times New Roman"/>
          <w:iCs/>
          <w:sz w:val="24"/>
          <w:szCs w:val="24"/>
        </w:rPr>
        <w:t>La situation mondiale de l'alimentation et de l'agricul</w:t>
      </w:r>
      <w:r w:rsidR="00906537">
        <w:rPr>
          <w:rFonts w:ascii="Times New Roman" w:hAnsi="Times New Roman" w:cs="Times New Roman"/>
          <w:iCs/>
          <w:sz w:val="24"/>
          <w:szCs w:val="24"/>
        </w:rPr>
        <w:t>ture</w:t>
      </w:r>
      <w:r w:rsidRPr="00906537">
        <w:rPr>
          <w:rFonts w:ascii="Times New Roman" w:hAnsi="Times New Roman" w:cs="Times New Roman"/>
          <w:iCs/>
          <w:sz w:val="24"/>
          <w:szCs w:val="24"/>
        </w:rPr>
        <w:t>:</w:t>
      </w:r>
      <w:r w:rsidRPr="003614FF">
        <w:rPr>
          <w:rFonts w:ascii="Times New Roman" w:hAnsi="Times New Roman" w:cs="Times New Roman"/>
          <w:i/>
          <w:iCs/>
          <w:sz w:val="24"/>
          <w:szCs w:val="24"/>
        </w:rPr>
        <w:t xml:space="preserve"> Transformer les systèmes agroalimentaires dans les zones arides</w:t>
      </w:r>
      <w:r w:rsidRPr="003614FF">
        <w:rPr>
          <w:rFonts w:ascii="Times New Roman" w:hAnsi="Times New Roman" w:cs="Times New Roman"/>
          <w:sz w:val="24"/>
          <w:szCs w:val="24"/>
        </w:rPr>
        <w:t>. Rome, FAO.</w:t>
      </w:r>
      <w:r w:rsidR="00BB78CB">
        <w:rPr>
          <w:rFonts w:ascii="Times New Roman" w:hAnsi="Times New Roman" w:cs="Times New Roman"/>
          <w:sz w:val="24"/>
          <w:szCs w:val="24"/>
        </w:rPr>
        <w:t xml:space="preserve"> </w:t>
      </w:r>
    </w:p>
    <w:p w14:paraId="35942F44" w14:textId="4B0D086C" w:rsidR="00BB78CB" w:rsidRPr="00BB78CB" w:rsidRDefault="00BB78CB" w:rsidP="00A415E5">
      <w:pPr>
        <w:spacing w:after="0" w:line="240" w:lineRule="auto"/>
        <w:ind w:left="720" w:hanging="720"/>
        <w:contextualSpacing/>
        <w:jc w:val="both"/>
        <w:rPr>
          <w:rFonts w:ascii="Times New Roman" w:hAnsi="Times New Roman" w:cs="Times New Roman"/>
          <w:sz w:val="24"/>
          <w:szCs w:val="24"/>
        </w:rPr>
      </w:pPr>
      <w:r w:rsidRPr="008737A9">
        <w:rPr>
          <w:rFonts w:ascii="Times New Roman" w:hAnsi="Times New Roman" w:cs="Times New Roman"/>
          <w:sz w:val="24"/>
        </w:rPr>
        <w:t>Fasae, O.A., Amos, A., Owodunni, A. and Yusuf, A.O. (2015). Performance, haematological parameters and faecal egg count of semiintensively managed West African dwarf sheep to varying levels of cassava leaves and peels supplementation. Pertanika Journal of Tropical Agricultural Science, 38 (1): 71 – 81.</w:t>
      </w:r>
    </w:p>
    <w:p w14:paraId="016DCA70" w14:textId="433FEB1E"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Ffoulkes, D.</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Preston, T. R. (1978). Cassava forage as a cattle feed: intake and digestibility. </w:t>
      </w:r>
      <w:r w:rsidRPr="003614FF">
        <w:rPr>
          <w:rFonts w:ascii="Times New Roman" w:hAnsi="Times New Roman" w:cs="Times New Roman"/>
          <w:i/>
          <w:iCs/>
          <w:sz w:val="24"/>
          <w:szCs w:val="24"/>
        </w:rPr>
        <w:t>Tropical Animal Production</w:t>
      </w:r>
      <w:r w:rsidRPr="003614FF">
        <w:rPr>
          <w:rFonts w:ascii="Times New Roman" w:hAnsi="Times New Roman" w:cs="Times New Roman"/>
          <w:sz w:val="24"/>
          <w:szCs w:val="24"/>
        </w:rPr>
        <w:t>, 3(3), 250-256.</w:t>
      </w:r>
    </w:p>
    <w:p w14:paraId="6BFBD073" w14:textId="3B7CAB46"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Hang, D. T.</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Preston, T. R. (2005). Effect of simple processing methods on HCN content of cassava leaves. </w:t>
      </w:r>
      <w:r w:rsidRPr="003614FF">
        <w:rPr>
          <w:rFonts w:ascii="Times New Roman" w:hAnsi="Times New Roman" w:cs="Times New Roman"/>
          <w:i/>
          <w:iCs/>
          <w:sz w:val="24"/>
          <w:szCs w:val="24"/>
        </w:rPr>
        <w:t>Livestock Research for Rural Development</w:t>
      </w:r>
      <w:r w:rsidRPr="003614FF">
        <w:rPr>
          <w:rFonts w:ascii="Times New Roman" w:hAnsi="Times New Roman" w:cs="Times New Roman"/>
          <w:sz w:val="24"/>
          <w:szCs w:val="24"/>
        </w:rPr>
        <w:t>, 17(9), 99-105.</w:t>
      </w:r>
    </w:p>
    <w:p w14:paraId="3678BA99" w14:textId="38C378BE"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Ho Quang Do, (2002). Cassava foliage as a protein source for young goats. </w:t>
      </w:r>
      <w:r w:rsidRPr="003614FF">
        <w:rPr>
          <w:rFonts w:ascii="Times New Roman" w:hAnsi="Times New Roman" w:cs="Times New Roman"/>
          <w:i/>
          <w:iCs/>
          <w:sz w:val="24"/>
          <w:szCs w:val="24"/>
        </w:rPr>
        <w:t>Livestock Research for Rural Development</w:t>
      </w:r>
      <w:r w:rsidRPr="003614FF">
        <w:rPr>
          <w:rFonts w:ascii="Times New Roman" w:hAnsi="Times New Roman" w:cs="Times New Roman"/>
          <w:sz w:val="24"/>
          <w:szCs w:val="24"/>
        </w:rPr>
        <w:t>, 14(3).</w:t>
      </w:r>
    </w:p>
    <w:p w14:paraId="509B5779" w14:textId="4A19C9A4" w:rsidR="003614FF" w:rsidRPr="003614FF" w:rsidRDefault="00906537" w:rsidP="00A415E5">
      <w:pPr>
        <w:spacing w:after="0" w:line="24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INRAN,</w:t>
      </w:r>
      <w:r w:rsidR="003614FF" w:rsidRPr="003614FF">
        <w:rPr>
          <w:rFonts w:ascii="Times New Roman" w:hAnsi="Times New Roman" w:cs="Times New Roman"/>
          <w:sz w:val="24"/>
          <w:szCs w:val="24"/>
        </w:rPr>
        <w:t xml:space="preserve"> (2019). </w:t>
      </w:r>
      <w:r w:rsidR="003614FF" w:rsidRPr="003614FF">
        <w:rPr>
          <w:rFonts w:ascii="Times New Roman" w:hAnsi="Times New Roman" w:cs="Times New Roman"/>
          <w:i/>
          <w:iCs/>
          <w:sz w:val="24"/>
          <w:szCs w:val="24"/>
        </w:rPr>
        <w:t>Rapport annuel d'activités de recherche zootechnique et vétérinaire</w:t>
      </w:r>
      <w:r w:rsidR="003614FF" w:rsidRPr="003614FF">
        <w:rPr>
          <w:rFonts w:ascii="Times New Roman" w:hAnsi="Times New Roman" w:cs="Times New Roman"/>
          <w:sz w:val="24"/>
          <w:szCs w:val="24"/>
        </w:rPr>
        <w:t>. INRAN, Niamey, Niger.</w:t>
      </w:r>
    </w:p>
    <w:p w14:paraId="72779944"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Leng, R. A. (1990). Factors affecting the utilization of poor quality forages by ruminants particularly under tropical conditions. </w:t>
      </w:r>
      <w:r w:rsidRPr="003614FF">
        <w:rPr>
          <w:rFonts w:ascii="Times New Roman" w:hAnsi="Times New Roman" w:cs="Times New Roman"/>
          <w:i/>
          <w:iCs/>
          <w:sz w:val="24"/>
          <w:szCs w:val="24"/>
        </w:rPr>
        <w:t>Nutrition Research Reviews</w:t>
      </w:r>
      <w:r w:rsidRPr="003614FF">
        <w:rPr>
          <w:rFonts w:ascii="Times New Roman" w:hAnsi="Times New Roman" w:cs="Times New Roman"/>
          <w:sz w:val="24"/>
          <w:szCs w:val="24"/>
        </w:rPr>
        <w:t>, 3(1), 277-303.</w:t>
      </w:r>
    </w:p>
    <w:p w14:paraId="6CD9CCA5"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McSweeney, C. S. (2001). Microbial interactions with tannins: nutritional consequences for ruminants. </w:t>
      </w:r>
      <w:r w:rsidRPr="003614FF">
        <w:rPr>
          <w:rFonts w:ascii="Times New Roman" w:hAnsi="Times New Roman" w:cs="Times New Roman"/>
          <w:i/>
          <w:iCs/>
          <w:sz w:val="24"/>
          <w:szCs w:val="24"/>
        </w:rPr>
        <w:t>Animal Feed Science and Technology</w:t>
      </w:r>
      <w:r w:rsidRPr="003614FF">
        <w:rPr>
          <w:rFonts w:ascii="Times New Roman" w:hAnsi="Times New Roman" w:cs="Times New Roman"/>
          <w:sz w:val="24"/>
          <w:szCs w:val="24"/>
        </w:rPr>
        <w:t>, 91(1-2), 83-93.</w:t>
      </w:r>
      <w:r w:rsidR="00BB78CB">
        <w:rPr>
          <w:rFonts w:ascii="Times New Roman" w:hAnsi="Times New Roman" w:cs="Times New Roman"/>
          <w:sz w:val="24"/>
          <w:szCs w:val="24"/>
        </w:rPr>
        <w:t xml:space="preserve"> </w:t>
      </w:r>
    </w:p>
    <w:p w14:paraId="713FBD83" w14:textId="7A8CBB9E" w:rsidR="003614FF" w:rsidRPr="003614FF" w:rsidRDefault="00BB78CB" w:rsidP="00A415E5">
      <w:pPr>
        <w:spacing w:after="0" w:line="240" w:lineRule="auto"/>
        <w:ind w:left="720" w:hanging="720"/>
        <w:contextualSpacing/>
        <w:jc w:val="both"/>
        <w:rPr>
          <w:rFonts w:ascii="Times New Roman" w:hAnsi="Times New Roman" w:cs="Times New Roman"/>
          <w:sz w:val="24"/>
          <w:szCs w:val="24"/>
        </w:rPr>
      </w:pPr>
      <w:r w:rsidRPr="008737A9">
        <w:rPr>
          <w:rFonts w:ascii="Times New Roman" w:hAnsi="Times New Roman" w:cs="Times New Roman"/>
          <w:sz w:val="24"/>
        </w:rPr>
        <w:t xml:space="preserve">Montagnac, J. A., Davis, C. R., and Tanumihardjo, S. A. (2009). Nutritional value of cassava for use as a staple food and recent advances for improvement. Comprehensive Reviews in Food Science and Food Safety, 8(3), 181–194. </w:t>
      </w:r>
      <w:hyperlink r:id="rId11" w:history="1">
        <w:r w:rsidRPr="008737A9">
          <w:rPr>
            <w:rStyle w:val="Hyperlink"/>
            <w:rFonts w:ascii="Times New Roman" w:hAnsi="Times New Roman" w:cs="Times New Roman"/>
            <w:sz w:val="24"/>
          </w:rPr>
          <w:t>https://doi.org/10.1111/j. 1541- 4337.2009.00077.x</w:t>
        </w:r>
      </w:hyperlink>
    </w:p>
    <w:p w14:paraId="35563583" w14:textId="2BB6AE6A"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Ndlovu, L. R.</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Sibanda, S. (1996). Potentials and limitations of browse species for ruminant production in semi-arid zones of Southern Africa. </w:t>
      </w:r>
      <w:r w:rsidRPr="003614FF">
        <w:rPr>
          <w:rFonts w:ascii="Times New Roman" w:hAnsi="Times New Roman" w:cs="Times New Roman"/>
          <w:i/>
          <w:iCs/>
          <w:sz w:val="24"/>
          <w:szCs w:val="24"/>
        </w:rPr>
        <w:t>Small Ruminant Research</w:t>
      </w:r>
      <w:r w:rsidRPr="003614FF">
        <w:rPr>
          <w:rFonts w:ascii="Times New Roman" w:hAnsi="Times New Roman" w:cs="Times New Roman"/>
          <w:sz w:val="24"/>
          <w:szCs w:val="24"/>
        </w:rPr>
        <w:t>, 21(2), 105-114.</w:t>
      </w:r>
    </w:p>
    <w:p w14:paraId="474FC439" w14:textId="72BBAE55"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Nguyen, T. H., Preston, T. R.</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Leng, R. A. (2012). Effect of cassava foliage supplementation on intake, digestibility and rumen fermentation parameters in goats. </w:t>
      </w:r>
      <w:r w:rsidRPr="003614FF">
        <w:rPr>
          <w:rFonts w:ascii="Times New Roman" w:hAnsi="Times New Roman" w:cs="Times New Roman"/>
          <w:i/>
          <w:iCs/>
          <w:sz w:val="24"/>
          <w:szCs w:val="24"/>
        </w:rPr>
        <w:t>Livestock Research for Rural Development</w:t>
      </w:r>
      <w:r w:rsidRPr="003614FF">
        <w:rPr>
          <w:rFonts w:ascii="Times New Roman" w:hAnsi="Times New Roman" w:cs="Times New Roman"/>
          <w:sz w:val="24"/>
          <w:szCs w:val="24"/>
        </w:rPr>
        <w:t>, 24(6).</w:t>
      </w:r>
    </w:p>
    <w:p w14:paraId="4268389E"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Nhassico, D. (2008). Rising cassava toxicity due to drought in Mozambique. </w:t>
      </w:r>
      <w:r w:rsidRPr="003614FF">
        <w:rPr>
          <w:rFonts w:ascii="Times New Roman" w:hAnsi="Times New Roman" w:cs="Times New Roman"/>
          <w:i/>
          <w:iCs/>
          <w:sz w:val="24"/>
          <w:szCs w:val="24"/>
        </w:rPr>
        <w:t>Food and Chemical Toxicology</w:t>
      </w:r>
      <w:r w:rsidRPr="003614FF">
        <w:rPr>
          <w:rFonts w:ascii="Times New Roman" w:hAnsi="Times New Roman" w:cs="Times New Roman"/>
          <w:sz w:val="24"/>
          <w:szCs w:val="24"/>
        </w:rPr>
        <w:t>, 46(8), 2697-2702.</w:t>
      </w:r>
      <w:r w:rsidR="00BB78CB">
        <w:rPr>
          <w:rFonts w:ascii="Times New Roman" w:hAnsi="Times New Roman" w:cs="Times New Roman"/>
          <w:sz w:val="24"/>
          <w:szCs w:val="24"/>
        </w:rPr>
        <w:t xml:space="preserve"> </w:t>
      </w:r>
    </w:p>
    <w:p w14:paraId="5A278C2E" w14:textId="3350ECCD" w:rsidR="003614FF" w:rsidRPr="003614FF" w:rsidRDefault="00BB78CB" w:rsidP="00A415E5">
      <w:pPr>
        <w:spacing w:after="0" w:line="240" w:lineRule="auto"/>
        <w:ind w:left="720" w:hanging="720"/>
        <w:contextualSpacing/>
        <w:jc w:val="both"/>
        <w:rPr>
          <w:rFonts w:ascii="Times New Roman" w:hAnsi="Times New Roman" w:cs="Times New Roman"/>
          <w:sz w:val="24"/>
          <w:szCs w:val="24"/>
        </w:rPr>
      </w:pPr>
      <w:r w:rsidRPr="008737A9">
        <w:rPr>
          <w:rFonts w:ascii="Times New Roman" w:hAnsi="Times New Roman" w:cs="Times New Roman"/>
          <w:sz w:val="24"/>
        </w:rPr>
        <w:t>Omotosho O. A., Sangodoyin A. Y. (2013). Production and utilization of cassava peel activated carbon in the treatment of effluent from the cassava processing industry. Water Practice and Technology 8:2.</w:t>
      </w:r>
    </w:p>
    <w:p w14:paraId="3A39B9DF"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Onwuka, C. F. I. (1992). Hydrocyanic acid contents of tropical browse plants and their influence on intake by West African Dwarf goats. </w:t>
      </w:r>
      <w:r w:rsidRPr="003614FF">
        <w:rPr>
          <w:rFonts w:ascii="Times New Roman" w:hAnsi="Times New Roman" w:cs="Times New Roman"/>
          <w:i/>
          <w:iCs/>
          <w:sz w:val="24"/>
          <w:szCs w:val="24"/>
        </w:rPr>
        <w:t>Small Ruminant Research</w:t>
      </w:r>
      <w:r w:rsidRPr="003614FF">
        <w:rPr>
          <w:rFonts w:ascii="Times New Roman" w:hAnsi="Times New Roman" w:cs="Times New Roman"/>
          <w:sz w:val="24"/>
          <w:szCs w:val="24"/>
        </w:rPr>
        <w:t>, 9(1), 33-41.</w:t>
      </w:r>
    </w:p>
    <w:p w14:paraId="539C6ED6" w14:textId="39FDC954"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lastRenderedPageBreak/>
        <w:t>Phengvichith, V.</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Ledin, I. (2007). Effect of feeding different levels of foliage of cassava (</w:t>
      </w:r>
      <w:r w:rsidRPr="003614FF">
        <w:rPr>
          <w:rFonts w:ascii="Times New Roman" w:hAnsi="Times New Roman" w:cs="Times New Roman"/>
          <w:i/>
          <w:iCs/>
          <w:sz w:val="24"/>
          <w:szCs w:val="24"/>
        </w:rPr>
        <w:t>Manihot esculenta</w:t>
      </w:r>
      <w:r w:rsidRPr="003614FF">
        <w:rPr>
          <w:rFonts w:ascii="Times New Roman" w:hAnsi="Times New Roman" w:cs="Times New Roman"/>
          <w:sz w:val="24"/>
          <w:szCs w:val="24"/>
        </w:rPr>
        <w:t xml:space="preserve"> Crantz) on feed intake, digestibility and growth in Lao red goats. </w:t>
      </w:r>
      <w:r w:rsidRPr="003614FF">
        <w:rPr>
          <w:rFonts w:ascii="Times New Roman" w:hAnsi="Times New Roman" w:cs="Times New Roman"/>
          <w:i/>
          <w:iCs/>
          <w:sz w:val="24"/>
          <w:szCs w:val="24"/>
        </w:rPr>
        <w:t>Small Ruminant Research</w:t>
      </w:r>
      <w:r w:rsidRPr="003614FF">
        <w:rPr>
          <w:rFonts w:ascii="Times New Roman" w:hAnsi="Times New Roman" w:cs="Times New Roman"/>
          <w:sz w:val="24"/>
          <w:szCs w:val="24"/>
        </w:rPr>
        <w:t>, 69(1-3), 116-127.</w:t>
      </w:r>
    </w:p>
    <w:p w14:paraId="3354E4E1" w14:textId="799DA250"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Preston, T. R.</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Leng, R. A. (1987). </w:t>
      </w:r>
      <w:r w:rsidRPr="003614FF">
        <w:rPr>
          <w:rFonts w:ascii="Times New Roman" w:hAnsi="Times New Roman" w:cs="Times New Roman"/>
          <w:i/>
          <w:iCs/>
          <w:sz w:val="24"/>
          <w:szCs w:val="24"/>
        </w:rPr>
        <w:t>Matching Ruminant Production Systems with Available Resources in the Tropics and Subtropics</w:t>
      </w:r>
      <w:r w:rsidRPr="003614FF">
        <w:rPr>
          <w:rFonts w:ascii="Times New Roman" w:hAnsi="Times New Roman" w:cs="Times New Roman"/>
          <w:sz w:val="24"/>
          <w:szCs w:val="24"/>
        </w:rPr>
        <w:t>. Penambul Books, Armidale, Australia.</w:t>
      </w:r>
    </w:p>
    <w:p w14:paraId="5ADD5D1C"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Ravindran, V. (1993). Cassava leaves as animal feed: Potential and limitations. </w:t>
      </w:r>
      <w:r w:rsidRPr="003614FF">
        <w:rPr>
          <w:rFonts w:ascii="Times New Roman" w:hAnsi="Times New Roman" w:cs="Times New Roman"/>
          <w:i/>
          <w:iCs/>
          <w:sz w:val="24"/>
          <w:szCs w:val="24"/>
        </w:rPr>
        <w:t>Journal of the Science of Food and Agriculture</w:t>
      </w:r>
      <w:r w:rsidRPr="003614FF">
        <w:rPr>
          <w:rFonts w:ascii="Times New Roman" w:hAnsi="Times New Roman" w:cs="Times New Roman"/>
          <w:sz w:val="24"/>
          <w:szCs w:val="24"/>
        </w:rPr>
        <w:t>, 61(2), 141-150.</w:t>
      </w:r>
    </w:p>
    <w:p w14:paraId="7949DF0C"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Ravindran, V. (1995). Phytate and cyanogenic glycosides in cassava products. </w:t>
      </w:r>
      <w:r w:rsidRPr="003614FF">
        <w:rPr>
          <w:rFonts w:ascii="Times New Roman" w:hAnsi="Times New Roman" w:cs="Times New Roman"/>
          <w:i/>
          <w:iCs/>
          <w:sz w:val="24"/>
          <w:szCs w:val="24"/>
        </w:rPr>
        <w:t>Animal Feed Science and Technology</w:t>
      </w:r>
      <w:r w:rsidRPr="003614FF">
        <w:rPr>
          <w:rFonts w:ascii="Times New Roman" w:hAnsi="Times New Roman" w:cs="Times New Roman"/>
          <w:sz w:val="24"/>
          <w:szCs w:val="24"/>
        </w:rPr>
        <w:t>, 54, 315-325.</w:t>
      </w:r>
    </w:p>
    <w:p w14:paraId="21FED46F" w14:textId="425E412B" w:rsidR="003614FF" w:rsidRPr="003614FF" w:rsidRDefault="00906537" w:rsidP="00A415E5">
      <w:pPr>
        <w:spacing w:after="0" w:line="24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RBM,</w:t>
      </w:r>
      <w:r w:rsidR="003614FF" w:rsidRPr="003614FF">
        <w:rPr>
          <w:rFonts w:ascii="Times New Roman" w:hAnsi="Times New Roman" w:cs="Times New Roman"/>
          <w:sz w:val="24"/>
          <w:szCs w:val="24"/>
        </w:rPr>
        <w:t xml:space="preserve"> (2020).</w:t>
      </w:r>
      <w:r>
        <w:rPr>
          <w:rFonts w:ascii="Times New Roman" w:hAnsi="Times New Roman" w:cs="Times New Roman"/>
          <w:sz w:val="24"/>
          <w:szCs w:val="24"/>
        </w:rPr>
        <w:t xml:space="preserve"> Réseau Billital Maroobé.</w:t>
      </w:r>
      <w:r w:rsidR="003614FF" w:rsidRPr="003614FF">
        <w:rPr>
          <w:rFonts w:ascii="Times New Roman" w:hAnsi="Times New Roman" w:cs="Times New Roman"/>
          <w:sz w:val="24"/>
          <w:szCs w:val="24"/>
        </w:rPr>
        <w:t xml:space="preserve"> </w:t>
      </w:r>
      <w:r w:rsidR="003614FF" w:rsidRPr="00906537">
        <w:rPr>
          <w:rFonts w:ascii="Times New Roman" w:hAnsi="Times New Roman" w:cs="Times New Roman"/>
          <w:iCs/>
          <w:sz w:val="24"/>
          <w:szCs w:val="24"/>
        </w:rPr>
        <w:t>Rapport d'évaluation de la campagne pastorale et de la vulnérabilité des ménages élevés au Sahel</w:t>
      </w:r>
      <w:r>
        <w:rPr>
          <w:rFonts w:ascii="Times New Roman" w:hAnsi="Times New Roman" w:cs="Times New Roman"/>
          <w:sz w:val="24"/>
          <w:szCs w:val="24"/>
        </w:rPr>
        <w:t>,</w:t>
      </w:r>
      <w:r w:rsidR="003614FF" w:rsidRPr="003614FF">
        <w:rPr>
          <w:rFonts w:ascii="Times New Roman" w:hAnsi="Times New Roman" w:cs="Times New Roman"/>
          <w:sz w:val="24"/>
          <w:szCs w:val="24"/>
        </w:rPr>
        <w:t xml:space="preserve"> Niamey, Niger.</w:t>
      </w:r>
    </w:p>
    <w:p w14:paraId="48287094" w14:textId="642C1F25"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Sanon, H. O., Kaboré-Zoungrana, C.</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Ledin, I. (2008). Edible browse species used by sheep and goats in Sahelian West Africa. </w:t>
      </w:r>
      <w:r w:rsidRPr="003614FF">
        <w:rPr>
          <w:rFonts w:ascii="Times New Roman" w:hAnsi="Times New Roman" w:cs="Times New Roman"/>
          <w:i/>
          <w:iCs/>
          <w:sz w:val="24"/>
          <w:szCs w:val="24"/>
        </w:rPr>
        <w:t>Livestock Research for Rural Development</w:t>
      </w:r>
      <w:r w:rsidRPr="003614FF">
        <w:rPr>
          <w:rFonts w:ascii="Times New Roman" w:hAnsi="Times New Roman" w:cs="Times New Roman"/>
          <w:sz w:val="24"/>
          <w:szCs w:val="24"/>
        </w:rPr>
        <w:t>, 20(8).</w:t>
      </w:r>
    </w:p>
    <w:p w14:paraId="5273B7D4" w14:textId="77777777"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Smith, O. B. (1992). Fodder trees and shrubs in range and farming systems in tropical Africa. In </w:t>
      </w:r>
      <w:r w:rsidRPr="003614FF">
        <w:rPr>
          <w:rFonts w:ascii="Times New Roman" w:hAnsi="Times New Roman" w:cs="Times New Roman"/>
          <w:i/>
          <w:iCs/>
          <w:sz w:val="24"/>
          <w:szCs w:val="24"/>
        </w:rPr>
        <w:t>Legume Trees and Other Fodder Trees as Protein Sources for Ruminants</w:t>
      </w:r>
      <w:r w:rsidRPr="003614FF">
        <w:rPr>
          <w:rFonts w:ascii="Times New Roman" w:hAnsi="Times New Roman" w:cs="Times New Roman"/>
          <w:sz w:val="24"/>
          <w:szCs w:val="24"/>
        </w:rPr>
        <w:t xml:space="preserve"> (pp. 43-59). FAO, Rome.</w:t>
      </w:r>
    </w:p>
    <w:p w14:paraId="139A134B"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Toutain, B. (2012). Gestion des parcou</w:t>
      </w:r>
      <w:r w:rsidR="002D7006">
        <w:rPr>
          <w:rFonts w:ascii="Times New Roman" w:hAnsi="Times New Roman" w:cs="Times New Roman"/>
          <w:sz w:val="24"/>
          <w:szCs w:val="24"/>
        </w:rPr>
        <w:t>rs pastoraux en zone sahélienne</w:t>
      </w:r>
      <w:r w:rsidRPr="003614FF">
        <w:rPr>
          <w:rFonts w:ascii="Times New Roman" w:hAnsi="Times New Roman" w:cs="Times New Roman"/>
          <w:sz w:val="24"/>
          <w:szCs w:val="24"/>
        </w:rPr>
        <w:t xml:space="preserve">: contraintes et perspectives. </w:t>
      </w:r>
      <w:r w:rsidRPr="003614FF">
        <w:rPr>
          <w:rFonts w:ascii="Times New Roman" w:hAnsi="Times New Roman" w:cs="Times New Roman"/>
          <w:i/>
          <w:iCs/>
          <w:sz w:val="24"/>
          <w:szCs w:val="24"/>
        </w:rPr>
        <w:t>Cahiers Agricultures</w:t>
      </w:r>
      <w:r w:rsidRPr="003614FF">
        <w:rPr>
          <w:rFonts w:ascii="Times New Roman" w:hAnsi="Times New Roman" w:cs="Times New Roman"/>
          <w:sz w:val="24"/>
          <w:szCs w:val="24"/>
        </w:rPr>
        <w:t>, 21(2), 112-120.</w:t>
      </w:r>
    </w:p>
    <w:p w14:paraId="5499C1ED" w14:textId="77777777" w:rsidR="00BB78CB"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 xml:space="preserve">Wanapat, M. (2003). Manipulation of cassava foliage and banana leaves for ruminant feeding. </w:t>
      </w:r>
      <w:r w:rsidRPr="003614FF">
        <w:rPr>
          <w:rFonts w:ascii="Times New Roman" w:hAnsi="Times New Roman" w:cs="Times New Roman"/>
          <w:i/>
          <w:iCs/>
          <w:sz w:val="24"/>
          <w:szCs w:val="24"/>
        </w:rPr>
        <w:t>Asian-Australasian Journal of Animal Sciences</w:t>
      </w:r>
      <w:r w:rsidRPr="003614FF">
        <w:rPr>
          <w:rFonts w:ascii="Times New Roman" w:hAnsi="Times New Roman" w:cs="Times New Roman"/>
          <w:sz w:val="24"/>
          <w:szCs w:val="24"/>
        </w:rPr>
        <w:t>, 16(3), 463-472.</w:t>
      </w:r>
      <w:r w:rsidR="00BB78CB">
        <w:rPr>
          <w:rFonts w:ascii="Times New Roman" w:hAnsi="Times New Roman" w:cs="Times New Roman"/>
          <w:sz w:val="24"/>
          <w:szCs w:val="24"/>
        </w:rPr>
        <w:t xml:space="preserve"> </w:t>
      </w:r>
    </w:p>
    <w:p w14:paraId="176C8517" w14:textId="29B17FBC" w:rsidR="00BB78CB" w:rsidRPr="00BB78CB" w:rsidRDefault="00BB78CB" w:rsidP="00A415E5">
      <w:pPr>
        <w:spacing w:after="0" w:line="240" w:lineRule="auto"/>
        <w:ind w:left="720" w:hanging="720"/>
        <w:contextualSpacing/>
        <w:jc w:val="both"/>
        <w:rPr>
          <w:rFonts w:ascii="Times New Roman" w:hAnsi="Times New Roman" w:cs="Times New Roman"/>
          <w:sz w:val="24"/>
          <w:szCs w:val="24"/>
        </w:rPr>
      </w:pPr>
      <w:r w:rsidRPr="008737A9">
        <w:rPr>
          <w:rFonts w:ascii="Times New Roman" w:hAnsi="Times New Roman" w:cs="Times New Roman"/>
          <w:sz w:val="24"/>
        </w:rPr>
        <w:t>Wanapat, M. and Kang, S. (2013). Enriching the Nutritive Value of Cassava as Feed to Increase Ruminant Productivity, Journal of Nutritional Ecology and Food Research 1(4)</w:t>
      </w:r>
    </w:p>
    <w:p w14:paraId="7C86DA3B" w14:textId="6F747374" w:rsidR="003614FF" w:rsidRPr="003614FF" w:rsidRDefault="003614FF" w:rsidP="00A415E5">
      <w:pPr>
        <w:spacing w:after="0" w:line="240" w:lineRule="auto"/>
        <w:ind w:left="720" w:hanging="720"/>
        <w:contextualSpacing/>
        <w:jc w:val="both"/>
        <w:rPr>
          <w:rFonts w:ascii="Times New Roman" w:hAnsi="Times New Roman" w:cs="Times New Roman"/>
          <w:sz w:val="24"/>
          <w:szCs w:val="24"/>
        </w:rPr>
      </w:pPr>
      <w:r w:rsidRPr="003614FF">
        <w:rPr>
          <w:rFonts w:ascii="Times New Roman" w:hAnsi="Times New Roman" w:cs="Times New Roman"/>
          <w:sz w:val="24"/>
          <w:szCs w:val="24"/>
        </w:rPr>
        <w:t>Zahraddeen, D., Butswat, I. S. R.</w:t>
      </w:r>
      <w:r w:rsidR="00906537">
        <w:rPr>
          <w:rFonts w:ascii="Times New Roman" w:hAnsi="Times New Roman" w:cs="Times New Roman"/>
          <w:sz w:val="24"/>
          <w:szCs w:val="24"/>
        </w:rPr>
        <w:t xml:space="preserve"> and</w:t>
      </w:r>
      <w:r w:rsidRPr="003614FF">
        <w:rPr>
          <w:rFonts w:ascii="Times New Roman" w:hAnsi="Times New Roman" w:cs="Times New Roman"/>
          <w:sz w:val="24"/>
          <w:szCs w:val="24"/>
        </w:rPr>
        <w:t xml:space="preserve"> Mbap, S. T. (2011). Evaluation of some factors affecting growth performance of Sahelian goats in sub-arid zone of Nigeria. </w:t>
      </w:r>
      <w:r w:rsidRPr="003614FF">
        <w:rPr>
          <w:rFonts w:ascii="Times New Roman" w:hAnsi="Times New Roman" w:cs="Times New Roman"/>
          <w:i/>
          <w:iCs/>
          <w:sz w:val="24"/>
          <w:szCs w:val="24"/>
        </w:rPr>
        <w:t>International Journal of Agronomy and Agricultural Research</w:t>
      </w:r>
      <w:r w:rsidRPr="003614FF">
        <w:rPr>
          <w:rFonts w:ascii="Times New Roman" w:hAnsi="Times New Roman" w:cs="Times New Roman"/>
          <w:sz w:val="24"/>
          <w:szCs w:val="24"/>
        </w:rPr>
        <w:t>, 1(1), 16-26.</w:t>
      </w:r>
    </w:p>
    <w:p w14:paraId="3AB1A377" w14:textId="77777777" w:rsidR="00115D9B" w:rsidRDefault="00115D9B" w:rsidP="00A415E5">
      <w:pPr>
        <w:spacing w:after="120" w:line="240" w:lineRule="auto"/>
        <w:ind w:hanging="720"/>
        <w:contextualSpacing/>
        <w:jc w:val="both"/>
        <w:rPr>
          <w:rFonts w:ascii="Times New Roman" w:hAnsi="Times New Roman" w:cs="Times New Roman"/>
          <w:sz w:val="24"/>
          <w:szCs w:val="24"/>
        </w:rPr>
      </w:pPr>
    </w:p>
    <w:p w14:paraId="16B4B093" w14:textId="77777777" w:rsidR="00B26887" w:rsidRDefault="00B26887" w:rsidP="00A415E5">
      <w:pPr>
        <w:spacing w:after="120" w:line="240" w:lineRule="auto"/>
        <w:ind w:hanging="720"/>
        <w:contextualSpacing/>
        <w:jc w:val="both"/>
        <w:rPr>
          <w:rFonts w:ascii="Times New Roman" w:hAnsi="Times New Roman" w:cs="Times New Roman"/>
          <w:sz w:val="24"/>
          <w:szCs w:val="24"/>
        </w:rPr>
      </w:pPr>
    </w:p>
    <w:p w14:paraId="2CE6B765" w14:textId="77777777" w:rsidR="00B26887" w:rsidRDefault="00B26887" w:rsidP="00A415E5">
      <w:pPr>
        <w:spacing w:after="120" w:line="240" w:lineRule="auto"/>
        <w:ind w:hanging="720"/>
        <w:contextualSpacing/>
        <w:jc w:val="both"/>
        <w:rPr>
          <w:rFonts w:ascii="Times New Roman" w:hAnsi="Times New Roman" w:cs="Times New Roman"/>
          <w:sz w:val="24"/>
          <w:szCs w:val="24"/>
        </w:rPr>
      </w:pPr>
    </w:p>
    <w:p w14:paraId="0934ED2D" w14:textId="0735128B" w:rsidR="00B26887" w:rsidRPr="008737A9" w:rsidRDefault="00B26887" w:rsidP="00A415E5">
      <w:pPr>
        <w:ind w:left="720" w:hanging="720"/>
        <w:contextualSpacing/>
        <w:jc w:val="both"/>
        <w:rPr>
          <w:rFonts w:ascii="Times New Roman" w:hAnsi="Times New Roman" w:cs="Times New Roman"/>
          <w:sz w:val="24"/>
        </w:rPr>
      </w:pPr>
    </w:p>
    <w:p w14:paraId="06A5E918" w14:textId="44F1E2EB" w:rsidR="00B26887" w:rsidRDefault="00B26887" w:rsidP="00A415E5">
      <w:pPr>
        <w:ind w:left="720" w:hanging="720"/>
        <w:contextualSpacing/>
        <w:jc w:val="both"/>
        <w:rPr>
          <w:rFonts w:ascii="Times New Roman" w:hAnsi="Times New Roman" w:cs="Times New Roman"/>
          <w:sz w:val="24"/>
        </w:rPr>
      </w:pPr>
    </w:p>
    <w:sectPr w:rsidR="00B2688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harmendra Kumar" w:date="2026-09-16T06:34:00Z" w:initials="DK">
    <w:p w14:paraId="1A30F09A" w14:textId="77777777" w:rsidR="00A0436E" w:rsidRDefault="00A0436E" w:rsidP="00A0436E">
      <w:pPr>
        <w:pStyle w:val="CommentText"/>
      </w:pPr>
      <w:r>
        <w:rPr>
          <w:rStyle w:val="CommentReference"/>
        </w:rPr>
        <w:annotationRef/>
      </w:r>
      <w:r>
        <w:t>Change the language</w:t>
      </w:r>
    </w:p>
  </w:comment>
  <w:comment w:id="1" w:author="Dharmendra Kumar" w:date="2026-09-16T06:39:00Z" w:initials="DK">
    <w:p w14:paraId="29EB2C79" w14:textId="77777777" w:rsidR="00074B97" w:rsidRDefault="00074B97" w:rsidP="00074B97">
      <w:pPr>
        <w:pStyle w:val="CommentText"/>
      </w:pPr>
      <w:r>
        <w:rPr>
          <w:rStyle w:val="CommentReference"/>
        </w:rPr>
        <w:annotationRef/>
      </w:r>
      <w:r>
        <w:t>Mention the cost of DCL taken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30F09A" w15:done="0"/>
  <w15:commentEx w15:paraId="29EB2C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D421ED" w16cex:dateUtc="2026-09-16T01:04:00Z"/>
  <w16cex:commentExtensible w16cex:durableId="1B507714" w16cex:dateUtc="2026-09-16T0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30F09A" w16cid:durableId="64D421ED"/>
  <w16cid:commentId w16cid:paraId="29EB2C79" w16cid:durableId="1B5077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DF6E4" w14:textId="77777777" w:rsidR="00FB45A7" w:rsidRDefault="00FB45A7" w:rsidP="00723E01">
      <w:pPr>
        <w:spacing w:after="0" w:line="240" w:lineRule="auto"/>
      </w:pPr>
      <w:r>
        <w:separator/>
      </w:r>
    </w:p>
  </w:endnote>
  <w:endnote w:type="continuationSeparator" w:id="0">
    <w:p w14:paraId="117440BB" w14:textId="77777777" w:rsidR="00FB45A7" w:rsidRDefault="00FB45A7" w:rsidP="00723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FCE4" w14:textId="77777777" w:rsidR="001842BB" w:rsidRDefault="001842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fr-FR"/>
      </w:rPr>
      <w:id w:val="-993484939"/>
      <w:docPartObj>
        <w:docPartGallery w:val="Page Numbers (Bottom of Page)"/>
        <w:docPartUnique/>
      </w:docPartObj>
    </w:sdtPr>
    <w:sdtContent>
      <w:p w14:paraId="25E9509D" w14:textId="38699A01" w:rsidR="00723E01" w:rsidRDefault="00723E01">
        <w:pPr>
          <w:pStyle w:val="Footer"/>
          <w:jc w:val="right"/>
        </w:pPr>
        <w:r>
          <w:rPr>
            <w:lang w:val="fr-FR"/>
          </w:rPr>
          <w:t xml:space="preserve">Page | </w:t>
        </w:r>
        <w:r>
          <w:fldChar w:fldCharType="begin"/>
        </w:r>
        <w:r>
          <w:instrText>PAGE   \* MERGEFORMAT</w:instrText>
        </w:r>
        <w:r>
          <w:fldChar w:fldCharType="separate"/>
        </w:r>
        <w:r w:rsidR="00964423" w:rsidRPr="00964423">
          <w:rPr>
            <w:noProof/>
            <w:lang w:val="fr-FR"/>
          </w:rPr>
          <w:t>13</w:t>
        </w:r>
        <w:r>
          <w:fldChar w:fldCharType="end"/>
        </w:r>
        <w:r>
          <w:rPr>
            <w:lang w:val="fr-FR"/>
          </w:rPr>
          <w:t xml:space="preserve"> </w:t>
        </w:r>
      </w:p>
    </w:sdtContent>
  </w:sdt>
  <w:p w14:paraId="2828C71B" w14:textId="77777777" w:rsidR="00723E01" w:rsidRDefault="00723E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66F5" w14:textId="77777777" w:rsidR="001842BB" w:rsidRDefault="00184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A0D85" w14:textId="77777777" w:rsidR="00FB45A7" w:rsidRDefault="00FB45A7" w:rsidP="00723E01">
      <w:pPr>
        <w:spacing w:after="0" w:line="240" w:lineRule="auto"/>
      </w:pPr>
      <w:r>
        <w:separator/>
      </w:r>
    </w:p>
  </w:footnote>
  <w:footnote w:type="continuationSeparator" w:id="0">
    <w:p w14:paraId="145C7548" w14:textId="77777777" w:rsidR="00FB45A7" w:rsidRDefault="00FB45A7" w:rsidP="00723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8E3F" w14:textId="68A74ABB" w:rsidR="001842BB" w:rsidRDefault="00000000">
    <w:pPr>
      <w:pStyle w:val="Header"/>
    </w:pPr>
    <w:r>
      <w:rPr>
        <w:noProof/>
      </w:rPr>
      <w:pict w14:anchorId="36DD73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28063"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EFF6" w14:textId="63FBC79F" w:rsidR="001842BB" w:rsidRDefault="00000000">
    <w:pPr>
      <w:pStyle w:val="Header"/>
    </w:pPr>
    <w:r>
      <w:rPr>
        <w:noProof/>
      </w:rPr>
      <w:pict w14:anchorId="6755DC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28064"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CD793" w14:textId="636A427C" w:rsidR="001842BB" w:rsidRDefault="00000000">
    <w:pPr>
      <w:pStyle w:val="Header"/>
    </w:pPr>
    <w:r>
      <w:rPr>
        <w:noProof/>
      </w:rPr>
      <w:pict w14:anchorId="34E229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928062"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205"/>
    <w:multiLevelType w:val="multilevel"/>
    <w:tmpl w:val="F342DC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53577DF"/>
    <w:multiLevelType w:val="multilevel"/>
    <w:tmpl w:val="D0307C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D4A6209"/>
    <w:multiLevelType w:val="multilevel"/>
    <w:tmpl w:val="5DCE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72567"/>
    <w:multiLevelType w:val="multilevel"/>
    <w:tmpl w:val="1BE0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994015"/>
    <w:multiLevelType w:val="multilevel"/>
    <w:tmpl w:val="6EBEF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7946B6"/>
    <w:multiLevelType w:val="multilevel"/>
    <w:tmpl w:val="FE80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254827"/>
    <w:multiLevelType w:val="multilevel"/>
    <w:tmpl w:val="68DC5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9A79F8"/>
    <w:multiLevelType w:val="multilevel"/>
    <w:tmpl w:val="C7E6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E07EAD"/>
    <w:multiLevelType w:val="multilevel"/>
    <w:tmpl w:val="2B6E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071676">
    <w:abstractNumId w:val="0"/>
  </w:num>
  <w:num w:numId="2" w16cid:durableId="1859808388">
    <w:abstractNumId w:val="7"/>
  </w:num>
  <w:num w:numId="3" w16cid:durableId="842088264">
    <w:abstractNumId w:val="2"/>
  </w:num>
  <w:num w:numId="4" w16cid:durableId="1885826258">
    <w:abstractNumId w:val="1"/>
  </w:num>
  <w:num w:numId="5" w16cid:durableId="1375303055">
    <w:abstractNumId w:val="6"/>
  </w:num>
  <w:num w:numId="6" w16cid:durableId="1772771745">
    <w:abstractNumId w:val="3"/>
  </w:num>
  <w:num w:numId="7" w16cid:durableId="1190875362">
    <w:abstractNumId w:val="4"/>
  </w:num>
  <w:num w:numId="8" w16cid:durableId="850265195">
    <w:abstractNumId w:val="8"/>
  </w:num>
  <w:num w:numId="9" w16cid:durableId="117731210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harmendra Kumar">
    <w15:presenceInfo w15:providerId="Windows Live" w15:userId="e31033d8d372e5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4FF"/>
    <w:rsid w:val="00074B97"/>
    <w:rsid w:val="000A5F05"/>
    <w:rsid w:val="00115D9B"/>
    <w:rsid w:val="001506DE"/>
    <w:rsid w:val="001842BB"/>
    <w:rsid w:val="001A4782"/>
    <w:rsid w:val="00237B32"/>
    <w:rsid w:val="002D7006"/>
    <w:rsid w:val="002E43E3"/>
    <w:rsid w:val="003578B6"/>
    <w:rsid w:val="003614FF"/>
    <w:rsid w:val="00361A93"/>
    <w:rsid w:val="00390F3F"/>
    <w:rsid w:val="003966F8"/>
    <w:rsid w:val="00403BCE"/>
    <w:rsid w:val="005B26FE"/>
    <w:rsid w:val="0060744C"/>
    <w:rsid w:val="006A3642"/>
    <w:rsid w:val="006B0227"/>
    <w:rsid w:val="00713DD5"/>
    <w:rsid w:val="00723E01"/>
    <w:rsid w:val="00750598"/>
    <w:rsid w:val="007C7D50"/>
    <w:rsid w:val="008974A2"/>
    <w:rsid w:val="00906537"/>
    <w:rsid w:val="00911341"/>
    <w:rsid w:val="00964423"/>
    <w:rsid w:val="00993315"/>
    <w:rsid w:val="009A2163"/>
    <w:rsid w:val="00A0436E"/>
    <w:rsid w:val="00A415E5"/>
    <w:rsid w:val="00A871EA"/>
    <w:rsid w:val="00AC03A4"/>
    <w:rsid w:val="00AC2967"/>
    <w:rsid w:val="00AC4FEA"/>
    <w:rsid w:val="00B26887"/>
    <w:rsid w:val="00B725B5"/>
    <w:rsid w:val="00BB78CB"/>
    <w:rsid w:val="00BC0BF7"/>
    <w:rsid w:val="00BD77CF"/>
    <w:rsid w:val="00C740F6"/>
    <w:rsid w:val="00CF4C4F"/>
    <w:rsid w:val="00D04871"/>
    <w:rsid w:val="00D85A24"/>
    <w:rsid w:val="00E74046"/>
    <w:rsid w:val="00FA316B"/>
    <w:rsid w:val="00FB45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2DFD6"/>
  <w15:chartTrackingRefBased/>
  <w15:docId w15:val="{61974034-730E-43D4-B49E-10561DE57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4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4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4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4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4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4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4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4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4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4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4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4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4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4FF"/>
    <w:rPr>
      <w:rFonts w:eastAsiaTheme="majorEastAsia" w:cstheme="majorBidi"/>
      <w:color w:val="272727" w:themeColor="text1" w:themeTint="D8"/>
    </w:rPr>
  </w:style>
  <w:style w:type="paragraph" w:styleId="Title">
    <w:name w:val="Title"/>
    <w:basedOn w:val="Normal"/>
    <w:next w:val="Normal"/>
    <w:link w:val="TitleChar"/>
    <w:uiPriority w:val="10"/>
    <w:qFormat/>
    <w:rsid w:val="00361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4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4FF"/>
    <w:pPr>
      <w:spacing w:before="160"/>
      <w:jc w:val="center"/>
    </w:pPr>
    <w:rPr>
      <w:i/>
      <w:iCs/>
      <w:color w:val="404040" w:themeColor="text1" w:themeTint="BF"/>
    </w:rPr>
  </w:style>
  <w:style w:type="character" w:customStyle="1" w:styleId="QuoteChar">
    <w:name w:val="Quote Char"/>
    <w:basedOn w:val="DefaultParagraphFont"/>
    <w:link w:val="Quote"/>
    <w:uiPriority w:val="29"/>
    <w:rsid w:val="003614FF"/>
    <w:rPr>
      <w:i/>
      <w:iCs/>
      <w:color w:val="404040" w:themeColor="text1" w:themeTint="BF"/>
    </w:rPr>
  </w:style>
  <w:style w:type="paragraph" w:styleId="ListParagraph">
    <w:name w:val="List Paragraph"/>
    <w:basedOn w:val="Normal"/>
    <w:uiPriority w:val="34"/>
    <w:qFormat/>
    <w:rsid w:val="003614FF"/>
    <w:pPr>
      <w:ind w:left="720"/>
      <w:contextualSpacing/>
    </w:pPr>
  </w:style>
  <w:style w:type="character" w:styleId="IntenseEmphasis">
    <w:name w:val="Intense Emphasis"/>
    <w:basedOn w:val="DefaultParagraphFont"/>
    <w:uiPriority w:val="21"/>
    <w:qFormat/>
    <w:rsid w:val="003614FF"/>
    <w:rPr>
      <w:i/>
      <w:iCs/>
      <w:color w:val="0F4761" w:themeColor="accent1" w:themeShade="BF"/>
    </w:rPr>
  </w:style>
  <w:style w:type="paragraph" w:styleId="IntenseQuote">
    <w:name w:val="Intense Quote"/>
    <w:basedOn w:val="Normal"/>
    <w:next w:val="Normal"/>
    <w:link w:val="IntenseQuoteChar"/>
    <w:uiPriority w:val="30"/>
    <w:qFormat/>
    <w:rsid w:val="00361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4FF"/>
    <w:rPr>
      <w:i/>
      <w:iCs/>
      <w:color w:val="0F4761" w:themeColor="accent1" w:themeShade="BF"/>
    </w:rPr>
  </w:style>
  <w:style w:type="character" w:styleId="IntenseReference">
    <w:name w:val="Intense Reference"/>
    <w:basedOn w:val="DefaultParagraphFont"/>
    <w:uiPriority w:val="32"/>
    <w:qFormat/>
    <w:rsid w:val="003614FF"/>
    <w:rPr>
      <w:b/>
      <w:bCs/>
      <w:smallCaps/>
      <w:color w:val="0F4761" w:themeColor="accent1" w:themeShade="BF"/>
      <w:spacing w:val="5"/>
    </w:rPr>
  </w:style>
  <w:style w:type="character" w:styleId="Hyperlink">
    <w:name w:val="Hyperlink"/>
    <w:basedOn w:val="DefaultParagraphFont"/>
    <w:uiPriority w:val="99"/>
    <w:unhideWhenUsed/>
    <w:rsid w:val="003614FF"/>
    <w:rPr>
      <w:color w:val="467886" w:themeColor="hyperlink"/>
      <w:u w:val="single"/>
    </w:rPr>
  </w:style>
  <w:style w:type="character" w:customStyle="1" w:styleId="UnresolvedMention1">
    <w:name w:val="Unresolved Mention1"/>
    <w:basedOn w:val="DefaultParagraphFont"/>
    <w:uiPriority w:val="99"/>
    <w:semiHidden/>
    <w:unhideWhenUsed/>
    <w:rsid w:val="003614FF"/>
    <w:rPr>
      <w:color w:val="605E5C"/>
      <w:shd w:val="clear" w:color="auto" w:fill="E1DFDD"/>
    </w:rPr>
  </w:style>
  <w:style w:type="paragraph" w:styleId="Header">
    <w:name w:val="header"/>
    <w:basedOn w:val="Normal"/>
    <w:link w:val="HeaderChar"/>
    <w:uiPriority w:val="99"/>
    <w:unhideWhenUsed/>
    <w:rsid w:val="00723E01"/>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3E01"/>
  </w:style>
  <w:style w:type="paragraph" w:styleId="Footer">
    <w:name w:val="footer"/>
    <w:basedOn w:val="Normal"/>
    <w:link w:val="FooterChar"/>
    <w:uiPriority w:val="99"/>
    <w:unhideWhenUsed/>
    <w:rsid w:val="00723E01"/>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3E01"/>
  </w:style>
  <w:style w:type="table" w:styleId="TableGridLight">
    <w:name w:val="Grid Table Light"/>
    <w:basedOn w:val="TableNormal"/>
    <w:uiPriority w:val="40"/>
    <w:rsid w:val="00723E0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B725B5"/>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AC2967"/>
    <w:rPr>
      <w:color w:val="605E5C"/>
      <w:shd w:val="clear" w:color="auto" w:fill="E1DFDD"/>
    </w:rPr>
  </w:style>
  <w:style w:type="character" w:styleId="CommentReference">
    <w:name w:val="annotation reference"/>
    <w:basedOn w:val="DefaultParagraphFont"/>
    <w:uiPriority w:val="99"/>
    <w:semiHidden/>
    <w:unhideWhenUsed/>
    <w:rsid w:val="00A0436E"/>
    <w:rPr>
      <w:sz w:val="16"/>
      <w:szCs w:val="16"/>
    </w:rPr>
  </w:style>
  <w:style w:type="paragraph" w:styleId="CommentText">
    <w:name w:val="annotation text"/>
    <w:basedOn w:val="Normal"/>
    <w:link w:val="CommentTextChar"/>
    <w:uiPriority w:val="99"/>
    <w:unhideWhenUsed/>
    <w:rsid w:val="00A0436E"/>
    <w:pPr>
      <w:spacing w:line="240" w:lineRule="auto"/>
    </w:pPr>
    <w:rPr>
      <w:sz w:val="20"/>
      <w:szCs w:val="20"/>
    </w:rPr>
  </w:style>
  <w:style w:type="character" w:customStyle="1" w:styleId="CommentTextChar">
    <w:name w:val="Comment Text Char"/>
    <w:basedOn w:val="DefaultParagraphFont"/>
    <w:link w:val="CommentText"/>
    <w:uiPriority w:val="99"/>
    <w:rsid w:val="00A0436E"/>
    <w:rPr>
      <w:sz w:val="20"/>
      <w:szCs w:val="20"/>
    </w:rPr>
  </w:style>
  <w:style w:type="paragraph" w:styleId="CommentSubject">
    <w:name w:val="annotation subject"/>
    <w:basedOn w:val="CommentText"/>
    <w:next w:val="CommentText"/>
    <w:link w:val="CommentSubjectChar"/>
    <w:uiPriority w:val="99"/>
    <w:semiHidden/>
    <w:unhideWhenUsed/>
    <w:rsid w:val="00A0436E"/>
    <w:rPr>
      <w:b/>
      <w:bCs/>
    </w:rPr>
  </w:style>
  <w:style w:type="character" w:customStyle="1" w:styleId="CommentSubjectChar">
    <w:name w:val="Comment Subject Char"/>
    <w:basedOn w:val="CommentTextChar"/>
    <w:link w:val="CommentSubject"/>
    <w:uiPriority w:val="99"/>
    <w:semiHidden/>
    <w:rsid w:val="00A043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201541-%204337.2009.00077.x" TargetMode="External"/><Relationship Id="rId5" Type="http://schemas.openxmlformats.org/officeDocument/2006/relationships/footnotes" Target="footnotes.xml"/><Relationship Id="rId15" Type="http://schemas.openxmlformats.org/officeDocument/2006/relationships/footer" Target="footer2.xm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12</Pages>
  <Words>3831</Words>
  <Characters>21841</Characters>
  <Application>Microsoft Office Word</Application>
  <DocSecurity>0</DocSecurity>
  <Lines>182</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Nourou Ado</dc:creator>
  <cp:keywords/>
  <dc:description/>
  <cp:lastModifiedBy>Dharmendra Kumar</cp:lastModifiedBy>
  <cp:revision>19</cp:revision>
  <dcterms:created xsi:type="dcterms:W3CDTF">2026-09-15T05:58:00Z</dcterms:created>
  <dcterms:modified xsi:type="dcterms:W3CDTF">2026-09-16T01:09:00Z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3a108f-898d-4589-9ebc-7ee3b46df9b8_Enabled">
    <vt:lpwstr>true</vt:lpwstr>
  </property>
  <property fmtid="{D5CDD505-2E9C-101B-9397-08002B2CF9AE}" pid="3" name="MSIP_Label_2a3a108f-898d-4589-9ebc-7ee3b46df9b8_SetDate">
    <vt:lpwstr>2026-09-15T05:58:21Z</vt:lpwstr>
  </property>
  <property fmtid="{D5CDD505-2E9C-101B-9397-08002B2CF9AE}" pid="4" name="MSIP_Label_2a3a108f-898d-4589-9ebc-7ee3b46df9b8_Method">
    <vt:lpwstr>Standard</vt:lpwstr>
  </property>
  <property fmtid="{D5CDD505-2E9C-101B-9397-08002B2CF9AE}" pid="5" name="MSIP_Label_2a3a108f-898d-4589-9ebc-7ee3b46df9b8_Name">
    <vt:lpwstr>Official use only</vt:lpwstr>
  </property>
  <property fmtid="{D5CDD505-2E9C-101B-9397-08002B2CF9AE}" pid="6" name="MSIP_Label_2a3a108f-898d-4589-9ebc-7ee3b46df9b8_SiteId">
    <vt:lpwstr>462ad9ae-d7d9-4206-b874-71b1e079776f</vt:lpwstr>
  </property>
  <property fmtid="{D5CDD505-2E9C-101B-9397-08002B2CF9AE}" pid="7" name="MSIP_Label_2a3a108f-898d-4589-9ebc-7ee3b46df9b8_ActionId">
    <vt:lpwstr>d356edc1-3720-4226-b7bb-45ff29b43538</vt:lpwstr>
  </property>
  <property fmtid="{D5CDD505-2E9C-101B-9397-08002B2CF9AE}" pid="8" name="MSIP_Label_2a3a108f-898d-4589-9ebc-7ee3b46df9b8_ContentBits">
    <vt:lpwstr>0</vt:lpwstr>
  </property>
  <property fmtid="{D5CDD505-2E9C-101B-9397-08002B2CF9AE}" pid="9" name="MSIP_Label_2a3a108f-898d-4589-9ebc-7ee3b46df9b8_Tag">
    <vt:lpwstr>10, 3, 0, 1</vt:lpwstr>
  </property>
</Properties>
</file>