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F4F77" w14:textId="77777777" w:rsidR="00ED5B85" w:rsidRDefault="00ED5B85">
      <w:pPr>
        <w:spacing w:before="240" w:after="240"/>
        <w:jc w:val="center"/>
        <w:rPr>
          <w:rFonts w:cs="Times New Roman"/>
          <w:b/>
          <w:color w:val="000000" w:themeColor="text1"/>
          <w:sz w:val="30"/>
          <w:szCs w:val="30"/>
        </w:rPr>
      </w:pPr>
      <w:r w:rsidRPr="0077795E">
        <w:rPr>
          <w:rFonts w:cs="Times New Roman"/>
          <w:b/>
          <w:color w:val="000000" w:themeColor="text1"/>
          <w:sz w:val="30"/>
          <w:szCs w:val="30"/>
        </w:rPr>
        <w:t xml:space="preserve">Case Report </w:t>
      </w:r>
    </w:p>
    <w:p w14:paraId="78692487" w14:textId="77777777" w:rsidR="00ED5B85" w:rsidRDefault="00ED5B85">
      <w:pPr>
        <w:spacing w:before="240" w:after="240"/>
        <w:jc w:val="center"/>
        <w:rPr>
          <w:rFonts w:cs="Times New Roman"/>
          <w:b/>
          <w:color w:val="000000" w:themeColor="text1"/>
          <w:sz w:val="30"/>
          <w:szCs w:val="30"/>
        </w:rPr>
      </w:pPr>
    </w:p>
    <w:p w14:paraId="55CB54B9" w14:textId="05C8837E" w:rsidR="00BE4770" w:rsidRDefault="00913729">
      <w:pPr>
        <w:spacing w:before="240" w:after="240"/>
        <w:jc w:val="center"/>
        <w:rPr>
          <w:rFonts w:cs="Times New Roman"/>
          <w:b/>
          <w:color w:val="000000" w:themeColor="text1"/>
          <w:sz w:val="30"/>
          <w:szCs w:val="30"/>
        </w:rPr>
      </w:pPr>
      <w:r w:rsidRPr="0077795E">
        <w:rPr>
          <w:rFonts w:cs="Times New Roman"/>
          <w:b/>
          <w:color w:val="000000" w:themeColor="text1"/>
          <w:sz w:val="30"/>
          <w:szCs w:val="30"/>
        </w:rPr>
        <w:t>Severe Hypokalemic Periodic Paralysis with Preserved Tendon Reflexes and Marked Electrocardiographic Changes in a Middle-Aged Male: A Case Report and Mechanistic Revie</w:t>
      </w:r>
      <w:r w:rsidR="004E2E70" w:rsidRPr="0077795E">
        <w:rPr>
          <w:rFonts w:cs="Times New Roman"/>
          <w:b/>
          <w:color w:val="000000" w:themeColor="text1"/>
          <w:sz w:val="30"/>
          <w:szCs w:val="30"/>
        </w:rPr>
        <w:t>w</w:t>
      </w:r>
    </w:p>
    <w:p w14:paraId="12DDC816" w14:textId="77777777" w:rsidR="00B91C39" w:rsidRPr="0077795E" w:rsidRDefault="00B91C39">
      <w:pPr>
        <w:spacing w:before="240" w:after="240"/>
        <w:jc w:val="center"/>
        <w:rPr>
          <w:rFonts w:cs="Times New Roman"/>
          <w:color w:val="000000" w:themeColor="text1"/>
          <w:sz w:val="30"/>
          <w:szCs w:val="30"/>
        </w:rPr>
      </w:pPr>
    </w:p>
    <w:p w14:paraId="13E60007" w14:textId="77777777" w:rsidR="00B91C39" w:rsidRDefault="00B91C39" w:rsidP="001072C0">
      <w:pPr>
        <w:spacing w:after="320"/>
        <w:rPr>
          <w:rFonts w:cs="Times New Roman"/>
          <w:iCs/>
          <w:sz w:val="26"/>
          <w:szCs w:val="26"/>
        </w:rPr>
      </w:pPr>
    </w:p>
    <w:p w14:paraId="423801F1" w14:textId="77777777" w:rsidR="00A85202" w:rsidRPr="0077795E" w:rsidRDefault="00A85202" w:rsidP="001072C0">
      <w:pPr>
        <w:spacing w:after="320"/>
        <w:rPr>
          <w:rFonts w:cs="Times New Roman"/>
          <w:iCs/>
          <w:sz w:val="26"/>
          <w:szCs w:val="26"/>
        </w:rPr>
      </w:pPr>
    </w:p>
    <w:p w14:paraId="2303E652" w14:textId="77777777" w:rsidR="00BE4770" w:rsidRPr="0077795E" w:rsidRDefault="00913729">
      <w:pPr>
        <w:rPr>
          <w:rFonts w:cs="Times New Roman"/>
          <w:sz w:val="26"/>
          <w:szCs w:val="26"/>
        </w:rPr>
      </w:pPr>
      <w:r w:rsidRPr="0077795E">
        <w:rPr>
          <w:rFonts w:cs="Times New Roman"/>
          <w:b/>
          <w:color w:val="003366"/>
          <w:sz w:val="26"/>
          <w:szCs w:val="26"/>
        </w:rPr>
        <w:t>ABSTRACT</w:t>
      </w:r>
    </w:p>
    <w:p w14:paraId="212AC6F3" w14:textId="2F5F03BC" w:rsidR="009E1B8E" w:rsidRPr="0077795E" w:rsidRDefault="00913729" w:rsidP="00AB3FBF">
      <w:pPr>
        <w:spacing w:after="160" w:line="360" w:lineRule="auto"/>
        <w:jc w:val="both"/>
        <w:rPr>
          <w:rFonts w:cs="Times New Roman"/>
          <w:bCs/>
          <w:sz w:val="26"/>
          <w:szCs w:val="26"/>
          <w:lang w:val="en-IN"/>
        </w:rPr>
      </w:pPr>
      <w:r w:rsidRPr="0077795E">
        <w:rPr>
          <w:rFonts w:cs="Times New Roman"/>
          <w:b/>
          <w:sz w:val="26"/>
          <w:szCs w:val="26"/>
        </w:rPr>
        <w:t xml:space="preserve">Background: </w:t>
      </w:r>
      <w:proofErr w:type="spellStart"/>
      <w:r w:rsidR="00AB3FBF" w:rsidRPr="0077795E">
        <w:rPr>
          <w:rFonts w:cs="Times New Roman"/>
          <w:bCs/>
          <w:sz w:val="26"/>
          <w:szCs w:val="26"/>
          <w:lang w:val="en-IN"/>
        </w:rPr>
        <w:t>Hypokalemic</w:t>
      </w:r>
      <w:proofErr w:type="spellEnd"/>
      <w:r w:rsidR="00AB3FBF" w:rsidRPr="0077795E">
        <w:rPr>
          <w:rFonts w:cs="Times New Roman"/>
          <w:bCs/>
          <w:sz w:val="26"/>
          <w:szCs w:val="26"/>
          <w:lang w:val="en-IN"/>
        </w:rPr>
        <w:t xml:space="preserve"> periodic paralysis (</w:t>
      </w:r>
      <w:proofErr w:type="spellStart"/>
      <w:r w:rsidR="00AB3FBF" w:rsidRPr="0077795E">
        <w:rPr>
          <w:rFonts w:cs="Times New Roman"/>
          <w:bCs/>
          <w:sz w:val="26"/>
          <w:szCs w:val="26"/>
          <w:lang w:val="en-IN"/>
        </w:rPr>
        <w:t>HypoPP</w:t>
      </w:r>
      <w:proofErr w:type="spellEnd"/>
      <w:r w:rsidR="00AB3FBF" w:rsidRPr="0077795E">
        <w:rPr>
          <w:rFonts w:cs="Times New Roman"/>
          <w:bCs/>
          <w:sz w:val="26"/>
          <w:szCs w:val="26"/>
          <w:lang w:val="en-IN"/>
        </w:rPr>
        <w:t xml:space="preserve">) is a rare, life-threatening neuromuscular channelopathy. Acute </w:t>
      </w:r>
      <w:proofErr w:type="spellStart"/>
      <w:r w:rsidR="00AB3FBF" w:rsidRPr="0077795E">
        <w:rPr>
          <w:rFonts w:cs="Times New Roman"/>
          <w:bCs/>
          <w:sz w:val="26"/>
          <w:szCs w:val="26"/>
          <w:lang w:val="en-IN"/>
        </w:rPr>
        <w:t>HypoPP</w:t>
      </w:r>
      <w:proofErr w:type="spellEnd"/>
      <w:r w:rsidR="00AB3FBF" w:rsidRPr="0077795E">
        <w:rPr>
          <w:rFonts w:cs="Times New Roman"/>
          <w:bCs/>
          <w:sz w:val="26"/>
          <w:szCs w:val="26"/>
          <w:lang w:val="en-IN"/>
        </w:rPr>
        <w:t xml:space="preserve"> attacks are defined by acute, reversibility paralysis due to </w:t>
      </w:r>
      <w:proofErr w:type="spellStart"/>
      <w:r w:rsidR="00AB3FBF" w:rsidRPr="0077795E">
        <w:rPr>
          <w:rFonts w:cs="Times New Roman"/>
          <w:bCs/>
          <w:sz w:val="26"/>
          <w:szCs w:val="26"/>
          <w:lang w:val="en-IN"/>
        </w:rPr>
        <w:t>hypokalemia</w:t>
      </w:r>
      <w:proofErr w:type="spellEnd"/>
      <w:r w:rsidR="00AB3FBF" w:rsidRPr="0077795E">
        <w:rPr>
          <w:rFonts w:cs="Times New Roman"/>
          <w:bCs/>
          <w:sz w:val="26"/>
          <w:szCs w:val="26"/>
          <w:lang w:val="en-IN"/>
        </w:rPr>
        <w:t xml:space="preserve">. A severe paralytic </w:t>
      </w:r>
      <w:proofErr w:type="spellStart"/>
      <w:r w:rsidR="00AB3FBF" w:rsidRPr="0077795E">
        <w:rPr>
          <w:rFonts w:cs="Times New Roman"/>
          <w:bCs/>
          <w:sz w:val="26"/>
          <w:szCs w:val="26"/>
          <w:lang w:val="en-IN"/>
        </w:rPr>
        <w:t>hypokalaemic</w:t>
      </w:r>
      <w:proofErr w:type="spellEnd"/>
      <w:r w:rsidR="00AB3FBF" w:rsidRPr="0077795E">
        <w:rPr>
          <w:rFonts w:cs="Times New Roman"/>
          <w:bCs/>
          <w:sz w:val="26"/>
          <w:szCs w:val="26"/>
          <w:lang w:val="en-IN"/>
        </w:rPr>
        <w:t xml:space="preserve"> hyporeflexia or areflexia is conventionally observed during attacks. </w:t>
      </w:r>
      <w:r w:rsidR="009E1B8E" w:rsidRPr="0077795E">
        <w:rPr>
          <w:rFonts w:cs="Times New Roman"/>
          <w:bCs/>
          <w:sz w:val="26"/>
          <w:szCs w:val="26"/>
          <w:lang w:val="en-IN"/>
        </w:rPr>
        <w:t>Quadri nerve</w:t>
      </w:r>
      <w:r w:rsidR="00AB3FBF" w:rsidRPr="0077795E">
        <w:rPr>
          <w:rFonts w:cs="Times New Roman"/>
          <w:bCs/>
          <w:sz w:val="26"/>
          <w:szCs w:val="26"/>
          <w:lang w:val="en-IN"/>
        </w:rPr>
        <w:t xml:space="preserve"> palsy due to deep tendon preserved reflexes represents an obscure diagnostic pitfall of </w:t>
      </w:r>
      <w:proofErr w:type="spellStart"/>
      <w:r w:rsidR="00AB3FBF" w:rsidRPr="0077795E">
        <w:rPr>
          <w:rFonts w:cs="Times New Roman"/>
          <w:bCs/>
          <w:sz w:val="26"/>
          <w:szCs w:val="26"/>
          <w:lang w:val="en-IN"/>
        </w:rPr>
        <w:t>HypoPP</w:t>
      </w:r>
      <w:proofErr w:type="spellEnd"/>
      <w:r w:rsidR="00AB3FBF" w:rsidRPr="0077795E">
        <w:rPr>
          <w:rFonts w:cs="Times New Roman"/>
          <w:bCs/>
          <w:sz w:val="26"/>
          <w:szCs w:val="26"/>
          <w:lang w:val="en-IN"/>
        </w:rPr>
        <w:t xml:space="preserve"> frequently confused by those who only recognize it is presentation as similar to acute inflammatory demyelinating polyneuropathy (Guillain-Barr syndrome), myelopathy or tick paralysis.</w:t>
      </w:r>
    </w:p>
    <w:p w14:paraId="095F1430" w14:textId="5AB1C36E" w:rsidR="009E1B8E" w:rsidRPr="0077795E" w:rsidRDefault="00913729" w:rsidP="009E1B8E">
      <w:pPr>
        <w:spacing w:after="160"/>
        <w:jc w:val="both"/>
        <w:rPr>
          <w:rFonts w:cs="Times New Roman"/>
          <w:b/>
          <w:sz w:val="26"/>
          <w:szCs w:val="26"/>
          <w:lang w:val="en-IN"/>
        </w:rPr>
      </w:pPr>
      <w:r w:rsidRPr="0077795E">
        <w:rPr>
          <w:rFonts w:cs="Times New Roman"/>
          <w:b/>
          <w:sz w:val="26"/>
          <w:szCs w:val="26"/>
        </w:rPr>
        <w:t xml:space="preserve">Case Presentation: </w:t>
      </w:r>
      <w:r w:rsidR="009E1B8E" w:rsidRPr="0077795E">
        <w:rPr>
          <w:rFonts w:cs="Times New Roman"/>
          <w:bCs/>
          <w:sz w:val="26"/>
          <w:szCs w:val="26"/>
          <w:lang w:val="en-IN"/>
        </w:rPr>
        <w:t xml:space="preserve">A 55-year-old, male, employed presenting with acute progressive all four limb weakness with 24 hr duration where initially inability to operate automobile clutch and now unable to stand and ambulate. Neurological examination showing profound quadriplegia (LL proximal to LL, 2-3/5, UL 3-4/5). Surprisingly neurological examination of deep tendon reflex was </w:t>
      </w:r>
      <w:proofErr w:type="gramStart"/>
      <w:r w:rsidR="009E1B8E" w:rsidRPr="0077795E">
        <w:rPr>
          <w:rFonts w:cs="Times New Roman"/>
          <w:bCs/>
          <w:sz w:val="26"/>
          <w:szCs w:val="26"/>
          <w:lang w:val="en-IN"/>
        </w:rPr>
        <w:t>normal,</w:t>
      </w:r>
      <w:proofErr w:type="gramEnd"/>
      <w:r w:rsidR="009E1B8E" w:rsidRPr="0077795E">
        <w:rPr>
          <w:rFonts w:cs="Times New Roman"/>
          <w:bCs/>
          <w:sz w:val="26"/>
          <w:szCs w:val="26"/>
          <w:lang w:val="en-IN"/>
        </w:rPr>
        <w:t xml:space="preserve"> however planters were bilateral flexor. Laboratory investigation showing crucial hypokalaemia (Ser k+ nadir 1.7) (arterial blood gas K+ 3.2, repeat serum K+ 1.8) elevated Creatine Kinase (348) along with normal thyroid parameters and mild metabolic alkalosis. Urine potassium was 18ml sample Urine Ph 8.0. Mild reactive Hep B surface Ag was noted as incidental finding. Thyroid parameters showing normal TSH 1.54 &amp; T 4 7.22 were obtained, ruling out thyrotoxic hypokalaemia paralysis.12 lead ECG showing typical ECG arrangement of marked hypokalaemia arrhythmogenic signatures'(sinus, marked PR lengthening 182, QRS widening 124, </w:t>
      </w:r>
      <w:r w:rsidR="009E1B8E" w:rsidRPr="0077795E">
        <w:rPr>
          <w:rFonts w:cs="Times New Roman"/>
          <w:bCs/>
          <w:sz w:val="26"/>
          <w:szCs w:val="26"/>
          <w:lang w:val="en-IN"/>
        </w:rPr>
        <w:lastRenderedPageBreak/>
        <w:t>marked QT prolongation 476/487). Marked ST depression and the striking presence of U waves blended in a flattened T wave in inferior leads and precordial leads of 12-lead ECG. Motor paralysis and muscle strength has completely recovered to 5/5 within 24 hr after prompt administration and aggressiveness replacement of IV 40mEq Potassium chloride in 500ml of I.V. Infused over 4hr period of ECG monitoring.</w:t>
      </w:r>
    </w:p>
    <w:p w14:paraId="67A79DFF" w14:textId="3447CB2A" w:rsidR="00BE4770" w:rsidRPr="003D1740" w:rsidRDefault="00913729">
      <w:pPr>
        <w:spacing w:after="160"/>
        <w:jc w:val="both"/>
        <w:rPr>
          <w:rFonts w:cs="Times New Roman"/>
          <w:sz w:val="26"/>
          <w:szCs w:val="26"/>
          <w:lang w:val="en-IN"/>
        </w:rPr>
      </w:pPr>
      <w:r w:rsidRPr="0077795E">
        <w:rPr>
          <w:rFonts w:cs="Times New Roman"/>
          <w:sz w:val="26"/>
          <w:szCs w:val="26"/>
        </w:rPr>
        <w:br/>
      </w:r>
      <w:r w:rsidRPr="0077795E">
        <w:rPr>
          <w:rFonts w:cs="Times New Roman"/>
          <w:b/>
          <w:sz w:val="26"/>
          <w:szCs w:val="26"/>
        </w:rPr>
        <w:t xml:space="preserve">Conclusion: </w:t>
      </w:r>
      <w:r w:rsidR="009E1B8E" w:rsidRPr="0077795E">
        <w:rPr>
          <w:rFonts w:cs="Times New Roman"/>
          <w:sz w:val="26"/>
          <w:szCs w:val="26"/>
        </w:rPr>
        <w:t xml:space="preserve"> </w:t>
      </w:r>
      <w:r w:rsidR="009E1B8E" w:rsidRPr="0077795E">
        <w:rPr>
          <w:rFonts w:cs="Times New Roman"/>
          <w:sz w:val="26"/>
          <w:szCs w:val="26"/>
          <w:lang w:val="en-IN"/>
        </w:rPr>
        <w:t xml:space="preserve">This case demonstrates that preserved deep tendon reflexes are not contraindications to profound </w:t>
      </w:r>
      <w:proofErr w:type="spellStart"/>
      <w:r w:rsidR="009E1B8E" w:rsidRPr="0077795E">
        <w:rPr>
          <w:rFonts w:cs="Times New Roman"/>
          <w:sz w:val="26"/>
          <w:szCs w:val="26"/>
          <w:lang w:val="en-IN"/>
        </w:rPr>
        <w:t>hypokalemic</w:t>
      </w:r>
      <w:proofErr w:type="spellEnd"/>
      <w:r w:rsidR="009E1B8E" w:rsidRPr="0077795E">
        <w:rPr>
          <w:rFonts w:cs="Times New Roman"/>
          <w:sz w:val="26"/>
          <w:szCs w:val="26"/>
          <w:lang w:val="en-IN"/>
        </w:rPr>
        <w:t xml:space="preserve"> paralysis. This emphasizes the fact that the clinician must "keep their index of suspicion high", scrutinize 12-lead ECGs for </w:t>
      </w:r>
      <w:proofErr w:type="spellStart"/>
      <w:r w:rsidR="009E1B8E" w:rsidRPr="0077795E">
        <w:rPr>
          <w:rFonts w:cs="Times New Roman"/>
          <w:sz w:val="26"/>
          <w:szCs w:val="26"/>
          <w:lang w:val="en-IN"/>
        </w:rPr>
        <w:t>hypokalemic</w:t>
      </w:r>
      <w:proofErr w:type="spellEnd"/>
      <w:r w:rsidR="009E1B8E" w:rsidRPr="0077795E">
        <w:rPr>
          <w:rFonts w:cs="Times New Roman"/>
          <w:sz w:val="26"/>
          <w:szCs w:val="26"/>
          <w:lang w:val="en-IN"/>
        </w:rPr>
        <w:t xml:space="preserve"> patterns promptly, and assess serum electrolytes in any case of acute motor quadriparesis without delay to avoid fatal cardiac arrhythmias and avoid unnecessary invasive procedures.  </w:t>
      </w:r>
    </w:p>
    <w:p w14:paraId="2465210C" w14:textId="77777777" w:rsidR="00BE4770" w:rsidRPr="0077795E" w:rsidRDefault="00913729">
      <w:pPr>
        <w:spacing w:after="280"/>
        <w:rPr>
          <w:rFonts w:cs="Times New Roman"/>
          <w:sz w:val="26"/>
          <w:szCs w:val="26"/>
        </w:rPr>
      </w:pPr>
      <w:r w:rsidRPr="0077795E">
        <w:rPr>
          <w:rFonts w:cs="Times New Roman"/>
          <w:b/>
          <w:sz w:val="26"/>
          <w:szCs w:val="26"/>
        </w:rPr>
        <w:t xml:space="preserve">Keywords: </w:t>
      </w:r>
      <w:r w:rsidRPr="0077795E">
        <w:rPr>
          <w:rFonts w:cs="Times New Roman"/>
          <w:sz w:val="26"/>
          <w:szCs w:val="26"/>
        </w:rPr>
        <w:t>Hypokalemic periodic paralysis; quadriparesis; preserved tendon reflexes; hypokalemia; U wave; QTc prolongation; channelopathy.</w:t>
      </w:r>
    </w:p>
    <w:p w14:paraId="56B181EE" w14:textId="3A92F995" w:rsidR="00BE4770" w:rsidRPr="0077795E" w:rsidRDefault="00913729">
      <w:pPr>
        <w:keepNext/>
        <w:spacing w:before="320" w:after="120"/>
        <w:rPr>
          <w:rFonts w:cs="Times New Roman"/>
          <w:color w:val="000000" w:themeColor="text1"/>
          <w:sz w:val="26"/>
          <w:szCs w:val="26"/>
        </w:rPr>
      </w:pPr>
      <w:r w:rsidRPr="0077795E">
        <w:rPr>
          <w:rFonts w:cs="Times New Roman"/>
          <w:b/>
          <w:color w:val="000000" w:themeColor="text1"/>
          <w:sz w:val="26"/>
          <w:szCs w:val="26"/>
        </w:rPr>
        <w:t>1. INTRODUCTION</w:t>
      </w:r>
      <w:r w:rsidR="00890CD3" w:rsidRPr="0077795E">
        <w:rPr>
          <w:rFonts w:cs="Times New Roman"/>
          <w:b/>
          <w:color w:val="000000" w:themeColor="text1"/>
          <w:sz w:val="26"/>
          <w:szCs w:val="26"/>
        </w:rPr>
        <w:t xml:space="preserve">  </w:t>
      </w:r>
    </w:p>
    <w:p w14:paraId="53CD6EF1" w14:textId="4D359747" w:rsidR="0077795E" w:rsidRPr="0077795E" w:rsidRDefault="00462B54" w:rsidP="0077795E">
      <w:pPr>
        <w:keepNext/>
        <w:spacing w:before="320" w:after="120"/>
        <w:jc w:val="both"/>
        <w:rPr>
          <w:rFonts w:cs="Times New Roman"/>
          <w:bCs/>
          <w:color w:val="000000" w:themeColor="text1"/>
          <w:sz w:val="26"/>
          <w:szCs w:val="26"/>
          <w:lang w:val="en-IN"/>
        </w:rPr>
      </w:pPr>
      <w:r w:rsidRPr="0077795E">
        <w:rPr>
          <w:rFonts w:cs="Times New Roman"/>
          <w:bCs/>
          <w:color w:val="000000" w:themeColor="text1"/>
          <w:sz w:val="26"/>
          <w:szCs w:val="26"/>
          <w:lang w:val="en-IN"/>
        </w:rPr>
        <w:t xml:space="preserve">Acute flaccid quadriparesis is a dramatic and emergent neurological presentation that warrants urgent and methodical diagnostic stratification and a </w:t>
      </w:r>
      <w:proofErr w:type="spellStart"/>
      <w:r w:rsidRPr="0077795E">
        <w:rPr>
          <w:rFonts w:cs="Times New Roman"/>
          <w:bCs/>
          <w:color w:val="000000" w:themeColor="text1"/>
          <w:sz w:val="26"/>
          <w:szCs w:val="26"/>
          <w:lang w:val="en-IN"/>
        </w:rPr>
        <w:t>targetted</w:t>
      </w:r>
      <w:proofErr w:type="spellEnd"/>
      <w:r w:rsidRPr="0077795E">
        <w:rPr>
          <w:rFonts w:cs="Times New Roman"/>
          <w:bCs/>
          <w:color w:val="000000" w:themeColor="text1"/>
          <w:sz w:val="26"/>
          <w:szCs w:val="26"/>
          <w:lang w:val="en-IN"/>
        </w:rPr>
        <w:t xml:space="preserve"> therapeutic approach. In this wide differential there are myriad causes, encompassing the spectrum from acute inflammatory demyelinating polyradiculoneuropathy (Guillain-Barre syndrome) through transverse myelitis, myasthenia gravis, botulism to toxin mediated neuropathies; however, one of the treatable, reversible and potential deadly neuromuscular emergencies is </w:t>
      </w:r>
      <w:proofErr w:type="spellStart"/>
      <w:r w:rsidRPr="0077795E">
        <w:rPr>
          <w:rFonts w:cs="Times New Roman"/>
          <w:bCs/>
          <w:color w:val="000000" w:themeColor="text1"/>
          <w:sz w:val="26"/>
          <w:szCs w:val="26"/>
          <w:lang w:val="en-IN"/>
        </w:rPr>
        <w:t>hypokalemic</w:t>
      </w:r>
      <w:proofErr w:type="spellEnd"/>
      <w:r w:rsidRPr="0077795E">
        <w:rPr>
          <w:rFonts w:cs="Times New Roman"/>
          <w:bCs/>
          <w:color w:val="000000" w:themeColor="text1"/>
          <w:sz w:val="26"/>
          <w:szCs w:val="26"/>
          <w:lang w:val="en-IN"/>
        </w:rPr>
        <w:t xml:space="preserve"> periodic paralysis (</w:t>
      </w:r>
      <w:proofErr w:type="spellStart"/>
      <w:r w:rsidRPr="0077795E">
        <w:rPr>
          <w:rFonts w:cs="Times New Roman"/>
          <w:bCs/>
          <w:color w:val="000000" w:themeColor="text1"/>
          <w:sz w:val="26"/>
          <w:szCs w:val="26"/>
          <w:lang w:val="en-IN"/>
        </w:rPr>
        <w:t>HypoPP</w:t>
      </w:r>
      <w:proofErr w:type="spellEnd"/>
      <w:r w:rsidRPr="0077795E">
        <w:rPr>
          <w:rFonts w:cs="Times New Roman"/>
          <w:bCs/>
          <w:color w:val="000000" w:themeColor="text1"/>
          <w:sz w:val="26"/>
          <w:szCs w:val="26"/>
          <w:lang w:val="en-IN"/>
        </w:rPr>
        <w:t xml:space="preserve">) [1,2]. </w:t>
      </w:r>
      <w:proofErr w:type="spellStart"/>
      <w:r w:rsidRPr="0077795E">
        <w:rPr>
          <w:rFonts w:cs="Times New Roman"/>
          <w:bCs/>
          <w:color w:val="000000" w:themeColor="text1"/>
          <w:sz w:val="26"/>
          <w:szCs w:val="26"/>
          <w:lang w:val="en-IN"/>
        </w:rPr>
        <w:t>Hypokalemic</w:t>
      </w:r>
      <w:proofErr w:type="spellEnd"/>
      <w:r w:rsidRPr="0077795E">
        <w:rPr>
          <w:rFonts w:cs="Times New Roman"/>
          <w:bCs/>
          <w:color w:val="000000" w:themeColor="text1"/>
          <w:sz w:val="26"/>
          <w:szCs w:val="26"/>
          <w:lang w:val="en-IN"/>
        </w:rPr>
        <w:t xml:space="preserve"> periodic paralysis is a rare autosomal disorder which manifests as attacks of </w:t>
      </w:r>
      <w:proofErr w:type="spellStart"/>
      <w:r w:rsidRPr="0077795E">
        <w:rPr>
          <w:rFonts w:cs="Times New Roman"/>
          <w:bCs/>
          <w:color w:val="000000" w:themeColor="text1"/>
          <w:sz w:val="26"/>
          <w:szCs w:val="26"/>
          <w:lang w:val="en-IN"/>
        </w:rPr>
        <w:t>painles</w:t>
      </w:r>
      <w:proofErr w:type="spellEnd"/>
      <w:r w:rsidRPr="0077795E">
        <w:rPr>
          <w:rFonts w:cs="Times New Roman"/>
          <w:bCs/>
          <w:color w:val="000000" w:themeColor="text1"/>
          <w:sz w:val="26"/>
          <w:szCs w:val="26"/>
          <w:lang w:val="en-IN"/>
        </w:rPr>
        <w:t xml:space="preserve">, symmetric, global flaccid paralysis which is induced by sudden changes in the </w:t>
      </w:r>
      <w:proofErr w:type="spellStart"/>
      <w:r w:rsidRPr="0077795E">
        <w:rPr>
          <w:rFonts w:cs="Times New Roman"/>
          <w:bCs/>
          <w:color w:val="000000" w:themeColor="text1"/>
          <w:sz w:val="26"/>
          <w:szCs w:val="26"/>
          <w:lang w:val="en-IN"/>
        </w:rPr>
        <w:t>extraceullar</w:t>
      </w:r>
      <w:proofErr w:type="spellEnd"/>
      <w:r w:rsidRPr="0077795E">
        <w:rPr>
          <w:rFonts w:cs="Times New Roman"/>
          <w:bCs/>
          <w:color w:val="000000" w:themeColor="text1"/>
          <w:sz w:val="26"/>
          <w:szCs w:val="26"/>
          <w:lang w:val="en-IN"/>
        </w:rPr>
        <w:t xml:space="preserve"> concentration of potassium [3]. Primary </w:t>
      </w:r>
      <w:proofErr w:type="spellStart"/>
      <w:r w:rsidRPr="0077795E">
        <w:rPr>
          <w:rFonts w:cs="Times New Roman"/>
          <w:bCs/>
          <w:color w:val="000000" w:themeColor="text1"/>
          <w:sz w:val="26"/>
          <w:szCs w:val="26"/>
          <w:lang w:val="en-IN"/>
        </w:rPr>
        <w:t>hypokalemic</w:t>
      </w:r>
      <w:proofErr w:type="spellEnd"/>
      <w:r w:rsidRPr="0077795E">
        <w:rPr>
          <w:rFonts w:cs="Times New Roman"/>
          <w:bCs/>
          <w:color w:val="000000" w:themeColor="text1"/>
          <w:sz w:val="26"/>
          <w:szCs w:val="26"/>
          <w:lang w:val="en-IN"/>
        </w:rPr>
        <w:t xml:space="preserve"> periodic paralysis affects 1 in 100,000 patients and so it is likely to present challenge for any admitting physician within the setting of the acute hospital environment [4].</w:t>
      </w:r>
      <w:r w:rsidRPr="0077795E">
        <w:rPr>
          <w:rFonts w:cs="Times New Roman"/>
          <w:bCs/>
          <w:color w:val="000000" w:themeColor="text1"/>
          <w:sz w:val="26"/>
          <w:szCs w:val="26"/>
          <w:lang w:val="en-IN"/>
        </w:rPr>
        <w:br/>
        <w:t xml:space="preserve">Inheritance is typically autosomal dominant or sporadic but it arises secondary to novel missense mutation in skeletal muscle voltage-gated ion channels – commonly L-type calcium channels (CACNA1S, Type 1 </w:t>
      </w:r>
      <w:proofErr w:type="spellStart"/>
      <w:r w:rsidRPr="0077795E">
        <w:rPr>
          <w:rFonts w:cs="Times New Roman"/>
          <w:bCs/>
          <w:color w:val="000000" w:themeColor="text1"/>
          <w:sz w:val="26"/>
          <w:szCs w:val="26"/>
          <w:lang w:val="en-IN"/>
        </w:rPr>
        <w:t>HypoPP</w:t>
      </w:r>
      <w:proofErr w:type="spellEnd"/>
      <w:r w:rsidRPr="0077795E">
        <w:rPr>
          <w:rFonts w:cs="Times New Roman"/>
          <w:bCs/>
          <w:color w:val="000000" w:themeColor="text1"/>
          <w:sz w:val="26"/>
          <w:szCs w:val="26"/>
          <w:lang w:val="en-IN"/>
        </w:rPr>
        <w:t xml:space="preserve">) or skeletal muscle sodium voltage-gated channels (SCN4A, Type 2 </w:t>
      </w:r>
      <w:proofErr w:type="spellStart"/>
      <w:r w:rsidRPr="0077795E">
        <w:rPr>
          <w:rFonts w:cs="Times New Roman"/>
          <w:bCs/>
          <w:color w:val="000000" w:themeColor="text1"/>
          <w:sz w:val="26"/>
          <w:szCs w:val="26"/>
          <w:lang w:val="en-IN"/>
        </w:rPr>
        <w:t>HypoPP</w:t>
      </w:r>
      <w:proofErr w:type="spellEnd"/>
      <w:r w:rsidRPr="0077795E">
        <w:rPr>
          <w:rFonts w:cs="Times New Roman"/>
          <w:bCs/>
          <w:color w:val="000000" w:themeColor="text1"/>
          <w:sz w:val="26"/>
          <w:szCs w:val="26"/>
          <w:lang w:val="en-IN"/>
        </w:rPr>
        <w:t xml:space="preserve">). The gene products are intrinsically defective with defects in the voltage sensors of these channels. What eventuates is an abnormal inward voltage sensing potassium leakage or 'omega' current which results paradoxically in skeletal muscle membrane depolarization and electrical 'depolarizing block', which prevents stimulation of volitional command signals from the central motor neurons [7,6,5]. </w:t>
      </w:r>
      <w:r w:rsidRPr="0077795E">
        <w:rPr>
          <w:rFonts w:cs="Times New Roman"/>
          <w:bCs/>
          <w:color w:val="000000" w:themeColor="text1"/>
          <w:sz w:val="26"/>
          <w:szCs w:val="26"/>
          <w:lang w:val="en-IN"/>
        </w:rPr>
        <w:lastRenderedPageBreak/>
        <w:t xml:space="preserve">Secondary </w:t>
      </w:r>
      <w:proofErr w:type="spellStart"/>
      <w:r w:rsidRPr="0077795E">
        <w:rPr>
          <w:rFonts w:cs="Times New Roman"/>
          <w:bCs/>
          <w:color w:val="000000" w:themeColor="text1"/>
          <w:sz w:val="26"/>
          <w:szCs w:val="26"/>
          <w:lang w:val="en-IN"/>
        </w:rPr>
        <w:t>hypokalemic</w:t>
      </w:r>
      <w:proofErr w:type="spellEnd"/>
      <w:r w:rsidRPr="0077795E">
        <w:rPr>
          <w:rFonts w:cs="Times New Roman"/>
          <w:bCs/>
          <w:color w:val="000000" w:themeColor="text1"/>
          <w:sz w:val="26"/>
          <w:szCs w:val="26"/>
          <w:lang w:val="en-IN"/>
        </w:rPr>
        <w:t xml:space="preserve"> paralysis is attributed to an excessive loss of gastrointestinal potassium, loss through renal wasting (renal tubular acidosis, Gitelman syndrome and Bartter syndrome), endocrinological disorder (hyperaldosteronism, </w:t>
      </w:r>
      <w:proofErr w:type="spellStart"/>
      <w:r w:rsidRPr="0077795E">
        <w:rPr>
          <w:rFonts w:cs="Times New Roman"/>
          <w:bCs/>
          <w:color w:val="000000" w:themeColor="text1"/>
          <w:sz w:val="26"/>
          <w:szCs w:val="26"/>
          <w:lang w:val="en-IN"/>
        </w:rPr>
        <w:t>Cushings</w:t>
      </w:r>
      <w:proofErr w:type="spellEnd"/>
      <w:r w:rsidRPr="0077795E">
        <w:rPr>
          <w:rFonts w:cs="Times New Roman"/>
          <w:bCs/>
          <w:color w:val="000000" w:themeColor="text1"/>
          <w:sz w:val="26"/>
          <w:szCs w:val="26"/>
          <w:lang w:val="en-IN"/>
        </w:rPr>
        <w:t xml:space="preserve"> syndrome) or rapid intracellular shifting as in thyrotoxic periodic paralysis (TPP) [9,8]. Traditionally </w:t>
      </w:r>
      <w:proofErr w:type="spellStart"/>
      <w:r w:rsidRPr="0077795E">
        <w:rPr>
          <w:rFonts w:cs="Times New Roman"/>
          <w:bCs/>
          <w:color w:val="000000" w:themeColor="text1"/>
          <w:sz w:val="26"/>
          <w:szCs w:val="26"/>
          <w:lang w:val="en-IN"/>
        </w:rPr>
        <w:t>hypokalemic</w:t>
      </w:r>
      <w:proofErr w:type="spellEnd"/>
      <w:r w:rsidRPr="0077795E">
        <w:rPr>
          <w:rFonts w:cs="Times New Roman"/>
          <w:bCs/>
          <w:color w:val="000000" w:themeColor="text1"/>
          <w:sz w:val="26"/>
          <w:szCs w:val="26"/>
          <w:lang w:val="en-IN"/>
        </w:rPr>
        <w:t xml:space="preserve"> paralysis has been classically taught to present as rapidly progressing, bilateral symmetrical distal weakness, with loss of the deep tendon reflex, in response to severe </w:t>
      </w:r>
      <w:proofErr w:type="spellStart"/>
      <w:r w:rsidRPr="0077795E">
        <w:rPr>
          <w:rFonts w:cs="Times New Roman"/>
          <w:bCs/>
          <w:color w:val="000000" w:themeColor="text1"/>
          <w:sz w:val="26"/>
          <w:szCs w:val="26"/>
          <w:lang w:val="en-IN"/>
        </w:rPr>
        <w:t>hypokalemia</w:t>
      </w:r>
      <w:proofErr w:type="spellEnd"/>
      <w:r w:rsidRPr="0077795E">
        <w:rPr>
          <w:rFonts w:cs="Times New Roman"/>
          <w:bCs/>
          <w:color w:val="000000" w:themeColor="text1"/>
          <w:sz w:val="26"/>
          <w:szCs w:val="26"/>
          <w:lang w:val="en-IN"/>
        </w:rPr>
        <w:t xml:space="preserve"> [10,1]. As I discuss however the disease presentation has significant variability and at the level of </w:t>
      </w:r>
      <w:proofErr w:type="spellStart"/>
      <w:r w:rsidRPr="0077795E">
        <w:rPr>
          <w:rFonts w:cs="Times New Roman"/>
          <w:bCs/>
          <w:color w:val="000000" w:themeColor="text1"/>
          <w:sz w:val="26"/>
          <w:szCs w:val="26"/>
          <w:lang w:val="en-IN"/>
        </w:rPr>
        <w:t>tetraparesis</w:t>
      </w:r>
      <w:proofErr w:type="spellEnd"/>
      <w:r w:rsidRPr="0077795E">
        <w:rPr>
          <w:rFonts w:cs="Times New Roman"/>
          <w:bCs/>
          <w:color w:val="000000" w:themeColor="text1"/>
          <w:sz w:val="26"/>
          <w:szCs w:val="26"/>
          <w:lang w:val="en-IN"/>
        </w:rPr>
        <w:t xml:space="preserve"> the tendon reflexes are retained in some patients experiencing the full consequences of severe </w:t>
      </w:r>
      <w:proofErr w:type="spellStart"/>
      <w:r w:rsidRPr="0077795E">
        <w:rPr>
          <w:rFonts w:cs="Times New Roman"/>
          <w:bCs/>
          <w:color w:val="000000" w:themeColor="text1"/>
          <w:sz w:val="26"/>
          <w:szCs w:val="26"/>
          <w:lang w:val="en-IN"/>
        </w:rPr>
        <w:t>hypokalemia</w:t>
      </w:r>
      <w:proofErr w:type="spellEnd"/>
      <w:r w:rsidRPr="0077795E">
        <w:rPr>
          <w:rFonts w:cs="Times New Roman"/>
          <w:bCs/>
          <w:color w:val="000000" w:themeColor="text1"/>
          <w:sz w:val="26"/>
          <w:szCs w:val="26"/>
          <w:lang w:val="en-IN"/>
        </w:rPr>
        <w:t xml:space="preserve"> [10]. Such a clinical presentation can result in profound confusion where clinicians are prone to mistaking CNS pathology, non-organic functional disease or indeed an evolving anterior horn cell syndrome, thereby failing to recognize that profound electrolyte imbalance is the cause of neuromuscular failure, delay treatment with potassium replacement and risk a </w:t>
      </w:r>
      <w:proofErr w:type="gramStart"/>
      <w:r w:rsidRPr="0077795E">
        <w:rPr>
          <w:rFonts w:cs="Times New Roman"/>
          <w:bCs/>
          <w:color w:val="000000" w:themeColor="text1"/>
          <w:sz w:val="26"/>
          <w:szCs w:val="26"/>
          <w:lang w:val="en-IN"/>
        </w:rPr>
        <w:t>lif</w:t>
      </w:r>
      <w:r w:rsidR="0077795E">
        <w:rPr>
          <w:rFonts w:cs="Times New Roman"/>
          <w:bCs/>
          <w:color w:val="000000" w:themeColor="text1"/>
          <w:sz w:val="26"/>
          <w:szCs w:val="26"/>
          <w:lang w:val="en-IN"/>
        </w:rPr>
        <w:t xml:space="preserve">e </w:t>
      </w:r>
      <w:r w:rsidR="0077795E" w:rsidRPr="0077795E">
        <w:rPr>
          <w:rFonts w:cs="Times New Roman"/>
          <w:bCs/>
          <w:color w:val="000000" w:themeColor="text1"/>
          <w:sz w:val="26"/>
          <w:szCs w:val="26"/>
          <w:lang w:val="en-IN"/>
        </w:rPr>
        <w:t>threatening</w:t>
      </w:r>
      <w:proofErr w:type="gramEnd"/>
      <w:r w:rsidR="0077795E" w:rsidRPr="0077795E">
        <w:rPr>
          <w:rFonts w:cs="Times New Roman"/>
          <w:bCs/>
          <w:color w:val="000000" w:themeColor="text1"/>
          <w:sz w:val="26"/>
          <w:szCs w:val="26"/>
          <w:lang w:val="en-IN"/>
        </w:rPr>
        <w:t xml:space="preserve"> arrhythmia or death from respiratory collapse [10,2]. Herein we report a severe case of acute </w:t>
      </w:r>
      <w:proofErr w:type="spellStart"/>
      <w:r w:rsidR="0077795E" w:rsidRPr="0077795E">
        <w:rPr>
          <w:rFonts w:cs="Times New Roman"/>
          <w:bCs/>
          <w:color w:val="000000" w:themeColor="text1"/>
          <w:sz w:val="26"/>
          <w:szCs w:val="26"/>
          <w:lang w:val="en-IN"/>
        </w:rPr>
        <w:t>hypokalemic</w:t>
      </w:r>
      <w:proofErr w:type="spellEnd"/>
      <w:r w:rsidR="0077795E" w:rsidRPr="0077795E">
        <w:rPr>
          <w:rFonts w:cs="Times New Roman"/>
          <w:bCs/>
          <w:color w:val="000000" w:themeColor="text1"/>
          <w:sz w:val="26"/>
          <w:szCs w:val="26"/>
          <w:lang w:val="en-IN"/>
        </w:rPr>
        <w:t xml:space="preserve"> paralysis presenting in a </w:t>
      </w:r>
      <w:proofErr w:type="gramStart"/>
      <w:r w:rsidR="0077795E" w:rsidRPr="0077795E">
        <w:rPr>
          <w:rFonts w:cs="Times New Roman"/>
          <w:bCs/>
          <w:color w:val="000000" w:themeColor="text1"/>
          <w:sz w:val="26"/>
          <w:szCs w:val="26"/>
          <w:lang w:val="en-IN"/>
        </w:rPr>
        <w:t>55 year-old</w:t>
      </w:r>
      <w:proofErr w:type="gramEnd"/>
      <w:r w:rsidR="0077795E" w:rsidRPr="0077795E">
        <w:rPr>
          <w:rFonts w:cs="Times New Roman"/>
          <w:bCs/>
          <w:color w:val="000000" w:themeColor="text1"/>
          <w:sz w:val="26"/>
          <w:szCs w:val="26"/>
          <w:lang w:val="en-IN"/>
        </w:rPr>
        <w:t xml:space="preserve"> male after the development of profound </w:t>
      </w:r>
      <w:proofErr w:type="spellStart"/>
      <w:r w:rsidR="0077795E" w:rsidRPr="0077795E">
        <w:rPr>
          <w:rFonts w:cs="Times New Roman"/>
          <w:bCs/>
          <w:color w:val="000000" w:themeColor="text1"/>
          <w:sz w:val="26"/>
          <w:szCs w:val="26"/>
          <w:lang w:val="en-IN"/>
        </w:rPr>
        <w:t>hypokalemia</w:t>
      </w:r>
      <w:proofErr w:type="spellEnd"/>
      <w:r w:rsidR="0077795E" w:rsidRPr="0077795E">
        <w:rPr>
          <w:rFonts w:cs="Times New Roman"/>
          <w:bCs/>
          <w:color w:val="000000" w:themeColor="text1"/>
          <w:sz w:val="26"/>
          <w:szCs w:val="26"/>
          <w:lang w:val="en-IN"/>
        </w:rPr>
        <w:t xml:space="preserve"> of 1.7mmol/L, characteristic ECG findings and preserved reflexes. This case leads us into the management and explanation of </w:t>
      </w:r>
      <w:proofErr w:type="spellStart"/>
      <w:r w:rsidR="0077795E" w:rsidRPr="0077795E">
        <w:rPr>
          <w:rFonts w:cs="Times New Roman"/>
          <w:bCs/>
          <w:color w:val="000000" w:themeColor="text1"/>
          <w:sz w:val="26"/>
          <w:szCs w:val="26"/>
          <w:lang w:val="en-IN"/>
        </w:rPr>
        <w:t>hypokalemic</w:t>
      </w:r>
      <w:proofErr w:type="spellEnd"/>
      <w:r w:rsidR="0077795E" w:rsidRPr="0077795E">
        <w:rPr>
          <w:rFonts w:cs="Times New Roman"/>
          <w:bCs/>
          <w:color w:val="000000" w:themeColor="text1"/>
          <w:sz w:val="26"/>
          <w:szCs w:val="26"/>
          <w:lang w:val="en-IN"/>
        </w:rPr>
        <w:t xml:space="preserve"> paralysis.</w:t>
      </w:r>
    </w:p>
    <w:p w14:paraId="3330021A" w14:textId="77777777" w:rsidR="0077795E" w:rsidRDefault="0077795E" w:rsidP="00462B54">
      <w:pPr>
        <w:keepNext/>
        <w:spacing w:before="320" w:after="120"/>
        <w:jc w:val="both"/>
        <w:rPr>
          <w:rFonts w:cs="Times New Roman"/>
          <w:bCs/>
          <w:color w:val="000000" w:themeColor="text1"/>
          <w:sz w:val="26"/>
          <w:szCs w:val="26"/>
          <w:lang w:val="en-IN"/>
        </w:rPr>
      </w:pPr>
    </w:p>
    <w:p w14:paraId="770B6FC8" w14:textId="77777777" w:rsidR="0077795E" w:rsidRDefault="0077795E" w:rsidP="00462B54">
      <w:pPr>
        <w:keepNext/>
        <w:spacing w:before="320" w:after="120"/>
        <w:jc w:val="both"/>
        <w:rPr>
          <w:rFonts w:cs="Times New Roman"/>
          <w:bCs/>
          <w:color w:val="000000" w:themeColor="text1"/>
          <w:sz w:val="26"/>
          <w:szCs w:val="26"/>
          <w:lang w:val="en-IN"/>
        </w:rPr>
      </w:pPr>
    </w:p>
    <w:p w14:paraId="15CE1D5D" w14:textId="5BD3DB48" w:rsidR="0077795E" w:rsidRPr="0077795E" w:rsidRDefault="0077795E" w:rsidP="00462B54">
      <w:pPr>
        <w:keepNext/>
        <w:spacing w:before="320" w:after="120"/>
        <w:jc w:val="both"/>
        <w:rPr>
          <w:rFonts w:cs="Times New Roman"/>
          <w:bCs/>
          <w:color w:val="000000" w:themeColor="text1"/>
          <w:sz w:val="26"/>
          <w:szCs w:val="26"/>
          <w:lang w:val="en-IN"/>
        </w:rPr>
        <w:sectPr w:rsidR="0077795E" w:rsidRPr="0077795E" w:rsidSect="0003461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28F1685F" w14:textId="77777777" w:rsidR="00BE4770" w:rsidRPr="0077795E" w:rsidRDefault="00913729">
      <w:pPr>
        <w:keepNext/>
        <w:spacing w:before="320" w:after="120"/>
        <w:rPr>
          <w:rFonts w:cs="Times New Roman"/>
          <w:color w:val="000000" w:themeColor="text1"/>
          <w:sz w:val="26"/>
          <w:szCs w:val="26"/>
        </w:rPr>
      </w:pPr>
      <w:r w:rsidRPr="0077795E">
        <w:rPr>
          <w:rFonts w:cs="Times New Roman"/>
          <w:b/>
          <w:color w:val="000000" w:themeColor="text1"/>
          <w:sz w:val="26"/>
          <w:szCs w:val="26"/>
        </w:rPr>
        <w:lastRenderedPageBreak/>
        <w:t>2. CASE PRESENTATION</w:t>
      </w:r>
    </w:p>
    <w:p w14:paraId="2FDA921C" w14:textId="6F2410B0" w:rsidR="00462B54" w:rsidRPr="0077795E" w:rsidRDefault="00913729">
      <w:pPr>
        <w:keepNext/>
        <w:spacing w:before="200" w:after="80"/>
        <w:rPr>
          <w:rFonts w:cs="Times New Roman"/>
          <w:color w:val="000000" w:themeColor="text1"/>
          <w:sz w:val="26"/>
          <w:szCs w:val="26"/>
        </w:rPr>
      </w:pPr>
      <w:r w:rsidRPr="0077795E">
        <w:rPr>
          <w:rFonts w:cs="Times New Roman"/>
          <w:b/>
          <w:color w:val="000000" w:themeColor="text1"/>
          <w:sz w:val="26"/>
          <w:szCs w:val="26"/>
        </w:rPr>
        <w:t>2.1 Patient Information and Initial Clinical Presentation</w:t>
      </w:r>
    </w:p>
    <w:p w14:paraId="4B8B54A5" w14:textId="77777777" w:rsidR="00462B54" w:rsidRPr="0077795E" w:rsidRDefault="00462B54" w:rsidP="00462B54">
      <w:pPr>
        <w:keepNext/>
        <w:spacing w:before="200" w:after="80"/>
        <w:rPr>
          <w:rFonts w:cs="Times New Roman"/>
          <w:color w:val="000000" w:themeColor="text1"/>
          <w:sz w:val="26"/>
          <w:szCs w:val="26"/>
          <w:lang w:val="en-IN"/>
        </w:rPr>
      </w:pPr>
      <w:r w:rsidRPr="0077795E">
        <w:rPr>
          <w:rFonts w:cs="Times New Roman"/>
          <w:color w:val="000000" w:themeColor="text1"/>
          <w:sz w:val="26"/>
          <w:szCs w:val="26"/>
          <w:lang w:val="en-IN"/>
        </w:rPr>
        <w:t>Case History:</w:t>
      </w:r>
    </w:p>
    <w:p w14:paraId="15CF3FC7" w14:textId="1AF49FFC" w:rsidR="0077795E" w:rsidRPr="0077795E" w:rsidRDefault="00462B54" w:rsidP="00462B54">
      <w:pPr>
        <w:keepNext/>
        <w:spacing w:before="200" w:after="80"/>
        <w:rPr>
          <w:rFonts w:cs="Times New Roman"/>
          <w:color w:val="000000" w:themeColor="text1"/>
          <w:sz w:val="26"/>
          <w:szCs w:val="26"/>
          <w:lang w:val="en-IN"/>
        </w:rPr>
        <w:sectPr w:rsidR="0077795E" w:rsidRPr="0077795E" w:rsidSect="00034616">
          <w:pgSz w:w="12240" w:h="15840"/>
          <w:pgMar w:top="1440" w:right="1440" w:bottom="1440" w:left="1440" w:header="720" w:footer="720" w:gutter="0"/>
          <w:cols w:space="720"/>
          <w:docGrid w:linePitch="360"/>
        </w:sectPr>
      </w:pPr>
      <w:r w:rsidRPr="0077795E">
        <w:rPr>
          <w:rFonts w:cs="Times New Roman"/>
          <w:color w:val="000000" w:themeColor="text1"/>
          <w:sz w:val="26"/>
          <w:szCs w:val="26"/>
          <w:lang w:val="en-IN"/>
        </w:rPr>
        <w:t>The patient is a 55-year-old employed male who was admitted to the Department of Neurology at SSIMS &amp; RC Davangere for acute progressive weakness of all four limbs developing over approximately 24 hours. On 01/09/2026 at about 6:00 P.M. Upon return from work patient developed acute difficulty in gripping his vehicle-clutch lever with left hand and progressively since then had the whole of both upper and lower limb musculature become extremely heavy and weak till the morning of admission (02/09/2026) at around 4:00 A.M. When patient developed increased difficulty in rising from sitting and could no longer mobilize or support his own body-weight being then helped to be brought to ER by his family members.</w:t>
      </w:r>
      <w:r w:rsidR="0077795E" w:rsidRPr="0077795E">
        <w:rPr>
          <w:rFonts w:cs="Times New Roman"/>
          <w:color w:val="000000" w:themeColor="text1"/>
          <w:sz w:val="26"/>
          <w:szCs w:val="26"/>
          <w:lang w:val="en-IN"/>
        </w:rPr>
        <w:t xml:space="preserve"> </w:t>
      </w:r>
      <w:r w:rsidRPr="0077795E">
        <w:rPr>
          <w:rFonts w:cs="Times New Roman"/>
          <w:color w:val="000000" w:themeColor="text1"/>
          <w:sz w:val="26"/>
          <w:szCs w:val="26"/>
          <w:lang w:val="en-IN"/>
        </w:rPr>
        <w:t>He did not develop any recent febrile illness, diarrhoea or vomiting, copious sweating/diaphoresis or very unaccustomed strenuous physical exercise, excess intake of carbohydrates (binging), recent vaccination. No complaint of paraesthesia/numbness in limbs or cranial nerve involvement-diplopia, dysphagia or dysarthria, facial asymmetry or respiratory paralysis. Complained of no specific retention in bowel or bladder function. Chronic medical illnesses like hypertension, diabetes</w:t>
      </w:r>
      <w:r w:rsidR="0077795E" w:rsidRPr="0077795E">
        <w:rPr>
          <w:rFonts w:cs="Times New Roman"/>
          <w:color w:val="000000" w:themeColor="text1"/>
          <w:sz w:val="26"/>
          <w:szCs w:val="26"/>
          <w:lang w:val="en-IN"/>
        </w:rPr>
        <w:t>. Bronchial Asthma, Bronchopneumonia or COPD, cardiac status with known history of angina or myocardial infarction, Cerebro vascular events, epilepsy or any thyroid diseases. History of chronic drugs or diuretic overuse or the like. Was not having any history of chronic laxative intake, herb mineral intake in any. Non- vegetarian by diet. Never smoked cigarette/beedi nor was a paan/Gutkha chewer, teetotaller, not a drug addict. No relevant history of recurrent episodic muscle weakness, neuro-muscular disorders, sudden death in family. Initial psychiatric evaluation showed absence of depression/anxiety/suicidal tendencies.</w:t>
      </w:r>
    </w:p>
    <w:p w14:paraId="4678243E" w14:textId="49DC6E05" w:rsidR="00BE4770" w:rsidRPr="0077795E" w:rsidRDefault="00913729">
      <w:pPr>
        <w:keepNext/>
        <w:spacing w:before="200" w:after="80"/>
        <w:rPr>
          <w:rFonts w:cs="Times New Roman"/>
          <w:b/>
          <w:color w:val="000000" w:themeColor="text1"/>
          <w:sz w:val="26"/>
          <w:szCs w:val="26"/>
        </w:rPr>
      </w:pPr>
      <w:r w:rsidRPr="0077795E">
        <w:rPr>
          <w:rFonts w:cs="Times New Roman"/>
          <w:b/>
          <w:color w:val="000000" w:themeColor="text1"/>
          <w:sz w:val="26"/>
          <w:szCs w:val="26"/>
        </w:rPr>
        <w:lastRenderedPageBreak/>
        <w:t>2.2 Clinical and Neurological Examination</w:t>
      </w:r>
    </w:p>
    <w:p w14:paraId="3D30E895" w14:textId="77777777" w:rsidR="00462B54" w:rsidRPr="0077795E" w:rsidRDefault="00462B54" w:rsidP="00462B54">
      <w:pPr>
        <w:keepNext/>
        <w:spacing w:before="200" w:after="80"/>
        <w:rPr>
          <w:rFonts w:cs="Times New Roman"/>
          <w:color w:val="000000" w:themeColor="text1"/>
          <w:sz w:val="26"/>
          <w:szCs w:val="26"/>
          <w:lang w:val="en-IN"/>
        </w:rPr>
      </w:pPr>
      <w:r w:rsidRPr="0077795E">
        <w:rPr>
          <w:rFonts w:cs="Times New Roman"/>
          <w:color w:val="000000" w:themeColor="text1"/>
          <w:sz w:val="26"/>
          <w:szCs w:val="26"/>
          <w:lang w:val="en-IN"/>
        </w:rPr>
        <w:t>General physical examination:</w:t>
      </w:r>
    </w:p>
    <w:p w14:paraId="7B89ED87" w14:textId="5F718E90" w:rsidR="00462B54" w:rsidRPr="0077795E" w:rsidRDefault="00462B54">
      <w:pPr>
        <w:keepNext/>
        <w:spacing w:before="200" w:after="80"/>
        <w:rPr>
          <w:rFonts w:cs="Times New Roman"/>
          <w:color w:val="000000" w:themeColor="text1"/>
          <w:sz w:val="26"/>
          <w:szCs w:val="26"/>
          <w:lang w:val="en-IN"/>
        </w:rPr>
      </w:pPr>
      <w:r w:rsidRPr="0077795E">
        <w:rPr>
          <w:rFonts w:cs="Times New Roman"/>
          <w:color w:val="000000" w:themeColor="text1"/>
          <w:sz w:val="26"/>
          <w:szCs w:val="26"/>
          <w:lang w:val="en-IN"/>
        </w:rPr>
        <w:t xml:space="preserve">The patient was conscious, alert, time/place/person oriented, but moderate distress, due to his acute motor deficit. His vital parameters remained stable; blood pressure: 120/80, pulse rate: 66 beats per minute and rhythm irregular, respiratory rate: 18 breaths per minute, no pyrexia, oxygen saturation: Sp02, 98% on room air. No pallor, icterus, cyanosis, clubbing, generalized lymphadenopathy, nor pedal </w:t>
      </w:r>
      <w:proofErr w:type="spellStart"/>
      <w:r w:rsidRPr="0077795E">
        <w:rPr>
          <w:rFonts w:cs="Times New Roman"/>
          <w:color w:val="000000" w:themeColor="text1"/>
          <w:sz w:val="26"/>
          <w:szCs w:val="26"/>
          <w:lang w:val="en-IN"/>
        </w:rPr>
        <w:t>edema</w:t>
      </w:r>
      <w:proofErr w:type="spellEnd"/>
      <w:r w:rsidRPr="0077795E">
        <w:rPr>
          <w:rFonts w:cs="Times New Roman"/>
          <w:color w:val="000000" w:themeColor="text1"/>
          <w:sz w:val="26"/>
          <w:szCs w:val="26"/>
          <w:lang w:val="en-IN"/>
        </w:rPr>
        <w:t xml:space="preserve"> were observed. His cardiovascular, respiratory and abdominal systemic examination was completely normal. Strict and comprehensive neurological examination was performed on admission. Higher mental functions and his speech were intact. Twelve cranial nerve examination (CN I to CN XII) were all completely normal (facial movements symmetrical, extra ocular movements symmetrical, pupils reactive to light, normal tongue movements with no bulbar muscle weakness, neck muscles power was normal (5/5). Motor exam shows that there was flaccid tone in all four limbs.  Muscle bulk was equal without fasciculation and without wasting. Power according to MRC showed severe symmetric quadriparesis and, especially pronounced more proximally, as compared distally, in the lower limbs, the power of muscles was:</w:t>
      </w:r>
    </w:p>
    <w:p w14:paraId="20F85BD8" w14:textId="77777777" w:rsidR="00BE4770" w:rsidRPr="0077795E" w:rsidRDefault="00913729">
      <w:pPr>
        <w:pStyle w:val="ListBullet"/>
        <w:spacing w:after="60"/>
        <w:rPr>
          <w:rFonts w:cs="Times New Roman"/>
          <w:sz w:val="26"/>
          <w:szCs w:val="26"/>
        </w:rPr>
      </w:pPr>
      <w:r w:rsidRPr="0077795E">
        <w:rPr>
          <w:rFonts w:cs="Times New Roman"/>
          <w:b/>
          <w:sz w:val="26"/>
          <w:szCs w:val="26"/>
        </w:rPr>
        <w:t xml:space="preserve">Upper Extremities: </w:t>
      </w:r>
      <w:r w:rsidRPr="0077795E">
        <w:rPr>
          <w:rFonts w:cs="Times New Roman"/>
          <w:sz w:val="26"/>
          <w:szCs w:val="26"/>
        </w:rPr>
        <w:t>Shoulder abduction and adduction 4/5 bilaterally; elbow flexion and extension 3-4/5 bilaterally; wrist dorsiflexion and palmar flexion 3-4/5 bilaterally; hand grip strength 4/5 bilaterally.</w:t>
      </w:r>
    </w:p>
    <w:p w14:paraId="72E82FDA" w14:textId="77777777" w:rsidR="00BE4770" w:rsidRPr="0077795E" w:rsidRDefault="00913729">
      <w:pPr>
        <w:pStyle w:val="ListBullet"/>
        <w:spacing w:after="60"/>
        <w:rPr>
          <w:rFonts w:cs="Times New Roman"/>
          <w:sz w:val="26"/>
          <w:szCs w:val="26"/>
        </w:rPr>
      </w:pPr>
      <w:r w:rsidRPr="0077795E">
        <w:rPr>
          <w:rFonts w:cs="Times New Roman"/>
          <w:b/>
          <w:sz w:val="26"/>
          <w:szCs w:val="26"/>
        </w:rPr>
        <w:t xml:space="preserve">Lower Extremities: </w:t>
      </w:r>
      <w:r w:rsidRPr="0077795E">
        <w:rPr>
          <w:rFonts w:cs="Times New Roman"/>
          <w:sz w:val="26"/>
          <w:szCs w:val="26"/>
        </w:rPr>
        <w:t>Hip flexion and extension 2-3/5 bilaterally; knee flexion and extension 3/5 bilaterally; ankle dorsiflexion and plantar flexion 3-4/5 bilaterally.</w:t>
      </w:r>
    </w:p>
    <w:p w14:paraId="5080BBD9" w14:textId="77777777" w:rsidR="00BE4770" w:rsidRPr="0077795E" w:rsidRDefault="00913729">
      <w:pPr>
        <w:pStyle w:val="ListBullet"/>
        <w:spacing w:after="60"/>
        <w:rPr>
          <w:rFonts w:cs="Times New Roman"/>
          <w:sz w:val="26"/>
          <w:szCs w:val="26"/>
        </w:rPr>
      </w:pPr>
      <w:r w:rsidRPr="0077795E">
        <w:rPr>
          <w:rFonts w:cs="Times New Roman"/>
          <w:b/>
          <w:sz w:val="26"/>
          <w:szCs w:val="26"/>
        </w:rPr>
        <w:t xml:space="preserve">Reflexes: </w:t>
      </w:r>
      <w:r w:rsidRPr="0077795E">
        <w:rPr>
          <w:rFonts w:cs="Times New Roman"/>
          <w:sz w:val="26"/>
          <w:szCs w:val="26"/>
        </w:rPr>
        <w:t>Remarkably, deep tendon reflexes (DTRs)—including bilateral biceps, triceps, supinator, patellar (knee jerk), and Achilles (ankle jerk) reflexes—were well-preserved (2+ bilaterally). No pathological hyperreflexia or clonus was observed.</w:t>
      </w:r>
    </w:p>
    <w:p w14:paraId="75B36532" w14:textId="77777777" w:rsidR="00BE4770" w:rsidRPr="0077795E" w:rsidRDefault="00913729">
      <w:pPr>
        <w:pStyle w:val="ListBullet"/>
        <w:spacing w:after="60"/>
        <w:rPr>
          <w:rFonts w:cs="Times New Roman"/>
          <w:sz w:val="26"/>
          <w:szCs w:val="26"/>
        </w:rPr>
      </w:pPr>
      <w:proofErr w:type="spellStart"/>
      <w:r w:rsidRPr="0077795E">
        <w:rPr>
          <w:rFonts w:cs="Times New Roman"/>
          <w:b/>
          <w:sz w:val="26"/>
          <w:szCs w:val="26"/>
        </w:rPr>
        <w:t>Plantars</w:t>
      </w:r>
      <w:proofErr w:type="spellEnd"/>
      <w:r w:rsidRPr="0077795E">
        <w:rPr>
          <w:rFonts w:cs="Times New Roman"/>
          <w:b/>
          <w:sz w:val="26"/>
          <w:szCs w:val="26"/>
        </w:rPr>
        <w:t xml:space="preserve"> &amp; Sensory: </w:t>
      </w:r>
      <w:r w:rsidRPr="0077795E">
        <w:rPr>
          <w:rFonts w:cs="Times New Roman"/>
          <w:sz w:val="26"/>
          <w:szCs w:val="26"/>
        </w:rPr>
        <w:t>Plantar responses were bilateral flexor (</w:t>
      </w:r>
      <w:proofErr w:type="spellStart"/>
      <w:r w:rsidRPr="0077795E">
        <w:rPr>
          <w:rFonts w:cs="Times New Roman"/>
          <w:sz w:val="26"/>
          <w:szCs w:val="26"/>
        </w:rPr>
        <w:t>downgoing</w:t>
      </w:r>
      <w:proofErr w:type="spellEnd"/>
      <w:r w:rsidRPr="0077795E">
        <w:rPr>
          <w:rFonts w:cs="Times New Roman"/>
          <w:sz w:val="26"/>
          <w:szCs w:val="26"/>
        </w:rPr>
        <w:t>). Sensory examination revealed preserved touch, pain, temperature, vibration, and joint position sensation in all four limbs and trunk. Cerebellar signs could not be fully tested due to motor weakness, but no intentional tremor or nystagmus was noted. Meningeal signs were absent.</w:t>
      </w:r>
    </w:p>
    <w:p w14:paraId="7E3E288B" w14:textId="761D938F" w:rsidR="00BE4770" w:rsidRPr="0077795E" w:rsidRDefault="00913729">
      <w:pPr>
        <w:keepNext/>
        <w:spacing w:before="200" w:after="80"/>
        <w:rPr>
          <w:rFonts w:cs="Times New Roman"/>
          <w:b/>
          <w:color w:val="000000" w:themeColor="text1"/>
          <w:sz w:val="26"/>
          <w:szCs w:val="26"/>
        </w:rPr>
      </w:pPr>
      <w:r w:rsidRPr="0077795E">
        <w:rPr>
          <w:rFonts w:cs="Times New Roman"/>
          <w:b/>
          <w:color w:val="000000" w:themeColor="text1"/>
          <w:sz w:val="26"/>
          <w:szCs w:val="26"/>
        </w:rPr>
        <w:t>2.3 Diagnostic Workup and Laboratory Investigations</w:t>
      </w:r>
    </w:p>
    <w:p w14:paraId="37C3BFF0" w14:textId="7508259B" w:rsidR="00101209" w:rsidRPr="0077795E" w:rsidRDefault="00462B54" w:rsidP="00462B54">
      <w:pPr>
        <w:keepNext/>
        <w:spacing w:before="200" w:after="80"/>
        <w:rPr>
          <w:rFonts w:cs="Times New Roman"/>
          <w:color w:val="000000" w:themeColor="text1"/>
          <w:sz w:val="26"/>
          <w:szCs w:val="26"/>
          <w:lang w:val="en-IN"/>
        </w:rPr>
      </w:pPr>
      <w:r w:rsidRPr="0077795E">
        <w:rPr>
          <w:rFonts w:cs="Times New Roman"/>
          <w:color w:val="000000" w:themeColor="text1"/>
          <w:sz w:val="26"/>
          <w:szCs w:val="26"/>
          <w:lang w:val="en-IN"/>
        </w:rPr>
        <w:t xml:space="preserve">Emergency lab workout pointed towards critical </w:t>
      </w:r>
      <w:proofErr w:type="spellStart"/>
      <w:r w:rsidRPr="0077795E">
        <w:rPr>
          <w:rFonts w:cs="Times New Roman"/>
          <w:color w:val="000000" w:themeColor="text1"/>
          <w:sz w:val="26"/>
          <w:szCs w:val="26"/>
          <w:lang w:val="en-IN"/>
        </w:rPr>
        <w:t>hypokalemia</w:t>
      </w:r>
      <w:proofErr w:type="spellEnd"/>
      <w:r w:rsidRPr="0077795E">
        <w:rPr>
          <w:rFonts w:cs="Times New Roman"/>
          <w:color w:val="000000" w:themeColor="text1"/>
          <w:sz w:val="26"/>
          <w:szCs w:val="26"/>
          <w:lang w:val="en-IN"/>
        </w:rPr>
        <w:t xml:space="preserve"> as the direct metabolic cause of quadriparesis. The initial labs (taken on 2/09/2026 at 13:35) shows the grave </w:t>
      </w:r>
      <w:proofErr w:type="spellStart"/>
      <w:r w:rsidRPr="0077795E">
        <w:rPr>
          <w:rFonts w:cs="Times New Roman"/>
          <w:color w:val="000000" w:themeColor="text1"/>
          <w:sz w:val="26"/>
          <w:szCs w:val="26"/>
          <w:lang w:val="en-IN"/>
        </w:rPr>
        <w:t>hypokalemic</w:t>
      </w:r>
      <w:proofErr w:type="spellEnd"/>
      <w:r w:rsidRPr="0077795E">
        <w:rPr>
          <w:rFonts w:cs="Times New Roman"/>
          <w:color w:val="000000" w:themeColor="text1"/>
          <w:sz w:val="26"/>
          <w:szCs w:val="26"/>
          <w:lang w:val="en-IN"/>
        </w:rPr>
        <w:t xml:space="preserve"> nadir of 1.7 mmol/l (Normal is 3.5-5.5) and (serum Na+ 139.5 (normal is </w:t>
      </w:r>
      <w:r w:rsidRPr="0077795E">
        <w:rPr>
          <w:rFonts w:cs="Times New Roman"/>
          <w:color w:val="000000" w:themeColor="text1"/>
          <w:sz w:val="26"/>
          <w:szCs w:val="26"/>
          <w:lang w:val="en-IN"/>
        </w:rPr>
        <w:lastRenderedPageBreak/>
        <w:t xml:space="preserve">133-152) &amp; Cl- 106.6 (normal is 96-106)). It also revealed: arterial pH7.40, pCO232 mm Hg, pO274 mm Hg, Na+120 mmol/l, K+3.2 mmol/l, ionized calcium (Ca++)0.70 mmol/l, glucose130 mg/dL, lactate1.3 mmol/l, HCO3-19.8 mmol/l, standard HCO321.6 mmol/l, BEecf-5.0 mmol/l, andsO295%, on GEM 3500. It also showed </w:t>
      </w:r>
      <w:proofErr w:type="gramStart"/>
      <w:r w:rsidRPr="0077795E">
        <w:rPr>
          <w:rFonts w:cs="Times New Roman"/>
          <w:color w:val="000000" w:themeColor="text1"/>
          <w:sz w:val="26"/>
          <w:szCs w:val="26"/>
          <w:lang w:val="en-IN"/>
        </w:rPr>
        <w:t>an</w:t>
      </w:r>
      <w:proofErr w:type="gramEnd"/>
      <w:r w:rsidRPr="0077795E">
        <w:rPr>
          <w:rFonts w:cs="Times New Roman"/>
          <w:color w:val="000000" w:themeColor="text1"/>
          <w:sz w:val="26"/>
          <w:szCs w:val="26"/>
          <w:lang w:val="en-IN"/>
        </w:rPr>
        <w:t xml:space="preserve"> slightly elevated CK of348.0 U/</w:t>
      </w:r>
      <w:proofErr w:type="gramStart"/>
      <w:r w:rsidRPr="0077795E">
        <w:rPr>
          <w:rFonts w:cs="Times New Roman"/>
          <w:color w:val="000000" w:themeColor="text1"/>
          <w:sz w:val="26"/>
          <w:szCs w:val="26"/>
          <w:lang w:val="en-IN"/>
        </w:rPr>
        <w:t>l(</w:t>
      </w:r>
      <w:proofErr w:type="gramEnd"/>
      <w:r w:rsidRPr="0077795E">
        <w:rPr>
          <w:rFonts w:cs="Times New Roman"/>
          <w:color w:val="000000" w:themeColor="text1"/>
          <w:sz w:val="26"/>
          <w:szCs w:val="26"/>
          <w:lang w:val="en-IN"/>
        </w:rPr>
        <w:t>normal 55-170U/l) suggestive of subclinical myopathy/</w:t>
      </w:r>
      <w:proofErr w:type="spellStart"/>
      <w:r w:rsidRPr="0077795E">
        <w:rPr>
          <w:rFonts w:cs="Times New Roman"/>
          <w:color w:val="000000" w:themeColor="text1"/>
          <w:sz w:val="26"/>
          <w:szCs w:val="26"/>
          <w:lang w:val="en-IN"/>
        </w:rPr>
        <w:t>sarcolemmal</w:t>
      </w:r>
      <w:proofErr w:type="spellEnd"/>
      <w:r w:rsidRPr="0077795E">
        <w:rPr>
          <w:rFonts w:cs="Times New Roman"/>
          <w:color w:val="000000" w:themeColor="text1"/>
          <w:sz w:val="26"/>
          <w:szCs w:val="26"/>
          <w:lang w:val="en-IN"/>
        </w:rPr>
        <w:t xml:space="preserve"> stress secondary to the current acute </w:t>
      </w:r>
      <w:proofErr w:type="spellStart"/>
      <w:r w:rsidRPr="0077795E">
        <w:rPr>
          <w:rFonts w:cs="Times New Roman"/>
          <w:color w:val="000000" w:themeColor="text1"/>
          <w:sz w:val="26"/>
          <w:szCs w:val="26"/>
          <w:lang w:val="en-IN"/>
        </w:rPr>
        <w:t>hypokalemia</w:t>
      </w:r>
      <w:proofErr w:type="spellEnd"/>
      <w:r w:rsidRPr="0077795E">
        <w:rPr>
          <w:rFonts w:cs="Times New Roman"/>
          <w:color w:val="000000" w:themeColor="text1"/>
          <w:sz w:val="26"/>
          <w:szCs w:val="26"/>
          <w:lang w:val="en-IN"/>
        </w:rPr>
        <w:t xml:space="preserve"> without frank rhabdomyolysis.</w:t>
      </w:r>
      <w:r w:rsidR="003D1740">
        <w:rPr>
          <w:rFonts w:cs="Times New Roman"/>
          <w:color w:val="000000" w:themeColor="text1"/>
          <w:sz w:val="26"/>
          <w:szCs w:val="26"/>
          <w:lang w:val="en-IN"/>
        </w:rPr>
        <w:t xml:space="preserve"> </w:t>
      </w:r>
      <w:r w:rsidRPr="0077795E">
        <w:rPr>
          <w:rFonts w:cs="Times New Roman"/>
          <w:color w:val="000000" w:themeColor="text1"/>
          <w:sz w:val="26"/>
          <w:szCs w:val="26"/>
          <w:lang w:val="en-IN"/>
        </w:rPr>
        <w:t xml:space="preserve">Repeated laboratory investigations still revealed severe </w:t>
      </w:r>
      <w:proofErr w:type="spellStart"/>
      <w:r w:rsidRPr="0077795E">
        <w:rPr>
          <w:rFonts w:cs="Times New Roman"/>
          <w:color w:val="000000" w:themeColor="text1"/>
          <w:sz w:val="26"/>
          <w:szCs w:val="26"/>
          <w:lang w:val="en-IN"/>
        </w:rPr>
        <w:t>hypokalemia</w:t>
      </w:r>
      <w:proofErr w:type="spellEnd"/>
      <w:r w:rsidRPr="0077795E">
        <w:rPr>
          <w:rFonts w:cs="Times New Roman"/>
          <w:color w:val="000000" w:themeColor="text1"/>
          <w:sz w:val="26"/>
          <w:szCs w:val="26"/>
          <w:lang w:val="en-IN"/>
        </w:rPr>
        <w:t xml:space="preserve"> (repeat serum K+ at 22:34 was 1.8 mmol/l and morning lab on 03/09/2026 was 2.1 mmol/l after partially getting replaced). Urinalysis was normal besides showing pH8.0 and specific gravity of 1.015 and no signs of proteinuria, glycosuria, ketonuria and haematuria. It clearly ruled out Thyrotoxic hypokalaemia periodic paralysis, as thyroid profile was totally normal (T3- 0.87 ng/ml, Total T4- 7.22 g/dl, TSH - 1.54 IU/ml. </w:t>
      </w:r>
      <w:r w:rsidR="003D1740">
        <w:rPr>
          <w:rFonts w:cs="Times New Roman"/>
          <w:color w:val="000000" w:themeColor="text1"/>
          <w:sz w:val="26"/>
          <w:szCs w:val="26"/>
          <w:lang w:val="en-IN"/>
        </w:rPr>
        <w:t xml:space="preserve"> </w:t>
      </w:r>
      <w:r w:rsidRPr="0077795E">
        <w:rPr>
          <w:rFonts w:cs="Times New Roman"/>
          <w:color w:val="000000" w:themeColor="text1"/>
          <w:sz w:val="26"/>
          <w:szCs w:val="26"/>
          <w:lang w:val="en-IN"/>
        </w:rPr>
        <w:t xml:space="preserve">It also showed reactive Hepatitis B s antigen and rest for serological markers were negative. It was noteworthy that CBC reveals mild </w:t>
      </w:r>
      <w:proofErr w:type="spellStart"/>
      <w:r w:rsidRPr="0077795E">
        <w:rPr>
          <w:rFonts w:cs="Times New Roman"/>
          <w:color w:val="000000" w:themeColor="text1"/>
          <w:sz w:val="26"/>
          <w:szCs w:val="26"/>
          <w:lang w:val="en-IN"/>
        </w:rPr>
        <w:t>leukocytosis</w:t>
      </w:r>
      <w:proofErr w:type="spellEnd"/>
      <w:r w:rsidRPr="0077795E">
        <w:rPr>
          <w:rFonts w:cs="Times New Roman"/>
          <w:color w:val="000000" w:themeColor="text1"/>
          <w:sz w:val="26"/>
          <w:szCs w:val="26"/>
          <w:lang w:val="en-IN"/>
        </w:rPr>
        <w:t xml:space="preserve"> (13,610 cells /</w:t>
      </w:r>
      <w:proofErr w:type="spellStart"/>
      <w:r w:rsidRPr="0077795E">
        <w:rPr>
          <w:rFonts w:cs="Times New Roman"/>
          <w:color w:val="000000" w:themeColor="text1"/>
          <w:sz w:val="26"/>
          <w:szCs w:val="26"/>
          <w:lang w:val="en-IN"/>
        </w:rPr>
        <w:t>cumm</w:t>
      </w:r>
      <w:proofErr w:type="spellEnd"/>
      <w:r w:rsidRPr="0077795E">
        <w:rPr>
          <w:rFonts w:cs="Times New Roman"/>
          <w:color w:val="000000" w:themeColor="text1"/>
          <w:sz w:val="26"/>
          <w:szCs w:val="26"/>
          <w:lang w:val="en-IN"/>
        </w:rPr>
        <w:t xml:space="preserve"> with 80% neutrophils) but normal </w:t>
      </w:r>
      <w:proofErr w:type="spellStart"/>
      <w:r w:rsidRPr="0077795E">
        <w:rPr>
          <w:rFonts w:cs="Times New Roman"/>
          <w:color w:val="000000" w:themeColor="text1"/>
          <w:sz w:val="26"/>
          <w:szCs w:val="26"/>
          <w:lang w:val="en-IN"/>
        </w:rPr>
        <w:t>hemoglobin</w:t>
      </w:r>
      <w:proofErr w:type="spellEnd"/>
      <w:r w:rsidRPr="0077795E">
        <w:rPr>
          <w:rFonts w:cs="Times New Roman"/>
          <w:color w:val="000000" w:themeColor="text1"/>
          <w:sz w:val="26"/>
          <w:szCs w:val="26"/>
          <w:lang w:val="en-IN"/>
        </w:rPr>
        <w:t xml:space="preserve"> (14.2 g/dl), platelets (2.78 lakhs / </w:t>
      </w:r>
      <w:proofErr w:type="spellStart"/>
      <w:r w:rsidRPr="0077795E">
        <w:rPr>
          <w:rFonts w:cs="Times New Roman"/>
          <w:color w:val="000000" w:themeColor="text1"/>
          <w:sz w:val="26"/>
          <w:szCs w:val="26"/>
          <w:lang w:val="en-IN"/>
        </w:rPr>
        <w:t>cumm</w:t>
      </w:r>
      <w:proofErr w:type="spellEnd"/>
      <w:r w:rsidRPr="0077795E">
        <w:rPr>
          <w:rFonts w:cs="Times New Roman"/>
          <w:color w:val="000000" w:themeColor="text1"/>
          <w:sz w:val="26"/>
          <w:szCs w:val="26"/>
          <w:lang w:val="en-IN"/>
        </w:rPr>
        <w:t xml:space="preserve">) and ESR (35 mm/hr). It is also noteworthy that BUN, serum Cr, Total </w:t>
      </w:r>
      <w:proofErr w:type="spellStart"/>
      <w:r w:rsidRPr="0077795E">
        <w:rPr>
          <w:rFonts w:cs="Times New Roman"/>
          <w:color w:val="000000" w:themeColor="text1"/>
          <w:sz w:val="26"/>
          <w:szCs w:val="26"/>
          <w:lang w:val="en-IN"/>
        </w:rPr>
        <w:t>Billirubin</w:t>
      </w:r>
      <w:proofErr w:type="spellEnd"/>
      <w:r w:rsidRPr="0077795E">
        <w:rPr>
          <w:rFonts w:cs="Times New Roman"/>
          <w:color w:val="000000" w:themeColor="text1"/>
          <w:sz w:val="26"/>
          <w:szCs w:val="26"/>
          <w:lang w:val="en-IN"/>
        </w:rPr>
        <w:t xml:space="preserve">, AST, ALT, ALP, TP and serum albumin and other renal and liver function test values were within safe limits (BUN 32.2 mg/dL, serum Cr 1.33 mg/dL, T. Billi 0.5 mg/dL, AST 31.0 U/L, ALT 24.2 U/L, ALP 75.9 U/L, T. Prot 6.8 g/dL, Serum Alb 3.9 g/dL). </w:t>
      </w:r>
    </w:p>
    <w:p w14:paraId="77113348" w14:textId="54979ED9" w:rsidR="00101209" w:rsidRPr="003D1740" w:rsidRDefault="00462B54" w:rsidP="003D1740">
      <w:pPr>
        <w:keepNext/>
        <w:spacing w:before="200" w:after="80"/>
        <w:rPr>
          <w:rFonts w:cs="Times New Roman"/>
          <w:color w:val="000000" w:themeColor="text1"/>
          <w:sz w:val="26"/>
          <w:szCs w:val="26"/>
          <w:lang w:val="en-IN"/>
        </w:rPr>
      </w:pPr>
      <w:r w:rsidRPr="0077795E">
        <w:rPr>
          <w:rFonts w:cs="Times New Roman"/>
          <w:color w:val="000000" w:themeColor="text1"/>
          <w:sz w:val="26"/>
          <w:szCs w:val="26"/>
          <w:lang w:val="en-IN"/>
        </w:rPr>
        <w:t xml:space="preserve">Details of the laboratory Investigations has been systematically recorded and summarized below </w:t>
      </w:r>
      <w:r w:rsidR="00EB1144" w:rsidRPr="0077795E">
        <w:rPr>
          <w:rFonts w:cs="Times New Roman"/>
          <w:color w:val="000000" w:themeColor="text1"/>
          <w:sz w:val="26"/>
          <w:szCs w:val="26"/>
          <w:lang w:val="en-IN"/>
        </w:rPr>
        <w:t>t</w:t>
      </w:r>
      <w:r w:rsidRPr="0077795E">
        <w:rPr>
          <w:rFonts w:cs="Times New Roman"/>
          <w:color w:val="000000" w:themeColor="text1"/>
          <w:sz w:val="26"/>
          <w:szCs w:val="26"/>
          <w:lang w:val="en-IN"/>
        </w:rPr>
        <w:t>able.1</w:t>
      </w:r>
    </w:p>
    <w:p w14:paraId="57BA7FB4" w14:textId="1C549E33" w:rsidR="00BE4770" w:rsidRPr="0077795E" w:rsidRDefault="00913729">
      <w:pPr>
        <w:spacing w:before="160" w:after="80"/>
        <w:rPr>
          <w:rFonts w:cs="Times New Roman"/>
          <w:sz w:val="26"/>
          <w:szCs w:val="26"/>
        </w:rPr>
      </w:pPr>
      <w:r w:rsidRPr="0077795E">
        <w:rPr>
          <w:rFonts w:cs="Times New Roman"/>
          <w:b/>
          <w:sz w:val="26"/>
          <w:szCs w:val="26"/>
        </w:rPr>
        <w:t>Table 1: Comprehensive Laboratory and Diagnostic Workup at Admission and Follow-up</w:t>
      </w:r>
    </w:p>
    <w:tbl>
      <w:tblPr>
        <w:tblW w:w="0" w:type="auto"/>
        <w:jc w:val="center"/>
        <w:tblBorders>
          <w:top w:val="single" w:sz="6" w:space="0" w:color="003366"/>
          <w:bottom w:val="single" w:sz="6" w:space="0" w:color="003366"/>
          <w:insideH w:val="single" w:sz="4" w:space="0" w:color="D3D3D3"/>
        </w:tblBorders>
        <w:tblLook w:val="04A0" w:firstRow="1" w:lastRow="0" w:firstColumn="1" w:lastColumn="0" w:noHBand="0" w:noVBand="1"/>
      </w:tblPr>
      <w:tblGrid>
        <w:gridCol w:w="2250"/>
        <w:gridCol w:w="2221"/>
        <w:gridCol w:w="2232"/>
        <w:gridCol w:w="2657"/>
      </w:tblGrid>
      <w:tr w:rsidR="00BE4770" w:rsidRPr="0077795E" w14:paraId="3C7BDD05" w14:textId="77777777">
        <w:trPr>
          <w:jc w:val="center"/>
        </w:trPr>
        <w:tc>
          <w:tcPr>
            <w:tcW w:w="2340" w:type="dxa"/>
            <w:shd w:val="clear" w:color="auto" w:fill="003366"/>
          </w:tcPr>
          <w:p w14:paraId="28C1F5DB" w14:textId="77777777" w:rsidR="00BE4770" w:rsidRPr="0077795E" w:rsidRDefault="00913729">
            <w:pPr>
              <w:spacing w:before="40" w:after="40" w:line="252" w:lineRule="auto"/>
              <w:rPr>
                <w:rFonts w:cs="Times New Roman"/>
                <w:sz w:val="26"/>
                <w:szCs w:val="26"/>
              </w:rPr>
            </w:pPr>
            <w:r w:rsidRPr="0077795E">
              <w:rPr>
                <w:rFonts w:cs="Times New Roman"/>
                <w:b/>
                <w:color w:val="FFFFFF"/>
                <w:sz w:val="26"/>
                <w:szCs w:val="26"/>
              </w:rPr>
              <w:t>Laboratory Parameter</w:t>
            </w:r>
          </w:p>
        </w:tc>
        <w:tc>
          <w:tcPr>
            <w:tcW w:w="2340" w:type="dxa"/>
            <w:shd w:val="clear" w:color="auto" w:fill="003366"/>
          </w:tcPr>
          <w:p w14:paraId="3401A7C1" w14:textId="77777777" w:rsidR="00BE4770" w:rsidRPr="0077795E" w:rsidRDefault="00913729">
            <w:pPr>
              <w:spacing w:before="40" w:after="40" w:line="252" w:lineRule="auto"/>
              <w:rPr>
                <w:rFonts w:cs="Times New Roman"/>
                <w:sz w:val="26"/>
                <w:szCs w:val="26"/>
              </w:rPr>
            </w:pPr>
            <w:r w:rsidRPr="0077795E">
              <w:rPr>
                <w:rFonts w:cs="Times New Roman"/>
                <w:b/>
                <w:color w:val="FFFFFF"/>
                <w:sz w:val="26"/>
                <w:szCs w:val="26"/>
              </w:rPr>
              <w:t>Patient Result</w:t>
            </w:r>
          </w:p>
        </w:tc>
        <w:tc>
          <w:tcPr>
            <w:tcW w:w="2340" w:type="dxa"/>
            <w:shd w:val="clear" w:color="auto" w:fill="003366"/>
          </w:tcPr>
          <w:p w14:paraId="3E8D5EBF" w14:textId="77777777" w:rsidR="00BE4770" w:rsidRPr="0077795E" w:rsidRDefault="00913729">
            <w:pPr>
              <w:spacing w:before="40" w:after="40" w:line="252" w:lineRule="auto"/>
              <w:rPr>
                <w:rFonts w:cs="Times New Roman"/>
                <w:sz w:val="26"/>
                <w:szCs w:val="26"/>
              </w:rPr>
            </w:pPr>
            <w:r w:rsidRPr="0077795E">
              <w:rPr>
                <w:rFonts w:cs="Times New Roman"/>
                <w:b/>
                <w:color w:val="FFFFFF"/>
                <w:sz w:val="26"/>
                <w:szCs w:val="26"/>
              </w:rPr>
              <w:t>Biological Reference Interval</w:t>
            </w:r>
          </w:p>
        </w:tc>
        <w:tc>
          <w:tcPr>
            <w:tcW w:w="2340" w:type="dxa"/>
            <w:shd w:val="clear" w:color="auto" w:fill="003366"/>
          </w:tcPr>
          <w:p w14:paraId="507891BD" w14:textId="77777777" w:rsidR="00BE4770" w:rsidRPr="0077795E" w:rsidRDefault="00913729">
            <w:pPr>
              <w:spacing w:before="40" w:after="40" w:line="252" w:lineRule="auto"/>
              <w:rPr>
                <w:rFonts w:cs="Times New Roman"/>
                <w:sz w:val="26"/>
                <w:szCs w:val="26"/>
              </w:rPr>
            </w:pPr>
            <w:r w:rsidRPr="0077795E">
              <w:rPr>
                <w:rFonts w:cs="Times New Roman"/>
                <w:b/>
                <w:color w:val="FFFFFF"/>
                <w:sz w:val="26"/>
                <w:szCs w:val="26"/>
              </w:rPr>
              <w:t>Clinical Significance / Interpretation</w:t>
            </w:r>
          </w:p>
        </w:tc>
      </w:tr>
      <w:tr w:rsidR="00BE4770" w:rsidRPr="0077795E" w14:paraId="6F84991B" w14:textId="77777777">
        <w:trPr>
          <w:jc w:val="center"/>
        </w:trPr>
        <w:tc>
          <w:tcPr>
            <w:tcW w:w="2340" w:type="dxa"/>
            <w:shd w:val="clear" w:color="auto" w:fill="F5F8FA"/>
          </w:tcPr>
          <w:p w14:paraId="76DAEF17" w14:textId="77777777" w:rsidR="00BE4770" w:rsidRPr="0077795E" w:rsidRDefault="00913729">
            <w:pPr>
              <w:spacing w:before="40" w:after="40" w:line="252" w:lineRule="auto"/>
              <w:rPr>
                <w:rFonts w:cs="Times New Roman"/>
                <w:sz w:val="26"/>
                <w:szCs w:val="26"/>
              </w:rPr>
            </w:pPr>
            <w:r w:rsidRPr="0077795E">
              <w:rPr>
                <w:rFonts w:cs="Times New Roman"/>
                <w:sz w:val="26"/>
                <w:szCs w:val="26"/>
              </w:rPr>
              <w:t>Serum Potassium (Initial Nadir, ISE)</w:t>
            </w:r>
          </w:p>
        </w:tc>
        <w:tc>
          <w:tcPr>
            <w:tcW w:w="2340" w:type="dxa"/>
            <w:shd w:val="clear" w:color="auto" w:fill="F5F8FA"/>
          </w:tcPr>
          <w:p w14:paraId="4813433C" w14:textId="77777777" w:rsidR="00BE4770" w:rsidRPr="0077795E" w:rsidRDefault="00913729">
            <w:pPr>
              <w:spacing w:before="40" w:after="40" w:line="252" w:lineRule="auto"/>
              <w:rPr>
                <w:rFonts w:cs="Times New Roman"/>
                <w:sz w:val="26"/>
                <w:szCs w:val="26"/>
              </w:rPr>
            </w:pPr>
            <w:r w:rsidRPr="0077795E">
              <w:rPr>
                <w:rFonts w:cs="Times New Roman"/>
                <w:sz w:val="26"/>
                <w:szCs w:val="26"/>
              </w:rPr>
              <w:t>1.7 mmol/L</w:t>
            </w:r>
          </w:p>
        </w:tc>
        <w:tc>
          <w:tcPr>
            <w:tcW w:w="2340" w:type="dxa"/>
            <w:shd w:val="clear" w:color="auto" w:fill="F5F8FA"/>
          </w:tcPr>
          <w:p w14:paraId="260734A2" w14:textId="77777777" w:rsidR="00BE4770" w:rsidRPr="0077795E" w:rsidRDefault="00913729">
            <w:pPr>
              <w:spacing w:before="40" w:after="40" w:line="252" w:lineRule="auto"/>
              <w:rPr>
                <w:rFonts w:cs="Times New Roman"/>
                <w:sz w:val="26"/>
                <w:szCs w:val="26"/>
              </w:rPr>
            </w:pPr>
            <w:r w:rsidRPr="0077795E">
              <w:rPr>
                <w:rFonts w:cs="Times New Roman"/>
                <w:sz w:val="26"/>
                <w:szCs w:val="26"/>
              </w:rPr>
              <w:t>3.5 – 5.5 mmol/L</w:t>
            </w:r>
          </w:p>
        </w:tc>
        <w:tc>
          <w:tcPr>
            <w:tcW w:w="2340" w:type="dxa"/>
            <w:shd w:val="clear" w:color="auto" w:fill="F5F8FA"/>
          </w:tcPr>
          <w:p w14:paraId="7D7AEA8A" w14:textId="77777777" w:rsidR="00BE4770" w:rsidRPr="0077795E" w:rsidRDefault="00913729">
            <w:pPr>
              <w:spacing w:before="40" w:after="40" w:line="252" w:lineRule="auto"/>
              <w:rPr>
                <w:rFonts w:cs="Times New Roman"/>
                <w:sz w:val="26"/>
                <w:szCs w:val="26"/>
              </w:rPr>
            </w:pPr>
            <w:r w:rsidRPr="0077795E">
              <w:rPr>
                <w:rFonts w:cs="Times New Roman"/>
                <w:sz w:val="26"/>
                <w:szCs w:val="26"/>
              </w:rPr>
              <w:t>Critical severe hypokalemia; primary etiology of quadriparesis</w:t>
            </w:r>
          </w:p>
        </w:tc>
      </w:tr>
      <w:tr w:rsidR="00BE4770" w:rsidRPr="0077795E" w14:paraId="1B3E7F46" w14:textId="77777777">
        <w:trPr>
          <w:jc w:val="center"/>
        </w:trPr>
        <w:tc>
          <w:tcPr>
            <w:tcW w:w="2340" w:type="dxa"/>
          </w:tcPr>
          <w:p w14:paraId="4CF28D14" w14:textId="77777777" w:rsidR="00BE4770" w:rsidRPr="0077795E" w:rsidRDefault="00913729">
            <w:pPr>
              <w:spacing w:before="40" w:after="40" w:line="252" w:lineRule="auto"/>
              <w:rPr>
                <w:rFonts w:cs="Times New Roman"/>
                <w:sz w:val="26"/>
                <w:szCs w:val="26"/>
              </w:rPr>
            </w:pPr>
            <w:r w:rsidRPr="0077795E">
              <w:rPr>
                <w:rFonts w:cs="Times New Roman"/>
                <w:sz w:val="26"/>
                <w:szCs w:val="26"/>
              </w:rPr>
              <w:t>Serum Potassium (Repeat at 22:34)</w:t>
            </w:r>
          </w:p>
        </w:tc>
        <w:tc>
          <w:tcPr>
            <w:tcW w:w="2340" w:type="dxa"/>
          </w:tcPr>
          <w:p w14:paraId="101B243E" w14:textId="77777777" w:rsidR="00BE4770" w:rsidRPr="0077795E" w:rsidRDefault="00913729">
            <w:pPr>
              <w:spacing w:before="40" w:after="40" w:line="252" w:lineRule="auto"/>
              <w:rPr>
                <w:rFonts w:cs="Times New Roman"/>
                <w:sz w:val="26"/>
                <w:szCs w:val="26"/>
              </w:rPr>
            </w:pPr>
            <w:r w:rsidRPr="0077795E">
              <w:rPr>
                <w:rFonts w:cs="Times New Roman"/>
                <w:sz w:val="26"/>
                <w:szCs w:val="26"/>
              </w:rPr>
              <w:t>1.8 mmol/L</w:t>
            </w:r>
          </w:p>
        </w:tc>
        <w:tc>
          <w:tcPr>
            <w:tcW w:w="2340" w:type="dxa"/>
          </w:tcPr>
          <w:p w14:paraId="7C4A082E" w14:textId="77777777" w:rsidR="00BE4770" w:rsidRPr="0077795E" w:rsidRDefault="00913729">
            <w:pPr>
              <w:spacing w:before="40" w:after="40" w:line="252" w:lineRule="auto"/>
              <w:rPr>
                <w:rFonts w:cs="Times New Roman"/>
                <w:sz w:val="26"/>
                <w:szCs w:val="26"/>
              </w:rPr>
            </w:pPr>
            <w:r w:rsidRPr="0077795E">
              <w:rPr>
                <w:rFonts w:cs="Times New Roman"/>
                <w:sz w:val="26"/>
                <w:szCs w:val="26"/>
              </w:rPr>
              <w:t>3.5 – 5.5 mmol/L</w:t>
            </w:r>
          </w:p>
        </w:tc>
        <w:tc>
          <w:tcPr>
            <w:tcW w:w="2340" w:type="dxa"/>
          </w:tcPr>
          <w:p w14:paraId="3F28CC9D" w14:textId="77777777" w:rsidR="00BE4770" w:rsidRPr="0077795E" w:rsidRDefault="00913729">
            <w:pPr>
              <w:spacing w:before="40" w:after="40" w:line="252" w:lineRule="auto"/>
              <w:rPr>
                <w:rFonts w:cs="Times New Roman"/>
                <w:sz w:val="26"/>
                <w:szCs w:val="26"/>
              </w:rPr>
            </w:pPr>
            <w:r w:rsidRPr="0077795E">
              <w:rPr>
                <w:rFonts w:cs="Times New Roman"/>
                <w:sz w:val="26"/>
                <w:szCs w:val="26"/>
              </w:rPr>
              <w:t>Persistent severe hypokalemia prior to sustained infusion</w:t>
            </w:r>
          </w:p>
        </w:tc>
      </w:tr>
      <w:tr w:rsidR="00BE4770" w:rsidRPr="0077795E" w14:paraId="46F26D63" w14:textId="77777777">
        <w:trPr>
          <w:jc w:val="center"/>
        </w:trPr>
        <w:tc>
          <w:tcPr>
            <w:tcW w:w="2340" w:type="dxa"/>
            <w:shd w:val="clear" w:color="auto" w:fill="F5F8FA"/>
          </w:tcPr>
          <w:p w14:paraId="47A56AE9" w14:textId="77777777" w:rsidR="00BE4770" w:rsidRPr="0077795E" w:rsidRDefault="00913729">
            <w:pPr>
              <w:spacing w:before="40" w:after="40" w:line="252" w:lineRule="auto"/>
              <w:rPr>
                <w:rFonts w:cs="Times New Roman"/>
                <w:sz w:val="26"/>
                <w:szCs w:val="26"/>
              </w:rPr>
            </w:pPr>
            <w:r w:rsidRPr="0077795E">
              <w:rPr>
                <w:rFonts w:cs="Times New Roman"/>
                <w:sz w:val="26"/>
                <w:szCs w:val="26"/>
              </w:rPr>
              <w:t>Serum Potassium (Follow-up 03/09)</w:t>
            </w:r>
          </w:p>
        </w:tc>
        <w:tc>
          <w:tcPr>
            <w:tcW w:w="2340" w:type="dxa"/>
            <w:shd w:val="clear" w:color="auto" w:fill="F5F8FA"/>
          </w:tcPr>
          <w:p w14:paraId="30033540" w14:textId="77777777" w:rsidR="00BE4770" w:rsidRPr="0077795E" w:rsidRDefault="00913729">
            <w:pPr>
              <w:spacing w:before="40" w:after="40" w:line="252" w:lineRule="auto"/>
              <w:rPr>
                <w:rFonts w:cs="Times New Roman"/>
                <w:sz w:val="26"/>
                <w:szCs w:val="26"/>
              </w:rPr>
            </w:pPr>
            <w:r w:rsidRPr="0077795E">
              <w:rPr>
                <w:rFonts w:cs="Times New Roman"/>
                <w:sz w:val="26"/>
                <w:szCs w:val="26"/>
              </w:rPr>
              <w:t>2.1 mmol/L</w:t>
            </w:r>
          </w:p>
        </w:tc>
        <w:tc>
          <w:tcPr>
            <w:tcW w:w="2340" w:type="dxa"/>
            <w:shd w:val="clear" w:color="auto" w:fill="F5F8FA"/>
          </w:tcPr>
          <w:p w14:paraId="061EB278" w14:textId="77777777" w:rsidR="00BE4770" w:rsidRPr="0077795E" w:rsidRDefault="00913729">
            <w:pPr>
              <w:spacing w:before="40" w:after="40" w:line="252" w:lineRule="auto"/>
              <w:rPr>
                <w:rFonts w:cs="Times New Roman"/>
                <w:sz w:val="26"/>
                <w:szCs w:val="26"/>
              </w:rPr>
            </w:pPr>
            <w:r w:rsidRPr="0077795E">
              <w:rPr>
                <w:rFonts w:cs="Times New Roman"/>
                <w:sz w:val="26"/>
                <w:szCs w:val="26"/>
              </w:rPr>
              <w:t>3.5 – 5.5 mmol/L</w:t>
            </w:r>
          </w:p>
        </w:tc>
        <w:tc>
          <w:tcPr>
            <w:tcW w:w="2340" w:type="dxa"/>
            <w:shd w:val="clear" w:color="auto" w:fill="F5F8FA"/>
          </w:tcPr>
          <w:p w14:paraId="62B14D61" w14:textId="77777777" w:rsidR="00BE4770" w:rsidRPr="0077795E" w:rsidRDefault="00913729">
            <w:pPr>
              <w:spacing w:before="40" w:after="40" w:line="252" w:lineRule="auto"/>
              <w:rPr>
                <w:rFonts w:cs="Times New Roman"/>
                <w:sz w:val="26"/>
                <w:szCs w:val="26"/>
              </w:rPr>
            </w:pPr>
            <w:r w:rsidRPr="0077795E">
              <w:rPr>
                <w:rFonts w:cs="Times New Roman"/>
                <w:sz w:val="26"/>
                <w:szCs w:val="26"/>
              </w:rPr>
              <w:t>Gradual correction following initial potassium repletion</w:t>
            </w:r>
          </w:p>
        </w:tc>
      </w:tr>
      <w:tr w:rsidR="00BE4770" w:rsidRPr="0077795E" w14:paraId="053842E9" w14:textId="77777777">
        <w:trPr>
          <w:jc w:val="center"/>
        </w:trPr>
        <w:tc>
          <w:tcPr>
            <w:tcW w:w="2340" w:type="dxa"/>
          </w:tcPr>
          <w:p w14:paraId="5D5B3F10" w14:textId="77777777" w:rsidR="00BE4770" w:rsidRPr="0077795E" w:rsidRDefault="00913729">
            <w:pPr>
              <w:spacing w:before="40" w:after="40" w:line="252" w:lineRule="auto"/>
              <w:rPr>
                <w:rFonts w:cs="Times New Roman"/>
                <w:sz w:val="26"/>
                <w:szCs w:val="26"/>
              </w:rPr>
            </w:pPr>
            <w:r w:rsidRPr="0077795E">
              <w:rPr>
                <w:rFonts w:cs="Times New Roman"/>
                <w:sz w:val="26"/>
                <w:szCs w:val="26"/>
              </w:rPr>
              <w:lastRenderedPageBreak/>
              <w:t>Serum Sodium (ISE)</w:t>
            </w:r>
          </w:p>
        </w:tc>
        <w:tc>
          <w:tcPr>
            <w:tcW w:w="2340" w:type="dxa"/>
          </w:tcPr>
          <w:p w14:paraId="108F2953" w14:textId="77777777" w:rsidR="00BE4770" w:rsidRPr="0077795E" w:rsidRDefault="00913729">
            <w:pPr>
              <w:spacing w:before="40" w:after="40" w:line="252" w:lineRule="auto"/>
              <w:rPr>
                <w:rFonts w:cs="Times New Roman"/>
                <w:sz w:val="26"/>
                <w:szCs w:val="26"/>
              </w:rPr>
            </w:pPr>
            <w:r w:rsidRPr="0077795E">
              <w:rPr>
                <w:rFonts w:cs="Times New Roman"/>
                <w:sz w:val="26"/>
                <w:szCs w:val="26"/>
              </w:rPr>
              <w:t>139.5 mmol/L</w:t>
            </w:r>
          </w:p>
        </w:tc>
        <w:tc>
          <w:tcPr>
            <w:tcW w:w="2340" w:type="dxa"/>
          </w:tcPr>
          <w:p w14:paraId="5F3106D4" w14:textId="77777777" w:rsidR="00BE4770" w:rsidRPr="0077795E" w:rsidRDefault="00913729">
            <w:pPr>
              <w:spacing w:before="40" w:after="40" w:line="252" w:lineRule="auto"/>
              <w:rPr>
                <w:rFonts w:cs="Times New Roman"/>
                <w:sz w:val="26"/>
                <w:szCs w:val="26"/>
              </w:rPr>
            </w:pPr>
            <w:r w:rsidRPr="0077795E">
              <w:rPr>
                <w:rFonts w:cs="Times New Roman"/>
                <w:sz w:val="26"/>
                <w:szCs w:val="26"/>
              </w:rPr>
              <w:t>133 – 152 mmol/L</w:t>
            </w:r>
          </w:p>
        </w:tc>
        <w:tc>
          <w:tcPr>
            <w:tcW w:w="2340" w:type="dxa"/>
          </w:tcPr>
          <w:p w14:paraId="76DFDD43" w14:textId="77777777" w:rsidR="00BE4770" w:rsidRPr="0077795E" w:rsidRDefault="00913729">
            <w:pPr>
              <w:spacing w:before="40" w:after="40" w:line="252" w:lineRule="auto"/>
              <w:rPr>
                <w:rFonts w:cs="Times New Roman"/>
                <w:sz w:val="26"/>
                <w:szCs w:val="26"/>
              </w:rPr>
            </w:pPr>
            <w:proofErr w:type="spellStart"/>
            <w:r w:rsidRPr="0077795E">
              <w:rPr>
                <w:rFonts w:cs="Times New Roman"/>
                <w:sz w:val="26"/>
                <w:szCs w:val="26"/>
              </w:rPr>
              <w:t>Eunatremic</w:t>
            </w:r>
            <w:proofErr w:type="spellEnd"/>
            <w:r w:rsidRPr="0077795E">
              <w:rPr>
                <w:rFonts w:cs="Times New Roman"/>
                <w:sz w:val="26"/>
                <w:szCs w:val="26"/>
              </w:rPr>
              <w:t>; normal serum osmolar balance</w:t>
            </w:r>
          </w:p>
        </w:tc>
      </w:tr>
      <w:tr w:rsidR="00BE4770" w:rsidRPr="0077795E" w14:paraId="614B12B2" w14:textId="77777777">
        <w:trPr>
          <w:jc w:val="center"/>
        </w:trPr>
        <w:tc>
          <w:tcPr>
            <w:tcW w:w="2340" w:type="dxa"/>
            <w:shd w:val="clear" w:color="auto" w:fill="F5F8FA"/>
          </w:tcPr>
          <w:p w14:paraId="5A6BA9F4" w14:textId="77777777" w:rsidR="00BE4770" w:rsidRPr="0077795E" w:rsidRDefault="00913729">
            <w:pPr>
              <w:spacing w:before="40" w:after="40" w:line="252" w:lineRule="auto"/>
              <w:rPr>
                <w:rFonts w:cs="Times New Roman"/>
                <w:sz w:val="26"/>
                <w:szCs w:val="26"/>
              </w:rPr>
            </w:pPr>
            <w:r w:rsidRPr="0077795E">
              <w:rPr>
                <w:rFonts w:cs="Times New Roman"/>
                <w:sz w:val="26"/>
                <w:szCs w:val="26"/>
              </w:rPr>
              <w:t>Serum Chloride (ISE)</w:t>
            </w:r>
          </w:p>
        </w:tc>
        <w:tc>
          <w:tcPr>
            <w:tcW w:w="2340" w:type="dxa"/>
            <w:shd w:val="clear" w:color="auto" w:fill="F5F8FA"/>
          </w:tcPr>
          <w:p w14:paraId="6F63D027" w14:textId="77777777" w:rsidR="00BE4770" w:rsidRPr="0077795E" w:rsidRDefault="00913729">
            <w:pPr>
              <w:spacing w:before="40" w:after="40" w:line="252" w:lineRule="auto"/>
              <w:rPr>
                <w:rFonts w:cs="Times New Roman"/>
                <w:sz w:val="26"/>
                <w:szCs w:val="26"/>
              </w:rPr>
            </w:pPr>
            <w:r w:rsidRPr="0077795E">
              <w:rPr>
                <w:rFonts w:cs="Times New Roman"/>
                <w:sz w:val="26"/>
                <w:szCs w:val="26"/>
              </w:rPr>
              <w:t>106.6 mmol/L</w:t>
            </w:r>
          </w:p>
        </w:tc>
        <w:tc>
          <w:tcPr>
            <w:tcW w:w="2340" w:type="dxa"/>
            <w:shd w:val="clear" w:color="auto" w:fill="F5F8FA"/>
          </w:tcPr>
          <w:p w14:paraId="63355231" w14:textId="77777777" w:rsidR="00BE4770" w:rsidRPr="0077795E" w:rsidRDefault="00913729">
            <w:pPr>
              <w:spacing w:before="40" w:after="40" w:line="252" w:lineRule="auto"/>
              <w:rPr>
                <w:rFonts w:cs="Times New Roman"/>
                <w:sz w:val="26"/>
                <w:szCs w:val="26"/>
              </w:rPr>
            </w:pPr>
            <w:r w:rsidRPr="0077795E">
              <w:rPr>
                <w:rFonts w:cs="Times New Roman"/>
                <w:sz w:val="26"/>
                <w:szCs w:val="26"/>
              </w:rPr>
              <w:t>96 – 106 mmol/L</w:t>
            </w:r>
          </w:p>
        </w:tc>
        <w:tc>
          <w:tcPr>
            <w:tcW w:w="2340" w:type="dxa"/>
            <w:shd w:val="clear" w:color="auto" w:fill="F5F8FA"/>
          </w:tcPr>
          <w:p w14:paraId="0F9EFC8B" w14:textId="77777777" w:rsidR="00BE4770" w:rsidRPr="0077795E" w:rsidRDefault="00913729">
            <w:pPr>
              <w:spacing w:before="40" w:after="40" w:line="252" w:lineRule="auto"/>
              <w:rPr>
                <w:rFonts w:cs="Times New Roman"/>
                <w:sz w:val="26"/>
                <w:szCs w:val="26"/>
              </w:rPr>
            </w:pPr>
            <w:r w:rsidRPr="0077795E">
              <w:rPr>
                <w:rFonts w:cs="Times New Roman"/>
                <w:sz w:val="26"/>
                <w:szCs w:val="26"/>
              </w:rPr>
              <w:t>Normal borderline serum chloride</w:t>
            </w:r>
          </w:p>
        </w:tc>
      </w:tr>
      <w:tr w:rsidR="00BE4770" w:rsidRPr="0077795E" w14:paraId="0FFBDD1E" w14:textId="77777777">
        <w:trPr>
          <w:jc w:val="center"/>
        </w:trPr>
        <w:tc>
          <w:tcPr>
            <w:tcW w:w="2340" w:type="dxa"/>
          </w:tcPr>
          <w:p w14:paraId="18192B55" w14:textId="77777777" w:rsidR="00BE4770" w:rsidRPr="0077795E" w:rsidRDefault="00913729">
            <w:pPr>
              <w:spacing w:before="40" w:after="40" w:line="252" w:lineRule="auto"/>
              <w:rPr>
                <w:rFonts w:cs="Times New Roman"/>
                <w:sz w:val="26"/>
                <w:szCs w:val="26"/>
              </w:rPr>
            </w:pPr>
            <w:r w:rsidRPr="0077795E">
              <w:rPr>
                <w:rFonts w:cs="Times New Roman"/>
                <w:sz w:val="26"/>
                <w:szCs w:val="26"/>
              </w:rPr>
              <w:t>Creatine Kinase (CK, Serum)</w:t>
            </w:r>
          </w:p>
        </w:tc>
        <w:tc>
          <w:tcPr>
            <w:tcW w:w="2340" w:type="dxa"/>
          </w:tcPr>
          <w:p w14:paraId="18A0083D" w14:textId="77777777" w:rsidR="00BE4770" w:rsidRPr="0077795E" w:rsidRDefault="00913729">
            <w:pPr>
              <w:spacing w:before="40" w:after="40" w:line="252" w:lineRule="auto"/>
              <w:rPr>
                <w:rFonts w:cs="Times New Roman"/>
                <w:sz w:val="26"/>
                <w:szCs w:val="26"/>
              </w:rPr>
            </w:pPr>
            <w:r w:rsidRPr="0077795E">
              <w:rPr>
                <w:rFonts w:cs="Times New Roman"/>
                <w:sz w:val="26"/>
                <w:szCs w:val="26"/>
              </w:rPr>
              <w:t>348.0 U/L</w:t>
            </w:r>
          </w:p>
        </w:tc>
        <w:tc>
          <w:tcPr>
            <w:tcW w:w="2340" w:type="dxa"/>
          </w:tcPr>
          <w:p w14:paraId="4E68D404" w14:textId="77777777" w:rsidR="00BE4770" w:rsidRPr="0077795E" w:rsidRDefault="00913729">
            <w:pPr>
              <w:spacing w:before="40" w:after="40" w:line="252" w:lineRule="auto"/>
              <w:rPr>
                <w:rFonts w:cs="Times New Roman"/>
                <w:sz w:val="26"/>
                <w:szCs w:val="26"/>
              </w:rPr>
            </w:pPr>
            <w:r w:rsidRPr="0077795E">
              <w:rPr>
                <w:rFonts w:cs="Times New Roman"/>
                <w:sz w:val="26"/>
                <w:szCs w:val="26"/>
              </w:rPr>
              <w:t>55 – 170 U/L</w:t>
            </w:r>
          </w:p>
        </w:tc>
        <w:tc>
          <w:tcPr>
            <w:tcW w:w="2340" w:type="dxa"/>
          </w:tcPr>
          <w:p w14:paraId="269A7EB6" w14:textId="77777777" w:rsidR="00BE4770" w:rsidRPr="0077795E" w:rsidRDefault="00913729">
            <w:pPr>
              <w:spacing w:before="40" w:after="40" w:line="252" w:lineRule="auto"/>
              <w:rPr>
                <w:rFonts w:cs="Times New Roman"/>
                <w:sz w:val="26"/>
                <w:szCs w:val="26"/>
              </w:rPr>
            </w:pPr>
            <w:r w:rsidRPr="0077795E">
              <w:rPr>
                <w:rFonts w:cs="Times New Roman"/>
                <w:sz w:val="26"/>
                <w:szCs w:val="26"/>
              </w:rPr>
              <w:t>Elevated; reflects hypokalemic myopathy/</w:t>
            </w:r>
            <w:proofErr w:type="spellStart"/>
            <w:r w:rsidRPr="0077795E">
              <w:rPr>
                <w:rFonts w:cs="Times New Roman"/>
                <w:sz w:val="26"/>
                <w:szCs w:val="26"/>
              </w:rPr>
              <w:t>sarcolemmal</w:t>
            </w:r>
            <w:proofErr w:type="spellEnd"/>
            <w:r w:rsidRPr="0077795E">
              <w:rPr>
                <w:rFonts w:cs="Times New Roman"/>
                <w:sz w:val="26"/>
                <w:szCs w:val="26"/>
              </w:rPr>
              <w:t xml:space="preserve"> stress</w:t>
            </w:r>
          </w:p>
        </w:tc>
      </w:tr>
      <w:tr w:rsidR="00BE4770" w:rsidRPr="0077795E" w14:paraId="48D2EDF0" w14:textId="77777777">
        <w:trPr>
          <w:jc w:val="center"/>
        </w:trPr>
        <w:tc>
          <w:tcPr>
            <w:tcW w:w="2340" w:type="dxa"/>
            <w:shd w:val="clear" w:color="auto" w:fill="F5F8FA"/>
          </w:tcPr>
          <w:p w14:paraId="4C5E88F0" w14:textId="77777777" w:rsidR="00BE4770" w:rsidRPr="0077795E" w:rsidRDefault="00913729">
            <w:pPr>
              <w:spacing w:before="40" w:after="40" w:line="252" w:lineRule="auto"/>
              <w:rPr>
                <w:rFonts w:cs="Times New Roman"/>
                <w:sz w:val="26"/>
                <w:szCs w:val="26"/>
              </w:rPr>
            </w:pPr>
            <w:r w:rsidRPr="0077795E">
              <w:rPr>
                <w:rFonts w:cs="Times New Roman"/>
                <w:sz w:val="26"/>
                <w:szCs w:val="26"/>
              </w:rPr>
              <w:t>Arterial Blood Gas - pH</w:t>
            </w:r>
          </w:p>
        </w:tc>
        <w:tc>
          <w:tcPr>
            <w:tcW w:w="2340" w:type="dxa"/>
            <w:shd w:val="clear" w:color="auto" w:fill="F5F8FA"/>
          </w:tcPr>
          <w:p w14:paraId="61B82C23" w14:textId="77777777" w:rsidR="00BE4770" w:rsidRPr="0077795E" w:rsidRDefault="00913729">
            <w:pPr>
              <w:spacing w:before="40" w:after="40" w:line="252" w:lineRule="auto"/>
              <w:rPr>
                <w:rFonts w:cs="Times New Roman"/>
                <w:sz w:val="26"/>
                <w:szCs w:val="26"/>
              </w:rPr>
            </w:pPr>
            <w:r w:rsidRPr="0077795E">
              <w:rPr>
                <w:rFonts w:cs="Times New Roman"/>
                <w:sz w:val="26"/>
                <w:szCs w:val="26"/>
              </w:rPr>
              <w:t>7.40</w:t>
            </w:r>
          </w:p>
        </w:tc>
        <w:tc>
          <w:tcPr>
            <w:tcW w:w="2340" w:type="dxa"/>
            <w:shd w:val="clear" w:color="auto" w:fill="F5F8FA"/>
          </w:tcPr>
          <w:p w14:paraId="71822975" w14:textId="77777777" w:rsidR="00BE4770" w:rsidRPr="0077795E" w:rsidRDefault="00913729">
            <w:pPr>
              <w:spacing w:before="40" w:after="40" w:line="252" w:lineRule="auto"/>
              <w:rPr>
                <w:rFonts w:cs="Times New Roman"/>
                <w:sz w:val="26"/>
                <w:szCs w:val="26"/>
              </w:rPr>
            </w:pPr>
            <w:r w:rsidRPr="0077795E">
              <w:rPr>
                <w:rFonts w:cs="Times New Roman"/>
                <w:sz w:val="26"/>
                <w:szCs w:val="26"/>
              </w:rPr>
              <w:t>7.35 – 7.45</w:t>
            </w:r>
          </w:p>
        </w:tc>
        <w:tc>
          <w:tcPr>
            <w:tcW w:w="2340" w:type="dxa"/>
            <w:shd w:val="clear" w:color="auto" w:fill="F5F8FA"/>
          </w:tcPr>
          <w:p w14:paraId="297D592D" w14:textId="77777777" w:rsidR="00BE4770" w:rsidRPr="0077795E" w:rsidRDefault="00913729">
            <w:pPr>
              <w:spacing w:before="40" w:after="40" w:line="252" w:lineRule="auto"/>
              <w:rPr>
                <w:rFonts w:cs="Times New Roman"/>
                <w:sz w:val="26"/>
                <w:szCs w:val="26"/>
              </w:rPr>
            </w:pPr>
            <w:r w:rsidRPr="0077795E">
              <w:rPr>
                <w:rFonts w:cs="Times New Roman"/>
                <w:sz w:val="26"/>
                <w:szCs w:val="26"/>
              </w:rPr>
              <w:t>Normal baseline systemic arterial pH</w:t>
            </w:r>
          </w:p>
        </w:tc>
      </w:tr>
      <w:tr w:rsidR="00BE4770" w:rsidRPr="0077795E" w14:paraId="69752752" w14:textId="77777777">
        <w:trPr>
          <w:jc w:val="center"/>
        </w:trPr>
        <w:tc>
          <w:tcPr>
            <w:tcW w:w="2340" w:type="dxa"/>
          </w:tcPr>
          <w:p w14:paraId="5EFEDAD1" w14:textId="77777777" w:rsidR="00BE4770" w:rsidRPr="0077795E" w:rsidRDefault="00913729">
            <w:pPr>
              <w:spacing w:before="40" w:after="40" w:line="252" w:lineRule="auto"/>
              <w:rPr>
                <w:rFonts w:cs="Times New Roman"/>
                <w:sz w:val="26"/>
                <w:szCs w:val="26"/>
              </w:rPr>
            </w:pPr>
            <w:r w:rsidRPr="0077795E">
              <w:rPr>
                <w:rFonts w:cs="Times New Roman"/>
                <w:sz w:val="26"/>
                <w:szCs w:val="26"/>
              </w:rPr>
              <w:t>Arterial pCO2 / pO2</w:t>
            </w:r>
          </w:p>
        </w:tc>
        <w:tc>
          <w:tcPr>
            <w:tcW w:w="2340" w:type="dxa"/>
          </w:tcPr>
          <w:p w14:paraId="721D5A77" w14:textId="77777777" w:rsidR="00BE4770" w:rsidRPr="0077795E" w:rsidRDefault="00913729">
            <w:pPr>
              <w:spacing w:before="40" w:after="40" w:line="252" w:lineRule="auto"/>
              <w:rPr>
                <w:rFonts w:cs="Times New Roman"/>
                <w:sz w:val="26"/>
                <w:szCs w:val="26"/>
              </w:rPr>
            </w:pPr>
            <w:r w:rsidRPr="0077795E">
              <w:rPr>
                <w:rFonts w:cs="Times New Roman"/>
                <w:sz w:val="26"/>
                <w:szCs w:val="26"/>
              </w:rPr>
              <w:t>32 mmHg / 74 mmHg</w:t>
            </w:r>
          </w:p>
        </w:tc>
        <w:tc>
          <w:tcPr>
            <w:tcW w:w="2340" w:type="dxa"/>
          </w:tcPr>
          <w:p w14:paraId="6B247F90" w14:textId="77777777" w:rsidR="00BE4770" w:rsidRPr="0077795E" w:rsidRDefault="00913729">
            <w:pPr>
              <w:spacing w:before="40" w:after="40" w:line="252" w:lineRule="auto"/>
              <w:rPr>
                <w:rFonts w:cs="Times New Roman"/>
                <w:sz w:val="26"/>
                <w:szCs w:val="26"/>
              </w:rPr>
            </w:pPr>
            <w:r w:rsidRPr="0077795E">
              <w:rPr>
                <w:rFonts w:cs="Times New Roman"/>
                <w:sz w:val="26"/>
                <w:szCs w:val="26"/>
              </w:rPr>
              <w:t>35–45 mmHg / 80–100 mmHg</w:t>
            </w:r>
          </w:p>
        </w:tc>
        <w:tc>
          <w:tcPr>
            <w:tcW w:w="2340" w:type="dxa"/>
          </w:tcPr>
          <w:p w14:paraId="723EACB9" w14:textId="77777777" w:rsidR="00BE4770" w:rsidRPr="0077795E" w:rsidRDefault="00913729">
            <w:pPr>
              <w:spacing w:before="40" w:after="40" w:line="252" w:lineRule="auto"/>
              <w:rPr>
                <w:rFonts w:cs="Times New Roman"/>
                <w:sz w:val="26"/>
                <w:szCs w:val="26"/>
              </w:rPr>
            </w:pPr>
            <w:r w:rsidRPr="0077795E">
              <w:rPr>
                <w:rFonts w:cs="Times New Roman"/>
                <w:sz w:val="26"/>
                <w:szCs w:val="26"/>
              </w:rPr>
              <w:t>Mild compensatory hyperventilation; adequate oxygenation</w:t>
            </w:r>
          </w:p>
        </w:tc>
      </w:tr>
      <w:tr w:rsidR="00BE4770" w:rsidRPr="0077795E" w14:paraId="63FD382B" w14:textId="77777777">
        <w:trPr>
          <w:jc w:val="center"/>
        </w:trPr>
        <w:tc>
          <w:tcPr>
            <w:tcW w:w="2340" w:type="dxa"/>
            <w:shd w:val="clear" w:color="auto" w:fill="F5F8FA"/>
          </w:tcPr>
          <w:p w14:paraId="4E726734" w14:textId="77777777" w:rsidR="00BE4770" w:rsidRPr="0077795E" w:rsidRDefault="00913729">
            <w:pPr>
              <w:spacing w:before="40" w:after="40" w:line="252" w:lineRule="auto"/>
              <w:rPr>
                <w:rFonts w:cs="Times New Roman"/>
                <w:sz w:val="26"/>
                <w:szCs w:val="26"/>
              </w:rPr>
            </w:pPr>
            <w:r w:rsidRPr="0077795E">
              <w:rPr>
                <w:rFonts w:cs="Times New Roman"/>
                <w:sz w:val="26"/>
                <w:szCs w:val="26"/>
              </w:rPr>
              <w:t>Arterial Potassium / Ionized Ca++</w:t>
            </w:r>
          </w:p>
        </w:tc>
        <w:tc>
          <w:tcPr>
            <w:tcW w:w="2340" w:type="dxa"/>
            <w:shd w:val="clear" w:color="auto" w:fill="F5F8FA"/>
          </w:tcPr>
          <w:p w14:paraId="15EE1DBE" w14:textId="77777777" w:rsidR="00BE4770" w:rsidRPr="0077795E" w:rsidRDefault="00913729">
            <w:pPr>
              <w:spacing w:before="40" w:after="40" w:line="252" w:lineRule="auto"/>
              <w:rPr>
                <w:rFonts w:cs="Times New Roman"/>
                <w:sz w:val="26"/>
                <w:szCs w:val="26"/>
              </w:rPr>
            </w:pPr>
            <w:r w:rsidRPr="0077795E">
              <w:rPr>
                <w:rFonts w:cs="Times New Roman"/>
                <w:sz w:val="26"/>
                <w:szCs w:val="26"/>
              </w:rPr>
              <w:t>3.2 mmol/L / 0.70 mmol/L</w:t>
            </w:r>
          </w:p>
        </w:tc>
        <w:tc>
          <w:tcPr>
            <w:tcW w:w="2340" w:type="dxa"/>
            <w:shd w:val="clear" w:color="auto" w:fill="F5F8FA"/>
          </w:tcPr>
          <w:p w14:paraId="6AF7D26B" w14:textId="77777777" w:rsidR="00BE4770" w:rsidRPr="0077795E" w:rsidRDefault="00913729">
            <w:pPr>
              <w:spacing w:before="40" w:after="40" w:line="252" w:lineRule="auto"/>
              <w:rPr>
                <w:rFonts w:cs="Times New Roman"/>
                <w:sz w:val="26"/>
                <w:szCs w:val="26"/>
              </w:rPr>
            </w:pPr>
            <w:r w:rsidRPr="0077795E">
              <w:rPr>
                <w:rFonts w:cs="Times New Roman"/>
                <w:sz w:val="26"/>
                <w:szCs w:val="26"/>
              </w:rPr>
              <w:t>3.5–5.0 mmol/L / 1.15–1.33 mmol/L</w:t>
            </w:r>
          </w:p>
        </w:tc>
        <w:tc>
          <w:tcPr>
            <w:tcW w:w="2340" w:type="dxa"/>
            <w:shd w:val="clear" w:color="auto" w:fill="F5F8FA"/>
          </w:tcPr>
          <w:p w14:paraId="40504F41" w14:textId="77777777" w:rsidR="00BE4770" w:rsidRPr="0077795E" w:rsidRDefault="00913729">
            <w:pPr>
              <w:spacing w:before="40" w:after="40" w:line="252" w:lineRule="auto"/>
              <w:rPr>
                <w:rFonts w:cs="Times New Roman"/>
                <w:sz w:val="26"/>
                <w:szCs w:val="26"/>
              </w:rPr>
            </w:pPr>
            <w:r w:rsidRPr="0077795E">
              <w:rPr>
                <w:rFonts w:cs="Times New Roman"/>
                <w:sz w:val="26"/>
                <w:szCs w:val="26"/>
              </w:rPr>
              <w:t>Reduced ionized calcium; whole-blood analyzer variability</w:t>
            </w:r>
          </w:p>
        </w:tc>
      </w:tr>
      <w:tr w:rsidR="00BE4770" w:rsidRPr="0077795E" w14:paraId="7EE74D38" w14:textId="77777777">
        <w:trPr>
          <w:jc w:val="center"/>
        </w:trPr>
        <w:tc>
          <w:tcPr>
            <w:tcW w:w="2340" w:type="dxa"/>
          </w:tcPr>
          <w:p w14:paraId="0460B55F" w14:textId="77777777" w:rsidR="00BE4770" w:rsidRPr="0077795E" w:rsidRDefault="00913729">
            <w:pPr>
              <w:spacing w:before="40" w:after="40" w:line="252" w:lineRule="auto"/>
              <w:rPr>
                <w:rFonts w:cs="Times New Roman"/>
                <w:sz w:val="26"/>
                <w:szCs w:val="26"/>
              </w:rPr>
            </w:pPr>
            <w:r w:rsidRPr="0077795E">
              <w:rPr>
                <w:rFonts w:cs="Times New Roman"/>
                <w:sz w:val="26"/>
                <w:szCs w:val="26"/>
              </w:rPr>
              <w:t>Arterial Bicarbonate (HCO3-) / BE</w:t>
            </w:r>
          </w:p>
        </w:tc>
        <w:tc>
          <w:tcPr>
            <w:tcW w:w="2340" w:type="dxa"/>
          </w:tcPr>
          <w:p w14:paraId="0D1AB8A2" w14:textId="77777777" w:rsidR="00BE4770" w:rsidRPr="0077795E" w:rsidRDefault="00913729">
            <w:pPr>
              <w:spacing w:before="40" w:after="40" w:line="252" w:lineRule="auto"/>
              <w:rPr>
                <w:rFonts w:cs="Times New Roman"/>
                <w:sz w:val="26"/>
                <w:szCs w:val="26"/>
              </w:rPr>
            </w:pPr>
            <w:r w:rsidRPr="0077795E">
              <w:rPr>
                <w:rFonts w:cs="Times New Roman"/>
                <w:sz w:val="26"/>
                <w:szCs w:val="26"/>
              </w:rPr>
              <w:t>19.8 mmol/L / -5.0 mmol/L</w:t>
            </w:r>
          </w:p>
        </w:tc>
        <w:tc>
          <w:tcPr>
            <w:tcW w:w="2340" w:type="dxa"/>
          </w:tcPr>
          <w:p w14:paraId="5529DE64" w14:textId="77777777" w:rsidR="00BE4770" w:rsidRPr="0077795E" w:rsidRDefault="00913729">
            <w:pPr>
              <w:spacing w:before="40" w:after="40" w:line="252" w:lineRule="auto"/>
              <w:rPr>
                <w:rFonts w:cs="Times New Roman"/>
                <w:sz w:val="26"/>
                <w:szCs w:val="26"/>
              </w:rPr>
            </w:pPr>
            <w:r w:rsidRPr="0077795E">
              <w:rPr>
                <w:rFonts w:cs="Times New Roman"/>
                <w:sz w:val="26"/>
                <w:szCs w:val="26"/>
              </w:rPr>
              <w:t>22.0 – 26.0 mmol/L / -2 to +2</w:t>
            </w:r>
          </w:p>
        </w:tc>
        <w:tc>
          <w:tcPr>
            <w:tcW w:w="2340" w:type="dxa"/>
          </w:tcPr>
          <w:p w14:paraId="42457D5E" w14:textId="77777777" w:rsidR="00BE4770" w:rsidRPr="0077795E" w:rsidRDefault="00913729">
            <w:pPr>
              <w:spacing w:before="40" w:after="40" w:line="252" w:lineRule="auto"/>
              <w:rPr>
                <w:rFonts w:cs="Times New Roman"/>
                <w:sz w:val="26"/>
                <w:szCs w:val="26"/>
              </w:rPr>
            </w:pPr>
            <w:r w:rsidRPr="0077795E">
              <w:rPr>
                <w:rFonts w:cs="Times New Roman"/>
                <w:sz w:val="26"/>
                <w:szCs w:val="26"/>
              </w:rPr>
              <w:t>Mild metabolic compensation</w:t>
            </w:r>
          </w:p>
        </w:tc>
      </w:tr>
      <w:tr w:rsidR="00BE4770" w:rsidRPr="0077795E" w14:paraId="146E6B1F" w14:textId="77777777">
        <w:trPr>
          <w:jc w:val="center"/>
        </w:trPr>
        <w:tc>
          <w:tcPr>
            <w:tcW w:w="2340" w:type="dxa"/>
            <w:shd w:val="clear" w:color="auto" w:fill="F5F8FA"/>
          </w:tcPr>
          <w:p w14:paraId="0A8A67E4" w14:textId="77777777" w:rsidR="00BE4770" w:rsidRPr="0077795E" w:rsidRDefault="00913729">
            <w:pPr>
              <w:spacing w:before="40" w:after="40" w:line="252" w:lineRule="auto"/>
              <w:rPr>
                <w:rFonts w:cs="Times New Roman"/>
                <w:sz w:val="26"/>
                <w:szCs w:val="26"/>
              </w:rPr>
            </w:pPr>
            <w:r w:rsidRPr="0077795E">
              <w:rPr>
                <w:rFonts w:cs="Times New Roman"/>
                <w:sz w:val="26"/>
                <w:szCs w:val="26"/>
              </w:rPr>
              <w:t>Thyroid Stimulating Hormone (TSH)</w:t>
            </w:r>
          </w:p>
        </w:tc>
        <w:tc>
          <w:tcPr>
            <w:tcW w:w="2340" w:type="dxa"/>
            <w:shd w:val="clear" w:color="auto" w:fill="F5F8FA"/>
          </w:tcPr>
          <w:p w14:paraId="7AC043C2" w14:textId="77777777" w:rsidR="00BE4770" w:rsidRPr="0077795E" w:rsidRDefault="00913729">
            <w:pPr>
              <w:spacing w:before="40" w:after="40" w:line="252" w:lineRule="auto"/>
              <w:rPr>
                <w:rFonts w:cs="Times New Roman"/>
                <w:sz w:val="26"/>
                <w:szCs w:val="26"/>
              </w:rPr>
            </w:pPr>
            <w:r w:rsidRPr="0077795E">
              <w:rPr>
                <w:rFonts w:cs="Times New Roman"/>
                <w:sz w:val="26"/>
                <w:szCs w:val="26"/>
              </w:rPr>
              <w:t>1.54 µIU/mL</w:t>
            </w:r>
          </w:p>
        </w:tc>
        <w:tc>
          <w:tcPr>
            <w:tcW w:w="2340" w:type="dxa"/>
            <w:shd w:val="clear" w:color="auto" w:fill="F5F8FA"/>
          </w:tcPr>
          <w:p w14:paraId="3CF45094" w14:textId="77777777" w:rsidR="00BE4770" w:rsidRPr="0077795E" w:rsidRDefault="00913729">
            <w:pPr>
              <w:spacing w:before="40" w:after="40" w:line="252" w:lineRule="auto"/>
              <w:rPr>
                <w:rFonts w:cs="Times New Roman"/>
                <w:sz w:val="26"/>
                <w:szCs w:val="26"/>
              </w:rPr>
            </w:pPr>
            <w:r w:rsidRPr="0077795E">
              <w:rPr>
                <w:rFonts w:cs="Times New Roman"/>
                <w:sz w:val="26"/>
                <w:szCs w:val="26"/>
              </w:rPr>
              <w:t>0.3 – 4.2 µIU/mL</w:t>
            </w:r>
          </w:p>
        </w:tc>
        <w:tc>
          <w:tcPr>
            <w:tcW w:w="2340" w:type="dxa"/>
            <w:shd w:val="clear" w:color="auto" w:fill="F5F8FA"/>
          </w:tcPr>
          <w:p w14:paraId="03C41536" w14:textId="77777777" w:rsidR="00BE4770" w:rsidRPr="0077795E" w:rsidRDefault="00913729">
            <w:pPr>
              <w:spacing w:before="40" w:after="40" w:line="252" w:lineRule="auto"/>
              <w:rPr>
                <w:rFonts w:cs="Times New Roman"/>
                <w:sz w:val="26"/>
                <w:szCs w:val="26"/>
              </w:rPr>
            </w:pPr>
            <w:r w:rsidRPr="0077795E">
              <w:rPr>
                <w:rFonts w:cs="Times New Roman"/>
                <w:sz w:val="26"/>
                <w:szCs w:val="26"/>
              </w:rPr>
              <w:t>Euthyroid; excludes thyrotoxic periodic paralysis (TPP)</w:t>
            </w:r>
          </w:p>
        </w:tc>
      </w:tr>
      <w:tr w:rsidR="00BE4770" w:rsidRPr="0077795E" w14:paraId="42164171" w14:textId="77777777">
        <w:trPr>
          <w:jc w:val="center"/>
        </w:trPr>
        <w:tc>
          <w:tcPr>
            <w:tcW w:w="2340" w:type="dxa"/>
          </w:tcPr>
          <w:p w14:paraId="6B104812" w14:textId="77777777" w:rsidR="00BE4770" w:rsidRPr="0077795E" w:rsidRDefault="00913729">
            <w:pPr>
              <w:spacing w:before="40" w:after="40" w:line="252" w:lineRule="auto"/>
              <w:rPr>
                <w:rFonts w:cs="Times New Roman"/>
                <w:sz w:val="26"/>
                <w:szCs w:val="26"/>
              </w:rPr>
            </w:pPr>
            <w:r w:rsidRPr="0077795E">
              <w:rPr>
                <w:rFonts w:cs="Times New Roman"/>
                <w:sz w:val="26"/>
                <w:szCs w:val="26"/>
              </w:rPr>
              <w:t>Total Thyroxine (T4) / T3</w:t>
            </w:r>
          </w:p>
        </w:tc>
        <w:tc>
          <w:tcPr>
            <w:tcW w:w="2340" w:type="dxa"/>
          </w:tcPr>
          <w:p w14:paraId="6AA9C323" w14:textId="77777777" w:rsidR="00BE4770" w:rsidRPr="0077795E" w:rsidRDefault="00913729">
            <w:pPr>
              <w:spacing w:before="40" w:after="40" w:line="252" w:lineRule="auto"/>
              <w:rPr>
                <w:rFonts w:cs="Times New Roman"/>
                <w:sz w:val="26"/>
                <w:szCs w:val="26"/>
              </w:rPr>
            </w:pPr>
            <w:r w:rsidRPr="0077795E">
              <w:rPr>
                <w:rFonts w:cs="Times New Roman"/>
                <w:sz w:val="26"/>
                <w:szCs w:val="26"/>
              </w:rPr>
              <w:t>7.22 µg/dL / 0.87 ng/mL</w:t>
            </w:r>
          </w:p>
        </w:tc>
        <w:tc>
          <w:tcPr>
            <w:tcW w:w="2340" w:type="dxa"/>
          </w:tcPr>
          <w:p w14:paraId="0DB00570" w14:textId="77777777" w:rsidR="00BE4770" w:rsidRPr="0077795E" w:rsidRDefault="00913729">
            <w:pPr>
              <w:spacing w:before="40" w:after="40" w:line="252" w:lineRule="auto"/>
              <w:rPr>
                <w:rFonts w:cs="Times New Roman"/>
                <w:sz w:val="26"/>
                <w:szCs w:val="26"/>
              </w:rPr>
            </w:pPr>
            <w:r w:rsidRPr="0077795E">
              <w:rPr>
                <w:rFonts w:cs="Times New Roman"/>
                <w:sz w:val="26"/>
                <w:szCs w:val="26"/>
              </w:rPr>
              <w:t>4.5–11.7 µg/dL / 0.8–2.0 ng/mL</w:t>
            </w:r>
          </w:p>
        </w:tc>
        <w:tc>
          <w:tcPr>
            <w:tcW w:w="2340" w:type="dxa"/>
          </w:tcPr>
          <w:p w14:paraId="34CD467F" w14:textId="77777777" w:rsidR="00BE4770" w:rsidRPr="0077795E" w:rsidRDefault="00913729">
            <w:pPr>
              <w:spacing w:before="40" w:after="40" w:line="252" w:lineRule="auto"/>
              <w:rPr>
                <w:rFonts w:cs="Times New Roman"/>
                <w:sz w:val="26"/>
                <w:szCs w:val="26"/>
              </w:rPr>
            </w:pPr>
            <w:r w:rsidRPr="0077795E">
              <w:rPr>
                <w:rFonts w:cs="Times New Roman"/>
                <w:sz w:val="26"/>
                <w:szCs w:val="26"/>
              </w:rPr>
              <w:t>Normal thyroid hormone concentrations</w:t>
            </w:r>
          </w:p>
        </w:tc>
      </w:tr>
      <w:tr w:rsidR="00BE4770" w:rsidRPr="0077795E" w14:paraId="55734D7D" w14:textId="77777777">
        <w:trPr>
          <w:jc w:val="center"/>
        </w:trPr>
        <w:tc>
          <w:tcPr>
            <w:tcW w:w="2340" w:type="dxa"/>
            <w:shd w:val="clear" w:color="auto" w:fill="F5F8FA"/>
          </w:tcPr>
          <w:p w14:paraId="6AD95494" w14:textId="77777777" w:rsidR="00BE4770" w:rsidRPr="0077795E" w:rsidRDefault="00913729">
            <w:pPr>
              <w:spacing w:before="40" w:after="40" w:line="252" w:lineRule="auto"/>
              <w:rPr>
                <w:rFonts w:cs="Times New Roman"/>
                <w:sz w:val="26"/>
                <w:szCs w:val="26"/>
              </w:rPr>
            </w:pPr>
            <w:r w:rsidRPr="0077795E">
              <w:rPr>
                <w:rFonts w:cs="Times New Roman"/>
                <w:sz w:val="26"/>
                <w:szCs w:val="26"/>
              </w:rPr>
              <w:t>Complete Blood Count (TC / Hb)</w:t>
            </w:r>
          </w:p>
        </w:tc>
        <w:tc>
          <w:tcPr>
            <w:tcW w:w="2340" w:type="dxa"/>
            <w:shd w:val="clear" w:color="auto" w:fill="F5F8FA"/>
          </w:tcPr>
          <w:p w14:paraId="2E8EAB60" w14:textId="77777777" w:rsidR="00BE4770" w:rsidRPr="0077795E" w:rsidRDefault="00913729">
            <w:pPr>
              <w:spacing w:before="40" w:after="40" w:line="252" w:lineRule="auto"/>
              <w:rPr>
                <w:rFonts w:cs="Times New Roman"/>
                <w:sz w:val="26"/>
                <w:szCs w:val="26"/>
              </w:rPr>
            </w:pPr>
            <w:r w:rsidRPr="0077795E">
              <w:rPr>
                <w:rFonts w:cs="Times New Roman"/>
                <w:sz w:val="26"/>
                <w:szCs w:val="26"/>
              </w:rPr>
              <w:t>13,610 /µL / 14.2 g/dL</w:t>
            </w:r>
          </w:p>
        </w:tc>
        <w:tc>
          <w:tcPr>
            <w:tcW w:w="2340" w:type="dxa"/>
            <w:shd w:val="clear" w:color="auto" w:fill="F5F8FA"/>
          </w:tcPr>
          <w:p w14:paraId="32515439" w14:textId="77777777" w:rsidR="00BE4770" w:rsidRPr="0077795E" w:rsidRDefault="00913729">
            <w:pPr>
              <w:spacing w:before="40" w:after="40" w:line="252" w:lineRule="auto"/>
              <w:rPr>
                <w:rFonts w:cs="Times New Roman"/>
                <w:sz w:val="26"/>
                <w:szCs w:val="26"/>
              </w:rPr>
            </w:pPr>
            <w:r w:rsidRPr="0077795E">
              <w:rPr>
                <w:rFonts w:cs="Times New Roman"/>
                <w:sz w:val="26"/>
                <w:szCs w:val="26"/>
              </w:rPr>
              <w:t>4,000–11,000 /µL / 13.0–18.0 g/dL</w:t>
            </w:r>
          </w:p>
        </w:tc>
        <w:tc>
          <w:tcPr>
            <w:tcW w:w="2340" w:type="dxa"/>
            <w:shd w:val="clear" w:color="auto" w:fill="F5F8FA"/>
          </w:tcPr>
          <w:p w14:paraId="7518DA15" w14:textId="77777777" w:rsidR="00BE4770" w:rsidRPr="0077795E" w:rsidRDefault="00913729">
            <w:pPr>
              <w:spacing w:before="40" w:after="40" w:line="252" w:lineRule="auto"/>
              <w:rPr>
                <w:rFonts w:cs="Times New Roman"/>
                <w:sz w:val="26"/>
                <w:szCs w:val="26"/>
              </w:rPr>
            </w:pPr>
            <w:r w:rsidRPr="0077795E">
              <w:rPr>
                <w:rFonts w:cs="Times New Roman"/>
                <w:sz w:val="26"/>
                <w:szCs w:val="26"/>
              </w:rPr>
              <w:t>Mild leukocytosis (80% neutrophils); normal hemoglobin</w:t>
            </w:r>
          </w:p>
        </w:tc>
      </w:tr>
      <w:tr w:rsidR="00BE4770" w:rsidRPr="0077795E" w14:paraId="74EB7779" w14:textId="77777777">
        <w:trPr>
          <w:jc w:val="center"/>
        </w:trPr>
        <w:tc>
          <w:tcPr>
            <w:tcW w:w="2340" w:type="dxa"/>
          </w:tcPr>
          <w:p w14:paraId="4370A9F9" w14:textId="77777777" w:rsidR="00BE4770" w:rsidRPr="0077795E" w:rsidRDefault="00913729">
            <w:pPr>
              <w:spacing w:before="40" w:after="40" w:line="252" w:lineRule="auto"/>
              <w:rPr>
                <w:rFonts w:cs="Times New Roman"/>
                <w:sz w:val="26"/>
                <w:szCs w:val="26"/>
              </w:rPr>
            </w:pPr>
            <w:r w:rsidRPr="0077795E">
              <w:rPr>
                <w:rFonts w:cs="Times New Roman"/>
                <w:sz w:val="26"/>
                <w:szCs w:val="26"/>
              </w:rPr>
              <w:t>Platelet Count / ESR</w:t>
            </w:r>
          </w:p>
        </w:tc>
        <w:tc>
          <w:tcPr>
            <w:tcW w:w="2340" w:type="dxa"/>
          </w:tcPr>
          <w:p w14:paraId="54358F12" w14:textId="77777777" w:rsidR="00BE4770" w:rsidRPr="0077795E" w:rsidRDefault="00913729">
            <w:pPr>
              <w:spacing w:before="40" w:after="40" w:line="252" w:lineRule="auto"/>
              <w:rPr>
                <w:rFonts w:cs="Times New Roman"/>
                <w:sz w:val="26"/>
                <w:szCs w:val="26"/>
              </w:rPr>
            </w:pPr>
            <w:r w:rsidRPr="0077795E">
              <w:rPr>
                <w:rFonts w:cs="Times New Roman"/>
                <w:sz w:val="26"/>
                <w:szCs w:val="26"/>
              </w:rPr>
              <w:t>2.78 Lakhs/µL / 35 mm/</w:t>
            </w:r>
            <w:proofErr w:type="spellStart"/>
            <w:r w:rsidRPr="0077795E">
              <w:rPr>
                <w:rFonts w:cs="Times New Roman"/>
                <w:sz w:val="26"/>
                <w:szCs w:val="26"/>
              </w:rPr>
              <w:t>hr</w:t>
            </w:r>
            <w:proofErr w:type="spellEnd"/>
          </w:p>
        </w:tc>
        <w:tc>
          <w:tcPr>
            <w:tcW w:w="2340" w:type="dxa"/>
          </w:tcPr>
          <w:p w14:paraId="25BE88AC" w14:textId="77777777" w:rsidR="00BE4770" w:rsidRPr="0077795E" w:rsidRDefault="00913729">
            <w:pPr>
              <w:spacing w:before="40" w:after="40" w:line="252" w:lineRule="auto"/>
              <w:rPr>
                <w:rFonts w:cs="Times New Roman"/>
                <w:sz w:val="26"/>
                <w:szCs w:val="26"/>
              </w:rPr>
            </w:pPr>
            <w:r w:rsidRPr="0077795E">
              <w:rPr>
                <w:rFonts w:cs="Times New Roman"/>
                <w:sz w:val="26"/>
                <w:szCs w:val="26"/>
              </w:rPr>
              <w:t>1.5–4.5 Lakhs/µL / Up to 22 mm/</w:t>
            </w:r>
            <w:proofErr w:type="spellStart"/>
            <w:r w:rsidRPr="0077795E">
              <w:rPr>
                <w:rFonts w:cs="Times New Roman"/>
                <w:sz w:val="26"/>
                <w:szCs w:val="26"/>
              </w:rPr>
              <w:t>hr</w:t>
            </w:r>
            <w:proofErr w:type="spellEnd"/>
          </w:p>
        </w:tc>
        <w:tc>
          <w:tcPr>
            <w:tcW w:w="2340" w:type="dxa"/>
          </w:tcPr>
          <w:p w14:paraId="198DEDE0" w14:textId="77777777" w:rsidR="00BE4770" w:rsidRPr="0077795E" w:rsidRDefault="00913729">
            <w:pPr>
              <w:spacing w:before="40" w:after="40" w:line="252" w:lineRule="auto"/>
              <w:rPr>
                <w:rFonts w:cs="Times New Roman"/>
                <w:sz w:val="26"/>
                <w:szCs w:val="26"/>
              </w:rPr>
            </w:pPr>
            <w:r w:rsidRPr="0077795E">
              <w:rPr>
                <w:rFonts w:cs="Times New Roman"/>
                <w:sz w:val="26"/>
                <w:szCs w:val="26"/>
              </w:rPr>
              <w:t>Mildly elevated inflammatory sedimentation rate</w:t>
            </w:r>
          </w:p>
        </w:tc>
      </w:tr>
      <w:tr w:rsidR="00BE4770" w:rsidRPr="0077795E" w14:paraId="50F75D71" w14:textId="77777777">
        <w:trPr>
          <w:jc w:val="center"/>
        </w:trPr>
        <w:tc>
          <w:tcPr>
            <w:tcW w:w="2340" w:type="dxa"/>
            <w:shd w:val="clear" w:color="auto" w:fill="F5F8FA"/>
          </w:tcPr>
          <w:p w14:paraId="085359A4" w14:textId="77777777" w:rsidR="00BE4770" w:rsidRPr="0077795E" w:rsidRDefault="00913729">
            <w:pPr>
              <w:spacing w:before="40" w:after="40" w:line="252" w:lineRule="auto"/>
              <w:rPr>
                <w:rFonts w:cs="Times New Roman"/>
                <w:sz w:val="26"/>
                <w:szCs w:val="26"/>
              </w:rPr>
            </w:pPr>
            <w:r w:rsidRPr="0077795E">
              <w:rPr>
                <w:rFonts w:cs="Times New Roman"/>
                <w:sz w:val="26"/>
                <w:szCs w:val="26"/>
              </w:rPr>
              <w:t>Serum Creatinine / Urea</w:t>
            </w:r>
          </w:p>
        </w:tc>
        <w:tc>
          <w:tcPr>
            <w:tcW w:w="2340" w:type="dxa"/>
            <w:shd w:val="clear" w:color="auto" w:fill="F5F8FA"/>
          </w:tcPr>
          <w:p w14:paraId="00A2A5A6" w14:textId="77777777" w:rsidR="00BE4770" w:rsidRPr="0077795E" w:rsidRDefault="00913729">
            <w:pPr>
              <w:spacing w:before="40" w:after="40" w:line="252" w:lineRule="auto"/>
              <w:rPr>
                <w:rFonts w:cs="Times New Roman"/>
                <w:sz w:val="26"/>
                <w:szCs w:val="26"/>
              </w:rPr>
            </w:pPr>
            <w:r w:rsidRPr="0077795E">
              <w:rPr>
                <w:rFonts w:cs="Times New Roman"/>
                <w:sz w:val="26"/>
                <w:szCs w:val="26"/>
              </w:rPr>
              <w:t>1.33 mg/dL / 32.2 mg/dL</w:t>
            </w:r>
          </w:p>
        </w:tc>
        <w:tc>
          <w:tcPr>
            <w:tcW w:w="2340" w:type="dxa"/>
            <w:shd w:val="clear" w:color="auto" w:fill="F5F8FA"/>
          </w:tcPr>
          <w:p w14:paraId="7AB98633" w14:textId="77777777" w:rsidR="00BE4770" w:rsidRPr="0077795E" w:rsidRDefault="00913729">
            <w:pPr>
              <w:spacing w:before="40" w:after="40" w:line="252" w:lineRule="auto"/>
              <w:rPr>
                <w:rFonts w:cs="Times New Roman"/>
                <w:sz w:val="26"/>
                <w:szCs w:val="26"/>
              </w:rPr>
            </w:pPr>
            <w:r w:rsidRPr="0077795E">
              <w:rPr>
                <w:rFonts w:cs="Times New Roman"/>
                <w:sz w:val="26"/>
                <w:szCs w:val="26"/>
              </w:rPr>
              <w:t>0.72–1.18 mg/dL / 17.0–43.0 mg/dL</w:t>
            </w:r>
          </w:p>
        </w:tc>
        <w:tc>
          <w:tcPr>
            <w:tcW w:w="2340" w:type="dxa"/>
            <w:shd w:val="clear" w:color="auto" w:fill="F5F8FA"/>
          </w:tcPr>
          <w:p w14:paraId="3A5E5BDF" w14:textId="77777777" w:rsidR="00BE4770" w:rsidRPr="0077795E" w:rsidRDefault="00913729">
            <w:pPr>
              <w:spacing w:before="40" w:after="40" w:line="252" w:lineRule="auto"/>
              <w:rPr>
                <w:rFonts w:cs="Times New Roman"/>
                <w:sz w:val="26"/>
                <w:szCs w:val="26"/>
              </w:rPr>
            </w:pPr>
            <w:r w:rsidRPr="0077795E">
              <w:rPr>
                <w:rFonts w:cs="Times New Roman"/>
                <w:sz w:val="26"/>
                <w:szCs w:val="26"/>
              </w:rPr>
              <w:t>Mild transient prerenal/creatinine elevation; urea normal</w:t>
            </w:r>
          </w:p>
        </w:tc>
      </w:tr>
      <w:tr w:rsidR="00BE4770" w:rsidRPr="0077795E" w14:paraId="7F3621D9" w14:textId="77777777">
        <w:trPr>
          <w:jc w:val="center"/>
        </w:trPr>
        <w:tc>
          <w:tcPr>
            <w:tcW w:w="2340" w:type="dxa"/>
          </w:tcPr>
          <w:p w14:paraId="3CC89350" w14:textId="77777777" w:rsidR="00BE4770" w:rsidRPr="0077795E" w:rsidRDefault="00913729">
            <w:pPr>
              <w:spacing w:before="40" w:after="40" w:line="252" w:lineRule="auto"/>
              <w:rPr>
                <w:rFonts w:cs="Times New Roman"/>
                <w:sz w:val="26"/>
                <w:szCs w:val="26"/>
              </w:rPr>
            </w:pPr>
            <w:r w:rsidRPr="0077795E">
              <w:rPr>
                <w:rFonts w:cs="Times New Roman"/>
                <w:sz w:val="26"/>
                <w:szCs w:val="26"/>
              </w:rPr>
              <w:t>Liver Enzymes (AST / ALT / ALP)</w:t>
            </w:r>
          </w:p>
        </w:tc>
        <w:tc>
          <w:tcPr>
            <w:tcW w:w="2340" w:type="dxa"/>
          </w:tcPr>
          <w:p w14:paraId="75C8470A" w14:textId="77777777" w:rsidR="00BE4770" w:rsidRPr="0077795E" w:rsidRDefault="00913729">
            <w:pPr>
              <w:spacing w:before="40" w:after="40" w:line="252" w:lineRule="auto"/>
              <w:rPr>
                <w:rFonts w:cs="Times New Roman"/>
                <w:sz w:val="26"/>
                <w:szCs w:val="26"/>
              </w:rPr>
            </w:pPr>
            <w:r w:rsidRPr="0077795E">
              <w:rPr>
                <w:rFonts w:cs="Times New Roman"/>
                <w:sz w:val="26"/>
                <w:szCs w:val="26"/>
              </w:rPr>
              <w:t>31.0 / 24.2 / 75.9 U/L</w:t>
            </w:r>
          </w:p>
        </w:tc>
        <w:tc>
          <w:tcPr>
            <w:tcW w:w="2340" w:type="dxa"/>
          </w:tcPr>
          <w:p w14:paraId="1F5A48D0" w14:textId="77777777" w:rsidR="00BE4770" w:rsidRPr="0077795E" w:rsidRDefault="00913729">
            <w:pPr>
              <w:spacing w:before="40" w:after="40" w:line="252" w:lineRule="auto"/>
              <w:rPr>
                <w:rFonts w:cs="Times New Roman"/>
                <w:sz w:val="26"/>
                <w:szCs w:val="26"/>
              </w:rPr>
            </w:pPr>
            <w:r w:rsidRPr="0077795E">
              <w:rPr>
                <w:rFonts w:cs="Times New Roman"/>
                <w:sz w:val="26"/>
                <w:szCs w:val="26"/>
              </w:rPr>
              <w:t>&lt;50 U/L / &lt;50 U/L / 30–120 U/L</w:t>
            </w:r>
          </w:p>
        </w:tc>
        <w:tc>
          <w:tcPr>
            <w:tcW w:w="2340" w:type="dxa"/>
          </w:tcPr>
          <w:p w14:paraId="65A828E7" w14:textId="77777777" w:rsidR="00BE4770" w:rsidRPr="0077795E" w:rsidRDefault="00913729">
            <w:pPr>
              <w:spacing w:before="40" w:after="40" w:line="252" w:lineRule="auto"/>
              <w:rPr>
                <w:rFonts w:cs="Times New Roman"/>
                <w:sz w:val="26"/>
                <w:szCs w:val="26"/>
              </w:rPr>
            </w:pPr>
            <w:r w:rsidRPr="0077795E">
              <w:rPr>
                <w:rFonts w:cs="Times New Roman"/>
                <w:sz w:val="26"/>
                <w:szCs w:val="26"/>
              </w:rPr>
              <w:t>Preserved hepatic parenchymal and canalicular integrity</w:t>
            </w:r>
          </w:p>
        </w:tc>
      </w:tr>
      <w:tr w:rsidR="00BE4770" w:rsidRPr="0077795E" w14:paraId="13156E3E" w14:textId="77777777">
        <w:trPr>
          <w:jc w:val="center"/>
        </w:trPr>
        <w:tc>
          <w:tcPr>
            <w:tcW w:w="2340" w:type="dxa"/>
            <w:shd w:val="clear" w:color="auto" w:fill="F5F8FA"/>
          </w:tcPr>
          <w:p w14:paraId="5ABD6C4E" w14:textId="77777777" w:rsidR="00BE4770" w:rsidRPr="0077795E" w:rsidRDefault="00913729">
            <w:pPr>
              <w:spacing w:before="40" w:after="40" w:line="252" w:lineRule="auto"/>
              <w:rPr>
                <w:rFonts w:cs="Times New Roman"/>
                <w:sz w:val="26"/>
                <w:szCs w:val="26"/>
              </w:rPr>
            </w:pPr>
            <w:r w:rsidRPr="0077795E">
              <w:rPr>
                <w:rFonts w:cs="Times New Roman"/>
                <w:sz w:val="26"/>
                <w:szCs w:val="26"/>
              </w:rPr>
              <w:lastRenderedPageBreak/>
              <w:t>Total Bilirubin / Albumin</w:t>
            </w:r>
          </w:p>
        </w:tc>
        <w:tc>
          <w:tcPr>
            <w:tcW w:w="2340" w:type="dxa"/>
            <w:shd w:val="clear" w:color="auto" w:fill="F5F8FA"/>
          </w:tcPr>
          <w:p w14:paraId="2FF0CA86" w14:textId="77777777" w:rsidR="00BE4770" w:rsidRPr="0077795E" w:rsidRDefault="00913729">
            <w:pPr>
              <w:spacing w:before="40" w:after="40" w:line="252" w:lineRule="auto"/>
              <w:rPr>
                <w:rFonts w:cs="Times New Roman"/>
                <w:sz w:val="26"/>
                <w:szCs w:val="26"/>
              </w:rPr>
            </w:pPr>
            <w:r w:rsidRPr="0077795E">
              <w:rPr>
                <w:rFonts w:cs="Times New Roman"/>
                <w:sz w:val="26"/>
                <w:szCs w:val="26"/>
              </w:rPr>
              <w:t>0.5 mg/dL / 3.9 g/dL</w:t>
            </w:r>
          </w:p>
        </w:tc>
        <w:tc>
          <w:tcPr>
            <w:tcW w:w="2340" w:type="dxa"/>
            <w:shd w:val="clear" w:color="auto" w:fill="F5F8FA"/>
          </w:tcPr>
          <w:p w14:paraId="43963685" w14:textId="77777777" w:rsidR="00BE4770" w:rsidRPr="0077795E" w:rsidRDefault="00913729">
            <w:pPr>
              <w:spacing w:before="40" w:after="40" w:line="252" w:lineRule="auto"/>
              <w:rPr>
                <w:rFonts w:cs="Times New Roman"/>
                <w:sz w:val="26"/>
                <w:szCs w:val="26"/>
              </w:rPr>
            </w:pPr>
            <w:r w:rsidRPr="0077795E">
              <w:rPr>
                <w:rFonts w:cs="Times New Roman"/>
                <w:sz w:val="26"/>
                <w:szCs w:val="26"/>
              </w:rPr>
              <w:t>0.3–1.2 mg/dL / 3.5–5.2 g/dL</w:t>
            </w:r>
          </w:p>
        </w:tc>
        <w:tc>
          <w:tcPr>
            <w:tcW w:w="2340" w:type="dxa"/>
            <w:shd w:val="clear" w:color="auto" w:fill="F5F8FA"/>
          </w:tcPr>
          <w:p w14:paraId="74B65CDD" w14:textId="77777777" w:rsidR="00BE4770" w:rsidRPr="0077795E" w:rsidRDefault="00913729">
            <w:pPr>
              <w:spacing w:before="40" w:after="40" w:line="252" w:lineRule="auto"/>
              <w:rPr>
                <w:rFonts w:cs="Times New Roman"/>
                <w:sz w:val="26"/>
                <w:szCs w:val="26"/>
              </w:rPr>
            </w:pPr>
            <w:r w:rsidRPr="0077795E">
              <w:rPr>
                <w:rFonts w:cs="Times New Roman"/>
                <w:sz w:val="26"/>
                <w:szCs w:val="26"/>
              </w:rPr>
              <w:t>Normal synthetic and excretory hepatic function</w:t>
            </w:r>
          </w:p>
        </w:tc>
      </w:tr>
      <w:tr w:rsidR="00BE4770" w:rsidRPr="0077795E" w14:paraId="26A01DBD" w14:textId="77777777">
        <w:trPr>
          <w:jc w:val="center"/>
        </w:trPr>
        <w:tc>
          <w:tcPr>
            <w:tcW w:w="2340" w:type="dxa"/>
          </w:tcPr>
          <w:p w14:paraId="3832FFFD" w14:textId="77777777" w:rsidR="00BE4770" w:rsidRPr="0077795E" w:rsidRDefault="00913729">
            <w:pPr>
              <w:spacing w:before="40" w:after="40" w:line="252" w:lineRule="auto"/>
              <w:rPr>
                <w:rFonts w:cs="Times New Roman"/>
                <w:sz w:val="26"/>
                <w:szCs w:val="26"/>
              </w:rPr>
            </w:pPr>
            <w:r w:rsidRPr="0077795E">
              <w:rPr>
                <w:rFonts w:cs="Times New Roman"/>
                <w:sz w:val="26"/>
                <w:szCs w:val="26"/>
              </w:rPr>
              <w:t>C-Reactive Protein (CRP)</w:t>
            </w:r>
          </w:p>
        </w:tc>
        <w:tc>
          <w:tcPr>
            <w:tcW w:w="2340" w:type="dxa"/>
          </w:tcPr>
          <w:p w14:paraId="179360FC" w14:textId="77777777" w:rsidR="00BE4770" w:rsidRPr="0077795E" w:rsidRDefault="00913729">
            <w:pPr>
              <w:spacing w:before="40" w:after="40" w:line="252" w:lineRule="auto"/>
              <w:rPr>
                <w:rFonts w:cs="Times New Roman"/>
                <w:sz w:val="26"/>
                <w:szCs w:val="26"/>
              </w:rPr>
            </w:pPr>
            <w:r w:rsidRPr="0077795E">
              <w:rPr>
                <w:rFonts w:cs="Times New Roman"/>
                <w:sz w:val="26"/>
                <w:szCs w:val="26"/>
              </w:rPr>
              <w:t>3.20 mg/L</w:t>
            </w:r>
          </w:p>
        </w:tc>
        <w:tc>
          <w:tcPr>
            <w:tcW w:w="2340" w:type="dxa"/>
          </w:tcPr>
          <w:p w14:paraId="0BFC4F62" w14:textId="77777777" w:rsidR="00BE4770" w:rsidRPr="0077795E" w:rsidRDefault="00913729">
            <w:pPr>
              <w:spacing w:before="40" w:after="40" w:line="252" w:lineRule="auto"/>
              <w:rPr>
                <w:rFonts w:cs="Times New Roman"/>
                <w:sz w:val="26"/>
                <w:szCs w:val="26"/>
              </w:rPr>
            </w:pPr>
            <w:r w:rsidRPr="0077795E">
              <w:rPr>
                <w:rFonts w:cs="Times New Roman"/>
                <w:sz w:val="26"/>
                <w:szCs w:val="26"/>
              </w:rPr>
              <w:t>&lt; 5.0 mg/L</w:t>
            </w:r>
          </w:p>
        </w:tc>
        <w:tc>
          <w:tcPr>
            <w:tcW w:w="2340" w:type="dxa"/>
          </w:tcPr>
          <w:p w14:paraId="697E200A" w14:textId="77777777" w:rsidR="00BE4770" w:rsidRPr="0077795E" w:rsidRDefault="00913729">
            <w:pPr>
              <w:spacing w:before="40" w:after="40" w:line="252" w:lineRule="auto"/>
              <w:rPr>
                <w:rFonts w:cs="Times New Roman"/>
                <w:sz w:val="26"/>
                <w:szCs w:val="26"/>
              </w:rPr>
            </w:pPr>
            <w:r w:rsidRPr="0077795E">
              <w:rPr>
                <w:rFonts w:cs="Times New Roman"/>
                <w:sz w:val="26"/>
                <w:szCs w:val="26"/>
              </w:rPr>
              <w:t>Negative; excludes active acute infectious syndrome</w:t>
            </w:r>
          </w:p>
        </w:tc>
      </w:tr>
      <w:tr w:rsidR="00BE4770" w:rsidRPr="0077795E" w14:paraId="453F44BE" w14:textId="77777777">
        <w:trPr>
          <w:jc w:val="center"/>
        </w:trPr>
        <w:tc>
          <w:tcPr>
            <w:tcW w:w="2340" w:type="dxa"/>
            <w:shd w:val="clear" w:color="auto" w:fill="F5F8FA"/>
          </w:tcPr>
          <w:p w14:paraId="67A1AA08" w14:textId="77777777" w:rsidR="00BE4770" w:rsidRPr="0077795E" w:rsidRDefault="00913729">
            <w:pPr>
              <w:spacing w:before="40" w:after="40" w:line="252" w:lineRule="auto"/>
              <w:rPr>
                <w:rFonts w:cs="Times New Roman"/>
                <w:sz w:val="26"/>
                <w:szCs w:val="26"/>
              </w:rPr>
            </w:pPr>
            <w:r w:rsidRPr="0077795E">
              <w:rPr>
                <w:rFonts w:cs="Times New Roman"/>
                <w:sz w:val="26"/>
                <w:szCs w:val="26"/>
              </w:rPr>
              <w:t>Viral Serology (HBsAg / HCV / HIV)</w:t>
            </w:r>
          </w:p>
        </w:tc>
        <w:tc>
          <w:tcPr>
            <w:tcW w:w="2340" w:type="dxa"/>
            <w:shd w:val="clear" w:color="auto" w:fill="F5F8FA"/>
          </w:tcPr>
          <w:p w14:paraId="4004F4F6" w14:textId="77777777" w:rsidR="00BE4770" w:rsidRPr="0077795E" w:rsidRDefault="00913729">
            <w:pPr>
              <w:spacing w:before="40" w:after="40" w:line="252" w:lineRule="auto"/>
              <w:rPr>
                <w:rFonts w:cs="Times New Roman"/>
                <w:sz w:val="26"/>
                <w:szCs w:val="26"/>
              </w:rPr>
            </w:pPr>
            <w:r w:rsidRPr="0077795E">
              <w:rPr>
                <w:rFonts w:cs="Times New Roman"/>
                <w:sz w:val="26"/>
                <w:szCs w:val="26"/>
              </w:rPr>
              <w:t>Reactive / Non-reactive / Non-reactive</w:t>
            </w:r>
          </w:p>
        </w:tc>
        <w:tc>
          <w:tcPr>
            <w:tcW w:w="2340" w:type="dxa"/>
            <w:shd w:val="clear" w:color="auto" w:fill="F5F8FA"/>
          </w:tcPr>
          <w:p w14:paraId="1936451B" w14:textId="77777777" w:rsidR="00BE4770" w:rsidRPr="0077795E" w:rsidRDefault="00913729">
            <w:pPr>
              <w:spacing w:before="40" w:after="40" w:line="252" w:lineRule="auto"/>
              <w:rPr>
                <w:rFonts w:cs="Times New Roman"/>
                <w:sz w:val="26"/>
                <w:szCs w:val="26"/>
              </w:rPr>
            </w:pPr>
            <w:r w:rsidRPr="0077795E">
              <w:rPr>
                <w:rFonts w:cs="Times New Roman"/>
                <w:sz w:val="26"/>
                <w:szCs w:val="26"/>
              </w:rPr>
              <w:t>Non-reactive</w:t>
            </w:r>
          </w:p>
        </w:tc>
        <w:tc>
          <w:tcPr>
            <w:tcW w:w="2340" w:type="dxa"/>
            <w:shd w:val="clear" w:color="auto" w:fill="F5F8FA"/>
          </w:tcPr>
          <w:p w14:paraId="5205D813" w14:textId="77777777" w:rsidR="00BE4770" w:rsidRPr="0077795E" w:rsidRDefault="00913729">
            <w:pPr>
              <w:spacing w:before="40" w:after="40" w:line="252" w:lineRule="auto"/>
              <w:rPr>
                <w:rFonts w:cs="Times New Roman"/>
                <w:sz w:val="26"/>
                <w:szCs w:val="26"/>
              </w:rPr>
            </w:pPr>
            <w:r w:rsidRPr="0077795E">
              <w:rPr>
                <w:rFonts w:cs="Times New Roman"/>
                <w:sz w:val="26"/>
                <w:szCs w:val="26"/>
              </w:rPr>
              <w:t>Incidental chronic/asymptomatic Hepatitis B surface antigen</w:t>
            </w:r>
          </w:p>
        </w:tc>
      </w:tr>
      <w:tr w:rsidR="00BE4770" w:rsidRPr="0077795E" w14:paraId="49FABF70" w14:textId="77777777">
        <w:trPr>
          <w:jc w:val="center"/>
        </w:trPr>
        <w:tc>
          <w:tcPr>
            <w:tcW w:w="2340" w:type="dxa"/>
          </w:tcPr>
          <w:p w14:paraId="273CFFD2" w14:textId="77777777" w:rsidR="00BE4770" w:rsidRPr="0077795E" w:rsidRDefault="00913729">
            <w:pPr>
              <w:spacing w:before="40" w:after="40" w:line="252" w:lineRule="auto"/>
              <w:rPr>
                <w:rFonts w:cs="Times New Roman"/>
                <w:sz w:val="26"/>
                <w:szCs w:val="26"/>
              </w:rPr>
            </w:pPr>
            <w:r w:rsidRPr="0077795E">
              <w:rPr>
                <w:rFonts w:cs="Times New Roman"/>
                <w:sz w:val="26"/>
                <w:szCs w:val="26"/>
              </w:rPr>
              <w:t>Urine pH / Specific Gravity</w:t>
            </w:r>
          </w:p>
        </w:tc>
        <w:tc>
          <w:tcPr>
            <w:tcW w:w="2340" w:type="dxa"/>
          </w:tcPr>
          <w:p w14:paraId="6A2EEA1D" w14:textId="77777777" w:rsidR="00BE4770" w:rsidRPr="0077795E" w:rsidRDefault="00913729">
            <w:pPr>
              <w:spacing w:before="40" w:after="40" w:line="252" w:lineRule="auto"/>
              <w:rPr>
                <w:rFonts w:cs="Times New Roman"/>
                <w:sz w:val="26"/>
                <w:szCs w:val="26"/>
              </w:rPr>
            </w:pPr>
            <w:r w:rsidRPr="0077795E">
              <w:rPr>
                <w:rFonts w:cs="Times New Roman"/>
                <w:sz w:val="26"/>
                <w:szCs w:val="26"/>
              </w:rPr>
              <w:t>8.0 / 1.015</w:t>
            </w:r>
          </w:p>
        </w:tc>
        <w:tc>
          <w:tcPr>
            <w:tcW w:w="2340" w:type="dxa"/>
          </w:tcPr>
          <w:p w14:paraId="24D837AC" w14:textId="77777777" w:rsidR="00BE4770" w:rsidRPr="0077795E" w:rsidRDefault="00913729">
            <w:pPr>
              <w:spacing w:before="40" w:after="40" w:line="252" w:lineRule="auto"/>
              <w:rPr>
                <w:rFonts w:cs="Times New Roman"/>
                <w:sz w:val="26"/>
                <w:szCs w:val="26"/>
              </w:rPr>
            </w:pPr>
            <w:r w:rsidRPr="0077795E">
              <w:rPr>
                <w:rFonts w:cs="Times New Roman"/>
                <w:sz w:val="26"/>
                <w:szCs w:val="26"/>
              </w:rPr>
              <w:t>4.6–8.0 / 1.003–1.030</w:t>
            </w:r>
          </w:p>
        </w:tc>
        <w:tc>
          <w:tcPr>
            <w:tcW w:w="2340" w:type="dxa"/>
          </w:tcPr>
          <w:p w14:paraId="15DC92DC" w14:textId="77777777" w:rsidR="00BE4770" w:rsidRPr="0077795E" w:rsidRDefault="00913729">
            <w:pPr>
              <w:spacing w:before="40" w:after="40" w:line="252" w:lineRule="auto"/>
              <w:rPr>
                <w:rFonts w:cs="Times New Roman"/>
                <w:sz w:val="26"/>
                <w:szCs w:val="26"/>
              </w:rPr>
            </w:pPr>
            <w:r w:rsidRPr="0077795E">
              <w:rPr>
                <w:rFonts w:cs="Times New Roman"/>
                <w:sz w:val="26"/>
                <w:szCs w:val="26"/>
              </w:rPr>
              <w:t>Alkaline urine; nil casts, proteinuria, or glucosuria</w:t>
            </w:r>
          </w:p>
        </w:tc>
      </w:tr>
    </w:tbl>
    <w:p w14:paraId="3B95515E" w14:textId="77777777" w:rsidR="00F60DA7" w:rsidRDefault="00F60DA7" w:rsidP="00F60DA7">
      <w:pPr>
        <w:keepNext/>
        <w:spacing w:before="200" w:after="80"/>
        <w:rPr>
          <w:rFonts w:cs="Times New Roman"/>
          <w:b/>
          <w:color w:val="000000" w:themeColor="text1"/>
          <w:sz w:val="26"/>
          <w:szCs w:val="26"/>
        </w:rPr>
      </w:pPr>
    </w:p>
    <w:p w14:paraId="64576BEC" w14:textId="77777777" w:rsidR="00F60DA7" w:rsidRDefault="00F60DA7" w:rsidP="00F60DA7">
      <w:pPr>
        <w:keepNext/>
        <w:spacing w:before="200" w:after="80"/>
        <w:rPr>
          <w:rFonts w:cs="Times New Roman"/>
          <w:b/>
          <w:color w:val="000000" w:themeColor="text1"/>
          <w:sz w:val="26"/>
          <w:szCs w:val="26"/>
        </w:rPr>
      </w:pPr>
    </w:p>
    <w:p w14:paraId="4C19FE81" w14:textId="6A5F47EE" w:rsidR="00F60DA7" w:rsidRPr="0077795E" w:rsidRDefault="00913729" w:rsidP="00F60DA7">
      <w:pPr>
        <w:keepNext/>
        <w:spacing w:before="200" w:after="80"/>
        <w:rPr>
          <w:rFonts w:cs="Times New Roman"/>
          <w:color w:val="000000" w:themeColor="text1"/>
          <w:sz w:val="26"/>
          <w:szCs w:val="26"/>
          <w:lang w:val="en-IN"/>
        </w:rPr>
      </w:pPr>
      <w:r w:rsidRPr="0077795E">
        <w:rPr>
          <w:rFonts w:cs="Times New Roman"/>
          <w:b/>
          <w:color w:val="000000" w:themeColor="text1"/>
          <w:sz w:val="26"/>
          <w:szCs w:val="26"/>
        </w:rPr>
        <w:t>2.4 Electrocardiographic Evaluation</w:t>
      </w:r>
      <w:r w:rsidR="00101209" w:rsidRPr="0077795E">
        <w:rPr>
          <w:rFonts w:cs="Times New Roman"/>
          <w:color w:val="000000" w:themeColor="text1"/>
          <w:sz w:val="26"/>
          <w:szCs w:val="26"/>
          <w:lang w:val="en-IN"/>
        </w:rPr>
        <w:t xml:space="preserve">The 12 lead standard ECG taken at paper speed 25 mm/s and calibration 10 mm/mV (Figure 1), showed striking ECG signs typical for extremely severe </w:t>
      </w:r>
      <w:proofErr w:type="spellStart"/>
      <w:r w:rsidR="00101209" w:rsidRPr="0077795E">
        <w:rPr>
          <w:rFonts w:cs="Times New Roman"/>
          <w:color w:val="000000" w:themeColor="text1"/>
          <w:sz w:val="26"/>
          <w:szCs w:val="26"/>
          <w:lang w:val="en-IN"/>
        </w:rPr>
        <w:t>hypokalemia</w:t>
      </w:r>
      <w:proofErr w:type="spellEnd"/>
      <w:r w:rsidR="00101209" w:rsidRPr="0077795E">
        <w:rPr>
          <w:rFonts w:cs="Times New Roman"/>
          <w:color w:val="000000" w:themeColor="text1"/>
          <w:sz w:val="26"/>
          <w:szCs w:val="26"/>
          <w:lang w:val="en-IN"/>
        </w:rPr>
        <w:t xml:space="preserve">. Baseline cardiac rhythm was sinus rhythm with ventricular rate 66 beat/min. Important ECG findings and measured values were: PR interval 182 </w:t>
      </w:r>
      <w:proofErr w:type="spellStart"/>
      <w:r w:rsidR="00101209" w:rsidRPr="0077795E">
        <w:rPr>
          <w:rFonts w:cs="Times New Roman"/>
          <w:color w:val="000000" w:themeColor="text1"/>
          <w:sz w:val="26"/>
          <w:szCs w:val="26"/>
          <w:lang w:val="en-IN"/>
        </w:rPr>
        <w:t>ms</w:t>
      </w:r>
      <w:proofErr w:type="spellEnd"/>
      <w:r w:rsidR="00101209" w:rsidRPr="0077795E">
        <w:rPr>
          <w:rFonts w:cs="Times New Roman"/>
          <w:color w:val="000000" w:themeColor="text1"/>
          <w:sz w:val="26"/>
          <w:szCs w:val="26"/>
          <w:lang w:val="en-IN"/>
        </w:rPr>
        <w:t xml:space="preserve"> (upper limit of normal), QRS duration is increased to 124 </w:t>
      </w:r>
      <w:proofErr w:type="spellStart"/>
      <w:r w:rsidR="00101209" w:rsidRPr="0077795E">
        <w:rPr>
          <w:rFonts w:cs="Times New Roman"/>
          <w:color w:val="000000" w:themeColor="text1"/>
          <w:sz w:val="26"/>
          <w:szCs w:val="26"/>
          <w:lang w:val="en-IN"/>
        </w:rPr>
        <w:t>ms</w:t>
      </w:r>
      <w:proofErr w:type="spellEnd"/>
      <w:r w:rsidR="00101209" w:rsidRPr="0077795E">
        <w:rPr>
          <w:rFonts w:cs="Times New Roman"/>
          <w:color w:val="000000" w:themeColor="text1"/>
          <w:sz w:val="26"/>
          <w:szCs w:val="26"/>
          <w:lang w:val="en-IN"/>
        </w:rPr>
        <w:t xml:space="preserve"> and the frontal plane left axis deviation is seen at -26 degrees. QT/QTc is grossly prolonged up to 476/487ms (Hodges calculation) is noted. Characteristic ST segments depressions and pseudo "sinus" appearance are seen; T waves were flattened and/or inverted in inferolateral and chest leads (II, III, </w:t>
      </w:r>
      <w:proofErr w:type="gramStart"/>
      <w:r w:rsidR="00101209" w:rsidRPr="0077795E">
        <w:rPr>
          <w:rFonts w:cs="Times New Roman"/>
          <w:color w:val="000000" w:themeColor="text1"/>
          <w:sz w:val="26"/>
          <w:szCs w:val="26"/>
          <w:lang w:val="en-IN"/>
        </w:rPr>
        <w:t>aVF,V</w:t>
      </w:r>
      <w:proofErr w:type="gramEnd"/>
      <w:r w:rsidR="00101209" w:rsidRPr="0077795E">
        <w:rPr>
          <w:rFonts w:cs="Times New Roman"/>
          <w:color w:val="000000" w:themeColor="text1"/>
          <w:sz w:val="26"/>
          <w:szCs w:val="26"/>
          <w:lang w:val="en-IN"/>
        </w:rPr>
        <w:t xml:space="preserve">3-6) along with large </w:t>
      </w:r>
      <w:proofErr w:type="spellStart"/>
      <w:r w:rsidR="00101209" w:rsidRPr="0077795E">
        <w:rPr>
          <w:rFonts w:cs="Times New Roman"/>
          <w:color w:val="000000" w:themeColor="text1"/>
          <w:sz w:val="26"/>
          <w:szCs w:val="26"/>
          <w:lang w:val="en-IN"/>
        </w:rPr>
        <w:t>patological</w:t>
      </w:r>
      <w:proofErr w:type="spellEnd"/>
      <w:r w:rsidR="00101209" w:rsidRPr="0077795E">
        <w:rPr>
          <w:rFonts w:cs="Times New Roman"/>
          <w:color w:val="000000" w:themeColor="text1"/>
          <w:sz w:val="26"/>
          <w:szCs w:val="26"/>
          <w:lang w:val="en-IN"/>
        </w:rPr>
        <w:t xml:space="preserve"> U waves</w:t>
      </w:r>
      <w:r w:rsidR="00F60DA7">
        <w:rPr>
          <w:rFonts w:cs="Times New Roman"/>
          <w:color w:val="000000" w:themeColor="text1"/>
          <w:sz w:val="26"/>
          <w:szCs w:val="26"/>
          <w:lang w:val="en-IN"/>
        </w:rPr>
        <w:t xml:space="preserve"> </w:t>
      </w:r>
      <w:r w:rsidR="00F60DA7" w:rsidRPr="0077795E">
        <w:rPr>
          <w:rFonts w:cs="Times New Roman"/>
          <w:color w:val="000000" w:themeColor="text1"/>
          <w:sz w:val="26"/>
          <w:szCs w:val="26"/>
          <w:lang w:val="en-IN"/>
        </w:rPr>
        <w:t>merging directly with T-waves leading to the characteristic pseudo long QT/QU morphology and showing high propensity toward fatal polymorphic ventricular arrhythmias like the "torsades de points" and ventricular fibrillation.</w:t>
      </w:r>
    </w:p>
    <w:p w14:paraId="45CC5D09" w14:textId="06AE6662" w:rsidR="00F60DA7" w:rsidRDefault="00F60DA7" w:rsidP="00101209">
      <w:pPr>
        <w:keepNext/>
        <w:spacing w:before="200" w:after="80"/>
        <w:rPr>
          <w:rFonts w:cs="Times New Roman"/>
          <w:color w:val="000000" w:themeColor="text1"/>
          <w:sz w:val="26"/>
          <w:szCs w:val="26"/>
          <w:lang w:val="en-IN"/>
        </w:rPr>
      </w:pPr>
    </w:p>
    <w:p w14:paraId="073E1EE9" w14:textId="64E4F6FD" w:rsidR="00F60DA7" w:rsidRDefault="00F60DA7" w:rsidP="00101209">
      <w:pPr>
        <w:keepNext/>
        <w:spacing w:before="200" w:after="80"/>
        <w:rPr>
          <w:rFonts w:cs="Times New Roman"/>
          <w:color w:val="000000" w:themeColor="text1"/>
          <w:sz w:val="26"/>
          <w:szCs w:val="26"/>
          <w:lang w:val="en-IN"/>
        </w:rPr>
      </w:pPr>
    </w:p>
    <w:p w14:paraId="74B1BD2A" w14:textId="2A9F7E4A" w:rsidR="00F60DA7" w:rsidRDefault="00F60DA7" w:rsidP="00101209">
      <w:pPr>
        <w:keepNext/>
        <w:spacing w:before="200" w:after="80"/>
        <w:rPr>
          <w:rFonts w:cs="Times New Roman"/>
          <w:color w:val="000000" w:themeColor="text1"/>
          <w:sz w:val="26"/>
          <w:szCs w:val="26"/>
          <w:lang w:val="en-IN"/>
        </w:rPr>
        <w:sectPr w:rsidR="00F60DA7" w:rsidSect="00034616">
          <w:pgSz w:w="12240" w:h="15840"/>
          <w:pgMar w:top="1440" w:right="1440" w:bottom="1440" w:left="1440" w:header="720" w:footer="720" w:gutter="0"/>
          <w:cols w:space="720"/>
          <w:docGrid w:linePitch="360"/>
        </w:sectPr>
      </w:pPr>
    </w:p>
    <w:p w14:paraId="6E63183A" w14:textId="77777777" w:rsidR="00101209" w:rsidRPr="0077795E" w:rsidRDefault="00101209">
      <w:pPr>
        <w:keepNext/>
        <w:spacing w:before="200" w:after="80"/>
        <w:rPr>
          <w:rFonts w:cs="Times New Roman"/>
          <w:color w:val="000000" w:themeColor="text1"/>
          <w:sz w:val="26"/>
          <w:szCs w:val="26"/>
        </w:rPr>
      </w:pPr>
    </w:p>
    <w:p w14:paraId="2ACE71C4" w14:textId="77777777" w:rsidR="00BE4770" w:rsidRPr="0077795E" w:rsidRDefault="00913729">
      <w:pPr>
        <w:spacing w:before="160" w:after="80"/>
        <w:jc w:val="center"/>
        <w:rPr>
          <w:rFonts w:cs="Times New Roman"/>
          <w:sz w:val="26"/>
          <w:szCs w:val="26"/>
        </w:rPr>
      </w:pPr>
      <w:r w:rsidRPr="0077795E">
        <w:rPr>
          <w:rFonts w:cs="Times New Roman"/>
          <w:noProof/>
          <w:sz w:val="26"/>
          <w:szCs w:val="26"/>
        </w:rPr>
        <w:drawing>
          <wp:inline distT="0" distB="0" distL="0" distR="0" wp14:anchorId="77C9256B" wp14:editId="7AAD79B2">
            <wp:extent cx="5669280" cy="397501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cg_cropped.png"/>
                    <pic:cNvPicPr/>
                  </pic:nvPicPr>
                  <pic:blipFill>
                    <a:blip r:embed="rId14"/>
                    <a:stretch>
                      <a:fillRect/>
                    </a:stretch>
                  </pic:blipFill>
                  <pic:spPr>
                    <a:xfrm>
                      <a:off x="0" y="0"/>
                      <a:ext cx="5669280" cy="3975012"/>
                    </a:xfrm>
                    <a:prstGeom prst="rect">
                      <a:avLst/>
                    </a:prstGeom>
                  </pic:spPr>
                </pic:pic>
              </a:graphicData>
            </a:graphic>
          </wp:inline>
        </w:drawing>
      </w:r>
    </w:p>
    <w:p w14:paraId="4CEF2C6B" w14:textId="77777777" w:rsidR="00BE4770" w:rsidRPr="0077795E" w:rsidRDefault="00913729">
      <w:pPr>
        <w:spacing w:after="240"/>
        <w:jc w:val="center"/>
        <w:rPr>
          <w:rFonts w:cs="Times New Roman"/>
          <w:sz w:val="26"/>
          <w:szCs w:val="26"/>
        </w:rPr>
      </w:pPr>
      <w:r w:rsidRPr="0077795E">
        <w:rPr>
          <w:rFonts w:cs="Times New Roman"/>
          <w:b/>
          <w:sz w:val="26"/>
          <w:szCs w:val="26"/>
        </w:rPr>
        <w:t>Figure 1: 12-Lead Electrocardiogram at Presentation (Recorded at 25 mm/s, 10 mm/mV).</w:t>
      </w:r>
      <w:r w:rsidRPr="0077795E">
        <w:rPr>
          <w:rFonts w:cs="Times New Roman"/>
          <w:i/>
          <w:sz w:val="26"/>
          <w:szCs w:val="26"/>
        </w:rPr>
        <w:br/>
      </w:r>
      <w:r w:rsidRPr="0077795E">
        <w:rPr>
          <w:rFonts w:cs="Times New Roman"/>
          <w:iCs/>
          <w:sz w:val="26"/>
          <w:szCs w:val="26"/>
        </w:rPr>
        <w:t xml:space="preserve">Demonstrates normal sinus rhythm (66 bpm), prolonged PR interval (182 </w:t>
      </w:r>
      <w:proofErr w:type="spellStart"/>
      <w:r w:rsidRPr="0077795E">
        <w:rPr>
          <w:rFonts w:cs="Times New Roman"/>
          <w:iCs/>
          <w:sz w:val="26"/>
          <w:szCs w:val="26"/>
        </w:rPr>
        <w:t>ms</w:t>
      </w:r>
      <w:proofErr w:type="spellEnd"/>
      <w:r w:rsidRPr="0077795E">
        <w:rPr>
          <w:rFonts w:cs="Times New Roman"/>
          <w:iCs/>
          <w:sz w:val="26"/>
          <w:szCs w:val="26"/>
        </w:rPr>
        <w:t xml:space="preserve">), widened QRS complex (124 </w:t>
      </w:r>
      <w:proofErr w:type="spellStart"/>
      <w:r w:rsidRPr="0077795E">
        <w:rPr>
          <w:rFonts w:cs="Times New Roman"/>
          <w:iCs/>
          <w:sz w:val="26"/>
          <w:szCs w:val="26"/>
        </w:rPr>
        <w:t>ms</w:t>
      </w:r>
      <w:proofErr w:type="spellEnd"/>
      <w:r w:rsidRPr="0077795E">
        <w:rPr>
          <w:rFonts w:cs="Times New Roman"/>
          <w:iCs/>
          <w:sz w:val="26"/>
          <w:szCs w:val="26"/>
        </w:rPr>
        <w:t xml:space="preserve">), marked QTc prolongation (487 </w:t>
      </w:r>
      <w:proofErr w:type="spellStart"/>
      <w:r w:rsidRPr="0077795E">
        <w:rPr>
          <w:rFonts w:cs="Times New Roman"/>
          <w:iCs/>
          <w:sz w:val="26"/>
          <w:szCs w:val="26"/>
        </w:rPr>
        <w:t>ms</w:t>
      </w:r>
      <w:proofErr w:type="spellEnd"/>
      <w:r w:rsidRPr="0077795E">
        <w:rPr>
          <w:rFonts w:cs="Times New Roman"/>
          <w:iCs/>
          <w:sz w:val="26"/>
          <w:szCs w:val="26"/>
        </w:rPr>
        <w:t>), ST-segment depression in inferolateral leads, and towering pathological U waves fused with flattened T waves indicative of severe hypokalemia (serum K+ 1.7 mmol/L).</w:t>
      </w:r>
    </w:p>
    <w:p w14:paraId="0E87D1E7" w14:textId="338D3DA0" w:rsidR="00BE4770" w:rsidRPr="0077795E" w:rsidRDefault="00913729">
      <w:pPr>
        <w:keepNext/>
        <w:spacing w:before="200" w:after="80"/>
        <w:rPr>
          <w:rFonts w:cs="Times New Roman"/>
          <w:b/>
          <w:color w:val="000000" w:themeColor="text1"/>
          <w:sz w:val="26"/>
          <w:szCs w:val="26"/>
        </w:rPr>
      </w:pPr>
      <w:r w:rsidRPr="0077795E">
        <w:rPr>
          <w:rFonts w:cs="Times New Roman"/>
          <w:b/>
          <w:color w:val="000000" w:themeColor="text1"/>
          <w:sz w:val="26"/>
          <w:szCs w:val="26"/>
        </w:rPr>
        <w:t>2.5 Therapeutic Intervention, Hospital Course, and Clinical Outcome</w:t>
      </w:r>
    </w:p>
    <w:p w14:paraId="31A43554" w14:textId="03E875BD" w:rsidR="006A1212" w:rsidRPr="0077795E" w:rsidRDefault="006A1212">
      <w:pPr>
        <w:keepNext/>
        <w:spacing w:before="200" w:after="80"/>
        <w:rPr>
          <w:rFonts w:cs="Times New Roman"/>
          <w:sz w:val="26"/>
          <w:szCs w:val="26"/>
          <w:lang w:val="en-IN"/>
        </w:rPr>
      </w:pPr>
      <w:r w:rsidRPr="0077795E">
        <w:rPr>
          <w:rFonts w:cs="Times New Roman"/>
          <w:sz w:val="26"/>
          <w:szCs w:val="26"/>
          <w:lang w:val="en-IN"/>
        </w:rPr>
        <w:t xml:space="preserve">In the face of profound </w:t>
      </w:r>
      <w:proofErr w:type="spellStart"/>
      <w:r w:rsidRPr="0077795E">
        <w:rPr>
          <w:rFonts w:cs="Times New Roman"/>
          <w:sz w:val="26"/>
          <w:szCs w:val="26"/>
          <w:lang w:val="en-IN"/>
        </w:rPr>
        <w:t>hypokalemia</w:t>
      </w:r>
      <w:proofErr w:type="spellEnd"/>
      <w:r w:rsidRPr="0077795E">
        <w:rPr>
          <w:rFonts w:cs="Times New Roman"/>
          <w:sz w:val="26"/>
          <w:szCs w:val="26"/>
          <w:lang w:val="en-IN"/>
        </w:rPr>
        <w:t xml:space="preserve"> (serum K of 1.7 mmol/L), severe quadriparesis and ECG showing classic arrhythmogenic changes, the STAT protocol of potassium replacement under continuous Cardiac Telemetry monitoring was commenced on arrival to the CIC/neuro-intermediate unit. The patient was treated with 40mEq (in 500ml normal saline 0.9% NaCl) intravenously as Injection KCl drip at a rate of 10mEq/h for 4 hours via separate IV line to prevent concomitant Dextrose containing solutions (to prevent endogenous insulin-mediated trans-cellular K+ shift which would worsen it further). In addition to, oral potassium (Syrup or KCl elixir) was given at the rate of 20mEq po TID. Supportive treatments administered along with this included Intravenous </w:t>
      </w:r>
      <w:r w:rsidRPr="0077795E">
        <w:rPr>
          <w:rFonts w:cs="Times New Roman"/>
          <w:sz w:val="26"/>
          <w:szCs w:val="26"/>
          <w:lang w:val="en-IN"/>
        </w:rPr>
        <w:lastRenderedPageBreak/>
        <w:t xml:space="preserve">Pantoprazole 40mg daily for gastric protection and intravenous multivitamins Neurologic recovery from repletion of serum potassium was remarkably rapid and striking: Within 8 hours of administration of Injection KCl, clinical evidence of Neurologic recovery: Strength of upper extremities was found to improve to 4+/5 and lower extremities to 4/5. By 24 hours on admission (03/09/2026) Morning lab investigations: Serum K+ went up to 2.1mmol/L and neurological assessment: motor function for all proximal and distal muscle groups of upper extremities and lower extremities of 5/5 strength, patient able to perform active dorsiflexion and planter flexion with significant resistance and full Range of Motion. Patient was able to ambulate without assistance, sit on bed, stand up and sit. ECG was normalized for ST segments and U-waves were attenuated, QTc normalization observed and given maintenance oral KCl solution and advised on increasing potassium in Diet. Patient was counselled on avoiding strenuous exercise for a couple of weeks. Referral was sent to gastroenterology and hepatology clinic with mention of incidental reactive serology for </w:t>
      </w:r>
      <w:proofErr w:type="spellStart"/>
      <w:r w:rsidRPr="0077795E">
        <w:rPr>
          <w:rFonts w:cs="Times New Roman"/>
          <w:sz w:val="26"/>
          <w:szCs w:val="26"/>
          <w:lang w:val="en-IN"/>
        </w:rPr>
        <w:t>HbsAg</w:t>
      </w:r>
      <w:proofErr w:type="spellEnd"/>
      <w:r w:rsidRPr="0077795E">
        <w:rPr>
          <w:rFonts w:cs="Times New Roman"/>
          <w:sz w:val="26"/>
          <w:szCs w:val="26"/>
          <w:lang w:val="en-IN"/>
        </w:rPr>
        <w:t xml:space="preserve"> for a follow-up. Patient remained asymptomatic during his 4 week-post operative clinic visit. Serum K was 4.3mmol/L, strength of the limb was intact.</w:t>
      </w:r>
    </w:p>
    <w:p w14:paraId="1CB00C79" w14:textId="77777777" w:rsidR="00BE4770" w:rsidRPr="0077795E" w:rsidRDefault="00913729">
      <w:pPr>
        <w:keepNext/>
        <w:spacing w:before="320" w:after="120"/>
        <w:rPr>
          <w:rFonts w:cs="Times New Roman"/>
          <w:b/>
          <w:color w:val="000000" w:themeColor="text1"/>
          <w:sz w:val="26"/>
          <w:szCs w:val="26"/>
        </w:rPr>
      </w:pPr>
      <w:r w:rsidRPr="0077795E">
        <w:rPr>
          <w:rFonts w:cs="Times New Roman"/>
          <w:b/>
          <w:color w:val="000000" w:themeColor="text1"/>
          <w:sz w:val="26"/>
          <w:szCs w:val="26"/>
        </w:rPr>
        <w:t>3. DISCUSSION</w:t>
      </w:r>
    </w:p>
    <w:p w14:paraId="4195BE40" w14:textId="6EF5845D" w:rsidR="003A4BD1" w:rsidRPr="0077795E" w:rsidRDefault="003A4BD1">
      <w:pPr>
        <w:keepNext/>
        <w:spacing w:before="320" w:after="120"/>
        <w:rPr>
          <w:rFonts w:cs="Times New Roman"/>
          <w:sz w:val="26"/>
          <w:szCs w:val="26"/>
          <w:lang w:val="en-IN"/>
        </w:rPr>
      </w:pPr>
      <w:r w:rsidRPr="0077795E">
        <w:rPr>
          <w:rFonts w:cs="Times New Roman"/>
          <w:sz w:val="26"/>
          <w:szCs w:val="26"/>
          <w:lang w:val="en-IN"/>
        </w:rPr>
        <w:t xml:space="preserve">Acute </w:t>
      </w:r>
      <w:proofErr w:type="spellStart"/>
      <w:r w:rsidRPr="0077795E">
        <w:rPr>
          <w:rFonts w:cs="Times New Roman"/>
          <w:sz w:val="26"/>
          <w:szCs w:val="26"/>
          <w:lang w:val="en-IN"/>
        </w:rPr>
        <w:t>hypokalemic</w:t>
      </w:r>
      <w:proofErr w:type="spellEnd"/>
      <w:r w:rsidRPr="0077795E">
        <w:rPr>
          <w:rFonts w:cs="Times New Roman"/>
          <w:sz w:val="26"/>
          <w:szCs w:val="26"/>
          <w:lang w:val="en-IN"/>
        </w:rPr>
        <w:t xml:space="preserve"> periodic paralysis is perhaps the most dramatic and completely reversible neurological or acute care emergency [1, 11]. Presented as episodic and reversible flaccid quadriparesis or paraparesis that if overlooked progresses catastrophically to fatal ventricular arrhythmias, rhabdomyolysis, respiratory collapse, and/or secondary anoxic brain damage [12, 13]. Initially known as an inherited ion channelopathy in the young and fit, severe acute </w:t>
      </w:r>
      <w:proofErr w:type="spellStart"/>
      <w:r w:rsidRPr="0077795E">
        <w:rPr>
          <w:rFonts w:cs="Times New Roman"/>
          <w:sz w:val="26"/>
          <w:szCs w:val="26"/>
          <w:lang w:val="en-IN"/>
        </w:rPr>
        <w:t>hypokalemic</w:t>
      </w:r>
      <w:proofErr w:type="spellEnd"/>
      <w:r w:rsidRPr="0077795E">
        <w:rPr>
          <w:rFonts w:cs="Times New Roman"/>
          <w:sz w:val="26"/>
          <w:szCs w:val="26"/>
          <w:lang w:val="en-IN"/>
        </w:rPr>
        <w:t xml:space="preserve"> paralysis often presents sporadically and secondary to acquired metabolic aberrations in middle-aged and elderly individuals [14, 15]. This case presents with numerous subtle but critically important atypical, unique clinical features that contribute to the corpus of our literature; a case of severe quadriparesis starting in the 55 </w:t>
      </w:r>
      <w:proofErr w:type="spellStart"/>
      <w:r w:rsidRPr="0077795E">
        <w:rPr>
          <w:rFonts w:cs="Times New Roman"/>
          <w:sz w:val="26"/>
          <w:szCs w:val="26"/>
          <w:lang w:val="en-IN"/>
        </w:rPr>
        <w:t>th</w:t>
      </w:r>
      <w:proofErr w:type="spellEnd"/>
      <w:r w:rsidRPr="0077795E">
        <w:rPr>
          <w:rFonts w:cs="Times New Roman"/>
          <w:sz w:val="26"/>
          <w:szCs w:val="26"/>
          <w:lang w:val="en-IN"/>
        </w:rPr>
        <w:t xml:space="preserve"> year of life, extreme </w:t>
      </w:r>
      <w:proofErr w:type="spellStart"/>
      <w:r w:rsidRPr="0077795E">
        <w:rPr>
          <w:rFonts w:cs="Times New Roman"/>
          <w:sz w:val="26"/>
          <w:szCs w:val="26"/>
          <w:lang w:val="en-IN"/>
        </w:rPr>
        <w:t>hypokalemia</w:t>
      </w:r>
      <w:proofErr w:type="spellEnd"/>
      <w:r w:rsidRPr="0077795E">
        <w:rPr>
          <w:rFonts w:cs="Times New Roman"/>
          <w:sz w:val="26"/>
          <w:szCs w:val="26"/>
          <w:lang w:val="en-IN"/>
        </w:rPr>
        <w:t xml:space="preserve"> of 1.7 mmol/L with remarkable electrocardiographic changes and remarkably and conspicuously absent deep tendon reflexes in the paralyzed limbs.</w:t>
      </w:r>
      <w:r w:rsidRPr="0077795E">
        <w:rPr>
          <w:rFonts w:cs="Times New Roman"/>
          <w:sz w:val="26"/>
          <w:szCs w:val="26"/>
          <w:lang w:val="en-IN"/>
        </w:rPr>
        <w:br/>
        <w:t xml:space="preserve">The absent deep tendon reflexes are the most important and philosophically revealing feature of this patient. On any typical neurological circuit, the normal textbook finding is a marked or absolute decrease in tone, </w:t>
      </w:r>
      <w:proofErr w:type="spellStart"/>
      <w:r w:rsidRPr="0077795E">
        <w:rPr>
          <w:rFonts w:cs="Times New Roman"/>
          <w:sz w:val="26"/>
          <w:szCs w:val="26"/>
          <w:lang w:val="en-IN"/>
        </w:rPr>
        <w:t>ie</w:t>
      </w:r>
      <w:proofErr w:type="spellEnd"/>
      <w:r w:rsidRPr="0077795E">
        <w:rPr>
          <w:rFonts w:cs="Times New Roman"/>
          <w:sz w:val="26"/>
          <w:szCs w:val="26"/>
          <w:lang w:val="en-IN"/>
        </w:rPr>
        <w:t xml:space="preserve"> areflexia. This because profound </w:t>
      </w:r>
      <w:proofErr w:type="spellStart"/>
      <w:r w:rsidRPr="0077795E">
        <w:rPr>
          <w:rFonts w:cs="Times New Roman"/>
          <w:sz w:val="26"/>
          <w:szCs w:val="26"/>
          <w:lang w:val="en-IN"/>
        </w:rPr>
        <w:t>hypokalemia</w:t>
      </w:r>
      <w:proofErr w:type="spellEnd"/>
      <w:r w:rsidRPr="0077795E">
        <w:rPr>
          <w:rFonts w:cs="Times New Roman"/>
          <w:sz w:val="26"/>
          <w:szCs w:val="26"/>
          <w:lang w:val="en-IN"/>
        </w:rPr>
        <w:t xml:space="preserve"> creates a profound hyperpolarization and moves the resting membrane potential away from the threshold for firing the muscle membrane potential [16, 10]. As outlined by the Goldman Hodgkin Katz equation under these conditions the extracellular potassium value </w:t>
      </w:r>
      <w:r w:rsidRPr="0077795E">
        <w:rPr>
          <w:rFonts w:cs="Times New Roman"/>
          <w:sz w:val="26"/>
          <w:szCs w:val="26"/>
          <w:lang w:val="en-IN"/>
        </w:rPr>
        <w:lastRenderedPageBreak/>
        <w:t>(K) and cellular potassium</w:t>
      </w:r>
      <w:r w:rsidR="00744940" w:rsidRPr="0077795E">
        <w:rPr>
          <w:rFonts w:cs="Times New Roman"/>
          <w:sz w:val="26"/>
          <w:szCs w:val="26"/>
          <w:lang w:val="en-IN"/>
        </w:rPr>
        <w:t>/</w:t>
      </w:r>
      <w:r w:rsidRPr="0077795E">
        <w:rPr>
          <w:rFonts w:cs="Times New Roman"/>
          <w:sz w:val="26"/>
          <w:szCs w:val="26"/>
          <w:lang w:val="en-IN"/>
        </w:rPr>
        <w:t xml:space="preserve">K values shifted with </w:t>
      </w:r>
      <w:proofErr w:type="spellStart"/>
      <w:r w:rsidRPr="0077795E">
        <w:rPr>
          <w:rFonts w:cs="Times New Roman"/>
          <w:sz w:val="26"/>
          <w:szCs w:val="26"/>
          <w:lang w:val="en-IN"/>
        </w:rPr>
        <w:t>hypokalemia</w:t>
      </w:r>
      <w:proofErr w:type="spellEnd"/>
      <w:r w:rsidRPr="0077795E">
        <w:rPr>
          <w:rFonts w:cs="Times New Roman"/>
          <w:sz w:val="26"/>
          <w:szCs w:val="26"/>
          <w:lang w:val="en-IN"/>
        </w:rPr>
        <w:t xml:space="preserve"> driving K low hyperpolarize the muscle </w:t>
      </w:r>
      <w:r w:rsidR="00744940" w:rsidRPr="0077795E">
        <w:rPr>
          <w:rFonts w:cs="Times New Roman"/>
          <w:sz w:val="26"/>
          <w:szCs w:val="26"/>
          <w:lang w:val="en-IN"/>
        </w:rPr>
        <w:t>fibres</w:t>
      </w:r>
      <w:r w:rsidRPr="0077795E">
        <w:rPr>
          <w:rFonts w:cs="Times New Roman"/>
          <w:sz w:val="26"/>
          <w:szCs w:val="26"/>
          <w:lang w:val="en-IN"/>
        </w:rPr>
        <w:t xml:space="preserve"> [17]. However this paradoxically results in a maintained depolarization of the muscle cell membrane if a leak channels exists in the sarcolemma, as the movement from high to low extracellular potassium, in this condition of channelopathies involving Cav1.1 (CACNA1S) or Nav1.4 (SCN4A), causes aberrant gating pore currents that create paradoxical sustained </w:t>
      </w:r>
      <w:proofErr w:type="spellStart"/>
      <w:r w:rsidRPr="0077795E">
        <w:rPr>
          <w:rFonts w:cs="Times New Roman"/>
          <w:sz w:val="26"/>
          <w:szCs w:val="26"/>
          <w:lang w:val="en-IN"/>
        </w:rPr>
        <w:t>sarcolemmal</w:t>
      </w:r>
      <w:proofErr w:type="spellEnd"/>
      <w:r w:rsidRPr="0077795E">
        <w:rPr>
          <w:rFonts w:cs="Times New Roman"/>
          <w:sz w:val="26"/>
          <w:szCs w:val="26"/>
          <w:lang w:val="en-IN"/>
        </w:rPr>
        <w:t xml:space="preserve"> depolarization thereby inactivating the voltage gated sodium channels resulting in a permanently in excitable depolarising block [6, 7]. Despite a motor paralysis to 2–3/5 in lower extremities, the tendon jerks in this patient remained 2+ and fully intact. </w:t>
      </w:r>
      <w:proofErr w:type="spellStart"/>
      <w:r w:rsidRPr="0077795E">
        <w:rPr>
          <w:rFonts w:cs="Times New Roman"/>
          <w:sz w:val="26"/>
          <w:szCs w:val="26"/>
          <w:lang w:val="en-IN"/>
        </w:rPr>
        <w:t>Statland’s</w:t>
      </w:r>
      <w:proofErr w:type="spellEnd"/>
      <w:r w:rsidRPr="0077795E">
        <w:rPr>
          <w:rFonts w:cs="Times New Roman"/>
          <w:sz w:val="26"/>
          <w:szCs w:val="26"/>
          <w:lang w:val="en-IN"/>
        </w:rPr>
        <w:t xml:space="preserve"> massive multicentre study in GBS demonstrates that although severe peripheral neuropathy is nearly always associated with reflex changes, retained deep tendon reflexes is not rare [10] whereas an in-depth neurophysiological account of these </w:t>
      </w:r>
      <w:proofErr w:type="spellStart"/>
      <w:r w:rsidRPr="0077795E">
        <w:rPr>
          <w:rFonts w:cs="Times New Roman"/>
          <w:sz w:val="26"/>
          <w:szCs w:val="26"/>
          <w:lang w:val="en-IN"/>
        </w:rPr>
        <w:t>hypokalemic</w:t>
      </w:r>
      <w:proofErr w:type="spellEnd"/>
      <w:r w:rsidRPr="0077795E">
        <w:rPr>
          <w:rFonts w:cs="Times New Roman"/>
          <w:sz w:val="26"/>
          <w:szCs w:val="26"/>
          <w:lang w:val="en-IN"/>
        </w:rPr>
        <w:t xml:space="preserve"> channels shows retained functional reflex arcs even while paralyzed is common [14, 21]. Ironically confusing a present deep tendon jerk with a positive upper motor neuron lesion, early functional paralysis, even in its most severe forms of spinal cord compromise or multiple sclerosis, commonly sends young and middle aged adults to the emergency rooms with emergently ordered diagnostic spinal MRIs with a diagnosis never reaching far below the spinal cord where the very likely and most immediately dangerous electrolyte abnormality rests [2, 19].</w:t>
      </w:r>
      <w:r w:rsidRPr="0077795E">
        <w:rPr>
          <w:rFonts w:cs="Times New Roman"/>
          <w:sz w:val="26"/>
          <w:szCs w:val="26"/>
          <w:lang w:val="en-IN"/>
        </w:rPr>
        <w:br/>
        <w:t xml:space="preserve">One of the most commonly held differential in the adult emergent unit arriving with rapid and symmetric flaccid ascending quadriparesis is </w:t>
      </w:r>
      <w:proofErr w:type="spellStart"/>
      <w:r w:rsidRPr="0077795E">
        <w:rPr>
          <w:rFonts w:cs="Times New Roman"/>
          <w:sz w:val="26"/>
          <w:szCs w:val="26"/>
          <w:lang w:val="en-IN"/>
        </w:rPr>
        <w:t>Guillian</w:t>
      </w:r>
      <w:proofErr w:type="spellEnd"/>
      <w:r w:rsidRPr="0077795E">
        <w:rPr>
          <w:rFonts w:cs="Times New Roman"/>
          <w:sz w:val="26"/>
          <w:szCs w:val="26"/>
          <w:lang w:val="en-IN"/>
        </w:rPr>
        <w:t xml:space="preserve">-Barr syndrome [20, 21]. Both states can cause a precipitous but nearly always symmetrical paralysis that affects primarily the limbs. Both conditions will commonly lack specific physical findings and the diagnosis is made via exclusion once appropriate imaging fails to yield a cause of the paralysis. Common reasons to differentiate </w:t>
      </w:r>
      <w:proofErr w:type="spellStart"/>
      <w:r w:rsidRPr="0077795E">
        <w:rPr>
          <w:rFonts w:cs="Times New Roman"/>
          <w:sz w:val="26"/>
          <w:szCs w:val="26"/>
          <w:lang w:val="en-IN"/>
        </w:rPr>
        <w:t>hypokalemic</w:t>
      </w:r>
      <w:proofErr w:type="spellEnd"/>
      <w:r w:rsidRPr="0077795E">
        <w:rPr>
          <w:rFonts w:cs="Times New Roman"/>
          <w:sz w:val="26"/>
          <w:szCs w:val="26"/>
          <w:lang w:val="en-IN"/>
        </w:rPr>
        <w:t xml:space="preserve"> periodic paralysis from </w:t>
      </w:r>
      <w:proofErr w:type="spellStart"/>
      <w:r w:rsidRPr="0077795E">
        <w:rPr>
          <w:rFonts w:cs="Times New Roman"/>
          <w:sz w:val="26"/>
          <w:szCs w:val="26"/>
          <w:lang w:val="en-IN"/>
        </w:rPr>
        <w:t>Guillian</w:t>
      </w:r>
      <w:proofErr w:type="spellEnd"/>
      <w:r w:rsidRPr="0077795E">
        <w:rPr>
          <w:rFonts w:cs="Times New Roman"/>
          <w:sz w:val="26"/>
          <w:szCs w:val="26"/>
          <w:lang w:val="en-IN"/>
        </w:rPr>
        <w:t xml:space="preserve">-Barr syndrome however abound. </w:t>
      </w:r>
      <w:proofErr w:type="spellStart"/>
      <w:r w:rsidRPr="0077795E">
        <w:rPr>
          <w:rFonts w:cs="Times New Roman"/>
          <w:sz w:val="26"/>
          <w:szCs w:val="26"/>
          <w:lang w:val="en-IN"/>
        </w:rPr>
        <w:t>Guillian</w:t>
      </w:r>
      <w:proofErr w:type="spellEnd"/>
      <w:r w:rsidRPr="0077795E">
        <w:rPr>
          <w:rFonts w:cs="Times New Roman"/>
          <w:sz w:val="26"/>
          <w:szCs w:val="26"/>
          <w:lang w:val="en-IN"/>
        </w:rPr>
        <w:t>-Barr syndrome typically will be associated with diminished reflexes and subjective or objectively provable sensory abnormalities with autonomic dysfunction and slower escalation of symptoms over days or weeks; Other differentials to be considered in all adults who present with acute ascending paralysis include tick paralysis which differ significantly by causing descending, cranial nerve involvement [1, 23].</w:t>
      </w:r>
      <w:r w:rsidRPr="0077795E">
        <w:rPr>
          <w:rFonts w:cs="Times New Roman"/>
          <w:sz w:val="26"/>
          <w:szCs w:val="26"/>
          <w:lang w:val="en-IN"/>
        </w:rPr>
        <w:br/>
        <w:t xml:space="preserve">The ECG abnormalities observed in this patient were invaluable. ECG manifestations of </w:t>
      </w:r>
      <w:proofErr w:type="spellStart"/>
      <w:r w:rsidRPr="0077795E">
        <w:rPr>
          <w:rFonts w:cs="Times New Roman"/>
          <w:sz w:val="26"/>
          <w:szCs w:val="26"/>
          <w:lang w:val="en-IN"/>
        </w:rPr>
        <w:t>hypokalemia</w:t>
      </w:r>
      <w:proofErr w:type="spellEnd"/>
      <w:r w:rsidRPr="0077795E">
        <w:rPr>
          <w:rFonts w:cs="Times New Roman"/>
          <w:sz w:val="26"/>
          <w:szCs w:val="26"/>
          <w:lang w:val="en-IN"/>
        </w:rPr>
        <w:t xml:space="preserve"> are seen due to the pronounced chemical gradients across cell membranes, alterations in I K1, and potentiation of I Kr. These alterations delay phase 3 repolarization and lead to marked afterdepolarizations thereby producing diminished T waves; ST depression; long QTc/QU interval and classic pathology U wave deflections (&gt;1mm or 25% greater in amplitude than the T-wave height), which became apparent early in the </w:t>
      </w:r>
      <w:r w:rsidRPr="0077795E">
        <w:rPr>
          <w:rFonts w:cs="Times New Roman"/>
          <w:sz w:val="26"/>
          <w:szCs w:val="26"/>
          <w:lang w:val="en-IN"/>
        </w:rPr>
        <w:lastRenderedPageBreak/>
        <w:t xml:space="preserve">course of this patient’s presentation. In this case QTc at 487ms and classic U waves that merged with and prolonged the duration of the T waves are seen in leads V2-V6 and, in many leads, along inferior aspect of the heart (Figure 1). These electrocardiographic anomalies represent one of the most important critical elements in differentiating </w:t>
      </w:r>
      <w:proofErr w:type="spellStart"/>
      <w:r w:rsidRPr="0077795E">
        <w:rPr>
          <w:rFonts w:cs="Times New Roman"/>
          <w:sz w:val="26"/>
          <w:szCs w:val="26"/>
          <w:lang w:val="en-IN"/>
        </w:rPr>
        <w:t>hypokalemic</w:t>
      </w:r>
      <w:proofErr w:type="spellEnd"/>
      <w:r w:rsidRPr="0077795E">
        <w:rPr>
          <w:rFonts w:cs="Times New Roman"/>
          <w:sz w:val="26"/>
          <w:szCs w:val="26"/>
          <w:lang w:val="en-IN"/>
        </w:rPr>
        <w:t xml:space="preserve"> periodic paralysis from alternative serious diagnoses where, because of lengthy emergency room electrolyte testing turnaround times, these definitive signs will often manifest on the bedside monitor of most community and tertiary care hospitals before conclusive lab results ever reach the physician's hand, placing the critically ill, paralyzed patient at very high risk of fatal arrhythmias (e.g. Ventricular tachycardia, fibrillation, and torsades des pointes) [24, 25, 26].</w:t>
      </w:r>
      <w:r w:rsidRPr="0077795E">
        <w:rPr>
          <w:rFonts w:cs="Times New Roman"/>
          <w:sz w:val="26"/>
          <w:szCs w:val="26"/>
          <w:lang w:val="en-IN"/>
        </w:rPr>
        <w:br/>
        <w:t xml:space="preserve">Thyrotoxic periodic paralysis (TPP) is the most frequent </w:t>
      </w:r>
      <w:proofErr w:type="spellStart"/>
      <w:r w:rsidRPr="0077795E">
        <w:rPr>
          <w:rFonts w:cs="Times New Roman"/>
          <w:sz w:val="26"/>
          <w:szCs w:val="26"/>
          <w:lang w:val="en-IN"/>
        </w:rPr>
        <w:t>etiology</w:t>
      </w:r>
      <w:proofErr w:type="spellEnd"/>
      <w:r w:rsidRPr="0077795E">
        <w:rPr>
          <w:rFonts w:cs="Times New Roman"/>
          <w:sz w:val="26"/>
          <w:szCs w:val="26"/>
          <w:lang w:val="en-IN"/>
        </w:rPr>
        <w:t xml:space="preserve"> worldwide especially in Asians who represent young-older males where the condition occurs despite female sex dominance of hyperthyroidism [27, 28]. Patients suffering with thyroid toxic periodic paralysis demonstrate increased numbers of Na+/K+-ATPase pumps on the sarcolemma accompanied by beta-adrenergic activation causing massive transmembrane shifts of K+ into the skeletal muscle cell [28]. The laboratory profile confirmed strictly normal thyroid values and hence the diagnoses are strictly confirmed. Likewise urinary and arterial blood gas analysis in addition to rigorous historical exclusion of inappropriate laxative and/or diuretic use has confirmed that distal renal tubular acidosis; Gitelman syndrome; and hyperaldosteronism are not contributing factor [9, 29]. The elevated creatine kinase seen in this patient (348 U/L) likely secondary to subclinical muscle and cellular breakdown with increases </w:t>
      </w:r>
      <w:proofErr w:type="spellStart"/>
      <w:r w:rsidRPr="0077795E">
        <w:rPr>
          <w:rFonts w:cs="Times New Roman"/>
          <w:sz w:val="26"/>
          <w:szCs w:val="26"/>
          <w:lang w:val="en-IN"/>
        </w:rPr>
        <w:t>sarcolemmal</w:t>
      </w:r>
      <w:proofErr w:type="spellEnd"/>
      <w:r w:rsidRPr="0077795E">
        <w:rPr>
          <w:rFonts w:cs="Times New Roman"/>
          <w:sz w:val="26"/>
          <w:szCs w:val="26"/>
          <w:lang w:val="en-IN"/>
        </w:rPr>
        <w:t xml:space="preserve"> permeability seen in severe </w:t>
      </w:r>
      <w:proofErr w:type="spellStart"/>
      <w:r w:rsidRPr="0077795E">
        <w:rPr>
          <w:rFonts w:cs="Times New Roman"/>
          <w:sz w:val="26"/>
          <w:szCs w:val="26"/>
          <w:lang w:val="en-IN"/>
        </w:rPr>
        <w:t>hyperkalemia</w:t>
      </w:r>
      <w:proofErr w:type="spellEnd"/>
      <w:r w:rsidRPr="0077795E">
        <w:rPr>
          <w:rFonts w:cs="Times New Roman"/>
          <w:sz w:val="26"/>
          <w:szCs w:val="26"/>
          <w:lang w:val="en-IN"/>
        </w:rPr>
        <w:t xml:space="preserve"> [13, 30]. It must be noted that accidental identification of reactivity for Hepatitis B Surface Antigen was investigated and found to be incidental, and we were not aware this occurred until after discharge however it emphasizes the necessity of screening for potential concurrent multisystem disease processes [31].</w:t>
      </w:r>
      <w:r w:rsidRPr="0077795E">
        <w:rPr>
          <w:rFonts w:cs="Times New Roman"/>
          <w:sz w:val="26"/>
          <w:szCs w:val="26"/>
          <w:lang w:val="en-IN"/>
        </w:rPr>
        <w:br/>
        <w:t xml:space="preserve">Current best evidence supports the careful management of acute </w:t>
      </w:r>
      <w:proofErr w:type="spellStart"/>
      <w:r w:rsidRPr="0077795E">
        <w:rPr>
          <w:rFonts w:cs="Times New Roman"/>
          <w:sz w:val="26"/>
          <w:szCs w:val="26"/>
          <w:lang w:val="en-IN"/>
        </w:rPr>
        <w:t>hypokalemic</w:t>
      </w:r>
      <w:proofErr w:type="spellEnd"/>
      <w:r w:rsidRPr="0077795E">
        <w:rPr>
          <w:rFonts w:cs="Times New Roman"/>
          <w:sz w:val="26"/>
          <w:szCs w:val="26"/>
          <w:lang w:val="en-IN"/>
        </w:rPr>
        <w:t xml:space="preserve"> periodic paralysis for fear of developing rebound </w:t>
      </w:r>
      <w:proofErr w:type="spellStart"/>
      <w:r w:rsidRPr="0077795E">
        <w:rPr>
          <w:rFonts w:cs="Times New Roman"/>
          <w:sz w:val="26"/>
          <w:szCs w:val="26"/>
          <w:lang w:val="en-IN"/>
        </w:rPr>
        <w:t>hyperkalemia</w:t>
      </w:r>
      <w:proofErr w:type="spellEnd"/>
      <w:r w:rsidRPr="0077795E">
        <w:rPr>
          <w:rFonts w:cs="Times New Roman"/>
          <w:sz w:val="26"/>
          <w:szCs w:val="26"/>
          <w:lang w:val="en-IN"/>
        </w:rPr>
        <w:t xml:space="preserve">, as individuals with the condition only suffer a minimal total body potassium deficiency which then rebounds in the extracellular space when intracellular K+ shifts out during the recovery phase [32, 34]. Only 10 </w:t>
      </w:r>
      <w:proofErr w:type="spellStart"/>
      <w:r w:rsidRPr="0077795E">
        <w:rPr>
          <w:rFonts w:cs="Times New Roman"/>
          <w:sz w:val="26"/>
          <w:szCs w:val="26"/>
          <w:lang w:val="en-IN"/>
        </w:rPr>
        <w:t>mEq</w:t>
      </w:r>
      <w:proofErr w:type="spellEnd"/>
      <w:r w:rsidRPr="0077795E">
        <w:rPr>
          <w:rFonts w:cs="Times New Roman"/>
          <w:sz w:val="26"/>
          <w:szCs w:val="26"/>
          <w:lang w:val="en-IN"/>
        </w:rPr>
        <w:t xml:space="preserve">/hr or no more than 20 </w:t>
      </w:r>
      <w:proofErr w:type="spellStart"/>
      <w:r w:rsidRPr="0077795E">
        <w:rPr>
          <w:rFonts w:cs="Times New Roman"/>
          <w:sz w:val="26"/>
          <w:szCs w:val="26"/>
          <w:lang w:val="en-IN"/>
        </w:rPr>
        <w:t>mEq</w:t>
      </w:r>
      <w:proofErr w:type="spellEnd"/>
      <w:r w:rsidRPr="0077795E">
        <w:rPr>
          <w:rFonts w:cs="Times New Roman"/>
          <w:sz w:val="26"/>
          <w:szCs w:val="26"/>
          <w:lang w:val="en-IN"/>
        </w:rPr>
        <w:t xml:space="preserve">/hr in patients who are critically ill and/or not on continuous heart monitoring should ever be infused in patients whom, as in this case, suffered a profound electrolyte deficiency [33, 35]. It should never be infused with hypertonic dextrose which has the ability to rapidly draw K+ into the intracellular compartment, creating what is typically rapid and predictable rebound </w:t>
      </w:r>
      <w:proofErr w:type="spellStart"/>
      <w:r w:rsidRPr="0077795E">
        <w:rPr>
          <w:rFonts w:cs="Times New Roman"/>
          <w:sz w:val="26"/>
          <w:szCs w:val="26"/>
          <w:lang w:val="en-IN"/>
        </w:rPr>
        <w:t>hyperkalemia</w:t>
      </w:r>
      <w:proofErr w:type="spellEnd"/>
      <w:r w:rsidRPr="0077795E">
        <w:rPr>
          <w:rFonts w:cs="Times New Roman"/>
          <w:sz w:val="26"/>
          <w:szCs w:val="26"/>
          <w:lang w:val="en-IN"/>
        </w:rPr>
        <w:t xml:space="preserve"> [35]. Following the same management protocols as cited above, our patient, received 40mEq </w:t>
      </w:r>
      <w:r w:rsidRPr="0077795E">
        <w:rPr>
          <w:rFonts w:cs="Times New Roman"/>
          <w:sz w:val="26"/>
          <w:szCs w:val="26"/>
          <w:lang w:val="en-IN"/>
        </w:rPr>
        <w:lastRenderedPageBreak/>
        <w:t xml:space="preserve">IV KCl over 4 hours and was safely back to pre-morbid motor power over 24 hours with no resultant rebound </w:t>
      </w:r>
      <w:proofErr w:type="spellStart"/>
      <w:r w:rsidRPr="0077795E">
        <w:rPr>
          <w:rFonts w:cs="Times New Roman"/>
          <w:sz w:val="26"/>
          <w:szCs w:val="26"/>
          <w:lang w:val="en-IN"/>
        </w:rPr>
        <w:t>hyperkalemia</w:t>
      </w:r>
      <w:proofErr w:type="spellEnd"/>
      <w:r w:rsidRPr="0077795E">
        <w:rPr>
          <w:rFonts w:cs="Times New Roman"/>
          <w:sz w:val="26"/>
          <w:szCs w:val="26"/>
          <w:lang w:val="en-IN"/>
        </w:rPr>
        <w:t xml:space="preserve"> or cardiac arrhythmias.</w:t>
      </w:r>
    </w:p>
    <w:p w14:paraId="227EF575" w14:textId="77777777" w:rsidR="00BE4770" w:rsidRPr="0077795E" w:rsidRDefault="00913729">
      <w:pPr>
        <w:keepNext/>
        <w:spacing w:before="320" w:after="120"/>
        <w:rPr>
          <w:rFonts w:cs="Times New Roman"/>
          <w:b/>
          <w:color w:val="000000" w:themeColor="text1"/>
          <w:sz w:val="26"/>
          <w:szCs w:val="26"/>
        </w:rPr>
      </w:pPr>
      <w:r w:rsidRPr="0077795E">
        <w:rPr>
          <w:rFonts w:cs="Times New Roman"/>
          <w:b/>
          <w:color w:val="000000" w:themeColor="text1"/>
          <w:sz w:val="26"/>
          <w:szCs w:val="26"/>
        </w:rPr>
        <w:t>4. CONCLUSION</w:t>
      </w:r>
    </w:p>
    <w:p w14:paraId="74C98F1E" w14:textId="083671CF" w:rsidR="00307F47" w:rsidRPr="0077795E" w:rsidRDefault="00307F47">
      <w:pPr>
        <w:keepNext/>
        <w:spacing w:before="320" w:after="120"/>
        <w:rPr>
          <w:rFonts w:cs="Times New Roman"/>
          <w:color w:val="000000" w:themeColor="text1"/>
          <w:sz w:val="26"/>
          <w:szCs w:val="26"/>
          <w:lang w:val="en-IN"/>
        </w:rPr>
      </w:pPr>
      <w:r w:rsidRPr="0077795E">
        <w:rPr>
          <w:rFonts w:cs="Times New Roman"/>
          <w:color w:val="000000" w:themeColor="text1"/>
          <w:sz w:val="26"/>
          <w:szCs w:val="26"/>
          <w:lang w:val="en-IN"/>
        </w:rPr>
        <w:t xml:space="preserve">This medical-neurological emergency in its severe form of </w:t>
      </w:r>
      <w:proofErr w:type="spellStart"/>
      <w:r w:rsidRPr="0077795E">
        <w:rPr>
          <w:rFonts w:cs="Times New Roman"/>
          <w:color w:val="000000" w:themeColor="text1"/>
          <w:sz w:val="26"/>
          <w:szCs w:val="26"/>
          <w:lang w:val="en-IN"/>
        </w:rPr>
        <w:t>hypokalaemic</w:t>
      </w:r>
      <w:proofErr w:type="spellEnd"/>
      <w:r w:rsidRPr="0077795E">
        <w:rPr>
          <w:rFonts w:cs="Times New Roman"/>
          <w:color w:val="000000" w:themeColor="text1"/>
          <w:sz w:val="26"/>
          <w:szCs w:val="26"/>
          <w:lang w:val="en-IN"/>
        </w:rPr>
        <w:t xml:space="preserve"> periodic paralysis may indeed pose as an unusual presentation, with a perfectly normal, deep tendon reflexes throwing established clinical dogma into disfavour. For acutely developed symmetrical quadriparesis clinicians should never rule out the diagnosis of </w:t>
      </w:r>
      <w:proofErr w:type="spellStart"/>
      <w:r w:rsidRPr="0077795E">
        <w:rPr>
          <w:rFonts w:cs="Times New Roman"/>
          <w:color w:val="000000" w:themeColor="text1"/>
          <w:sz w:val="26"/>
          <w:szCs w:val="26"/>
          <w:lang w:val="en-IN"/>
        </w:rPr>
        <w:t>hypokalaemic</w:t>
      </w:r>
      <w:proofErr w:type="spellEnd"/>
      <w:r w:rsidRPr="0077795E">
        <w:rPr>
          <w:rFonts w:cs="Times New Roman"/>
          <w:color w:val="000000" w:themeColor="text1"/>
          <w:sz w:val="26"/>
          <w:szCs w:val="26"/>
          <w:lang w:val="en-IN"/>
        </w:rPr>
        <w:t xml:space="preserve"> paralysis on the presence of normal reflexes. An urgently performing of a 12-lead Electrocardiogram is an invaluable bedside diagnostic tool revealing ST depression, QTc prolongation and prominent U waves with clear indication of the presence of </w:t>
      </w:r>
      <w:proofErr w:type="spellStart"/>
      <w:r w:rsidRPr="0077795E">
        <w:rPr>
          <w:rFonts w:cs="Times New Roman"/>
          <w:color w:val="000000" w:themeColor="text1"/>
          <w:sz w:val="26"/>
          <w:szCs w:val="26"/>
          <w:lang w:val="en-IN"/>
        </w:rPr>
        <w:t>hypokalemia</w:t>
      </w:r>
      <w:proofErr w:type="spellEnd"/>
      <w:r w:rsidRPr="0077795E">
        <w:rPr>
          <w:rFonts w:cs="Times New Roman"/>
          <w:color w:val="000000" w:themeColor="text1"/>
          <w:sz w:val="26"/>
          <w:szCs w:val="26"/>
          <w:lang w:val="en-IN"/>
        </w:rPr>
        <w:t xml:space="preserve">. Quick confirmation by biochemical examination and exclusion of secondary endocrinopathies such as Thyrotoxicosis along with a rapid, gradual, controlled intravenous potassium repletion in saline solution (absolutely and rigidly avoiding dextrose infusion) enables to establish total motor recovery within 24 hours without any life-threatening cardiac arrhythmias and rebound </w:t>
      </w:r>
      <w:proofErr w:type="spellStart"/>
      <w:r w:rsidRPr="0077795E">
        <w:rPr>
          <w:rFonts w:cs="Times New Roman"/>
          <w:color w:val="000000" w:themeColor="text1"/>
          <w:sz w:val="26"/>
          <w:szCs w:val="26"/>
          <w:lang w:val="en-IN"/>
        </w:rPr>
        <w:t>hypokalemia</w:t>
      </w:r>
      <w:proofErr w:type="spellEnd"/>
      <w:r w:rsidRPr="0077795E">
        <w:rPr>
          <w:rFonts w:cs="Times New Roman"/>
          <w:color w:val="000000" w:themeColor="text1"/>
          <w:sz w:val="26"/>
          <w:szCs w:val="26"/>
          <w:lang w:val="en-IN"/>
        </w:rPr>
        <w:t>.</w:t>
      </w:r>
    </w:p>
    <w:p w14:paraId="0E1D53BF" w14:textId="77777777" w:rsidR="00BE4770" w:rsidRPr="0077795E" w:rsidRDefault="00913729">
      <w:pPr>
        <w:keepNext/>
        <w:spacing w:before="320" w:after="120"/>
        <w:rPr>
          <w:rFonts w:cs="Times New Roman"/>
          <w:b/>
          <w:color w:val="000000" w:themeColor="text1"/>
          <w:sz w:val="26"/>
          <w:szCs w:val="26"/>
        </w:rPr>
      </w:pPr>
      <w:r w:rsidRPr="0077795E">
        <w:rPr>
          <w:rFonts w:cs="Times New Roman"/>
          <w:b/>
          <w:color w:val="000000" w:themeColor="text1"/>
          <w:sz w:val="26"/>
          <w:szCs w:val="26"/>
        </w:rPr>
        <w:t>CONSENT AND ETHICAL CONSIDERATIONS</w:t>
      </w:r>
    </w:p>
    <w:p w14:paraId="5C535564" w14:textId="77777777" w:rsidR="00E6694D" w:rsidRPr="0077795E" w:rsidRDefault="00E6694D" w:rsidP="00E6694D">
      <w:pPr>
        <w:keepNext/>
        <w:spacing w:before="320" w:after="120"/>
        <w:rPr>
          <w:rFonts w:cs="Times New Roman"/>
          <w:color w:val="000000" w:themeColor="text1"/>
          <w:sz w:val="26"/>
          <w:szCs w:val="26"/>
          <w:lang w:val="en-IN"/>
        </w:rPr>
      </w:pPr>
      <w:r w:rsidRPr="0077795E">
        <w:rPr>
          <w:rFonts w:cs="Times New Roman"/>
          <w:color w:val="000000" w:themeColor="text1"/>
          <w:sz w:val="26"/>
          <w:szCs w:val="26"/>
          <w:lang w:val="en-IN"/>
        </w:rPr>
        <w:t>Written informed consent was taken from patient for the publication of the case and imaging modalities and the copy of written consent is available for perusal by the Editorial Board of the Asian Research Journal of Current Science.</w:t>
      </w:r>
    </w:p>
    <w:p w14:paraId="270F9432" w14:textId="18E3201A" w:rsidR="00E6694D" w:rsidRPr="0077795E" w:rsidRDefault="00E6694D" w:rsidP="00E6694D">
      <w:pPr>
        <w:keepNext/>
        <w:spacing w:before="320" w:after="120"/>
        <w:rPr>
          <w:rFonts w:cs="Times New Roman"/>
          <w:color w:val="000000" w:themeColor="text1"/>
          <w:sz w:val="26"/>
          <w:szCs w:val="26"/>
          <w:lang w:val="en-IN"/>
        </w:rPr>
      </w:pPr>
      <w:r w:rsidRPr="0077795E">
        <w:rPr>
          <w:rFonts w:cs="Times New Roman"/>
          <w:color w:val="000000" w:themeColor="text1"/>
          <w:sz w:val="26"/>
          <w:szCs w:val="26"/>
          <w:lang w:val="en-IN"/>
        </w:rPr>
        <w:t>COMPETING INTERESTS: The authors state that there are no any financial or occupational or personae interests in the context to be regarded as compelling interests.</w:t>
      </w:r>
    </w:p>
    <w:p w14:paraId="1C83CFF3" w14:textId="07CD4E22" w:rsidR="00913729" w:rsidRDefault="00913729">
      <w:pPr>
        <w:keepNext/>
        <w:spacing w:before="320" w:after="120"/>
        <w:rPr>
          <w:rFonts w:cs="Times New Roman"/>
          <w:color w:val="000000" w:themeColor="text1"/>
          <w:sz w:val="26"/>
          <w:szCs w:val="26"/>
          <w:lang w:val="en-IN"/>
        </w:rPr>
      </w:pPr>
    </w:p>
    <w:p w14:paraId="5BF32DD3" w14:textId="77777777" w:rsidR="00913729" w:rsidRPr="002D08AC" w:rsidRDefault="00913729" w:rsidP="00913729">
      <w:pPr>
        <w:spacing w:after="0" w:line="240" w:lineRule="auto"/>
        <w:rPr>
          <w:rFonts w:ascii="Arial" w:hAnsi="Arial" w:cs="Arial"/>
          <w:b/>
          <w:sz w:val="20"/>
          <w:szCs w:val="20"/>
        </w:rPr>
      </w:pPr>
      <w:bookmarkStart w:id="0" w:name="_Hlk238550938"/>
      <w:bookmarkStart w:id="1" w:name="_Hlk237856463"/>
      <w:r w:rsidRPr="002D08AC">
        <w:rPr>
          <w:rFonts w:ascii="Arial" w:hAnsi="Arial" w:cs="Arial"/>
          <w:b/>
          <w:sz w:val="20"/>
          <w:szCs w:val="20"/>
        </w:rPr>
        <w:t>Declaration of AI Use</w:t>
      </w:r>
    </w:p>
    <w:p w14:paraId="1B31DF95" w14:textId="77777777" w:rsidR="00913729" w:rsidRPr="002D08AC" w:rsidRDefault="00913729" w:rsidP="00913729">
      <w:pPr>
        <w:spacing w:after="0" w:line="240" w:lineRule="auto"/>
        <w:rPr>
          <w:rFonts w:ascii="Arial" w:hAnsi="Arial" w:cs="Arial"/>
          <w:sz w:val="20"/>
          <w:szCs w:val="20"/>
        </w:rPr>
      </w:pPr>
      <w:bookmarkStart w:id="2" w:name="_Hlk239068730"/>
    </w:p>
    <w:p w14:paraId="635B0821" w14:textId="77777777" w:rsidR="00913729" w:rsidRPr="002D08AC" w:rsidRDefault="00913729" w:rsidP="00913729">
      <w:pPr>
        <w:spacing w:after="0" w:line="240" w:lineRule="auto"/>
        <w:rPr>
          <w:rFonts w:ascii="Arial" w:hAnsi="Arial" w:cs="Arial"/>
          <w:sz w:val="20"/>
          <w:szCs w:val="20"/>
        </w:rPr>
      </w:pPr>
      <w:bookmarkStart w:id="3"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2D08AC">
        <w:rPr>
          <w:rFonts w:ascii="Arial" w:hAnsi="Arial" w:cs="Arial"/>
          <w:sz w:val="20"/>
          <w:szCs w:val="20"/>
        </w:rPr>
        <w:t>.</w:t>
      </w:r>
    </w:p>
    <w:bookmarkEnd w:id="1"/>
    <w:bookmarkEnd w:id="2"/>
    <w:bookmarkEnd w:id="3"/>
    <w:p w14:paraId="6A3B324F" w14:textId="77777777" w:rsidR="00913729" w:rsidRPr="0077795E" w:rsidRDefault="00913729">
      <w:pPr>
        <w:keepNext/>
        <w:spacing w:before="320" w:after="120"/>
        <w:rPr>
          <w:rFonts w:cs="Times New Roman"/>
          <w:color w:val="000000" w:themeColor="text1"/>
          <w:sz w:val="26"/>
          <w:szCs w:val="26"/>
          <w:lang w:val="en-IN"/>
        </w:rPr>
      </w:pPr>
    </w:p>
    <w:p w14:paraId="44229F86" w14:textId="77777777" w:rsidR="00BE4770" w:rsidRPr="0077795E" w:rsidRDefault="00913729">
      <w:pPr>
        <w:keepNext/>
        <w:spacing w:before="320" w:after="120"/>
        <w:rPr>
          <w:rFonts w:cs="Times New Roman"/>
          <w:color w:val="000000" w:themeColor="text1"/>
          <w:sz w:val="26"/>
          <w:szCs w:val="26"/>
        </w:rPr>
      </w:pPr>
      <w:r w:rsidRPr="0077795E">
        <w:rPr>
          <w:rFonts w:cs="Times New Roman"/>
          <w:b/>
          <w:color w:val="000000" w:themeColor="text1"/>
          <w:sz w:val="26"/>
          <w:szCs w:val="26"/>
        </w:rPr>
        <w:t>5. REFERENCES</w:t>
      </w:r>
    </w:p>
    <w:p w14:paraId="7F4EC3CC" w14:textId="77777777" w:rsidR="00BE4770" w:rsidRPr="0077795E" w:rsidRDefault="00913729">
      <w:pPr>
        <w:spacing w:after="80" w:line="264" w:lineRule="auto"/>
        <w:ind w:left="360" w:hanging="360"/>
        <w:rPr>
          <w:rFonts w:cs="Times New Roman"/>
          <w:sz w:val="26"/>
          <w:szCs w:val="26"/>
        </w:rPr>
      </w:pPr>
      <w:r w:rsidRPr="0077795E">
        <w:rPr>
          <w:rFonts w:cs="Times New Roman"/>
          <w:sz w:val="26"/>
          <w:szCs w:val="26"/>
        </w:rPr>
        <w:t xml:space="preserve">1. </w:t>
      </w:r>
      <w:proofErr w:type="spellStart"/>
      <w:r w:rsidRPr="0077795E">
        <w:rPr>
          <w:rFonts w:cs="Times New Roman"/>
          <w:sz w:val="26"/>
          <w:szCs w:val="26"/>
        </w:rPr>
        <w:t>Statland</w:t>
      </w:r>
      <w:proofErr w:type="spellEnd"/>
      <w:r w:rsidRPr="0077795E">
        <w:rPr>
          <w:rFonts w:cs="Times New Roman"/>
          <w:sz w:val="26"/>
          <w:szCs w:val="26"/>
        </w:rPr>
        <w:t xml:space="preserve"> JM, Fontaine B, Hanna MG, </w:t>
      </w:r>
      <w:proofErr w:type="spellStart"/>
      <w:r w:rsidRPr="0077795E">
        <w:rPr>
          <w:rFonts w:cs="Times New Roman"/>
          <w:sz w:val="26"/>
          <w:szCs w:val="26"/>
        </w:rPr>
        <w:t>Stunnenberg</w:t>
      </w:r>
      <w:proofErr w:type="spellEnd"/>
      <w:r w:rsidRPr="0077795E">
        <w:rPr>
          <w:rFonts w:cs="Times New Roman"/>
          <w:sz w:val="26"/>
          <w:szCs w:val="26"/>
        </w:rPr>
        <w:t xml:space="preserve"> BC, Sansone VA, Griggs RC. Review of the channelopathies: periodic paralysis and </w:t>
      </w:r>
      <w:proofErr w:type="spellStart"/>
      <w:r w:rsidRPr="0077795E">
        <w:rPr>
          <w:rFonts w:cs="Times New Roman"/>
          <w:sz w:val="26"/>
          <w:szCs w:val="26"/>
        </w:rPr>
        <w:t>nondystrophic</w:t>
      </w:r>
      <w:proofErr w:type="spellEnd"/>
      <w:r w:rsidRPr="0077795E">
        <w:rPr>
          <w:rFonts w:cs="Times New Roman"/>
          <w:sz w:val="26"/>
          <w:szCs w:val="26"/>
        </w:rPr>
        <w:t xml:space="preserve"> myotonias. Neurotherapeutics. 2018;15(4):901-915.</w:t>
      </w:r>
    </w:p>
    <w:p w14:paraId="0BBA6D70" w14:textId="77777777" w:rsidR="00BE4770" w:rsidRPr="0077795E" w:rsidRDefault="00913729">
      <w:pPr>
        <w:spacing w:after="80" w:line="264" w:lineRule="auto"/>
        <w:ind w:left="360" w:hanging="360"/>
        <w:rPr>
          <w:rFonts w:cs="Times New Roman"/>
          <w:sz w:val="26"/>
          <w:szCs w:val="26"/>
        </w:rPr>
      </w:pPr>
      <w:r w:rsidRPr="0077795E">
        <w:rPr>
          <w:rFonts w:cs="Times New Roman"/>
          <w:sz w:val="26"/>
          <w:szCs w:val="26"/>
        </w:rPr>
        <w:t xml:space="preserve">2. Weber F, Lehmann-Horn F. Hypokalemic periodic paralysis. In: Adam MP, Feldman J, </w:t>
      </w:r>
      <w:proofErr w:type="spellStart"/>
      <w:r w:rsidRPr="0077795E">
        <w:rPr>
          <w:rFonts w:cs="Times New Roman"/>
          <w:sz w:val="26"/>
          <w:szCs w:val="26"/>
        </w:rPr>
        <w:t>Mirzaa</w:t>
      </w:r>
      <w:proofErr w:type="spellEnd"/>
      <w:r w:rsidRPr="0077795E">
        <w:rPr>
          <w:rFonts w:cs="Times New Roman"/>
          <w:sz w:val="26"/>
          <w:szCs w:val="26"/>
        </w:rPr>
        <w:t xml:space="preserve"> GM, et al., editors. </w:t>
      </w:r>
      <w:proofErr w:type="spellStart"/>
      <w:r w:rsidRPr="0077795E">
        <w:rPr>
          <w:rFonts w:cs="Times New Roman"/>
          <w:sz w:val="26"/>
          <w:szCs w:val="26"/>
        </w:rPr>
        <w:t>GeneReviews</w:t>
      </w:r>
      <w:proofErr w:type="spellEnd"/>
      <w:r w:rsidRPr="0077795E">
        <w:rPr>
          <w:rFonts w:cs="Times New Roman"/>
          <w:sz w:val="26"/>
          <w:szCs w:val="26"/>
        </w:rPr>
        <w:t>®. Seattle (WA): University of Washington, Seattle; 2002 [updated 2018]. Available from: https://www.ncbi.nlm.nih.gov/books/NBK1338/</w:t>
      </w:r>
    </w:p>
    <w:p w14:paraId="0A050CC6" w14:textId="77777777" w:rsidR="00BE4770" w:rsidRPr="0077795E" w:rsidRDefault="00913729">
      <w:pPr>
        <w:spacing w:after="80" w:line="264" w:lineRule="auto"/>
        <w:ind w:left="360" w:hanging="360"/>
        <w:rPr>
          <w:rFonts w:cs="Times New Roman"/>
          <w:sz w:val="26"/>
          <w:szCs w:val="26"/>
        </w:rPr>
      </w:pPr>
      <w:r w:rsidRPr="0077795E">
        <w:rPr>
          <w:rFonts w:cs="Times New Roman"/>
          <w:sz w:val="26"/>
          <w:szCs w:val="26"/>
        </w:rPr>
        <w:t xml:space="preserve">3. Fontaine B. Periodic paralysis. Adv Genet. </w:t>
      </w:r>
      <w:proofErr w:type="gramStart"/>
      <w:r w:rsidRPr="0077795E">
        <w:rPr>
          <w:rFonts w:cs="Times New Roman"/>
          <w:sz w:val="26"/>
          <w:szCs w:val="26"/>
        </w:rPr>
        <w:t>2008;63:3</w:t>
      </w:r>
      <w:proofErr w:type="gramEnd"/>
      <w:r w:rsidRPr="0077795E">
        <w:rPr>
          <w:rFonts w:cs="Times New Roman"/>
          <w:sz w:val="26"/>
          <w:szCs w:val="26"/>
        </w:rPr>
        <w:t>-23.</w:t>
      </w:r>
    </w:p>
    <w:p w14:paraId="7EC7CC69" w14:textId="77777777" w:rsidR="00BE4770" w:rsidRPr="0077795E" w:rsidRDefault="00913729">
      <w:pPr>
        <w:spacing w:after="80" w:line="264" w:lineRule="auto"/>
        <w:ind w:left="360" w:hanging="360"/>
        <w:rPr>
          <w:rFonts w:cs="Times New Roman"/>
          <w:sz w:val="26"/>
          <w:szCs w:val="26"/>
        </w:rPr>
      </w:pPr>
      <w:r w:rsidRPr="0077795E">
        <w:rPr>
          <w:rFonts w:cs="Times New Roman"/>
          <w:sz w:val="26"/>
          <w:szCs w:val="26"/>
        </w:rPr>
        <w:t xml:space="preserve">4. Burge JA, Hanna MG. Novel insights into the </w:t>
      </w:r>
      <w:proofErr w:type="spellStart"/>
      <w:r w:rsidRPr="0077795E">
        <w:rPr>
          <w:rFonts w:cs="Times New Roman"/>
          <w:sz w:val="26"/>
          <w:szCs w:val="26"/>
        </w:rPr>
        <w:t>pathomechanisms</w:t>
      </w:r>
      <w:proofErr w:type="spellEnd"/>
      <w:r w:rsidRPr="0077795E">
        <w:rPr>
          <w:rFonts w:cs="Times New Roman"/>
          <w:sz w:val="26"/>
          <w:szCs w:val="26"/>
        </w:rPr>
        <w:t xml:space="preserve"> of skeletal muscle channelopathies. Curr </w:t>
      </w:r>
      <w:proofErr w:type="spellStart"/>
      <w:r w:rsidRPr="0077795E">
        <w:rPr>
          <w:rFonts w:cs="Times New Roman"/>
          <w:sz w:val="26"/>
          <w:szCs w:val="26"/>
        </w:rPr>
        <w:t>Opin</w:t>
      </w:r>
      <w:proofErr w:type="spellEnd"/>
      <w:r w:rsidRPr="0077795E">
        <w:rPr>
          <w:rFonts w:cs="Times New Roman"/>
          <w:sz w:val="26"/>
          <w:szCs w:val="26"/>
        </w:rPr>
        <w:t xml:space="preserve"> Neurol. 2012;25(5):610-619.</w:t>
      </w:r>
    </w:p>
    <w:p w14:paraId="51F9D918" w14:textId="77777777" w:rsidR="00BE4770" w:rsidRPr="0077795E" w:rsidRDefault="00913729">
      <w:pPr>
        <w:spacing w:after="80" w:line="264" w:lineRule="auto"/>
        <w:ind w:left="360" w:hanging="360"/>
        <w:rPr>
          <w:rFonts w:cs="Times New Roman"/>
          <w:sz w:val="26"/>
          <w:szCs w:val="26"/>
        </w:rPr>
      </w:pPr>
      <w:r w:rsidRPr="0077795E">
        <w:rPr>
          <w:rFonts w:cs="Times New Roman"/>
          <w:sz w:val="26"/>
          <w:szCs w:val="26"/>
        </w:rPr>
        <w:t xml:space="preserve">5. </w:t>
      </w:r>
      <w:proofErr w:type="spellStart"/>
      <w:r w:rsidRPr="0077795E">
        <w:rPr>
          <w:rFonts w:cs="Times New Roman"/>
          <w:sz w:val="26"/>
          <w:szCs w:val="26"/>
        </w:rPr>
        <w:t>Jurkat</w:t>
      </w:r>
      <w:proofErr w:type="spellEnd"/>
      <w:r w:rsidRPr="0077795E">
        <w:rPr>
          <w:rFonts w:cs="Times New Roman"/>
          <w:sz w:val="26"/>
          <w:szCs w:val="26"/>
        </w:rPr>
        <w:t>-Rott K, Lehmann-Horn F, Elbaz A, Heine R, Gregg RG, Hogan K, et al. A calcium channel mutation causing hypokalemic periodic paralysis. Hum Mol Genet. 1994;3(8):1415-1419.</w:t>
      </w:r>
    </w:p>
    <w:p w14:paraId="790A5EC8" w14:textId="77777777" w:rsidR="00BE4770" w:rsidRPr="0077795E" w:rsidRDefault="00913729">
      <w:pPr>
        <w:spacing w:after="80" w:line="264" w:lineRule="auto"/>
        <w:ind w:left="360" w:hanging="360"/>
        <w:rPr>
          <w:rFonts w:cs="Times New Roman"/>
          <w:sz w:val="26"/>
          <w:szCs w:val="26"/>
        </w:rPr>
      </w:pPr>
      <w:r w:rsidRPr="0077795E">
        <w:rPr>
          <w:rFonts w:cs="Times New Roman"/>
          <w:sz w:val="26"/>
          <w:szCs w:val="26"/>
        </w:rPr>
        <w:t xml:space="preserve">6. Bulman DE, Scoggan KA, van </w:t>
      </w:r>
      <w:proofErr w:type="spellStart"/>
      <w:r w:rsidRPr="0077795E">
        <w:rPr>
          <w:rFonts w:cs="Times New Roman"/>
          <w:sz w:val="26"/>
          <w:szCs w:val="26"/>
        </w:rPr>
        <w:t>Oene</w:t>
      </w:r>
      <w:proofErr w:type="spellEnd"/>
      <w:r w:rsidRPr="0077795E">
        <w:rPr>
          <w:rFonts w:cs="Times New Roman"/>
          <w:sz w:val="26"/>
          <w:szCs w:val="26"/>
        </w:rPr>
        <w:t xml:space="preserve"> MD, Dabir-Moghaddam E, Cole G, Cooper PE, et al. A novel SCN4A mutation causes hypokalemic periodic paralysis. Neurology. 1999;53(9):1932-1936.</w:t>
      </w:r>
    </w:p>
    <w:p w14:paraId="1DE32288" w14:textId="77777777" w:rsidR="00BE4770" w:rsidRPr="0077795E" w:rsidRDefault="00913729">
      <w:pPr>
        <w:spacing w:after="80" w:line="264" w:lineRule="auto"/>
        <w:ind w:left="360" w:hanging="360"/>
        <w:rPr>
          <w:rFonts w:cs="Times New Roman"/>
          <w:sz w:val="26"/>
          <w:szCs w:val="26"/>
        </w:rPr>
      </w:pPr>
      <w:r w:rsidRPr="0077795E">
        <w:rPr>
          <w:rFonts w:cs="Times New Roman"/>
          <w:sz w:val="26"/>
          <w:szCs w:val="26"/>
        </w:rPr>
        <w:t xml:space="preserve">7. </w:t>
      </w:r>
      <w:proofErr w:type="spellStart"/>
      <w:r w:rsidRPr="0077795E">
        <w:rPr>
          <w:rFonts w:cs="Times New Roman"/>
          <w:sz w:val="26"/>
          <w:szCs w:val="26"/>
        </w:rPr>
        <w:t>Jurkat</w:t>
      </w:r>
      <w:proofErr w:type="spellEnd"/>
      <w:r w:rsidRPr="0077795E">
        <w:rPr>
          <w:rFonts w:cs="Times New Roman"/>
          <w:sz w:val="26"/>
          <w:szCs w:val="26"/>
        </w:rPr>
        <w:t>-Rott K, Groome J, Lehmann-Horn F. Pathological gating currents in voltage-gated ion channels: can we treat the channel leak? Channels (Austin). 2012;6(6):424-432.</w:t>
      </w:r>
    </w:p>
    <w:p w14:paraId="2DB08942" w14:textId="77777777" w:rsidR="00BE4770" w:rsidRPr="0077795E" w:rsidRDefault="00913729">
      <w:pPr>
        <w:spacing w:after="80" w:line="264" w:lineRule="auto"/>
        <w:ind w:left="360" w:hanging="360"/>
        <w:rPr>
          <w:rFonts w:cs="Times New Roman"/>
          <w:sz w:val="26"/>
          <w:szCs w:val="26"/>
        </w:rPr>
      </w:pPr>
      <w:r w:rsidRPr="0077795E">
        <w:rPr>
          <w:rFonts w:cs="Times New Roman"/>
          <w:sz w:val="26"/>
          <w:szCs w:val="26"/>
        </w:rPr>
        <w:t>8. Lin SH, Lin YF, Chen DT, Chu P, Hsu CW, Halperin ML. Laboratory tests to determine the cause of hypokalemia and paralysis. Arch Intern Med. 2004;164(14):1561-1566.</w:t>
      </w:r>
    </w:p>
    <w:p w14:paraId="688E7840" w14:textId="77777777" w:rsidR="00BE4770" w:rsidRPr="0077795E" w:rsidRDefault="00913729">
      <w:pPr>
        <w:spacing w:after="80" w:line="264" w:lineRule="auto"/>
        <w:ind w:left="360" w:hanging="360"/>
        <w:rPr>
          <w:rFonts w:cs="Times New Roman"/>
          <w:sz w:val="26"/>
          <w:szCs w:val="26"/>
        </w:rPr>
      </w:pPr>
      <w:r w:rsidRPr="0077795E">
        <w:rPr>
          <w:rFonts w:cs="Times New Roman"/>
          <w:sz w:val="26"/>
          <w:szCs w:val="26"/>
        </w:rPr>
        <w:t>9. Gennari FJ. Hypokalemia. N Engl J Med. 1998;339(7):451-458.</w:t>
      </w:r>
    </w:p>
    <w:p w14:paraId="3CA80FD5" w14:textId="77777777" w:rsidR="00BE4770" w:rsidRPr="0077795E" w:rsidRDefault="00913729">
      <w:pPr>
        <w:spacing w:after="80" w:line="264" w:lineRule="auto"/>
        <w:ind w:left="360" w:hanging="360"/>
        <w:rPr>
          <w:rFonts w:cs="Times New Roman"/>
          <w:sz w:val="26"/>
          <w:szCs w:val="26"/>
        </w:rPr>
      </w:pPr>
      <w:r w:rsidRPr="0077795E">
        <w:rPr>
          <w:rFonts w:cs="Times New Roman"/>
          <w:sz w:val="26"/>
          <w:szCs w:val="26"/>
        </w:rPr>
        <w:t xml:space="preserve">10. </w:t>
      </w:r>
      <w:proofErr w:type="spellStart"/>
      <w:r w:rsidRPr="0077795E">
        <w:rPr>
          <w:rFonts w:cs="Times New Roman"/>
          <w:sz w:val="26"/>
          <w:szCs w:val="26"/>
        </w:rPr>
        <w:t>Statland</w:t>
      </w:r>
      <w:proofErr w:type="spellEnd"/>
      <w:r w:rsidRPr="0077795E">
        <w:rPr>
          <w:rFonts w:cs="Times New Roman"/>
          <w:sz w:val="26"/>
          <w:szCs w:val="26"/>
        </w:rPr>
        <w:t xml:space="preserve"> JM, Bundy TW, Wang Y, Rayan DR, Trivedi JR, Sansone VA, et al. Atypical manifestations and diagnostic dilemmas in periodic paralysis: a multicenter study. Muscle Nerve. 2014;49(4):520-527.</w:t>
      </w:r>
    </w:p>
    <w:p w14:paraId="16743D64" w14:textId="77777777" w:rsidR="00BE4770" w:rsidRPr="0077795E" w:rsidRDefault="00913729">
      <w:pPr>
        <w:spacing w:after="80" w:line="264" w:lineRule="auto"/>
        <w:ind w:left="360" w:hanging="360"/>
        <w:rPr>
          <w:rFonts w:cs="Times New Roman"/>
          <w:sz w:val="26"/>
          <w:szCs w:val="26"/>
        </w:rPr>
      </w:pPr>
      <w:r w:rsidRPr="0077795E">
        <w:rPr>
          <w:rFonts w:cs="Times New Roman"/>
          <w:sz w:val="26"/>
          <w:szCs w:val="26"/>
        </w:rPr>
        <w:t xml:space="preserve">11. Venance SL, Cannon SC, Fialho D, Fontaine B, Hanna MG, </w:t>
      </w:r>
      <w:proofErr w:type="spellStart"/>
      <w:r w:rsidRPr="0077795E">
        <w:rPr>
          <w:rFonts w:cs="Times New Roman"/>
          <w:sz w:val="26"/>
          <w:szCs w:val="26"/>
        </w:rPr>
        <w:t>Ptácek</w:t>
      </w:r>
      <w:proofErr w:type="spellEnd"/>
      <w:r w:rsidRPr="0077795E">
        <w:rPr>
          <w:rFonts w:cs="Times New Roman"/>
          <w:sz w:val="26"/>
          <w:szCs w:val="26"/>
        </w:rPr>
        <w:t xml:space="preserve"> LJ, et al. The primary periodic paralyses: diagnosis, pathogenesis and treatment. Brain. 2006;129(Pt 1):8-17.</w:t>
      </w:r>
    </w:p>
    <w:p w14:paraId="0463E519" w14:textId="77777777" w:rsidR="00BE4770" w:rsidRPr="0077795E" w:rsidRDefault="00913729">
      <w:pPr>
        <w:spacing w:after="80" w:line="264" w:lineRule="auto"/>
        <w:ind w:left="360" w:hanging="360"/>
        <w:rPr>
          <w:rFonts w:cs="Times New Roman"/>
          <w:sz w:val="26"/>
          <w:szCs w:val="26"/>
        </w:rPr>
      </w:pPr>
      <w:r w:rsidRPr="0077795E">
        <w:rPr>
          <w:rFonts w:cs="Times New Roman"/>
          <w:sz w:val="26"/>
          <w:szCs w:val="26"/>
        </w:rPr>
        <w:t xml:space="preserve">12. Cannon SC. Channelopathies of skeletal muscle excitability. </w:t>
      </w:r>
      <w:proofErr w:type="spellStart"/>
      <w:r w:rsidRPr="0077795E">
        <w:rPr>
          <w:rFonts w:cs="Times New Roman"/>
          <w:sz w:val="26"/>
          <w:szCs w:val="26"/>
        </w:rPr>
        <w:t>Compr</w:t>
      </w:r>
      <w:proofErr w:type="spellEnd"/>
      <w:r w:rsidRPr="0077795E">
        <w:rPr>
          <w:rFonts w:cs="Times New Roman"/>
          <w:sz w:val="26"/>
          <w:szCs w:val="26"/>
        </w:rPr>
        <w:t xml:space="preserve"> Physiol. 2015;5(2):761-790.</w:t>
      </w:r>
    </w:p>
    <w:p w14:paraId="0758934D" w14:textId="77777777" w:rsidR="00BE4770" w:rsidRPr="0077795E" w:rsidRDefault="00913729">
      <w:pPr>
        <w:spacing w:after="80" w:line="264" w:lineRule="auto"/>
        <w:ind w:left="360" w:hanging="360"/>
        <w:rPr>
          <w:rFonts w:cs="Times New Roman"/>
          <w:sz w:val="26"/>
          <w:szCs w:val="26"/>
        </w:rPr>
      </w:pPr>
      <w:r w:rsidRPr="0077795E">
        <w:rPr>
          <w:rFonts w:cs="Times New Roman"/>
          <w:sz w:val="26"/>
          <w:szCs w:val="26"/>
        </w:rPr>
        <w:lastRenderedPageBreak/>
        <w:t>13. Kim NH, Cho A, Choi HS, Lee SM, Kim YH, Lee KY. Rhabdomyolysis and acute kidney injury induced by severe hypokalemia: a case report and literature review. Electrolyte Blood Press. 2021;19(1):15-20.</w:t>
      </w:r>
    </w:p>
    <w:p w14:paraId="6C17B2AF" w14:textId="77777777" w:rsidR="00BE4770" w:rsidRPr="0077795E" w:rsidRDefault="00913729">
      <w:pPr>
        <w:spacing w:after="80" w:line="264" w:lineRule="auto"/>
        <w:ind w:left="360" w:hanging="360"/>
        <w:rPr>
          <w:rFonts w:cs="Times New Roman"/>
          <w:sz w:val="26"/>
          <w:szCs w:val="26"/>
        </w:rPr>
      </w:pPr>
      <w:r w:rsidRPr="0077795E">
        <w:rPr>
          <w:rFonts w:cs="Times New Roman"/>
          <w:sz w:val="26"/>
          <w:szCs w:val="26"/>
        </w:rPr>
        <w:t xml:space="preserve">14. Lin SH, Huang CL. Mechanism of differential muscle weakness and tendon reflexes in hypokalemic paralysis. Clin </w:t>
      </w:r>
      <w:proofErr w:type="spellStart"/>
      <w:r w:rsidRPr="0077795E">
        <w:rPr>
          <w:rFonts w:cs="Times New Roman"/>
          <w:sz w:val="26"/>
          <w:szCs w:val="26"/>
        </w:rPr>
        <w:t>Neurophysiol</w:t>
      </w:r>
      <w:proofErr w:type="spellEnd"/>
      <w:r w:rsidRPr="0077795E">
        <w:rPr>
          <w:rFonts w:cs="Times New Roman"/>
          <w:sz w:val="26"/>
          <w:szCs w:val="26"/>
        </w:rPr>
        <w:t>. 2012;123(5):980-988.</w:t>
      </w:r>
    </w:p>
    <w:p w14:paraId="642EC8E0" w14:textId="77777777" w:rsidR="00BE4770" w:rsidRPr="0077795E" w:rsidRDefault="00913729">
      <w:pPr>
        <w:spacing w:after="80" w:line="264" w:lineRule="auto"/>
        <w:ind w:left="360" w:hanging="360"/>
        <w:rPr>
          <w:rFonts w:cs="Times New Roman"/>
          <w:sz w:val="26"/>
          <w:szCs w:val="26"/>
        </w:rPr>
      </w:pPr>
      <w:r w:rsidRPr="0077795E">
        <w:rPr>
          <w:rFonts w:cs="Times New Roman"/>
          <w:sz w:val="26"/>
          <w:szCs w:val="26"/>
        </w:rPr>
        <w:t xml:space="preserve">15. Kung AW. Clinical review: Thyrotoxic periodic paralysis: a diagnostic challenge. J Clin Endocrinol </w:t>
      </w:r>
      <w:proofErr w:type="spellStart"/>
      <w:r w:rsidRPr="0077795E">
        <w:rPr>
          <w:rFonts w:cs="Times New Roman"/>
          <w:sz w:val="26"/>
          <w:szCs w:val="26"/>
        </w:rPr>
        <w:t>Metab</w:t>
      </w:r>
      <w:proofErr w:type="spellEnd"/>
      <w:r w:rsidRPr="0077795E">
        <w:rPr>
          <w:rFonts w:cs="Times New Roman"/>
          <w:sz w:val="26"/>
          <w:szCs w:val="26"/>
        </w:rPr>
        <w:t>. 2006;91(7):2490-2495.</w:t>
      </w:r>
    </w:p>
    <w:p w14:paraId="71DD2964" w14:textId="77777777" w:rsidR="00BE4770" w:rsidRPr="0077795E" w:rsidRDefault="00913729">
      <w:pPr>
        <w:spacing w:after="80" w:line="264" w:lineRule="auto"/>
        <w:ind w:left="360" w:hanging="360"/>
        <w:rPr>
          <w:rFonts w:cs="Times New Roman"/>
          <w:sz w:val="26"/>
          <w:szCs w:val="26"/>
        </w:rPr>
      </w:pPr>
      <w:r w:rsidRPr="0077795E">
        <w:rPr>
          <w:rFonts w:cs="Times New Roman"/>
          <w:sz w:val="26"/>
          <w:szCs w:val="26"/>
        </w:rPr>
        <w:t>16. Ruff RL. Insulin acts in hypokalemic periodic paralysis by reducing inward rectifier K+ current. Neurology. 1999;53(7):1556-1563.</w:t>
      </w:r>
    </w:p>
    <w:p w14:paraId="4C89D05F" w14:textId="77777777" w:rsidR="00BE4770" w:rsidRPr="0077795E" w:rsidRDefault="00913729">
      <w:pPr>
        <w:spacing w:after="80" w:line="264" w:lineRule="auto"/>
        <w:ind w:left="360" w:hanging="360"/>
        <w:rPr>
          <w:rFonts w:cs="Times New Roman"/>
          <w:sz w:val="26"/>
          <w:szCs w:val="26"/>
        </w:rPr>
      </w:pPr>
      <w:r w:rsidRPr="0077795E">
        <w:rPr>
          <w:rFonts w:cs="Times New Roman"/>
          <w:sz w:val="26"/>
          <w:szCs w:val="26"/>
        </w:rPr>
        <w:t xml:space="preserve">17. Lehmann-Horn F, </w:t>
      </w:r>
      <w:proofErr w:type="spellStart"/>
      <w:r w:rsidRPr="0077795E">
        <w:rPr>
          <w:rFonts w:cs="Times New Roman"/>
          <w:sz w:val="26"/>
          <w:szCs w:val="26"/>
        </w:rPr>
        <w:t>Jurkat</w:t>
      </w:r>
      <w:proofErr w:type="spellEnd"/>
      <w:r w:rsidRPr="0077795E">
        <w:rPr>
          <w:rFonts w:cs="Times New Roman"/>
          <w:sz w:val="26"/>
          <w:szCs w:val="26"/>
        </w:rPr>
        <w:t xml:space="preserve">-Rott K, Rudel R. Periodic paralysis: understanding channelopathies. Curr Neurol </w:t>
      </w:r>
      <w:proofErr w:type="spellStart"/>
      <w:r w:rsidRPr="0077795E">
        <w:rPr>
          <w:rFonts w:cs="Times New Roman"/>
          <w:sz w:val="26"/>
          <w:szCs w:val="26"/>
        </w:rPr>
        <w:t>Neurosci</w:t>
      </w:r>
      <w:proofErr w:type="spellEnd"/>
      <w:r w:rsidRPr="0077795E">
        <w:rPr>
          <w:rFonts w:cs="Times New Roman"/>
          <w:sz w:val="26"/>
          <w:szCs w:val="26"/>
        </w:rPr>
        <w:t xml:space="preserve"> Rep. 2002;2(1):61-69.</w:t>
      </w:r>
    </w:p>
    <w:p w14:paraId="5E0BADD8" w14:textId="77777777" w:rsidR="00BE4770" w:rsidRPr="0077795E" w:rsidRDefault="00913729">
      <w:pPr>
        <w:spacing w:after="80" w:line="264" w:lineRule="auto"/>
        <w:ind w:left="360" w:hanging="360"/>
        <w:rPr>
          <w:rFonts w:cs="Times New Roman"/>
          <w:sz w:val="26"/>
          <w:szCs w:val="26"/>
        </w:rPr>
      </w:pPr>
      <w:r w:rsidRPr="0077795E">
        <w:rPr>
          <w:rFonts w:cs="Times New Roman"/>
          <w:sz w:val="26"/>
          <w:szCs w:val="26"/>
        </w:rPr>
        <w:t>18. Struyk AF, Cannon SC. A sodium channel mutation linked to hypokalemic periodic paralysis causes a leak in the voltage sensor. J Gen Physiol. 2007;130(6):613-620.</w:t>
      </w:r>
    </w:p>
    <w:p w14:paraId="01190F70" w14:textId="77777777" w:rsidR="00BE4770" w:rsidRPr="0077795E" w:rsidRDefault="00913729">
      <w:pPr>
        <w:spacing w:after="80" w:line="264" w:lineRule="auto"/>
        <w:ind w:left="360" w:hanging="360"/>
        <w:rPr>
          <w:rFonts w:cs="Times New Roman"/>
          <w:sz w:val="26"/>
          <w:szCs w:val="26"/>
        </w:rPr>
      </w:pPr>
      <w:r w:rsidRPr="0077795E">
        <w:rPr>
          <w:rFonts w:cs="Times New Roman"/>
          <w:sz w:val="26"/>
          <w:szCs w:val="26"/>
        </w:rPr>
        <w:t xml:space="preserve">19. Ahlawat SK, Sachdev HP. </w:t>
      </w:r>
      <w:proofErr w:type="spellStart"/>
      <w:r w:rsidRPr="0077795E">
        <w:rPr>
          <w:rFonts w:cs="Times New Roman"/>
          <w:sz w:val="26"/>
          <w:szCs w:val="26"/>
        </w:rPr>
        <w:t>Hypokalaemic</w:t>
      </w:r>
      <w:proofErr w:type="spellEnd"/>
      <w:r w:rsidRPr="0077795E">
        <w:rPr>
          <w:rFonts w:cs="Times New Roman"/>
          <w:sz w:val="26"/>
          <w:szCs w:val="26"/>
        </w:rPr>
        <w:t xml:space="preserve"> paralysis. Postgrad Med J. 1999;75(882):193-197.</w:t>
      </w:r>
    </w:p>
    <w:p w14:paraId="3971F89B" w14:textId="77777777" w:rsidR="00BE4770" w:rsidRPr="0077795E" w:rsidRDefault="00913729">
      <w:pPr>
        <w:spacing w:after="80" w:line="264" w:lineRule="auto"/>
        <w:ind w:left="360" w:hanging="360"/>
        <w:rPr>
          <w:rFonts w:cs="Times New Roman"/>
          <w:sz w:val="26"/>
          <w:szCs w:val="26"/>
        </w:rPr>
      </w:pPr>
      <w:r w:rsidRPr="0077795E">
        <w:rPr>
          <w:rFonts w:cs="Times New Roman"/>
          <w:sz w:val="26"/>
          <w:szCs w:val="26"/>
        </w:rPr>
        <w:t>20. Willison HJ, Jacobs BC, van Doorn PA. Guillain-Barré syndrome. Lancet. 2016;388(10045):717-727.</w:t>
      </w:r>
    </w:p>
    <w:p w14:paraId="645B1FA2" w14:textId="77777777" w:rsidR="00BE4770" w:rsidRPr="0077795E" w:rsidRDefault="00913729">
      <w:pPr>
        <w:spacing w:after="80" w:line="264" w:lineRule="auto"/>
        <w:ind w:left="360" w:hanging="360"/>
        <w:rPr>
          <w:rFonts w:cs="Times New Roman"/>
          <w:sz w:val="26"/>
          <w:szCs w:val="26"/>
        </w:rPr>
      </w:pPr>
      <w:r w:rsidRPr="0077795E">
        <w:rPr>
          <w:rFonts w:cs="Times New Roman"/>
          <w:sz w:val="26"/>
          <w:szCs w:val="26"/>
        </w:rPr>
        <w:t>21. Ropper AH. The Guillain-Barré syndrome. N Engl J Med. 1992;326(17):1130-1136.</w:t>
      </w:r>
    </w:p>
    <w:p w14:paraId="16D9808A" w14:textId="77777777" w:rsidR="00BE4770" w:rsidRPr="0077795E" w:rsidRDefault="00913729">
      <w:pPr>
        <w:spacing w:after="80" w:line="264" w:lineRule="auto"/>
        <w:ind w:left="360" w:hanging="360"/>
        <w:rPr>
          <w:rFonts w:cs="Times New Roman"/>
          <w:sz w:val="26"/>
          <w:szCs w:val="26"/>
        </w:rPr>
      </w:pPr>
      <w:r w:rsidRPr="0077795E">
        <w:rPr>
          <w:rFonts w:cs="Times New Roman"/>
          <w:sz w:val="26"/>
          <w:szCs w:val="26"/>
        </w:rPr>
        <w:t xml:space="preserve">22. Wakerley BR, Yuki N. Mimics and chameleons in motor neuropathy and Guillain-Barré syndrome. </w:t>
      </w:r>
      <w:proofErr w:type="spellStart"/>
      <w:r w:rsidRPr="0077795E">
        <w:rPr>
          <w:rFonts w:cs="Times New Roman"/>
          <w:sz w:val="26"/>
          <w:szCs w:val="26"/>
        </w:rPr>
        <w:t>Pract</w:t>
      </w:r>
      <w:proofErr w:type="spellEnd"/>
      <w:r w:rsidRPr="0077795E">
        <w:rPr>
          <w:rFonts w:cs="Times New Roman"/>
          <w:sz w:val="26"/>
          <w:szCs w:val="26"/>
        </w:rPr>
        <w:t xml:space="preserve"> Neurol. 2015;15(2):90-99.</w:t>
      </w:r>
    </w:p>
    <w:p w14:paraId="3124FD2F" w14:textId="77777777" w:rsidR="00BE4770" w:rsidRPr="0077795E" w:rsidRDefault="00913729">
      <w:pPr>
        <w:spacing w:after="80" w:line="264" w:lineRule="auto"/>
        <w:ind w:left="360" w:hanging="360"/>
        <w:rPr>
          <w:rFonts w:cs="Times New Roman"/>
          <w:sz w:val="26"/>
          <w:szCs w:val="26"/>
        </w:rPr>
      </w:pPr>
      <w:r w:rsidRPr="0077795E">
        <w:rPr>
          <w:rFonts w:cs="Times New Roman"/>
          <w:sz w:val="26"/>
          <w:szCs w:val="26"/>
        </w:rPr>
        <w:t>23. Edlow JA, McGillicuddy DC. Tick paralysis: critical review and management. Crit Care Clin. 2013;29(2):275-287.</w:t>
      </w:r>
    </w:p>
    <w:p w14:paraId="7311BFC0" w14:textId="77777777" w:rsidR="00BE4770" w:rsidRPr="0077795E" w:rsidRDefault="00913729">
      <w:pPr>
        <w:spacing w:after="80" w:line="264" w:lineRule="auto"/>
        <w:ind w:left="360" w:hanging="360"/>
        <w:rPr>
          <w:rFonts w:cs="Times New Roman"/>
          <w:sz w:val="26"/>
          <w:szCs w:val="26"/>
        </w:rPr>
      </w:pPr>
      <w:r w:rsidRPr="0077795E">
        <w:rPr>
          <w:rFonts w:cs="Times New Roman"/>
          <w:sz w:val="26"/>
          <w:szCs w:val="26"/>
        </w:rPr>
        <w:t xml:space="preserve">24. Diercks DB, </w:t>
      </w:r>
      <w:proofErr w:type="spellStart"/>
      <w:r w:rsidRPr="0077795E">
        <w:rPr>
          <w:rFonts w:cs="Times New Roman"/>
          <w:sz w:val="26"/>
          <w:szCs w:val="26"/>
        </w:rPr>
        <w:t>Shumaik</w:t>
      </w:r>
      <w:proofErr w:type="spellEnd"/>
      <w:r w:rsidRPr="0077795E">
        <w:rPr>
          <w:rFonts w:cs="Times New Roman"/>
          <w:sz w:val="26"/>
          <w:szCs w:val="26"/>
        </w:rPr>
        <w:t xml:space="preserve"> GM, Harrigan RA, Brady WJ, Chan TC. Electrocardiographic manifestations: electrolyte abnormalities. J Emerg Med. 2004;27(2):153-160.</w:t>
      </w:r>
    </w:p>
    <w:p w14:paraId="0AF61420" w14:textId="77777777" w:rsidR="00BE4770" w:rsidRPr="0077795E" w:rsidRDefault="00913729">
      <w:pPr>
        <w:spacing w:after="80" w:line="264" w:lineRule="auto"/>
        <w:ind w:left="360" w:hanging="360"/>
        <w:rPr>
          <w:rFonts w:cs="Times New Roman"/>
          <w:sz w:val="26"/>
          <w:szCs w:val="26"/>
        </w:rPr>
      </w:pPr>
      <w:r w:rsidRPr="0077795E">
        <w:rPr>
          <w:rFonts w:cs="Times New Roman"/>
          <w:sz w:val="26"/>
          <w:szCs w:val="26"/>
        </w:rPr>
        <w:t xml:space="preserve">25. </w:t>
      </w:r>
      <w:proofErr w:type="spellStart"/>
      <w:r w:rsidRPr="0077795E">
        <w:rPr>
          <w:rFonts w:cs="Times New Roman"/>
          <w:sz w:val="26"/>
          <w:szCs w:val="26"/>
        </w:rPr>
        <w:t>Surawicz</w:t>
      </w:r>
      <w:proofErr w:type="spellEnd"/>
      <w:r w:rsidRPr="0077795E">
        <w:rPr>
          <w:rFonts w:cs="Times New Roman"/>
          <w:sz w:val="26"/>
          <w:szCs w:val="26"/>
        </w:rPr>
        <w:t xml:space="preserve"> B. Relationship between electrocardiogram and electrolytes. Am Heart J. 1967;73(6):814-834.</w:t>
      </w:r>
    </w:p>
    <w:p w14:paraId="1D6ECE58" w14:textId="77777777" w:rsidR="00BE4770" w:rsidRPr="0077795E" w:rsidRDefault="00913729">
      <w:pPr>
        <w:spacing w:after="80" w:line="264" w:lineRule="auto"/>
        <w:ind w:left="360" w:hanging="360"/>
        <w:rPr>
          <w:rFonts w:cs="Times New Roman"/>
          <w:sz w:val="26"/>
          <w:szCs w:val="26"/>
        </w:rPr>
      </w:pPr>
      <w:r w:rsidRPr="0077795E">
        <w:rPr>
          <w:rFonts w:cs="Times New Roman"/>
          <w:sz w:val="26"/>
          <w:szCs w:val="26"/>
        </w:rPr>
        <w:t>26. Glancy DL. ECG of the month: prominent U waves and ST-segment depression in hypokalemia. J La State Med Soc. 2014;166(4):183-185.</w:t>
      </w:r>
    </w:p>
    <w:p w14:paraId="3EEEBAB8" w14:textId="77777777" w:rsidR="00BE4770" w:rsidRPr="0077795E" w:rsidRDefault="00913729">
      <w:pPr>
        <w:spacing w:after="80" w:line="264" w:lineRule="auto"/>
        <w:ind w:left="360" w:hanging="360"/>
        <w:rPr>
          <w:rFonts w:cs="Times New Roman"/>
          <w:sz w:val="26"/>
          <w:szCs w:val="26"/>
        </w:rPr>
      </w:pPr>
      <w:r w:rsidRPr="0077795E">
        <w:rPr>
          <w:rFonts w:cs="Times New Roman"/>
          <w:sz w:val="26"/>
          <w:szCs w:val="26"/>
        </w:rPr>
        <w:t>27. Maciel RM, Lindsey SC, Dias-da-Silva MR. Thyrotoxic periodic paralysis: an endocrine emergency. Clin Med Res. 2011;9(3-4):144-148.</w:t>
      </w:r>
    </w:p>
    <w:p w14:paraId="677DF9E3" w14:textId="77777777" w:rsidR="00BE4770" w:rsidRPr="0077795E" w:rsidRDefault="00913729">
      <w:pPr>
        <w:spacing w:after="80" w:line="264" w:lineRule="auto"/>
        <w:ind w:left="360" w:hanging="360"/>
        <w:rPr>
          <w:rFonts w:cs="Times New Roman"/>
          <w:sz w:val="26"/>
          <w:szCs w:val="26"/>
        </w:rPr>
      </w:pPr>
      <w:r w:rsidRPr="0077795E">
        <w:rPr>
          <w:rFonts w:cs="Times New Roman"/>
          <w:sz w:val="26"/>
          <w:szCs w:val="26"/>
        </w:rPr>
        <w:t>28. Ryan DP, da Silva MR, Soong TW, Fontaine B, Donaldson MR, Kung AW, et al. Mutations in potassium channel Kir2.6 cause susceptibility to thyrotoxic hypokalemic periodic paralysis. Cell. 2010;140(1):88-98.</w:t>
      </w:r>
    </w:p>
    <w:p w14:paraId="66E85985" w14:textId="77777777" w:rsidR="00BE4770" w:rsidRPr="0077795E" w:rsidRDefault="00913729">
      <w:pPr>
        <w:spacing w:after="80" w:line="264" w:lineRule="auto"/>
        <w:ind w:left="360" w:hanging="360"/>
        <w:rPr>
          <w:rFonts w:cs="Times New Roman"/>
          <w:sz w:val="26"/>
          <w:szCs w:val="26"/>
        </w:rPr>
      </w:pPr>
      <w:r w:rsidRPr="0077795E">
        <w:rPr>
          <w:rFonts w:cs="Times New Roman"/>
          <w:sz w:val="26"/>
          <w:szCs w:val="26"/>
        </w:rPr>
        <w:t>29. Koul PA, Wahid A. Hypokalemic quadriparesis secondary to renal tubular acidosis: a diagnostic dilemma. Indian J Med Sci. 2000;54(8):346-349.</w:t>
      </w:r>
    </w:p>
    <w:p w14:paraId="7ABF3E45" w14:textId="77777777" w:rsidR="00BE4770" w:rsidRPr="0077795E" w:rsidRDefault="00913729">
      <w:pPr>
        <w:spacing w:after="80" w:line="264" w:lineRule="auto"/>
        <w:ind w:left="360" w:hanging="360"/>
        <w:rPr>
          <w:rFonts w:cs="Times New Roman"/>
          <w:sz w:val="26"/>
          <w:szCs w:val="26"/>
        </w:rPr>
      </w:pPr>
      <w:r w:rsidRPr="0077795E">
        <w:rPr>
          <w:rFonts w:cs="Times New Roman"/>
          <w:sz w:val="26"/>
          <w:szCs w:val="26"/>
        </w:rPr>
        <w:lastRenderedPageBreak/>
        <w:t>30. Knochel JP. Neuromuscular manifestations of electrolyte disorders. Am J Med. 1982;72(3):521-535.</w:t>
      </w:r>
    </w:p>
    <w:p w14:paraId="15C4E00B" w14:textId="77777777" w:rsidR="00BE4770" w:rsidRPr="0077795E" w:rsidRDefault="00913729">
      <w:pPr>
        <w:spacing w:after="80" w:line="264" w:lineRule="auto"/>
        <w:ind w:left="360" w:hanging="360"/>
        <w:rPr>
          <w:rFonts w:cs="Times New Roman"/>
          <w:sz w:val="26"/>
          <w:szCs w:val="26"/>
        </w:rPr>
      </w:pPr>
      <w:r w:rsidRPr="0077795E">
        <w:rPr>
          <w:rFonts w:cs="Times New Roman"/>
          <w:sz w:val="26"/>
          <w:szCs w:val="26"/>
        </w:rPr>
        <w:t>31. Lok AS, McMahon BJ. Chronic hepatitis B: update 2009. Hepatology. 2009;50(3):661-662.</w:t>
      </w:r>
    </w:p>
    <w:p w14:paraId="3CD3CCF4" w14:textId="77777777" w:rsidR="00BE4770" w:rsidRPr="0077795E" w:rsidRDefault="00913729">
      <w:pPr>
        <w:spacing w:after="80" w:line="264" w:lineRule="auto"/>
        <w:ind w:left="360" w:hanging="360"/>
        <w:rPr>
          <w:rFonts w:cs="Times New Roman"/>
          <w:sz w:val="26"/>
          <w:szCs w:val="26"/>
        </w:rPr>
      </w:pPr>
      <w:r w:rsidRPr="0077795E">
        <w:rPr>
          <w:rFonts w:cs="Times New Roman"/>
          <w:sz w:val="26"/>
          <w:szCs w:val="26"/>
        </w:rPr>
        <w:t xml:space="preserve">32. Manoukian MA, Foote JA, Crapo LM. Clinical and metabolic features of hypokalemic periodic paralysis: avoidance of rebound hyperkalemia. </w:t>
      </w:r>
      <w:proofErr w:type="spellStart"/>
      <w:r w:rsidRPr="0077795E">
        <w:rPr>
          <w:rFonts w:cs="Times New Roman"/>
          <w:sz w:val="26"/>
          <w:szCs w:val="26"/>
        </w:rPr>
        <w:t>Endocr</w:t>
      </w:r>
      <w:proofErr w:type="spellEnd"/>
      <w:r w:rsidRPr="0077795E">
        <w:rPr>
          <w:rFonts w:cs="Times New Roman"/>
          <w:sz w:val="26"/>
          <w:szCs w:val="26"/>
        </w:rPr>
        <w:t xml:space="preserve"> </w:t>
      </w:r>
      <w:proofErr w:type="spellStart"/>
      <w:r w:rsidRPr="0077795E">
        <w:rPr>
          <w:rFonts w:cs="Times New Roman"/>
          <w:sz w:val="26"/>
          <w:szCs w:val="26"/>
        </w:rPr>
        <w:t>Pract</w:t>
      </w:r>
      <w:proofErr w:type="spellEnd"/>
      <w:r w:rsidRPr="0077795E">
        <w:rPr>
          <w:rFonts w:cs="Times New Roman"/>
          <w:sz w:val="26"/>
          <w:szCs w:val="26"/>
        </w:rPr>
        <w:t>. 1999;5(4):174-179.</w:t>
      </w:r>
    </w:p>
    <w:p w14:paraId="246A8702" w14:textId="77777777" w:rsidR="00BE4770" w:rsidRPr="0077795E" w:rsidRDefault="00913729">
      <w:pPr>
        <w:spacing w:after="80" w:line="264" w:lineRule="auto"/>
        <w:ind w:left="360" w:hanging="360"/>
        <w:rPr>
          <w:rFonts w:cs="Times New Roman"/>
          <w:sz w:val="26"/>
          <w:szCs w:val="26"/>
        </w:rPr>
      </w:pPr>
      <w:r w:rsidRPr="0077795E">
        <w:rPr>
          <w:rFonts w:cs="Times New Roman"/>
          <w:sz w:val="26"/>
          <w:szCs w:val="26"/>
        </w:rPr>
        <w:t xml:space="preserve">33. Sansone VA, Burge J, McDermott MP, Smith PC, Herr B, </w:t>
      </w:r>
      <w:proofErr w:type="spellStart"/>
      <w:r w:rsidRPr="0077795E">
        <w:rPr>
          <w:rFonts w:cs="Times New Roman"/>
          <w:sz w:val="26"/>
          <w:szCs w:val="26"/>
        </w:rPr>
        <w:t>Mesache</w:t>
      </w:r>
      <w:proofErr w:type="spellEnd"/>
      <w:r w:rsidRPr="0077795E">
        <w:rPr>
          <w:rFonts w:cs="Times New Roman"/>
          <w:sz w:val="26"/>
          <w:szCs w:val="26"/>
        </w:rPr>
        <w:t xml:space="preserve"> C, et al. Randomized, placebo-controlled trials of dichlorphenamide in periodic paralysis. Neurology. 2016;86(15):1408-1416.</w:t>
      </w:r>
    </w:p>
    <w:p w14:paraId="25CA0D74" w14:textId="77777777" w:rsidR="00BE4770" w:rsidRPr="0077795E" w:rsidRDefault="00913729">
      <w:pPr>
        <w:spacing w:after="80" w:line="264" w:lineRule="auto"/>
        <w:ind w:left="360" w:hanging="360"/>
        <w:rPr>
          <w:rFonts w:cs="Times New Roman"/>
          <w:sz w:val="26"/>
          <w:szCs w:val="26"/>
        </w:rPr>
      </w:pPr>
      <w:r w:rsidRPr="0077795E">
        <w:rPr>
          <w:rFonts w:cs="Times New Roman"/>
          <w:sz w:val="26"/>
          <w:szCs w:val="26"/>
        </w:rPr>
        <w:t xml:space="preserve">34. Cesur M, Bayram F, Temel LA, </w:t>
      </w:r>
      <w:proofErr w:type="spellStart"/>
      <w:r w:rsidRPr="0077795E">
        <w:rPr>
          <w:rFonts w:cs="Times New Roman"/>
          <w:sz w:val="26"/>
          <w:szCs w:val="26"/>
        </w:rPr>
        <w:t>Ozkaya</w:t>
      </w:r>
      <w:proofErr w:type="spellEnd"/>
      <w:r w:rsidRPr="0077795E">
        <w:rPr>
          <w:rFonts w:cs="Times New Roman"/>
          <w:sz w:val="26"/>
          <w:szCs w:val="26"/>
        </w:rPr>
        <w:t xml:space="preserve"> M, Kocer A, </w:t>
      </w:r>
      <w:proofErr w:type="spellStart"/>
      <w:r w:rsidRPr="0077795E">
        <w:rPr>
          <w:rFonts w:cs="Times New Roman"/>
          <w:sz w:val="26"/>
          <w:szCs w:val="26"/>
        </w:rPr>
        <w:t>Ertorer</w:t>
      </w:r>
      <w:proofErr w:type="spellEnd"/>
      <w:r w:rsidRPr="0077795E">
        <w:rPr>
          <w:rFonts w:cs="Times New Roman"/>
          <w:sz w:val="26"/>
          <w:szCs w:val="26"/>
        </w:rPr>
        <w:t xml:space="preserve"> ME, et al. Thyrotoxic hypokalemic periodic paralysis: rapid potassium replacement without rebound hyperkalemia. Intern Med. 2008;47(5):397-404.</w:t>
      </w:r>
    </w:p>
    <w:p w14:paraId="5372D7AF" w14:textId="77777777" w:rsidR="00BE4770" w:rsidRPr="0077795E" w:rsidRDefault="00913729">
      <w:pPr>
        <w:spacing w:after="80" w:line="264" w:lineRule="auto"/>
        <w:ind w:left="360" w:hanging="360"/>
        <w:rPr>
          <w:rFonts w:cs="Times New Roman"/>
          <w:sz w:val="26"/>
          <w:szCs w:val="26"/>
        </w:rPr>
      </w:pPr>
      <w:r w:rsidRPr="0077795E">
        <w:rPr>
          <w:rFonts w:cs="Times New Roman"/>
          <w:sz w:val="26"/>
          <w:szCs w:val="26"/>
        </w:rPr>
        <w:t xml:space="preserve">35. Clausen T. Hormonal and pharmacological regulation of the Na+-K+ pump in skeletal muscle. </w:t>
      </w:r>
      <w:proofErr w:type="spellStart"/>
      <w:r w:rsidRPr="0077795E">
        <w:rPr>
          <w:rFonts w:cs="Times New Roman"/>
          <w:sz w:val="26"/>
          <w:szCs w:val="26"/>
        </w:rPr>
        <w:t>Physiol</w:t>
      </w:r>
      <w:proofErr w:type="spellEnd"/>
      <w:r w:rsidRPr="0077795E">
        <w:rPr>
          <w:rFonts w:cs="Times New Roman"/>
          <w:sz w:val="26"/>
          <w:szCs w:val="26"/>
        </w:rPr>
        <w:t xml:space="preserve"> Rev. 2003;83(4):1269-1324.</w:t>
      </w:r>
    </w:p>
    <w:sectPr w:rsidR="00BE4770" w:rsidRPr="0077795E" w:rsidSect="00F60DA7">
      <w:type w:val="evenPag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D0EE8" w14:textId="77777777" w:rsidR="006D46A9" w:rsidRDefault="006D46A9" w:rsidP="00A85202">
      <w:pPr>
        <w:spacing w:after="0" w:line="240" w:lineRule="auto"/>
      </w:pPr>
      <w:r>
        <w:separator/>
      </w:r>
    </w:p>
  </w:endnote>
  <w:endnote w:type="continuationSeparator" w:id="0">
    <w:p w14:paraId="456547AE" w14:textId="77777777" w:rsidR="006D46A9" w:rsidRDefault="006D46A9" w:rsidP="00A852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04951" w14:textId="77777777" w:rsidR="00A85202" w:rsidRDefault="00A852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1A1FE" w14:textId="77777777" w:rsidR="00A85202" w:rsidRDefault="00A852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8CEDE" w14:textId="77777777" w:rsidR="00A85202" w:rsidRDefault="00A852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EE32C" w14:textId="77777777" w:rsidR="006D46A9" w:rsidRDefault="006D46A9" w:rsidP="00A85202">
      <w:pPr>
        <w:spacing w:after="0" w:line="240" w:lineRule="auto"/>
      </w:pPr>
      <w:r>
        <w:separator/>
      </w:r>
    </w:p>
  </w:footnote>
  <w:footnote w:type="continuationSeparator" w:id="0">
    <w:p w14:paraId="7270CC2B" w14:textId="77777777" w:rsidR="006D46A9" w:rsidRDefault="006D46A9" w:rsidP="00A852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20263" w14:textId="18D0D1B4" w:rsidR="00A85202" w:rsidRDefault="00A85202">
    <w:pPr>
      <w:pStyle w:val="Header"/>
    </w:pPr>
    <w:r>
      <w:rPr>
        <w:noProof/>
      </w:rPr>
      <w:pict w14:anchorId="77DDF3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6826016"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610C2" w14:textId="702889F1" w:rsidR="00A85202" w:rsidRDefault="00A85202">
    <w:pPr>
      <w:pStyle w:val="Header"/>
    </w:pPr>
    <w:r>
      <w:rPr>
        <w:noProof/>
      </w:rPr>
      <w:pict w14:anchorId="12E4D7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6826017"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DD04B" w14:textId="1003B02E" w:rsidR="00A85202" w:rsidRDefault="00A85202">
    <w:pPr>
      <w:pStyle w:val="Header"/>
    </w:pPr>
    <w:r>
      <w:rPr>
        <w:noProof/>
      </w:rPr>
      <w:pict w14:anchorId="3C9089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6826015"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88395711">
    <w:abstractNumId w:val="8"/>
  </w:num>
  <w:num w:numId="2" w16cid:durableId="1669867600">
    <w:abstractNumId w:val="6"/>
  </w:num>
  <w:num w:numId="3" w16cid:durableId="1486317225">
    <w:abstractNumId w:val="5"/>
  </w:num>
  <w:num w:numId="4" w16cid:durableId="865488476">
    <w:abstractNumId w:val="4"/>
  </w:num>
  <w:num w:numId="5" w16cid:durableId="137192315">
    <w:abstractNumId w:val="7"/>
  </w:num>
  <w:num w:numId="6" w16cid:durableId="1831679941">
    <w:abstractNumId w:val="3"/>
  </w:num>
  <w:num w:numId="7" w16cid:durableId="1815220961">
    <w:abstractNumId w:val="2"/>
  </w:num>
  <w:num w:numId="8" w16cid:durableId="1220941840">
    <w:abstractNumId w:val="1"/>
  </w:num>
  <w:num w:numId="9" w16cid:durableId="59255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313F"/>
    <w:rsid w:val="00034616"/>
    <w:rsid w:val="0006063C"/>
    <w:rsid w:val="00101209"/>
    <w:rsid w:val="001072C0"/>
    <w:rsid w:val="0015074B"/>
    <w:rsid w:val="001A00AB"/>
    <w:rsid w:val="0029639D"/>
    <w:rsid w:val="00307F47"/>
    <w:rsid w:val="00326F90"/>
    <w:rsid w:val="003A4BD1"/>
    <w:rsid w:val="003D1740"/>
    <w:rsid w:val="003E3E8A"/>
    <w:rsid w:val="00405E92"/>
    <w:rsid w:val="00462B54"/>
    <w:rsid w:val="004E2E70"/>
    <w:rsid w:val="00617636"/>
    <w:rsid w:val="006A1212"/>
    <w:rsid w:val="006A4C61"/>
    <w:rsid w:val="006D46A9"/>
    <w:rsid w:val="007265D3"/>
    <w:rsid w:val="00744940"/>
    <w:rsid w:val="0077795E"/>
    <w:rsid w:val="007F5D0A"/>
    <w:rsid w:val="00812867"/>
    <w:rsid w:val="00890CD3"/>
    <w:rsid w:val="00913729"/>
    <w:rsid w:val="009E1B8E"/>
    <w:rsid w:val="00A85202"/>
    <w:rsid w:val="00AA1D8D"/>
    <w:rsid w:val="00AB3FBF"/>
    <w:rsid w:val="00B47730"/>
    <w:rsid w:val="00B91C39"/>
    <w:rsid w:val="00BE4770"/>
    <w:rsid w:val="00BF0CEE"/>
    <w:rsid w:val="00CB0664"/>
    <w:rsid w:val="00D06D1F"/>
    <w:rsid w:val="00DE4F49"/>
    <w:rsid w:val="00E6694D"/>
    <w:rsid w:val="00EB1144"/>
    <w:rsid w:val="00ED5B85"/>
    <w:rsid w:val="00F60DA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D2450C9"/>
  <w14:defaultImageDpi w14:val="300"/>
  <w15:docId w15:val="{2211F176-DCF0-489D-ABCB-B0FBF795A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1072C0"/>
    <w:rPr>
      <w:color w:val="0000FF" w:themeColor="hyperlink"/>
      <w:u w:val="single"/>
    </w:rPr>
  </w:style>
  <w:style w:type="character" w:styleId="UnresolvedMention">
    <w:name w:val="Unresolved Mention"/>
    <w:basedOn w:val="DefaultParagraphFont"/>
    <w:uiPriority w:val="99"/>
    <w:semiHidden/>
    <w:unhideWhenUsed/>
    <w:rsid w:val="001072C0"/>
    <w:rPr>
      <w:color w:val="605E5C"/>
      <w:shd w:val="clear" w:color="auto" w:fill="E1DFDD"/>
    </w:rPr>
  </w:style>
  <w:style w:type="paragraph" w:styleId="NormalWeb">
    <w:name w:val="Normal (Web)"/>
    <w:basedOn w:val="Normal"/>
    <w:uiPriority w:val="99"/>
    <w:semiHidden/>
    <w:unhideWhenUsed/>
    <w:rsid w:val="00AB3FBF"/>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16516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B9E255-E0B1-4A73-B3EB-A127BE100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17</Pages>
  <Words>4918</Words>
  <Characters>28039</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32892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1084</cp:lastModifiedBy>
  <cp:revision>8</cp:revision>
  <cp:lastPrinted>2026-09-09T09:21:00Z</cp:lastPrinted>
  <dcterms:created xsi:type="dcterms:W3CDTF">2026-09-09T09:22:00Z</dcterms:created>
  <dcterms:modified xsi:type="dcterms:W3CDTF">2026-09-10T11:47:00Z</dcterms:modified>
  <cp:category/>
</cp:coreProperties>
</file>