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C4703" w14:textId="693432A6" w:rsidR="00462B59" w:rsidRPr="006435B7" w:rsidRDefault="000A199C" w:rsidP="00055D83">
      <w:pPr>
        <w:spacing w:before="0" w:line="240" w:lineRule="auto"/>
        <w:jc w:val="center"/>
        <w:rPr>
          <w:rFonts w:cs="Times New Roman"/>
          <w:b/>
          <w:bCs/>
          <w:color w:val="000000" w:themeColor="text1"/>
          <w:sz w:val="36"/>
          <w:szCs w:val="36"/>
        </w:rPr>
      </w:pPr>
      <w:r w:rsidRPr="006435B7">
        <w:rPr>
          <w:rFonts w:cs="Times New Roman"/>
          <w:b/>
          <w:bCs/>
          <w:color w:val="000000" w:themeColor="text1"/>
          <w:sz w:val="36"/>
          <w:szCs w:val="36"/>
        </w:rPr>
        <w:t>CORPORATE GOVERNANCE AND ORGANIZATIONAL PERFORMANCE OF COMMERCIAL BANKS IN KISUMU COUNTY, KENYA</w:t>
      </w:r>
    </w:p>
    <w:p w14:paraId="19B4D42B" w14:textId="6B0BD392" w:rsidR="00870856" w:rsidRPr="006435B7" w:rsidRDefault="00870856" w:rsidP="00055D83">
      <w:pPr>
        <w:spacing w:before="0" w:line="240" w:lineRule="auto"/>
        <w:jc w:val="center"/>
        <w:rPr>
          <w:rFonts w:cs="Times New Roman"/>
          <w:b/>
          <w:bCs/>
          <w:color w:val="000000" w:themeColor="text1"/>
          <w:sz w:val="36"/>
          <w:szCs w:val="36"/>
        </w:rPr>
      </w:pPr>
    </w:p>
    <w:p w14:paraId="3FC0670C" w14:textId="77777777" w:rsidR="00870856" w:rsidRPr="006435B7" w:rsidRDefault="00870856" w:rsidP="00055D83">
      <w:pPr>
        <w:spacing w:before="0" w:line="240" w:lineRule="auto"/>
        <w:jc w:val="center"/>
        <w:rPr>
          <w:rFonts w:cs="Times New Roman"/>
          <w:b/>
          <w:bCs/>
          <w:color w:val="000000" w:themeColor="text1"/>
          <w:sz w:val="36"/>
          <w:szCs w:val="36"/>
        </w:rPr>
      </w:pPr>
    </w:p>
    <w:p w14:paraId="3F108D69" w14:textId="77777777" w:rsidR="003607E2" w:rsidRPr="006435B7" w:rsidRDefault="003607E2" w:rsidP="00055D83">
      <w:pPr>
        <w:spacing w:before="0" w:line="240" w:lineRule="auto"/>
        <w:jc w:val="center"/>
        <w:rPr>
          <w:rFonts w:cs="Times New Roman"/>
          <w:b/>
          <w:color w:val="000000" w:themeColor="text1"/>
          <w:szCs w:val="24"/>
        </w:rPr>
      </w:pPr>
    </w:p>
    <w:p w14:paraId="26A1F76F" w14:textId="77777777" w:rsidR="00DD21C0" w:rsidRPr="006435B7" w:rsidRDefault="00DD21C0" w:rsidP="00055D83">
      <w:pPr>
        <w:spacing w:before="0" w:line="240" w:lineRule="auto"/>
        <w:jc w:val="center"/>
        <w:rPr>
          <w:rFonts w:cs="Times New Roman"/>
          <w:color w:val="000000" w:themeColor="text1"/>
          <w:szCs w:val="24"/>
        </w:rPr>
      </w:pPr>
    </w:p>
    <w:p w14:paraId="43D2AA90" w14:textId="77777777" w:rsidR="007C3182" w:rsidRPr="006435B7" w:rsidRDefault="007C3182" w:rsidP="00055D83">
      <w:pPr>
        <w:spacing w:before="0" w:line="240" w:lineRule="auto"/>
        <w:jc w:val="center"/>
        <w:rPr>
          <w:rFonts w:cs="Times New Roman"/>
          <w:color w:val="000000" w:themeColor="text1"/>
          <w:szCs w:val="24"/>
        </w:rPr>
      </w:pPr>
    </w:p>
    <w:p w14:paraId="42946DD8" w14:textId="77777777" w:rsidR="00055D83" w:rsidRPr="006435B7" w:rsidRDefault="00055D83" w:rsidP="004737A8">
      <w:pPr>
        <w:spacing w:before="0" w:line="240" w:lineRule="auto"/>
        <w:jc w:val="center"/>
        <w:rPr>
          <w:b/>
          <w:sz w:val="28"/>
        </w:rPr>
      </w:pPr>
      <w:bookmarkStart w:id="0" w:name="_Toc488404692"/>
      <w:bookmarkStart w:id="1" w:name="_Toc102409737"/>
      <w:r w:rsidRPr="006435B7">
        <w:rPr>
          <w:b/>
          <w:sz w:val="28"/>
        </w:rPr>
        <w:t>ABSTRACT</w:t>
      </w:r>
      <w:bookmarkEnd w:id="0"/>
      <w:bookmarkEnd w:id="1"/>
    </w:p>
    <w:p w14:paraId="05B0CB2B" w14:textId="77777777" w:rsidR="008C3E27" w:rsidRPr="006435B7" w:rsidRDefault="008C3E27" w:rsidP="008C3E27">
      <w:pPr>
        <w:spacing w:line="240" w:lineRule="auto"/>
        <w:rPr>
          <w:rFonts w:cs="Times New Roman"/>
          <w:color w:val="000000" w:themeColor="text1"/>
          <w:szCs w:val="24"/>
        </w:rPr>
      </w:pPr>
      <w:r w:rsidRPr="006435B7">
        <w:rPr>
          <w:rFonts w:cs="Times New Roman"/>
          <w:color w:val="000000" w:themeColor="text1"/>
          <w:szCs w:val="24"/>
        </w:rPr>
        <w:t>Commercial banks play an important role in Kenya’s financial sector, making governance essential for organizational performance. This study examined the effect of corporate governance on organizational performance of commercial banks in Kisumu County, with specific emphasis on shareholder rights. The study was guided by Stakeholder Theory, Balanced Scorecard Model, Resource Dependency Theory, and Stewardship Theory. A descriptive cross-sectional research design was adopted. The study targeted 67 commercial bank branches and 536 employees in Kisumu County, from whom 224 respondents were selected using simple random sampling. Data were collected using closed-ended questionnaires. A pilot study involving 22 employees from seven commercial banks in Kakamega County was undertaken to assess the instrument, while pilot participants were excluded from the study. Content validity was established through expert and supervisor review, and reliability was assessed using Cronbach’s alpha, with 0.70 adopted as the minimum acceptable threshold. Data were analyzed using descriptive and inferential statistics. The findings indicated that shareholder rights had a positive and statistically significant relationship with organizational performance (r = 0.362, β = 0.211, p = 0.033). The finding suggests that stronger shareholder participation, protection of ownership interests, access to information, and opportunities to influence corporate decisions contribute to improved organizational performance. The study therefore recommends that commercial banks strengthen mechanisms for exercising shareholder rights, enhance shareholder participation in decision-making, ensure equitable treatment of shareholders, and provide timely and accurate corporate information. Such measures can promote accountability, governance, stakeholder confidence, and performance.</w:t>
      </w:r>
    </w:p>
    <w:p w14:paraId="6A6EF33B" w14:textId="77777777" w:rsidR="008C3E27" w:rsidRPr="006435B7" w:rsidRDefault="008C3E27" w:rsidP="008C3E27">
      <w:pPr>
        <w:spacing w:line="240" w:lineRule="auto"/>
        <w:rPr>
          <w:rFonts w:cs="Times New Roman"/>
          <w:color w:val="000000" w:themeColor="text1"/>
          <w:szCs w:val="24"/>
        </w:rPr>
      </w:pPr>
    </w:p>
    <w:p w14:paraId="283625D9" w14:textId="37AD2CD8" w:rsidR="00D2350E" w:rsidRPr="006435B7" w:rsidRDefault="008C3E27" w:rsidP="008C3E27">
      <w:pPr>
        <w:spacing w:line="240" w:lineRule="auto"/>
        <w:rPr>
          <w:rFonts w:cs="Times New Roman"/>
          <w:color w:val="000000" w:themeColor="text1"/>
          <w:szCs w:val="24"/>
        </w:rPr>
      </w:pPr>
      <w:r w:rsidRPr="006435B7">
        <w:rPr>
          <w:rFonts w:cs="Times New Roman"/>
          <w:b/>
          <w:color w:val="000000" w:themeColor="text1"/>
          <w:szCs w:val="24"/>
        </w:rPr>
        <w:t>Keywords:</w:t>
      </w:r>
      <w:r w:rsidRPr="006435B7">
        <w:rPr>
          <w:rFonts w:cs="Times New Roman"/>
          <w:color w:val="000000" w:themeColor="text1"/>
          <w:szCs w:val="24"/>
        </w:rPr>
        <w:t xml:space="preserve"> </w:t>
      </w:r>
      <w:r w:rsidRPr="006435B7">
        <w:rPr>
          <w:rFonts w:cs="Times New Roman"/>
          <w:i/>
          <w:color w:val="000000" w:themeColor="text1"/>
          <w:szCs w:val="24"/>
        </w:rPr>
        <w:t>Corporate governance; shareholder rights; organizational performance; commercial banks; shareholder partic</w:t>
      </w:r>
      <w:r w:rsidR="001D0253" w:rsidRPr="006435B7">
        <w:rPr>
          <w:rFonts w:cs="Times New Roman"/>
          <w:i/>
          <w:color w:val="000000" w:themeColor="text1"/>
          <w:szCs w:val="24"/>
        </w:rPr>
        <w:t>ipation; stakeholder engagement</w:t>
      </w:r>
      <w:r w:rsidRPr="006435B7">
        <w:rPr>
          <w:rFonts w:cs="Times New Roman"/>
          <w:color w:val="000000" w:themeColor="text1"/>
          <w:szCs w:val="24"/>
        </w:rPr>
        <w:t>.</w:t>
      </w:r>
    </w:p>
    <w:p w14:paraId="4056C615" w14:textId="77777777" w:rsidR="00D2350E" w:rsidRPr="006435B7" w:rsidRDefault="00D2350E" w:rsidP="00D2350E">
      <w:pPr>
        <w:spacing w:line="240" w:lineRule="auto"/>
        <w:rPr>
          <w:rFonts w:cs="Times New Roman"/>
          <w:color w:val="000000" w:themeColor="text1"/>
          <w:szCs w:val="24"/>
        </w:rPr>
      </w:pPr>
    </w:p>
    <w:p w14:paraId="60C890DF" w14:textId="77777777" w:rsidR="00055D83" w:rsidRPr="006435B7" w:rsidRDefault="00055D83" w:rsidP="00055D83">
      <w:pPr>
        <w:shd w:val="clear" w:color="auto" w:fill="FFFFFF"/>
        <w:spacing w:line="240" w:lineRule="auto"/>
        <w:rPr>
          <w:rFonts w:eastAsia="Times New Roman" w:cs="Times New Roman"/>
          <w:b/>
          <w:bCs/>
          <w:color w:val="000000" w:themeColor="text1"/>
          <w:sz w:val="28"/>
          <w:szCs w:val="28"/>
        </w:rPr>
      </w:pPr>
      <w:r w:rsidRPr="006435B7">
        <w:rPr>
          <w:rFonts w:eastAsia="Times New Roman" w:cs="Times New Roman"/>
          <w:b/>
          <w:bCs/>
          <w:color w:val="000000" w:themeColor="text1"/>
          <w:sz w:val="28"/>
          <w:szCs w:val="28"/>
        </w:rPr>
        <w:t>1.0 INTRODUCTION</w:t>
      </w:r>
    </w:p>
    <w:p w14:paraId="481DF64F" w14:textId="77777777" w:rsidR="001D0253" w:rsidRPr="006435B7" w:rsidRDefault="001D0253" w:rsidP="001D0253">
      <w:pPr>
        <w:shd w:val="clear" w:color="auto" w:fill="FFFFFF"/>
        <w:spacing w:line="240" w:lineRule="auto"/>
        <w:rPr>
          <w:rFonts w:cs="Times New Roman"/>
          <w:color w:val="000000" w:themeColor="text1"/>
          <w:szCs w:val="24"/>
        </w:rPr>
      </w:pPr>
      <w:r w:rsidRPr="006435B7">
        <w:rPr>
          <w:rFonts w:cs="Times New Roman"/>
          <w:color w:val="000000" w:themeColor="text1"/>
          <w:szCs w:val="24"/>
        </w:rPr>
        <w:t xml:space="preserve">Corporate governance has become an important determinant of organizational performance, particularly in the banking sector, where decisions concerning ownership, accountability, transparency, and risk management directly influence institutional stability. Corporate governance establishes mechanisms through which shareholders and other stakeholders participate in decision-making while ensuring that managers and boards act in the interests of the organization. Effective governance therefore promotes accountability, transparency, stakeholder participation, and alignment between owners and managers (Khan, 2019; </w:t>
      </w:r>
      <w:proofErr w:type="spellStart"/>
      <w:r w:rsidRPr="006435B7">
        <w:rPr>
          <w:rFonts w:cs="Times New Roman"/>
          <w:color w:val="000000" w:themeColor="text1"/>
          <w:szCs w:val="24"/>
        </w:rPr>
        <w:t>Adegbayibi</w:t>
      </w:r>
      <w:proofErr w:type="spellEnd"/>
      <w:r w:rsidRPr="006435B7">
        <w:rPr>
          <w:rFonts w:cs="Times New Roman"/>
          <w:color w:val="000000" w:themeColor="text1"/>
          <w:szCs w:val="24"/>
        </w:rPr>
        <w:t>, 2021). For commercial banks, these mechanisms are particularly important because banks operate with substantial public deposits and are exposed to financial, operational, and governance risks.</w:t>
      </w:r>
    </w:p>
    <w:p w14:paraId="65AB4950" w14:textId="77777777" w:rsidR="001D0253" w:rsidRPr="006435B7" w:rsidRDefault="001D0253" w:rsidP="001D0253">
      <w:pPr>
        <w:shd w:val="clear" w:color="auto" w:fill="FFFFFF"/>
        <w:spacing w:line="240" w:lineRule="auto"/>
        <w:rPr>
          <w:rFonts w:cs="Times New Roman"/>
          <w:color w:val="000000" w:themeColor="text1"/>
          <w:szCs w:val="24"/>
        </w:rPr>
      </w:pPr>
      <w:r w:rsidRPr="006435B7">
        <w:rPr>
          <w:rFonts w:cs="Times New Roman"/>
          <w:color w:val="000000" w:themeColor="text1"/>
          <w:szCs w:val="24"/>
        </w:rPr>
        <w:t xml:space="preserve">Organizational performance reflects the extent to which an organization transforms its resources into desirable financial and non-financial outcomes. It encompasses efficiency, effectiveness, productivity, profitability, </w:t>
      </w:r>
      <w:r w:rsidRPr="006435B7">
        <w:rPr>
          <w:rFonts w:cs="Times New Roman"/>
          <w:color w:val="000000" w:themeColor="text1"/>
          <w:szCs w:val="24"/>
        </w:rPr>
        <w:lastRenderedPageBreak/>
        <w:t>sustainability, and achievement of organizational objectives (Singh et al., 2021; Mahmoudi et al., 2022). In the banking sector, performance is commonly reflected through measures such as return on assets (ROA), profitability, operational efficiency, growth, and sustainability. ROA is particularly useful because it indicates how effectively a bank utilizes its assets to generate income (Lee &amp; Lee, 2020). Consequently, governance mechanisms that enhance accountability and responsible decision-making can contribute to improved organizational performance.</w:t>
      </w:r>
    </w:p>
    <w:p w14:paraId="673FC634" w14:textId="77777777" w:rsidR="001D0253" w:rsidRPr="006435B7" w:rsidRDefault="001D0253" w:rsidP="001D0253">
      <w:pPr>
        <w:shd w:val="clear" w:color="auto" w:fill="FFFFFF"/>
        <w:spacing w:line="240" w:lineRule="auto"/>
        <w:rPr>
          <w:rFonts w:cs="Times New Roman"/>
          <w:color w:val="000000" w:themeColor="text1"/>
          <w:szCs w:val="24"/>
        </w:rPr>
      </w:pPr>
      <w:r w:rsidRPr="006435B7">
        <w:rPr>
          <w:rFonts w:cs="Times New Roman"/>
          <w:color w:val="000000" w:themeColor="text1"/>
          <w:szCs w:val="24"/>
        </w:rPr>
        <w:t>Globally, corporate governance has been associated with the stability and performance of financial institutions. Evidence from developed economies indicates that banks operating under stronger governance structures tend to demonstrate greater stability and better performance because of enhanced oversight, transparency, and risk-management practices (</w:t>
      </w:r>
      <w:proofErr w:type="spellStart"/>
      <w:r w:rsidRPr="006435B7">
        <w:rPr>
          <w:rFonts w:cs="Times New Roman"/>
          <w:color w:val="000000" w:themeColor="text1"/>
          <w:szCs w:val="24"/>
        </w:rPr>
        <w:t>Chiorazzo</w:t>
      </w:r>
      <w:proofErr w:type="spellEnd"/>
      <w:r w:rsidRPr="006435B7">
        <w:rPr>
          <w:rFonts w:cs="Times New Roman"/>
          <w:color w:val="000000" w:themeColor="text1"/>
          <w:szCs w:val="24"/>
        </w:rPr>
        <w:t xml:space="preserve"> &amp; Cappiello, 2018; Rusu &amp; Tiberiu, 2019). Shareholder rights form an important component of these governance arrangements because they provide owners with opportunities to participate in major corporate decisions, elect directors, access relevant information, vote on key matters, and hold management accountable. Where shareholders can effectively exercise these rights, agency problems between owners and managers may be reduced, thereby encouraging decisions that promote organizational sustainability.</w:t>
      </w:r>
    </w:p>
    <w:p w14:paraId="6326D742" w14:textId="77777777" w:rsidR="001D0253" w:rsidRPr="006435B7" w:rsidRDefault="001D0253" w:rsidP="001D0253">
      <w:pPr>
        <w:shd w:val="clear" w:color="auto" w:fill="FFFFFF"/>
        <w:spacing w:line="240" w:lineRule="auto"/>
        <w:rPr>
          <w:rFonts w:cs="Times New Roman"/>
          <w:color w:val="000000" w:themeColor="text1"/>
          <w:szCs w:val="24"/>
        </w:rPr>
      </w:pPr>
      <w:r w:rsidRPr="006435B7">
        <w:rPr>
          <w:rFonts w:cs="Times New Roman"/>
          <w:color w:val="000000" w:themeColor="text1"/>
          <w:szCs w:val="24"/>
        </w:rPr>
        <w:t xml:space="preserve">The relevance of shareholder rights is also evident in developing economies, including African countries, where corporate governance challenges have historically included weak accountability, inadequate disclosure, ineffective internal controls, and limited stakeholder participation. Such weaknesses can undermine investor confidence and organizational performance. Studies in African banking and corporate sectors have consequently emphasized stronger governance systems as a means of improving accountability and institutional effectiveness. In Ghana, for example, </w:t>
      </w:r>
      <w:proofErr w:type="spellStart"/>
      <w:r w:rsidRPr="006435B7">
        <w:rPr>
          <w:rFonts w:cs="Times New Roman"/>
          <w:color w:val="000000" w:themeColor="text1"/>
          <w:szCs w:val="24"/>
        </w:rPr>
        <w:t>Kyereboah</w:t>
      </w:r>
      <w:proofErr w:type="spellEnd"/>
      <w:r w:rsidRPr="006435B7">
        <w:rPr>
          <w:rFonts w:cs="Times New Roman"/>
          <w:color w:val="000000" w:themeColor="text1"/>
          <w:szCs w:val="24"/>
        </w:rPr>
        <w:t>-Coleman (2018) found that corporate governance mechanisms, including shareholder involvement and board independence, were associated with organizational performance. Similar evidence suggests that organizations with effective governance arrangements are better positioned to manage risks and align managerial decisions with organizational objectives.</w:t>
      </w:r>
    </w:p>
    <w:p w14:paraId="43FB4179" w14:textId="77777777" w:rsidR="001D0253" w:rsidRPr="006435B7" w:rsidRDefault="001D0253" w:rsidP="001D0253">
      <w:pPr>
        <w:shd w:val="clear" w:color="auto" w:fill="FFFFFF"/>
        <w:spacing w:line="240" w:lineRule="auto"/>
        <w:rPr>
          <w:rFonts w:cs="Times New Roman"/>
          <w:color w:val="000000" w:themeColor="text1"/>
          <w:szCs w:val="24"/>
        </w:rPr>
      </w:pPr>
      <w:r w:rsidRPr="006435B7">
        <w:rPr>
          <w:rFonts w:cs="Times New Roman"/>
          <w:color w:val="000000" w:themeColor="text1"/>
          <w:szCs w:val="24"/>
        </w:rPr>
        <w:t>In Kenya, corporate governance has received considerable attention because of the importance of commercial banks to economic development, financial intermediation, and mobilization of savings. The regulatory environment has increasingly emphasized transparency, accountability, board oversight, risk management, and protection of shareholders and other stakeholders. Kenyan commercial banks operate within a governance framework that requires appropriate mechanisms for safeguarding ownership interests and ensuring responsible management. Studies have indicated that stronger governance practices are associated with improved financial and operational outcomes among Kenyan financial institutions. Mwangi and Muturi (2020), for instance, reported that commercial banks characterized by stronger protection of shareholder interests tended to demonstrate better performance because shareholder participation encouraged strategic decisions oriented towards long-term growth, efficiency, and profitability.</w:t>
      </w:r>
    </w:p>
    <w:p w14:paraId="6E9B08A3" w14:textId="77777777" w:rsidR="001D0253" w:rsidRPr="006435B7" w:rsidRDefault="001D0253" w:rsidP="001D0253">
      <w:pPr>
        <w:shd w:val="clear" w:color="auto" w:fill="FFFFFF"/>
        <w:spacing w:line="240" w:lineRule="auto"/>
        <w:rPr>
          <w:rFonts w:cs="Times New Roman"/>
          <w:color w:val="000000" w:themeColor="text1"/>
          <w:szCs w:val="24"/>
        </w:rPr>
      </w:pPr>
      <w:r w:rsidRPr="006435B7">
        <w:rPr>
          <w:rFonts w:cs="Times New Roman"/>
          <w:color w:val="000000" w:themeColor="text1"/>
          <w:szCs w:val="24"/>
        </w:rPr>
        <w:t>Shareholder rights are particularly important because shareholders are the ultimate owners of commercial banks and have legitimate interests in how organizational resources are managed. Effective shareholder rights may include participation in general meetings, voting on significant corporate decisions, access to timely and accurate corporate information, election and removal of directors, approval of major transactions, and protection against unfair treatment. These rights create avenues through which shareholders can influence corporate strategy and monitor management. Strong shareholder participation can also strengthen board accountability by ensuring that directors are responsive to owners and that managerial actions are subjected to appropriate scrutiny.</w:t>
      </w:r>
    </w:p>
    <w:p w14:paraId="4B08F5AB" w14:textId="77777777" w:rsidR="001D0253" w:rsidRPr="006435B7" w:rsidRDefault="001D0253" w:rsidP="001D0253">
      <w:pPr>
        <w:shd w:val="clear" w:color="auto" w:fill="FFFFFF"/>
        <w:spacing w:line="240" w:lineRule="auto"/>
        <w:rPr>
          <w:rFonts w:cs="Times New Roman"/>
          <w:color w:val="000000" w:themeColor="text1"/>
          <w:szCs w:val="24"/>
        </w:rPr>
      </w:pPr>
      <w:r w:rsidRPr="006435B7">
        <w:rPr>
          <w:rFonts w:cs="Times New Roman"/>
          <w:color w:val="000000" w:themeColor="text1"/>
          <w:szCs w:val="24"/>
        </w:rPr>
        <w:t xml:space="preserve">The relationship between shareholder rights and organizational performance can also be explained through the agency perspective. Separation of ownership from management creates the possibility that managers may pursue interests that differ from those of shareholders. Effective shareholder rights provide mechanisms for monitoring management, questioning strategic decisions, and influencing the composition of the board. Such mechanisms can reduce agency costs and promote efficient utilization of organizational resources. In commercial banks, where </w:t>
      </w:r>
      <w:r w:rsidRPr="006435B7">
        <w:rPr>
          <w:rFonts w:cs="Times New Roman"/>
          <w:color w:val="000000" w:themeColor="text1"/>
          <w:szCs w:val="24"/>
        </w:rPr>
        <w:lastRenderedPageBreak/>
        <w:t>managerial decisions concerning lending, investment, risk exposure, and resource allocation have significant consequences, effective shareholder oversight can therefore contribute to financial stability and performance.</w:t>
      </w:r>
    </w:p>
    <w:p w14:paraId="015B51E9" w14:textId="77777777" w:rsidR="001D0253" w:rsidRPr="006435B7" w:rsidRDefault="001D0253" w:rsidP="001D0253">
      <w:pPr>
        <w:shd w:val="clear" w:color="auto" w:fill="FFFFFF"/>
        <w:spacing w:line="240" w:lineRule="auto"/>
        <w:rPr>
          <w:rFonts w:cs="Times New Roman"/>
          <w:color w:val="000000" w:themeColor="text1"/>
          <w:szCs w:val="24"/>
        </w:rPr>
      </w:pPr>
      <w:r w:rsidRPr="006435B7">
        <w:rPr>
          <w:rFonts w:cs="Times New Roman"/>
          <w:color w:val="000000" w:themeColor="text1"/>
          <w:szCs w:val="24"/>
        </w:rPr>
        <w:t>Empirical studies have further demonstrated that governance mechanisms influence different dimensions of organizational performance. Aebi, Sabato, and Schmid (2018) found that banks with stronger governance structures and effective risk-management oversight achieved better performance. Mutuku and Wanjiru (2018) similarly established that transparent decision-making and well-structured boards enhanced organizational outcomes. Odhiambo and Muriuki (2021) observed that board independence and professional diversity strengthened strategic decision-making and risk oversight. In addition, transparency in annual reporting and risk disclosure has been associated with improved investor perceptions and financial outcomes among Kenyan banks (Nyangweso et al., 2020). These findings suggest that shareholder rights do not operate in isolation but interact with broader governance mechanisms to influence organizational effectiveness.</w:t>
      </w:r>
    </w:p>
    <w:p w14:paraId="79BB7A20" w14:textId="77777777" w:rsidR="001D0253" w:rsidRPr="006435B7" w:rsidRDefault="001D0253" w:rsidP="001D0253">
      <w:pPr>
        <w:shd w:val="clear" w:color="auto" w:fill="FFFFFF"/>
        <w:spacing w:line="240" w:lineRule="auto"/>
        <w:rPr>
          <w:rFonts w:cs="Times New Roman"/>
          <w:color w:val="000000" w:themeColor="text1"/>
          <w:szCs w:val="24"/>
        </w:rPr>
      </w:pPr>
      <w:r w:rsidRPr="006435B7">
        <w:rPr>
          <w:rFonts w:cs="Times New Roman"/>
          <w:color w:val="000000" w:themeColor="text1"/>
          <w:szCs w:val="24"/>
        </w:rPr>
        <w:t>Despite these developments, challenges relating to effective shareholder participation and protection remain relevant to commercial banks. Differences in ownership structures, shareholder influence, access to information, and participation in corporate decision-making may affect the extent to which shareholders can exercise their rights. Smaller institutions may also experience governance and risk-management constraints that limit effective oversight. These circumstances create a need for empirical examination of how shareholder rights influence organizational performance within specific geographical and institutional contexts.</w:t>
      </w:r>
    </w:p>
    <w:p w14:paraId="408A58F9" w14:textId="0022C571" w:rsidR="00416E73" w:rsidRPr="006435B7" w:rsidRDefault="001D0253" w:rsidP="001D0253">
      <w:pPr>
        <w:shd w:val="clear" w:color="auto" w:fill="FFFFFF"/>
        <w:spacing w:line="240" w:lineRule="auto"/>
        <w:rPr>
          <w:rFonts w:cs="Times New Roman"/>
          <w:color w:val="000000" w:themeColor="text1"/>
          <w:szCs w:val="24"/>
        </w:rPr>
      </w:pPr>
      <w:r w:rsidRPr="006435B7">
        <w:rPr>
          <w:rFonts w:cs="Times New Roman"/>
          <w:color w:val="000000" w:themeColor="text1"/>
          <w:szCs w:val="24"/>
        </w:rPr>
        <w:t>Kisumu County provides an important context for examining this relationship because commercial banks operating in the county serve a diverse population of individuals, businesses, and institutions and contribute substantially to local economic activities. However, evidence on the extent to which shareholder rights influence the performance of commercial banks at the county level remains limited. Much of the existing literature has examined corporate governance and performance at national or broader institutional levels, making it necessary to investigate whether shareholder participation and protection have a measurable influence within the Kisumu banking environment. The study therefore seeks to determine the effects of shareholder rights on organizational performance of commercial banks in Kisumu County, Kenya. Establishing this relationship can provide evidence useful to bank boards, shareholders, managers, regulators, and other stakeholders in strengthening governance practices and improving organizational performance.</w:t>
      </w:r>
    </w:p>
    <w:p w14:paraId="48C38FDC" w14:textId="6CD37EFA" w:rsidR="00055D83" w:rsidRPr="006435B7" w:rsidRDefault="00055D83" w:rsidP="00CE4C91">
      <w:pPr>
        <w:shd w:val="clear" w:color="auto" w:fill="FFFFFF"/>
        <w:spacing w:line="240" w:lineRule="auto"/>
        <w:rPr>
          <w:rFonts w:eastAsia="Times New Roman" w:cs="Times New Roman"/>
          <w:b/>
          <w:bCs/>
          <w:i/>
          <w:iCs/>
          <w:color w:val="000000" w:themeColor="text1"/>
          <w:sz w:val="28"/>
          <w:szCs w:val="28"/>
        </w:rPr>
      </w:pPr>
      <w:r w:rsidRPr="006435B7">
        <w:rPr>
          <w:rFonts w:eastAsia="Times New Roman" w:cs="Times New Roman"/>
          <w:b/>
          <w:bCs/>
          <w:i/>
          <w:iCs/>
          <w:color w:val="000000" w:themeColor="text1"/>
          <w:sz w:val="28"/>
          <w:szCs w:val="28"/>
        </w:rPr>
        <w:t>Research Problem</w:t>
      </w:r>
    </w:p>
    <w:p w14:paraId="6CA09799" w14:textId="05F4A669" w:rsidR="005C09D0" w:rsidRPr="006435B7" w:rsidRDefault="001D0253" w:rsidP="005C09D0">
      <w:pPr>
        <w:spacing w:after="240" w:line="240" w:lineRule="auto"/>
        <w:rPr>
          <w:rFonts w:cs="Times New Roman"/>
          <w:color w:val="000000" w:themeColor="text1"/>
          <w:szCs w:val="24"/>
        </w:rPr>
      </w:pPr>
      <w:r w:rsidRPr="006435B7">
        <w:rPr>
          <w:rFonts w:cs="Times New Roman"/>
          <w:color w:val="000000" w:themeColor="text1"/>
          <w:szCs w:val="24"/>
        </w:rPr>
        <w:t xml:space="preserve">Corporate governance is critical to ensuring transparency, accountability, effective decision-making, and sustainable organizational performance in commercial banks. Despite its importance, the performance of Kenya’s commercial banking sector has declined, with return on assets falling from 5.34% to 3.73% and return on equity from 34.2% to 26.9% (CBK, 2024). Weak governance practices, including limited shareholder involvement, may contribute to operational inefficiencies and poor organizational outcomes. Although previous studies have examined corporate governance and bank performance, their findings remain inconsistent. Some studies report that effective governance mechanisms enhance performance, while others find negative or insignificant relationships. In particular, evidence concerning shareholder rights remains inconclusive, with variations in ownership structures and shareholder participation producing different organizational outcomes. For instance, Muiruri (2024) found that ownership concentration negatively affects profitability, whereas foreign and domestic ownership were associated with improved profitability. Conversely, </w:t>
      </w:r>
      <w:proofErr w:type="spellStart"/>
      <w:r w:rsidRPr="006435B7">
        <w:rPr>
          <w:rFonts w:cs="Times New Roman"/>
          <w:color w:val="000000" w:themeColor="text1"/>
          <w:szCs w:val="24"/>
        </w:rPr>
        <w:t>Onguka</w:t>
      </w:r>
      <w:proofErr w:type="spellEnd"/>
      <w:r w:rsidRPr="006435B7">
        <w:rPr>
          <w:rFonts w:cs="Times New Roman"/>
          <w:color w:val="000000" w:themeColor="text1"/>
          <w:szCs w:val="24"/>
        </w:rPr>
        <w:t xml:space="preserve"> et al. (2021) reported no significant relationship between ownership structure, corporate governance, and financial performance. These contradictory findings reveal a contextual and empirical gap. Therefore, this study seeks to determine the effects of shareholder rights on organizational performance of commercial banks in Kisumu County, Kenya</w:t>
      </w:r>
      <w:r w:rsidR="00CC04B9" w:rsidRPr="006435B7">
        <w:rPr>
          <w:rFonts w:cs="Times New Roman"/>
          <w:color w:val="000000" w:themeColor="text1"/>
          <w:szCs w:val="24"/>
        </w:rPr>
        <w:t>.</w:t>
      </w:r>
    </w:p>
    <w:p w14:paraId="7860FC20" w14:textId="1CFD514F" w:rsidR="00055D83" w:rsidRPr="006435B7" w:rsidRDefault="00055D83" w:rsidP="00CC04B9">
      <w:pPr>
        <w:spacing w:after="240" w:line="240" w:lineRule="auto"/>
        <w:rPr>
          <w:rFonts w:cs="Times New Roman"/>
          <w:b/>
          <w:bCs/>
          <w:i/>
          <w:iCs/>
          <w:color w:val="000000" w:themeColor="text1"/>
          <w:sz w:val="28"/>
          <w:szCs w:val="28"/>
        </w:rPr>
      </w:pPr>
      <w:r w:rsidRPr="006435B7">
        <w:rPr>
          <w:rFonts w:cs="Times New Roman"/>
          <w:b/>
          <w:bCs/>
          <w:i/>
          <w:iCs/>
          <w:color w:val="000000" w:themeColor="text1"/>
          <w:sz w:val="28"/>
          <w:szCs w:val="28"/>
        </w:rPr>
        <w:t>Research Objective</w:t>
      </w:r>
    </w:p>
    <w:p w14:paraId="3A006523" w14:textId="638E149E" w:rsidR="0054398C" w:rsidRPr="006435B7" w:rsidRDefault="00055D83" w:rsidP="0054398C">
      <w:pPr>
        <w:spacing w:line="240" w:lineRule="auto"/>
        <w:rPr>
          <w:rFonts w:cs="Times New Roman"/>
          <w:color w:val="000000" w:themeColor="text1"/>
          <w:szCs w:val="24"/>
        </w:rPr>
      </w:pPr>
      <w:r w:rsidRPr="006435B7">
        <w:rPr>
          <w:rFonts w:cs="Times New Roman"/>
          <w:color w:val="000000" w:themeColor="text1"/>
          <w:szCs w:val="24"/>
        </w:rPr>
        <w:lastRenderedPageBreak/>
        <w:t>This study was guided by the following general objective to:</w:t>
      </w:r>
      <w:r w:rsidR="00784B96" w:rsidRPr="006435B7">
        <w:rPr>
          <w:rFonts w:cs="Times New Roman"/>
          <w:color w:val="000000" w:themeColor="text1"/>
          <w:szCs w:val="24"/>
        </w:rPr>
        <w:t xml:space="preserve"> </w:t>
      </w:r>
      <w:r w:rsidR="003A4F31" w:rsidRPr="006435B7">
        <w:rPr>
          <w:rFonts w:cs="Times New Roman"/>
          <w:color w:val="000000" w:themeColor="text1"/>
          <w:szCs w:val="24"/>
        </w:rPr>
        <w:t>investigate the effects of corporate governance on the organization performance of commercial banks in Kisumu County, Kenya</w:t>
      </w:r>
      <w:r w:rsidR="00D54CAA" w:rsidRPr="006435B7">
        <w:rPr>
          <w:rFonts w:cs="Times New Roman"/>
          <w:color w:val="000000" w:themeColor="text1"/>
          <w:szCs w:val="24"/>
        </w:rPr>
        <w:t>.</w:t>
      </w:r>
    </w:p>
    <w:p w14:paraId="6B071E8F" w14:textId="77777777" w:rsidR="00E448DE" w:rsidRPr="006435B7" w:rsidRDefault="0054398C" w:rsidP="00F42A52">
      <w:pPr>
        <w:spacing w:line="240" w:lineRule="auto"/>
        <w:rPr>
          <w:rFonts w:cs="Times New Roman"/>
          <w:color w:val="000000" w:themeColor="text1"/>
          <w:szCs w:val="24"/>
        </w:rPr>
      </w:pPr>
      <w:r w:rsidRPr="006435B7">
        <w:rPr>
          <w:rFonts w:cs="Times New Roman"/>
          <w:color w:val="000000" w:themeColor="text1"/>
          <w:szCs w:val="24"/>
        </w:rPr>
        <w:t>Specific Objectives were to;</w:t>
      </w:r>
      <w:r w:rsidR="00784B96" w:rsidRPr="006435B7">
        <w:rPr>
          <w:rFonts w:cs="Times New Roman"/>
          <w:color w:val="000000" w:themeColor="text1"/>
          <w:szCs w:val="24"/>
        </w:rPr>
        <w:t xml:space="preserve"> </w:t>
      </w:r>
    </w:p>
    <w:p w14:paraId="0E964A2D" w14:textId="77777777" w:rsidR="003A4F31" w:rsidRPr="006435B7" w:rsidRDefault="003A4F31" w:rsidP="003A4F31">
      <w:pPr>
        <w:pStyle w:val="ListParagraph"/>
        <w:numPr>
          <w:ilvl w:val="0"/>
          <w:numId w:val="23"/>
        </w:numPr>
        <w:rPr>
          <w:rFonts w:ascii="Times New Roman" w:hAnsi="Times New Roman"/>
          <w:sz w:val="24"/>
          <w:szCs w:val="28"/>
        </w:rPr>
      </w:pPr>
      <w:r w:rsidRPr="006435B7">
        <w:rPr>
          <w:rFonts w:ascii="Times New Roman" w:hAnsi="Times New Roman"/>
          <w:sz w:val="24"/>
          <w:szCs w:val="28"/>
        </w:rPr>
        <w:t>To determine the effects of shareholder rights on organizational performance of commercial banks in Kisumu County.</w:t>
      </w:r>
    </w:p>
    <w:p w14:paraId="0B5F07F3" w14:textId="77777777" w:rsidR="0052143B" w:rsidRPr="006435B7" w:rsidRDefault="0052143B" w:rsidP="000F4C94">
      <w:pPr>
        <w:spacing w:before="0" w:line="240" w:lineRule="auto"/>
        <w:rPr>
          <w:b/>
          <w:bCs/>
          <w:i/>
          <w:iCs/>
          <w:sz w:val="28"/>
          <w:szCs w:val="24"/>
        </w:rPr>
      </w:pPr>
      <w:r w:rsidRPr="006435B7">
        <w:rPr>
          <w:b/>
          <w:bCs/>
          <w:i/>
          <w:iCs/>
          <w:sz w:val="28"/>
          <w:szCs w:val="24"/>
        </w:rPr>
        <w:t>Significance of the Study</w:t>
      </w:r>
    </w:p>
    <w:p w14:paraId="01448711" w14:textId="50085E5C" w:rsidR="001E21F0" w:rsidRPr="006435B7" w:rsidRDefault="0051797F" w:rsidP="00AE4AA5">
      <w:pPr>
        <w:spacing w:before="0" w:line="240" w:lineRule="auto"/>
        <w:rPr>
          <w:rFonts w:cs="Times New Roman"/>
          <w:color w:val="000000" w:themeColor="text1"/>
        </w:rPr>
      </w:pPr>
      <w:r w:rsidRPr="006435B7">
        <w:t>The study will benefit bank managers, investors, regulators, and financial analysts by providing insights into how shareholder rights influence organizational performance. It will support effective resource utilization, governance, risk management, financial stability, and sustainable profitability in commercial banks. Regulators may use the findings to strengthen governance frameworks, while academicians may draw on the study to identify research gaps and develop further studies on shareholder rights and banking performance.</w:t>
      </w:r>
      <w:r w:rsidR="001E21F0" w:rsidRPr="006435B7">
        <w:rPr>
          <w:rFonts w:cs="Times New Roman"/>
          <w:color w:val="000000" w:themeColor="text1"/>
        </w:rPr>
        <w:br w:type="page"/>
      </w:r>
    </w:p>
    <w:p w14:paraId="60555E06" w14:textId="2D326474" w:rsidR="00055D83" w:rsidRPr="006435B7" w:rsidRDefault="00055D83" w:rsidP="00055D83">
      <w:pPr>
        <w:pStyle w:val="ListParagraph"/>
        <w:autoSpaceDE w:val="0"/>
        <w:autoSpaceDN w:val="0"/>
        <w:adjustRightInd w:val="0"/>
        <w:spacing w:before="480" w:after="240" w:line="240" w:lineRule="auto"/>
        <w:ind w:left="0"/>
        <w:rPr>
          <w:rFonts w:ascii="Times New Roman" w:hAnsi="Times New Roman"/>
          <w:b/>
          <w:color w:val="000000" w:themeColor="text1"/>
          <w:sz w:val="28"/>
          <w:szCs w:val="28"/>
          <w:lang w:val="en-GB"/>
        </w:rPr>
      </w:pPr>
      <w:r w:rsidRPr="006435B7">
        <w:rPr>
          <w:rFonts w:ascii="Times New Roman" w:hAnsi="Times New Roman"/>
          <w:b/>
          <w:color w:val="000000" w:themeColor="text1"/>
          <w:sz w:val="28"/>
          <w:szCs w:val="28"/>
          <w:lang w:val="en-GB"/>
        </w:rPr>
        <w:lastRenderedPageBreak/>
        <w:t xml:space="preserve">2.0 LITERATURE REVIEW  </w:t>
      </w:r>
    </w:p>
    <w:p w14:paraId="4D81049F" w14:textId="77777777" w:rsidR="00001A44" w:rsidRPr="006435B7" w:rsidRDefault="00001A44" w:rsidP="00001A44">
      <w:pPr>
        <w:spacing w:before="0" w:after="160" w:line="259" w:lineRule="auto"/>
        <w:rPr>
          <w:rFonts w:cs="Times New Roman"/>
          <w:b/>
          <w:i/>
          <w:iCs/>
          <w:color w:val="000000" w:themeColor="text1"/>
          <w:kern w:val="2"/>
          <w:szCs w:val="24"/>
          <w:lang w:val="en-GB"/>
        </w:rPr>
      </w:pPr>
      <w:r w:rsidRPr="006435B7">
        <w:rPr>
          <w:rFonts w:cs="Times New Roman"/>
          <w:b/>
          <w:i/>
          <w:iCs/>
          <w:color w:val="000000" w:themeColor="text1"/>
          <w:kern w:val="2"/>
          <w:szCs w:val="24"/>
          <w:lang w:val="en-GB"/>
        </w:rPr>
        <w:t>Theoretical Review</w:t>
      </w:r>
    </w:p>
    <w:p w14:paraId="3AB21055" w14:textId="77777777" w:rsidR="00864FF4" w:rsidRPr="006435B7" w:rsidRDefault="00864FF4" w:rsidP="00864FF4">
      <w:pPr>
        <w:spacing w:before="0" w:after="160" w:line="259" w:lineRule="auto"/>
        <w:rPr>
          <w:rFonts w:cs="Times New Roman"/>
          <w:bCs/>
          <w:color w:val="000000" w:themeColor="text1"/>
          <w:kern w:val="2"/>
          <w:szCs w:val="24"/>
          <w:lang w:val="en-GB"/>
        </w:rPr>
      </w:pPr>
      <w:r w:rsidRPr="006435B7">
        <w:rPr>
          <w:rFonts w:cs="Times New Roman"/>
          <w:bCs/>
          <w:color w:val="000000" w:themeColor="text1"/>
          <w:kern w:val="2"/>
          <w:szCs w:val="24"/>
          <w:lang w:val="en-GB"/>
        </w:rPr>
        <w:t>This study is anchored on Stakeholder Theory, the Balanced Scorecard Model, Resource Dependency Theory, and Stewardship Theory. Collectively, these perspectives explain how corporate governance mechanisms influence organizational performance in commercial banks. Particular emphasis is placed on shareholder rights, which determine the extent to which owners participate in decision-making, access relevant information, vote on significant corporate matters, and hold management and boards accountable. The theories therefore provide complementary explanations of how effective shareholder participation can strengthen governance and enhance bank performance.</w:t>
      </w:r>
    </w:p>
    <w:p w14:paraId="1C3B039C" w14:textId="77777777" w:rsidR="00864FF4" w:rsidRPr="006435B7" w:rsidRDefault="00864FF4" w:rsidP="00864FF4">
      <w:pPr>
        <w:spacing w:before="0" w:after="160" w:line="259" w:lineRule="auto"/>
        <w:rPr>
          <w:rFonts w:cs="Times New Roman"/>
          <w:bCs/>
          <w:color w:val="000000" w:themeColor="text1"/>
          <w:kern w:val="2"/>
          <w:szCs w:val="24"/>
          <w:lang w:val="en-GB"/>
        </w:rPr>
      </w:pPr>
      <w:r w:rsidRPr="006435B7">
        <w:rPr>
          <w:rFonts w:cs="Times New Roman"/>
          <w:bCs/>
          <w:color w:val="000000" w:themeColor="text1"/>
          <w:kern w:val="2"/>
          <w:szCs w:val="24"/>
          <w:lang w:val="en-GB"/>
        </w:rPr>
        <w:t>Stakeholder Theory, advanced by Freeman in 1984, argues that organizations should consider the interests of all parties affected by their operations rather than focusing exclusively on shareholders. The theory recognizes shareholders, employees, customers, suppliers, regulators, and communities as important participants in organizational governance. Its descriptive, instrumental, and normative dimensions explain how organizations operate, how stakeholder relationships influence achievement of organizational objectives, and why managers have an ethical responsibility to consider stakeholder interests (Kujala et al., 2022).</w:t>
      </w:r>
    </w:p>
    <w:p w14:paraId="4EBCF3EB" w14:textId="77777777" w:rsidR="00864FF4" w:rsidRPr="006435B7" w:rsidRDefault="00864FF4" w:rsidP="00864FF4">
      <w:pPr>
        <w:spacing w:before="0" w:after="160" w:line="259" w:lineRule="auto"/>
        <w:rPr>
          <w:rFonts w:cs="Times New Roman"/>
          <w:bCs/>
          <w:color w:val="000000" w:themeColor="text1"/>
          <w:kern w:val="2"/>
          <w:szCs w:val="24"/>
          <w:lang w:val="en-GB"/>
        </w:rPr>
      </w:pPr>
      <w:r w:rsidRPr="006435B7">
        <w:rPr>
          <w:rFonts w:cs="Times New Roman"/>
          <w:bCs/>
          <w:color w:val="000000" w:themeColor="text1"/>
          <w:kern w:val="2"/>
          <w:szCs w:val="24"/>
          <w:lang w:val="en-GB"/>
        </w:rPr>
        <w:t>In commercial banks, the theory is particularly relevant to shareholder rights because effective participation enables shareholders to influence strategic decisions and monitor management. Rights such as voting, receiving timely corporate information, participating in annual general meetings, and approving major corporate decisions strengthen accountability and reduce opportunities for managerial misconduct. When shareholder interests are appropriately represented, management is more likely to pursue strategies that support profitability, sustainability, and long-term organizational value. However, the theory has been criticized because stakeholder interests may conflict and powerful stakeholder groups may dominate decision-making (Gordon, 2021). Despite this limitation, the theory provides a strong basis for examining whether effective shareholder rights contribute to organizational performance.</w:t>
      </w:r>
    </w:p>
    <w:p w14:paraId="6763E580" w14:textId="77777777" w:rsidR="00864FF4" w:rsidRPr="006435B7" w:rsidRDefault="00864FF4" w:rsidP="00864FF4">
      <w:pPr>
        <w:spacing w:before="0" w:after="160" w:line="259" w:lineRule="auto"/>
        <w:rPr>
          <w:rFonts w:cs="Times New Roman"/>
          <w:bCs/>
          <w:color w:val="000000" w:themeColor="text1"/>
          <w:kern w:val="2"/>
          <w:szCs w:val="24"/>
          <w:lang w:val="en-GB"/>
        </w:rPr>
      </w:pPr>
      <w:r w:rsidRPr="006435B7">
        <w:rPr>
          <w:rFonts w:cs="Times New Roman"/>
          <w:bCs/>
          <w:color w:val="000000" w:themeColor="text1"/>
          <w:kern w:val="2"/>
          <w:szCs w:val="24"/>
          <w:lang w:val="en-GB"/>
        </w:rPr>
        <w:t>The Balanced Scorecard Model, developed by Kaplan and Norton, provides a multidimensional approach to assessing organizational performance. It evaluates performance through financial, customer, internal business process, and learning and growth perspectives. Unlike approaches that rely primarily on financial indicators, the model recognizes that sustainable organizational success depends on the interaction between financial outcomes, customer satisfaction, efficient internal processes, and organizational capacity for innovation and improvement.</w:t>
      </w:r>
    </w:p>
    <w:p w14:paraId="03CD9DD8" w14:textId="77777777" w:rsidR="00864FF4" w:rsidRPr="006435B7" w:rsidRDefault="00864FF4" w:rsidP="00864FF4">
      <w:pPr>
        <w:spacing w:before="0" w:after="160" w:line="259" w:lineRule="auto"/>
        <w:rPr>
          <w:rFonts w:cs="Times New Roman"/>
          <w:bCs/>
          <w:color w:val="000000" w:themeColor="text1"/>
          <w:kern w:val="2"/>
          <w:szCs w:val="24"/>
          <w:lang w:val="en-GB"/>
        </w:rPr>
      </w:pPr>
      <w:r w:rsidRPr="006435B7">
        <w:rPr>
          <w:rFonts w:cs="Times New Roman"/>
          <w:bCs/>
          <w:color w:val="000000" w:themeColor="text1"/>
          <w:kern w:val="2"/>
          <w:szCs w:val="24"/>
          <w:lang w:val="en-GB"/>
        </w:rPr>
        <w:t>The model is relevant to shareholder rights because shareholders require reliable information about both financial and non-financial aspects of bank performance to exercise their governance responsibilities effectively. Transparent reporting allows shareholders to evaluate profitability, operational efficiency, customer outcomes, and strategic growth. Consequently, strong shareholder participation, supported by adequate disclosure, can promote informed decision-making and managerial accountability. The model therefore supports the argument that shareholder rights can contribute to improved organizational performance by encouraging attention to both immediate financial returns and long-term value creation.</w:t>
      </w:r>
    </w:p>
    <w:p w14:paraId="49E0F310" w14:textId="77777777" w:rsidR="00864FF4" w:rsidRPr="006435B7" w:rsidRDefault="00864FF4" w:rsidP="00864FF4">
      <w:pPr>
        <w:spacing w:before="0" w:after="160" w:line="259" w:lineRule="auto"/>
        <w:rPr>
          <w:rFonts w:cs="Times New Roman"/>
          <w:bCs/>
          <w:color w:val="000000" w:themeColor="text1"/>
          <w:kern w:val="2"/>
          <w:szCs w:val="24"/>
          <w:lang w:val="en-GB"/>
        </w:rPr>
      </w:pPr>
      <w:r w:rsidRPr="006435B7">
        <w:rPr>
          <w:rFonts w:cs="Times New Roman"/>
          <w:bCs/>
          <w:color w:val="000000" w:themeColor="text1"/>
          <w:kern w:val="2"/>
          <w:szCs w:val="24"/>
          <w:lang w:val="en-GB"/>
        </w:rPr>
        <w:t>Resource Dependency Theory, developed by Pfeffer and Salancik, explains organizations as entities that depend on external resources and relationships for survival and competitive advantage. Boards and organizational leaders provide valuable resources through expertise, information, networks, and access to external stakeholders (Altman et al., 2019; Khan et al., 2019). From this perspective, effective corporate governance enhances an organization's ability to manage environmental uncertainty and secure resources necessary for growth.</w:t>
      </w:r>
    </w:p>
    <w:p w14:paraId="55D98647" w14:textId="77777777" w:rsidR="00864FF4" w:rsidRPr="006435B7" w:rsidRDefault="00864FF4" w:rsidP="00864FF4">
      <w:pPr>
        <w:spacing w:before="0" w:after="160" w:line="259" w:lineRule="auto"/>
        <w:rPr>
          <w:rFonts w:cs="Times New Roman"/>
          <w:bCs/>
          <w:color w:val="000000" w:themeColor="text1"/>
          <w:kern w:val="2"/>
          <w:szCs w:val="24"/>
          <w:lang w:val="en-GB"/>
        </w:rPr>
      </w:pPr>
    </w:p>
    <w:p w14:paraId="150126FD" w14:textId="77777777" w:rsidR="00864FF4" w:rsidRPr="006435B7" w:rsidRDefault="00864FF4" w:rsidP="00864FF4">
      <w:pPr>
        <w:spacing w:before="0" w:after="160" w:line="259" w:lineRule="auto"/>
        <w:rPr>
          <w:rFonts w:cs="Times New Roman"/>
          <w:bCs/>
          <w:color w:val="000000" w:themeColor="text1"/>
          <w:kern w:val="2"/>
          <w:szCs w:val="24"/>
          <w:lang w:val="en-GB"/>
        </w:rPr>
      </w:pPr>
      <w:r w:rsidRPr="006435B7">
        <w:rPr>
          <w:rFonts w:cs="Times New Roman"/>
          <w:bCs/>
          <w:color w:val="000000" w:themeColor="text1"/>
          <w:kern w:val="2"/>
          <w:szCs w:val="24"/>
          <w:lang w:val="en-GB"/>
        </w:rPr>
        <w:lastRenderedPageBreak/>
        <w:t>With regard to shareholder rights, active shareholders can provide strategic knowledge, financial support, networks, and oversight that influence organizational decisions. Their participation can also strengthen accountability and ensure that management utilizes organizational resources efficiently. In commercial banks, this may enhance financial stability, operational effectiveness, and overall performance. However, the theory has been criticized for emphasizing external dependencies while giving comparatively less attention to internal organizational factors such as leadership and organizational culture.</w:t>
      </w:r>
    </w:p>
    <w:p w14:paraId="1922F315" w14:textId="77777777" w:rsidR="00864FF4" w:rsidRPr="006435B7" w:rsidRDefault="00864FF4" w:rsidP="00864FF4">
      <w:pPr>
        <w:spacing w:before="0" w:after="160" w:line="259" w:lineRule="auto"/>
        <w:rPr>
          <w:rFonts w:cs="Times New Roman"/>
          <w:bCs/>
          <w:color w:val="000000" w:themeColor="text1"/>
          <w:kern w:val="2"/>
          <w:szCs w:val="24"/>
          <w:lang w:val="en-GB"/>
        </w:rPr>
      </w:pPr>
      <w:r w:rsidRPr="006435B7">
        <w:rPr>
          <w:rFonts w:cs="Times New Roman"/>
          <w:bCs/>
          <w:color w:val="000000" w:themeColor="text1"/>
          <w:kern w:val="2"/>
          <w:szCs w:val="24"/>
          <w:lang w:val="en-GB"/>
        </w:rPr>
        <w:t>Stewardship Theory, associated with Donaldson and Davis, assumes that managers and executives can act as responsible stewards whose interests are aligned with organizational and shareholders' objectives. Rather than emphasizing managerial opportunism, the theory proposes that managers are motivated to protect organizational assets, achieve institutional success, and maximize shareholder wealth (Chrisman, 2019). Effective relationships between owners and managers can therefore promote commitment, trust, and organizational performance.</w:t>
      </w:r>
    </w:p>
    <w:p w14:paraId="6C213BBC" w14:textId="4A65240E" w:rsidR="00B449E1" w:rsidRPr="006435B7" w:rsidRDefault="00864FF4" w:rsidP="00864FF4">
      <w:pPr>
        <w:spacing w:before="0" w:after="160" w:line="259" w:lineRule="auto"/>
        <w:rPr>
          <w:rFonts w:cs="Times New Roman"/>
          <w:bCs/>
          <w:color w:val="000000" w:themeColor="text1"/>
          <w:szCs w:val="24"/>
        </w:rPr>
      </w:pPr>
      <w:r w:rsidRPr="006435B7">
        <w:rPr>
          <w:rFonts w:cs="Times New Roman"/>
          <w:bCs/>
          <w:color w:val="000000" w:themeColor="text1"/>
          <w:kern w:val="2"/>
          <w:szCs w:val="24"/>
          <w:lang w:val="en-GB"/>
        </w:rPr>
        <w:t>The theory directly supports the importance of shareholder rights because empowered shareholders can establish appropriate oversight mechanisms while allowing competent managers sufficient discretion to pursue organizational goals. Transparency and disclosure further strengthen this relationship by ensuring that shareholders receive adequate information to assess managerial performance. Although stewardship theory has been criticized for assuming that managers will naturally act in the organization's best interests, it remains relevant in explaining how trust, accountability, and constructive shareholder-management relationships can contribute to improved performance in commercial banks</w:t>
      </w:r>
      <w:r w:rsidR="00CC04B9" w:rsidRPr="006435B7">
        <w:rPr>
          <w:rFonts w:cs="Times New Roman"/>
          <w:bCs/>
          <w:color w:val="000000" w:themeColor="text1"/>
          <w:kern w:val="2"/>
          <w:szCs w:val="24"/>
          <w:lang w:val="en-GB"/>
        </w:rPr>
        <w:t>.</w:t>
      </w:r>
    </w:p>
    <w:p w14:paraId="278E39F4" w14:textId="77777777" w:rsidR="00001A44" w:rsidRPr="006435B7" w:rsidRDefault="00001A44" w:rsidP="00151266">
      <w:pPr>
        <w:spacing w:before="0" w:after="160" w:line="259" w:lineRule="auto"/>
        <w:rPr>
          <w:rFonts w:cs="Times New Roman"/>
          <w:b/>
          <w:bCs/>
          <w:i/>
          <w:iCs/>
          <w:color w:val="000000" w:themeColor="text1"/>
          <w:sz w:val="28"/>
          <w:szCs w:val="28"/>
        </w:rPr>
      </w:pPr>
      <w:r w:rsidRPr="006435B7">
        <w:rPr>
          <w:rFonts w:cs="Times New Roman"/>
          <w:b/>
          <w:bCs/>
          <w:i/>
          <w:iCs/>
          <w:color w:val="000000" w:themeColor="text1"/>
          <w:sz w:val="28"/>
          <w:szCs w:val="28"/>
        </w:rPr>
        <w:t xml:space="preserve">Empirical Review </w:t>
      </w:r>
    </w:p>
    <w:p w14:paraId="094E88D1" w14:textId="095CA6F1" w:rsidR="00CD35B1" w:rsidRPr="006435B7" w:rsidRDefault="00CD35B1" w:rsidP="00CD35B1">
      <w:pPr>
        <w:spacing w:before="0" w:after="160" w:line="259" w:lineRule="auto"/>
        <w:rPr>
          <w:rFonts w:cs="Times New Roman"/>
          <w:b/>
          <w:color w:val="000000" w:themeColor="text1"/>
          <w:szCs w:val="24"/>
        </w:rPr>
      </w:pPr>
      <w:r w:rsidRPr="006435B7">
        <w:rPr>
          <w:rFonts w:cs="Times New Roman"/>
          <w:b/>
          <w:color w:val="000000" w:themeColor="text1"/>
          <w:szCs w:val="24"/>
        </w:rPr>
        <w:t>Stakeholders’ Rights and Organizational Performance</w:t>
      </w:r>
    </w:p>
    <w:p w14:paraId="46B1BA04" w14:textId="21DB0C0A" w:rsidR="00CD35B1" w:rsidRPr="006435B7" w:rsidRDefault="00CD35B1" w:rsidP="00CD35B1">
      <w:pPr>
        <w:spacing w:before="0" w:after="160" w:line="259" w:lineRule="auto"/>
        <w:rPr>
          <w:rFonts w:cs="Times New Roman"/>
          <w:color w:val="000000" w:themeColor="text1"/>
          <w:szCs w:val="24"/>
        </w:rPr>
      </w:pPr>
      <w:r w:rsidRPr="006435B7">
        <w:rPr>
          <w:rFonts w:cs="Times New Roman"/>
          <w:color w:val="000000" w:themeColor="text1"/>
          <w:szCs w:val="24"/>
        </w:rPr>
        <w:t>Stakeholders’ rights, particularly shareholder rights, constitute an important dimension of corporate governance because they provide owners with mechanisms to participate in decision-making, access corporate information, vote on key matters, and hold management accountable. Existing empirical evidence generally indicates that effective protection of these rights enhances transparency, accountability, investor confidence, and organizational performance. However, much of the available evidence is drawn from non-banking sectors or foreign contexts, creating a need for studies focusing specifically on commercial banks in Kenya.</w:t>
      </w:r>
    </w:p>
    <w:p w14:paraId="6DE988E5" w14:textId="4FDDD545" w:rsidR="00CD35B1" w:rsidRPr="006435B7" w:rsidRDefault="00CD35B1" w:rsidP="00CD35B1">
      <w:pPr>
        <w:spacing w:before="0" w:after="160" w:line="259" w:lineRule="auto"/>
        <w:rPr>
          <w:rFonts w:cs="Times New Roman"/>
          <w:color w:val="000000" w:themeColor="text1"/>
          <w:szCs w:val="24"/>
        </w:rPr>
      </w:pPr>
      <w:r w:rsidRPr="006435B7">
        <w:rPr>
          <w:rFonts w:cs="Times New Roman"/>
          <w:color w:val="000000" w:themeColor="text1"/>
          <w:szCs w:val="24"/>
        </w:rPr>
        <w:t xml:space="preserve">Chu et al. (2019) examined whether corporate governance strengthened the relationship between International Financial Reporting Standards (IFRS) adoption and firm performance among publicly listed firms in South Korea. Using panel data regression, the study established that firms characterized by stronger shareholder rights and governance structures experienced greater improvements in transparency and profitability. The researchers attributed this outcome to enhanced shareholder monitoring and reduced agency costs. Similarly, </w:t>
      </w:r>
      <w:proofErr w:type="spellStart"/>
      <w:r w:rsidRPr="006435B7">
        <w:rPr>
          <w:rFonts w:cs="Times New Roman"/>
          <w:color w:val="000000" w:themeColor="text1"/>
          <w:szCs w:val="24"/>
        </w:rPr>
        <w:t>Sciarelli</w:t>
      </w:r>
      <w:proofErr w:type="spellEnd"/>
      <w:r w:rsidRPr="006435B7">
        <w:rPr>
          <w:rFonts w:cs="Times New Roman"/>
          <w:color w:val="000000" w:themeColor="text1"/>
          <w:szCs w:val="24"/>
        </w:rPr>
        <w:t xml:space="preserve"> et al. (2020), in their study of Italian and UK asset management companies, found that protecting shareholder rights increased investor confidence and contributed indirectly to improved financial performance. These findings suggest that shareholder empowerment can create monitoring mechanisms that constrain managerial opportunism and support organizational efficiency. Nevertheless, differences in regulatory environments between European and Kenyan financial markets limit direct generalization to commercial banks in Kisumu County.</w:t>
      </w:r>
    </w:p>
    <w:p w14:paraId="2E52B23C" w14:textId="25BE852F" w:rsidR="00CD35B1" w:rsidRPr="006435B7" w:rsidRDefault="00CD35B1" w:rsidP="00CD35B1">
      <w:pPr>
        <w:spacing w:before="0" w:after="160" w:line="259" w:lineRule="auto"/>
        <w:rPr>
          <w:rFonts w:cs="Times New Roman"/>
          <w:color w:val="000000" w:themeColor="text1"/>
          <w:szCs w:val="24"/>
        </w:rPr>
      </w:pPr>
      <w:proofErr w:type="spellStart"/>
      <w:r w:rsidRPr="006435B7">
        <w:rPr>
          <w:rFonts w:cs="Times New Roman"/>
          <w:color w:val="000000" w:themeColor="text1"/>
          <w:szCs w:val="24"/>
        </w:rPr>
        <w:t>Broucker</w:t>
      </w:r>
      <w:proofErr w:type="spellEnd"/>
      <w:r w:rsidRPr="006435B7">
        <w:rPr>
          <w:rFonts w:cs="Times New Roman"/>
          <w:color w:val="000000" w:themeColor="text1"/>
          <w:szCs w:val="24"/>
        </w:rPr>
        <w:t xml:space="preserve"> et al. (2021) found that effective communication through multiple channels enhanced stakeholder engagement, trust, and institutional performance in European higher education institutions. Although the study did not specifically investigate shareholders, its findings demonstrate that transparency and effective communication are fundamental to protecting stakeholder interests. Yang and Basile (2021) similarly established that transparent corporate social responsibility communication and active stakeholder involvement were associated with improved reputation and profitability. These studies imply that shareholders’ rights extend beyond voting privileges to include </w:t>
      </w:r>
      <w:r w:rsidRPr="006435B7">
        <w:rPr>
          <w:rFonts w:cs="Times New Roman"/>
          <w:color w:val="000000" w:themeColor="text1"/>
          <w:szCs w:val="24"/>
        </w:rPr>
        <w:lastRenderedPageBreak/>
        <w:t>timely access to relevant information and meaningful participation in corporate affairs. However, their focus on higher education and global firms, respectively, leaves uncertainty regarding whether similar relationships exist within Kenya’s highly regulated banking sector.</w:t>
      </w:r>
    </w:p>
    <w:p w14:paraId="6750DEAC" w14:textId="16872747" w:rsidR="00CD35B1" w:rsidRPr="006435B7" w:rsidRDefault="00CD35B1" w:rsidP="00CD35B1">
      <w:pPr>
        <w:spacing w:before="0" w:after="160" w:line="259" w:lineRule="auto"/>
        <w:rPr>
          <w:rFonts w:cs="Times New Roman"/>
          <w:color w:val="000000" w:themeColor="text1"/>
          <w:szCs w:val="24"/>
        </w:rPr>
      </w:pPr>
      <w:r w:rsidRPr="006435B7">
        <w:rPr>
          <w:rFonts w:cs="Times New Roman"/>
          <w:color w:val="000000" w:themeColor="text1"/>
          <w:szCs w:val="24"/>
        </w:rPr>
        <w:t xml:space="preserve">Hristov and </w:t>
      </w:r>
      <w:proofErr w:type="spellStart"/>
      <w:r w:rsidRPr="006435B7">
        <w:rPr>
          <w:rFonts w:cs="Times New Roman"/>
          <w:color w:val="000000" w:themeColor="text1"/>
          <w:szCs w:val="24"/>
        </w:rPr>
        <w:t>Appolloni</w:t>
      </w:r>
      <w:proofErr w:type="spellEnd"/>
      <w:r w:rsidRPr="006435B7">
        <w:rPr>
          <w:rFonts w:cs="Times New Roman"/>
          <w:color w:val="000000" w:themeColor="text1"/>
          <w:szCs w:val="24"/>
        </w:rPr>
        <w:t xml:space="preserve"> (2022) investigated stakeholder engagement among European private and publicly listed firms and reported that active shareholder participation in strategic decision-making improved operational efficiency, innovation, and financial returns. Kujala et al. (2022) further argued that formalized stakeholder engagement strengthens accountability and organizational legitimacy, thereby creating conditions for improved performance. Javeed et al. (2022) also demonstrated that stronger governance and shareholder rights improved firms’ access to financing and supported long-term sustainability investments. Collectively, these findings indicate that shareholder participation can influence performance through improved strategic oversight, access to capital, and managerial accountability. However, the studies largely adopted broad stakeholder perspectives, making it difficult to isolate the specific contribution of shareholder rights.</w:t>
      </w:r>
    </w:p>
    <w:p w14:paraId="2D5BD53E" w14:textId="11EBC050" w:rsidR="00CD35B1" w:rsidRPr="006435B7" w:rsidRDefault="00CD35B1" w:rsidP="00CD35B1">
      <w:pPr>
        <w:spacing w:before="0" w:after="160" w:line="259" w:lineRule="auto"/>
        <w:rPr>
          <w:rFonts w:cs="Times New Roman"/>
          <w:color w:val="000000" w:themeColor="text1"/>
          <w:szCs w:val="24"/>
        </w:rPr>
      </w:pPr>
      <w:r w:rsidRPr="006435B7">
        <w:rPr>
          <w:rFonts w:cs="Times New Roman"/>
          <w:color w:val="000000" w:themeColor="text1"/>
          <w:szCs w:val="24"/>
        </w:rPr>
        <w:t>Evidence from Africa and Kenya provides additional but limited support. Myeza et al. (2023), studying corporate resilience in South Africa during COVID-19, found that organizations with stronger shareholder rights demonstrated greater adaptability through faster decision-making and resource mobilization. In Kenya, Ochieng (2018) reported a positive relationship between shareholder rights and commercial bank performance, particularly profitability, capital adequacy, and asset quality. Although this study provides direct sectoral relevance, it did not disaggregate its findings by county, leaving the performance implications of shareholder rights in Kisumu County unexplored. Ngari and Ngari (2024) similarly found that governance reforms strengthening stakeholder participation improved organizational efficiency in a Kenyan public hospital, although the healthcare context limits applicability to commercial banking.</w:t>
      </w:r>
    </w:p>
    <w:p w14:paraId="1211445F" w14:textId="36B7D251" w:rsidR="00CB6E82" w:rsidRPr="006435B7" w:rsidRDefault="00CD35B1" w:rsidP="00CD35B1">
      <w:pPr>
        <w:spacing w:before="0" w:after="160" w:line="259" w:lineRule="auto"/>
        <w:rPr>
          <w:rFonts w:cs="Times New Roman"/>
          <w:color w:val="000000" w:themeColor="text1"/>
          <w:szCs w:val="24"/>
        </w:rPr>
      </w:pPr>
      <w:r w:rsidRPr="006435B7">
        <w:rPr>
          <w:rFonts w:cs="Times New Roman"/>
          <w:color w:val="000000" w:themeColor="text1"/>
          <w:szCs w:val="24"/>
        </w:rPr>
        <w:t>Overall, empirical literature indicates that shareholder rights can enhance organizational performance through greater transparency, managerial monitoring, strategic participation, investor confidence, and accountability. However, significant geographical, sectoral, and methodological gaps remain. Most studies have focused on foreign firms, non-banking organizations, or broad stakeholder engagement, while limited Kenyan evidence has examined commercial banks at county level. Therefore, this study seeks to determine the effects of shareholder rights on organizational performance of commercial banks in Kisumu County, Kenya, thereby providing context-specific evidence on this important corporate governance mechanism</w:t>
      </w:r>
      <w:r w:rsidR="00CC04B9" w:rsidRPr="006435B7">
        <w:rPr>
          <w:rFonts w:cs="Times New Roman"/>
          <w:color w:val="000000" w:themeColor="text1"/>
          <w:szCs w:val="24"/>
        </w:rPr>
        <w:t>.</w:t>
      </w:r>
    </w:p>
    <w:p w14:paraId="35BCEF5F" w14:textId="1EFB8069" w:rsidR="00055D83" w:rsidRPr="006435B7" w:rsidRDefault="00055D83" w:rsidP="002C6F25">
      <w:pPr>
        <w:spacing w:line="240" w:lineRule="auto"/>
        <w:rPr>
          <w:rFonts w:cs="Times New Roman"/>
          <w:b/>
          <w:bCs/>
          <w:color w:val="000000" w:themeColor="text1"/>
          <w:sz w:val="28"/>
          <w:szCs w:val="28"/>
        </w:rPr>
      </w:pPr>
      <w:r w:rsidRPr="006435B7">
        <w:rPr>
          <w:rFonts w:cs="Times New Roman"/>
          <w:b/>
          <w:bCs/>
          <w:color w:val="000000" w:themeColor="text1"/>
          <w:sz w:val="28"/>
          <w:szCs w:val="28"/>
        </w:rPr>
        <w:t>3.0 RESEARCH METHODOLOGY</w:t>
      </w:r>
    </w:p>
    <w:p w14:paraId="64BA1848" w14:textId="7053E51B" w:rsidR="00CD35B1" w:rsidRPr="006435B7" w:rsidRDefault="00CD35B1" w:rsidP="00CD35B1">
      <w:pPr>
        <w:spacing w:after="160" w:line="259" w:lineRule="auto"/>
        <w:rPr>
          <w:rFonts w:cs="Times New Roman"/>
          <w:color w:val="000000" w:themeColor="text1"/>
          <w:szCs w:val="24"/>
        </w:rPr>
      </w:pPr>
      <w:r w:rsidRPr="006435B7">
        <w:rPr>
          <w:rFonts w:cs="Times New Roman"/>
          <w:color w:val="000000" w:themeColor="text1"/>
          <w:szCs w:val="24"/>
        </w:rPr>
        <w:t>The study adopted a descriptive cross-sectional research design to examine the effect of shareholder rights on organizational performance of commercial banks in Kisumu County. A cross-sectional design was appropriate because it facilitates the collection of data from respondents at a single point in time and enables assessment of relationships among study variables (Cvetkovic-Vega et al., 2021). The descriptive component enabled the researcher to systematically describe the characteristics and perceptions of managers regarding shareholder rights and organizational performance. The design therefore provided an appropriate framework for collecting and analyzing data relevant to the study objective.</w:t>
      </w:r>
    </w:p>
    <w:p w14:paraId="465F79FA" w14:textId="6D8B09F1" w:rsidR="00CD35B1" w:rsidRPr="006435B7" w:rsidRDefault="00CD35B1" w:rsidP="00CD35B1">
      <w:pPr>
        <w:spacing w:after="160" w:line="259" w:lineRule="auto"/>
        <w:rPr>
          <w:rFonts w:cs="Times New Roman"/>
          <w:color w:val="000000" w:themeColor="text1"/>
          <w:szCs w:val="24"/>
        </w:rPr>
      </w:pPr>
      <w:r w:rsidRPr="006435B7">
        <w:rPr>
          <w:rFonts w:cs="Times New Roman"/>
          <w:color w:val="000000" w:themeColor="text1"/>
          <w:szCs w:val="24"/>
        </w:rPr>
        <w:t xml:space="preserve">The target population comprised 536 top- and middle-level managers drawn from commercial bank branches operating in Kisumu County. The managers represented eight functional divisions: credit, retail, corporate, marketing, information technology, investment, subsidiaries, and bancassurance. The commercial bank branches constituted the units of observation, while top- and middle-level managers constituted the units of analysis. The population was distributed across 67 branches of 26 commercial banks, including Equity Bank, Family Bank, KCB, </w:t>
      </w:r>
      <w:r w:rsidRPr="006435B7">
        <w:rPr>
          <w:rFonts w:cs="Times New Roman"/>
          <w:color w:val="000000" w:themeColor="text1"/>
          <w:szCs w:val="24"/>
        </w:rPr>
        <w:lastRenderedPageBreak/>
        <w:t>Cooperative Bank, NCBA, Absa, Standard Chartered, and other licensed commercial banks. The population distribution was based on data from the Kenya Bankers Association (2024).</w:t>
      </w:r>
    </w:p>
    <w:p w14:paraId="5BE7F440" w14:textId="42316A16" w:rsidR="00CD35B1" w:rsidRPr="006435B7" w:rsidRDefault="00CD35B1" w:rsidP="00CD35B1">
      <w:pPr>
        <w:spacing w:after="160" w:line="259" w:lineRule="auto"/>
        <w:rPr>
          <w:rFonts w:cs="Times New Roman"/>
          <w:color w:val="000000" w:themeColor="text1"/>
          <w:szCs w:val="24"/>
        </w:rPr>
      </w:pPr>
      <w:r w:rsidRPr="006435B7">
        <w:rPr>
          <w:rFonts w:cs="Times New Roman"/>
          <w:color w:val="000000" w:themeColor="text1"/>
          <w:szCs w:val="24"/>
        </w:rPr>
        <w:t>The study employed stratified sampling to ensure adequate representation of managers across the commercial banks and branches. From the target population of 536 employees, a sample of 224 respondents was obtained. Stratification was appropriate because the population consisted of identifiable groups distributed across different banking institutions and branches. The sample included representatives from the respective banks in proportion to their employee populations, thereby enhancing the representativeness of the findings.</w:t>
      </w:r>
    </w:p>
    <w:p w14:paraId="3B5B4ED2" w14:textId="35808E6F" w:rsidR="00CD35B1" w:rsidRPr="006435B7" w:rsidRDefault="00CD35B1" w:rsidP="00CD35B1">
      <w:pPr>
        <w:spacing w:after="160" w:line="259" w:lineRule="auto"/>
        <w:rPr>
          <w:rFonts w:cs="Times New Roman"/>
          <w:color w:val="000000" w:themeColor="text1"/>
          <w:szCs w:val="24"/>
        </w:rPr>
      </w:pPr>
      <w:r w:rsidRPr="006435B7">
        <w:rPr>
          <w:rFonts w:cs="Times New Roman"/>
          <w:color w:val="000000" w:themeColor="text1"/>
          <w:szCs w:val="24"/>
        </w:rPr>
        <w:t>Primary data were collected using a structured questionnaire administered to top- and middle-level managers. The instrument consisted of six sections. Section A captured demographic information, while Section B measured shareholder rights, corresponding to the first study objective. Sections C, D and E addressed board composition, board size, and transparency and disclosure, respectively. Section F measured organizational performance. The questionnaire provided standardized responses that enabled systematic comparison and statistical analysis of perceptions concerning shareholder rights and organizational performance.</w:t>
      </w:r>
    </w:p>
    <w:p w14:paraId="174F8C57" w14:textId="23A3FDEA" w:rsidR="00CD35B1" w:rsidRPr="006435B7" w:rsidRDefault="00CD35B1" w:rsidP="00CD35B1">
      <w:pPr>
        <w:spacing w:after="160" w:line="259" w:lineRule="auto"/>
        <w:rPr>
          <w:rFonts w:cs="Times New Roman"/>
          <w:color w:val="000000" w:themeColor="text1"/>
          <w:szCs w:val="24"/>
        </w:rPr>
      </w:pPr>
      <w:r w:rsidRPr="006435B7">
        <w:rPr>
          <w:rFonts w:cs="Times New Roman"/>
          <w:color w:val="000000" w:themeColor="text1"/>
          <w:szCs w:val="24"/>
        </w:rPr>
        <w:t>A pilot study was conducted before the main data collection exercise to assess the suitability of the research instrument. Approximately 10% of the intended sample was selected, resulting in 22 respondents from seven commercial bank branches in Kakamega County. Pilot participants were excluded from the final study. The pilot assessed the clarity, relevance, consistency, and adequacy of questionnaire items and helped identify ambiguities and omissions.</w:t>
      </w:r>
      <w:r w:rsidR="00012AEB" w:rsidRPr="006435B7">
        <w:rPr>
          <w:rFonts w:cs="Times New Roman"/>
          <w:color w:val="000000" w:themeColor="text1"/>
          <w:szCs w:val="24"/>
        </w:rPr>
        <w:t xml:space="preserve"> </w:t>
      </w:r>
      <w:r w:rsidRPr="006435B7">
        <w:rPr>
          <w:rFonts w:cs="Times New Roman"/>
          <w:color w:val="000000" w:themeColor="text1"/>
          <w:szCs w:val="24"/>
        </w:rPr>
        <w:t>Content validity was established through consultation with supervisors, lecturers, and other research experts, whose recommendations informed refinement of the questionnaire. Reliability was assessed using internal consistency procedures, with a Cronbach's alpha coefficient of 0.70 or higher considered acceptable. Corrections to omissions and typographical errors identified during piloting further enhanced the instrument's reliability.</w:t>
      </w:r>
    </w:p>
    <w:p w14:paraId="2C05BE91" w14:textId="195329FF" w:rsidR="00CD35B1" w:rsidRPr="006435B7" w:rsidRDefault="00CD35B1" w:rsidP="00CD35B1">
      <w:pPr>
        <w:spacing w:after="160" w:line="259" w:lineRule="auto"/>
        <w:rPr>
          <w:rFonts w:cs="Times New Roman"/>
          <w:color w:val="000000" w:themeColor="text1"/>
          <w:szCs w:val="24"/>
        </w:rPr>
      </w:pPr>
      <w:r w:rsidRPr="006435B7">
        <w:rPr>
          <w:rFonts w:cs="Times New Roman"/>
          <w:color w:val="000000" w:themeColor="text1"/>
          <w:szCs w:val="24"/>
        </w:rPr>
        <w:t>Before data collection, the researcher obtained the necessary authorization and research permits from Kenyatta University and NACOSTI. Respondents were provided with informed consent information explaining the purpose and voluntary nature of participation. The researcher personally distributed questionnaires to selected commercial bank branches and allowed respondents adequate time to complete them. Completed questionnaires were subsequently collected for analysis.</w:t>
      </w:r>
      <w:r w:rsidR="00012AEB" w:rsidRPr="006435B7">
        <w:rPr>
          <w:rFonts w:cs="Times New Roman"/>
          <w:color w:val="000000" w:themeColor="text1"/>
          <w:szCs w:val="24"/>
        </w:rPr>
        <w:t xml:space="preserve"> </w:t>
      </w:r>
      <w:r w:rsidRPr="006435B7">
        <w:rPr>
          <w:rFonts w:cs="Times New Roman"/>
          <w:color w:val="000000" w:themeColor="text1"/>
          <w:szCs w:val="24"/>
        </w:rPr>
        <w:t>Collected data were coded, analyzed, and presented using descriptive and inferential statistics. Descriptive statistics, including frequencies, percentages, means, and standard deviations, were used to summarize respondents' views. Inferential analysis comprised Pearson correlation, multiple regression, and ANOVA to establish the relationships and predictive effects among the study variables. In particular, multiple regression was used to determine the effect of shareholder rights on organizational performance while controlling for the other corporate governance variables. Findings were presented using tables and explanatory narratives.</w:t>
      </w:r>
    </w:p>
    <w:p w14:paraId="68ECED9B" w14:textId="030B9FB4" w:rsidR="009B3203" w:rsidRPr="006435B7" w:rsidRDefault="00CD35B1" w:rsidP="00CD35B1">
      <w:pPr>
        <w:spacing w:after="160" w:line="259" w:lineRule="auto"/>
        <w:rPr>
          <w:rFonts w:cs="Times New Roman"/>
          <w:color w:val="000000" w:themeColor="text1"/>
          <w:szCs w:val="24"/>
        </w:rPr>
      </w:pPr>
      <w:r w:rsidRPr="006435B7">
        <w:rPr>
          <w:rFonts w:cs="Times New Roman"/>
          <w:color w:val="000000" w:themeColor="text1"/>
          <w:szCs w:val="24"/>
        </w:rPr>
        <w:t>The study adhered to established research ethics. Relevant approvals and permits were obtained before commencement of data collection. Participation was voluntary, and respondents provided informed consent after receiving information about the study's purpose and implications. Confidentiality and privacy were maintained by avoiding the collection of respondents' names and using the information solely for academic purposes. Respondents were also informed of their right to participate or decline participation without penalty. These measures ensured respect for participants' autonomy, confidentiality, and welfare throughout the research process.</w:t>
      </w:r>
    </w:p>
    <w:p w14:paraId="6FFA7782" w14:textId="7410F3B0" w:rsidR="00012AEB" w:rsidRPr="006435B7" w:rsidRDefault="00012AEB" w:rsidP="00CD35B1">
      <w:pPr>
        <w:spacing w:after="160" w:line="259" w:lineRule="auto"/>
        <w:rPr>
          <w:rFonts w:cs="Times New Roman"/>
          <w:color w:val="000000" w:themeColor="text1"/>
          <w:szCs w:val="24"/>
        </w:rPr>
      </w:pPr>
    </w:p>
    <w:p w14:paraId="496191DC" w14:textId="77777777" w:rsidR="0045178A" w:rsidRPr="006435B7" w:rsidRDefault="0045178A" w:rsidP="00CD35B1">
      <w:pPr>
        <w:spacing w:after="160" w:line="259" w:lineRule="auto"/>
        <w:rPr>
          <w:rFonts w:cs="Times New Roman"/>
          <w:color w:val="000000" w:themeColor="text1"/>
          <w:szCs w:val="24"/>
        </w:rPr>
      </w:pPr>
    </w:p>
    <w:p w14:paraId="52CF87B1" w14:textId="77777777" w:rsidR="00012AEB" w:rsidRPr="006435B7" w:rsidRDefault="00012AEB" w:rsidP="00CD35B1">
      <w:pPr>
        <w:spacing w:after="160" w:line="259" w:lineRule="auto"/>
        <w:rPr>
          <w:rFonts w:cs="Times New Roman"/>
          <w:color w:val="000000" w:themeColor="text1"/>
          <w:szCs w:val="24"/>
        </w:rPr>
      </w:pPr>
    </w:p>
    <w:p w14:paraId="14C2E9C9" w14:textId="44E6A0E7" w:rsidR="00055D83" w:rsidRPr="006435B7" w:rsidRDefault="002B2D3C" w:rsidP="00711AB4">
      <w:pPr>
        <w:spacing w:before="0"/>
        <w:rPr>
          <w:b/>
          <w:bCs/>
          <w:color w:val="000000" w:themeColor="text1"/>
          <w:sz w:val="28"/>
          <w:szCs w:val="24"/>
        </w:rPr>
      </w:pPr>
      <w:r w:rsidRPr="006435B7">
        <w:rPr>
          <w:b/>
          <w:bCs/>
          <w:color w:val="000000" w:themeColor="text1"/>
          <w:sz w:val="28"/>
          <w:szCs w:val="24"/>
        </w:rPr>
        <w:lastRenderedPageBreak/>
        <w:t xml:space="preserve">4.0 </w:t>
      </w:r>
      <w:r w:rsidR="00055D83" w:rsidRPr="006435B7">
        <w:rPr>
          <w:b/>
          <w:bCs/>
          <w:color w:val="000000" w:themeColor="text1"/>
          <w:sz w:val="28"/>
          <w:szCs w:val="24"/>
        </w:rPr>
        <w:t xml:space="preserve">RESULTS </w:t>
      </w:r>
    </w:p>
    <w:p w14:paraId="0FC25F82" w14:textId="54EDD69B" w:rsidR="007B652A" w:rsidRPr="006435B7" w:rsidRDefault="006A2D8F" w:rsidP="00711AB4">
      <w:pPr>
        <w:spacing w:before="0" w:line="240" w:lineRule="auto"/>
        <w:rPr>
          <w:b/>
          <w:bCs/>
          <w:i/>
          <w:iCs/>
          <w:color w:val="000000" w:themeColor="text1"/>
          <w:sz w:val="28"/>
          <w:szCs w:val="24"/>
        </w:rPr>
      </w:pPr>
      <w:r w:rsidRPr="006435B7">
        <w:rPr>
          <w:b/>
          <w:bCs/>
          <w:i/>
          <w:iCs/>
          <w:color w:val="000000" w:themeColor="text1"/>
          <w:sz w:val="28"/>
          <w:szCs w:val="24"/>
        </w:rPr>
        <w:t>Response Rate</w:t>
      </w:r>
    </w:p>
    <w:p w14:paraId="4C545711" w14:textId="6656927E" w:rsidR="00711AB4" w:rsidRPr="006435B7" w:rsidRDefault="006A2D8F" w:rsidP="00C936A9">
      <w:pPr>
        <w:spacing w:before="0" w:line="240" w:lineRule="auto"/>
      </w:pPr>
      <w:r w:rsidRPr="006435B7">
        <w:t>Of the 224 questionnaires distributed, 194 were returned, yielding an 86.6% response rate, while 30 (13.4%) were not returned. The high response rate indicates adequate participation and sufficient data for analysis. The achieved rate exceeded the recommended minimum of 50%, demonstrating that the collected responses were adequate for assessing shareholder rights and organizational performance</w:t>
      </w:r>
      <w:r w:rsidR="00C936A9" w:rsidRPr="006435B7">
        <w:t>.</w:t>
      </w:r>
    </w:p>
    <w:p w14:paraId="223ED80C" w14:textId="15B3C9CE" w:rsidR="006A2D8F" w:rsidRPr="006435B7" w:rsidRDefault="006A2D8F" w:rsidP="00C936A9">
      <w:pPr>
        <w:spacing w:before="0" w:line="240" w:lineRule="auto"/>
      </w:pPr>
    </w:p>
    <w:p w14:paraId="395F26C8" w14:textId="5C281CEB" w:rsidR="006A2D8F" w:rsidRPr="006435B7" w:rsidRDefault="006A2D8F" w:rsidP="006A2D8F">
      <w:pPr>
        <w:spacing w:before="0"/>
        <w:rPr>
          <w:b/>
          <w:i/>
        </w:rPr>
      </w:pPr>
      <w:bookmarkStart w:id="2" w:name="_Toc229838428"/>
      <w:bookmarkStart w:id="3" w:name="_Toc230957429"/>
      <w:bookmarkStart w:id="4" w:name="_Toc230957937"/>
      <w:r w:rsidRPr="006435B7">
        <w:rPr>
          <w:b/>
          <w:i/>
        </w:rPr>
        <w:t>Table 1 Response Rate</w:t>
      </w:r>
      <w:bookmarkEnd w:id="2"/>
      <w:bookmarkEnd w:id="3"/>
      <w:bookmarkEnd w:id="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1890"/>
        <w:gridCol w:w="1890"/>
      </w:tblGrid>
      <w:tr w:rsidR="006A2D8F" w:rsidRPr="006435B7" w14:paraId="32438021" w14:textId="77777777" w:rsidTr="00B1349B">
        <w:tc>
          <w:tcPr>
            <w:tcW w:w="3235" w:type="dxa"/>
            <w:tcBorders>
              <w:top w:val="single" w:sz="4" w:space="0" w:color="auto"/>
              <w:bottom w:val="single" w:sz="4" w:space="0" w:color="auto"/>
            </w:tcBorders>
          </w:tcPr>
          <w:p w14:paraId="125F86A6" w14:textId="77777777" w:rsidR="006A2D8F" w:rsidRPr="006435B7" w:rsidRDefault="006A2D8F" w:rsidP="00B1349B">
            <w:pPr>
              <w:spacing w:line="276" w:lineRule="auto"/>
              <w:rPr>
                <w:rFonts w:cs="Times New Roman"/>
                <w:b/>
                <w:bCs/>
                <w:szCs w:val="24"/>
              </w:rPr>
            </w:pPr>
            <w:r w:rsidRPr="006435B7">
              <w:rPr>
                <w:rFonts w:cs="Times New Roman"/>
                <w:b/>
                <w:bCs/>
                <w:szCs w:val="24"/>
              </w:rPr>
              <w:t>Response Rate</w:t>
            </w:r>
          </w:p>
        </w:tc>
        <w:tc>
          <w:tcPr>
            <w:tcW w:w="1890" w:type="dxa"/>
            <w:tcBorders>
              <w:top w:val="single" w:sz="4" w:space="0" w:color="auto"/>
              <w:bottom w:val="single" w:sz="4" w:space="0" w:color="auto"/>
            </w:tcBorders>
          </w:tcPr>
          <w:p w14:paraId="75BD466C" w14:textId="77777777" w:rsidR="006A2D8F" w:rsidRPr="006435B7" w:rsidRDefault="006A2D8F" w:rsidP="00B1349B">
            <w:pPr>
              <w:spacing w:line="276" w:lineRule="auto"/>
              <w:jc w:val="center"/>
              <w:rPr>
                <w:rFonts w:cs="Times New Roman"/>
                <w:b/>
                <w:bCs/>
                <w:szCs w:val="24"/>
              </w:rPr>
            </w:pPr>
            <w:r w:rsidRPr="006435B7">
              <w:rPr>
                <w:rFonts w:cs="Times New Roman"/>
                <w:b/>
                <w:bCs/>
                <w:szCs w:val="24"/>
              </w:rPr>
              <w:t>Frequency</w:t>
            </w:r>
          </w:p>
        </w:tc>
        <w:tc>
          <w:tcPr>
            <w:tcW w:w="1890" w:type="dxa"/>
            <w:tcBorders>
              <w:top w:val="single" w:sz="4" w:space="0" w:color="auto"/>
              <w:bottom w:val="single" w:sz="4" w:space="0" w:color="auto"/>
            </w:tcBorders>
          </w:tcPr>
          <w:p w14:paraId="79439F4F" w14:textId="77777777" w:rsidR="006A2D8F" w:rsidRPr="006435B7" w:rsidRDefault="006A2D8F" w:rsidP="00B1349B">
            <w:pPr>
              <w:spacing w:line="276" w:lineRule="auto"/>
              <w:jc w:val="center"/>
              <w:rPr>
                <w:rFonts w:cs="Times New Roman"/>
                <w:b/>
                <w:bCs/>
                <w:szCs w:val="24"/>
              </w:rPr>
            </w:pPr>
            <w:r w:rsidRPr="006435B7">
              <w:rPr>
                <w:rFonts w:cs="Times New Roman"/>
                <w:b/>
                <w:bCs/>
                <w:szCs w:val="24"/>
              </w:rPr>
              <w:t>Percentage</w:t>
            </w:r>
          </w:p>
        </w:tc>
      </w:tr>
      <w:tr w:rsidR="006A2D8F" w:rsidRPr="006435B7" w14:paraId="0CBE4BD7" w14:textId="77777777" w:rsidTr="00B1349B">
        <w:tc>
          <w:tcPr>
            <w:tcW w:w="3235" w:type="dxa"/>
            <w:tcBorders>
              <w:top w:val="single" w:sz="4" w:space="0" w:color="auto"/>
              <w:bottom w:val="single" w:sz="4" w:space="0" w:color="auto"/>
            </w:tcBorders>
          </w:tcPr>
          <w:p w14:paraId="62973127" w14:textId="77777777" w:rsidR="006A2D8F" w:rsidRPr="006435B7" w:rsidRDefault="006A2D8F" w:rsidP="00B1349B">
            <w:pPr>
              <w:spacing w:line="276" w:lineRule="auto"/>
              <w:rPr>
                <w:rFonts w:cs="Times New Roman"/>
                <w:szCs w:val="24"/>
              </w:rPr>
            </w:pPr>
            <w:r w:rsidRPr="006435B7">
              <w:rPr>
                <w:rFonts w:cs="Times New Roman"/>
                <w:szCs w:val="24"/>
              </w:rPr>
              <w:t>Questionnaires Returned</w:t>
            </w:r>
          </w:p>
          <w:p w14:paraId="5D4583BA" w14:textId="77777777" w:rsidR="006A2D8F" w:rsidRPr="006435B7" w:rsidRDefault="006A2D8F" w:rsidP="00B1349B">
            <w:pPr>
              <w:spacing w:line="276" w:lineRule="auto"/>
              <w:rPr>
                <w:rFonts w:cs="Times New Roman"/>
                <w:szCs w:val="24"/>
              </w:rPr>
            </w:pPr>
            <w:r w:rsidRPr="006435B7">
              <w:rPr>
                <w:rFonts w:cs="Times New Roman"/>
                <w:szCs w:val="24"/>
              </w:rPr>
              <w:t>Questionnaire not Returned</w:t>
            </w:r>
          </w:p>
          <w:p w14:paraId="4EDB5940" w14:textId="77777777" w:rsidR="006A2D8F" w:rsidRPr="006435B7" w:rsidRDefault="006A2D8F" w:rsidP="00B1349B">
            <w:pPr>
              <w:spacing w:line="276" w:lineRule="auto"/>
              <w:rPr>
                <w:rFonts w:cs="Times New Roman"/>
                <w:b/>
                <w:bCs/>
                <w:szCs w:val="24"/>
              </w:rPr>
            </w:pPr>
            <w:r w:rsidRPr="006435B7">
              <w:rPr>
                <w:rFonts w:cs="Times New Roman"/>
                <w:b/>
                <w:bCs/>
                <w:szCs w:val="24"/>
              </w:rPr>
              <w:t>Total</w:t>
            </w:r>
          </w:p>
        </w:tc>
        <w:tc>
          <w:tcPr>
            <w:tcW w:w="1890" w:type="dxa"/>
            <w:tcBorders>
              <w:top w:val="single" w:sz="4" w:space="0" w:color="auto"/>
              <w:bottom w:val="single" w:sz="4" w:space="0" w:color="auto"/>
            </w:tcBorders>
          </w:tcPr>
          <w:p w14:paraId="4FFBCE8E" w14:textId="77777777" w:rsidR="006A2D8F" w:rsidRPr="006435B7" w:rsidRDefault="006A2D8F" w:rsidP="00B1349B">
            <w:pPr>
              <w:spacing w:line="276" w:lineRule="auto"/>
              <w:jc w:val="center"/>
              <w:rPr>
                <w:rFonts w:cs="Times New Roman"/>
                <w:szCs w:val="24"/>
              </w:rPr>
            </w:pPr>
            <w:r w:rsidRPr="006435B7">
              <w:rPr>
                <w:rFonts w:cs="Times New Roman"/>
                <w:szCs w:val="24"/>
              </w:rPr>
              <w:t>194</w:t>
            </w:r>
          </w:p>
          <w:p w14:paraId="0A30036B" w14:textId="77777777" w:rsidR="006A2D8F" w:rsidRPr="006435B7" w:rsidRDefault="006A2D8F" w:rsidP="00B1349B">
            <w:pPr>
              <w:spacing w:line="276" w:lineRule="auto"/>
              <w:jc w:val="center"/>
              <w:rPr>
                <w:rFonts w:cs="Times New Roman"/>
                <w:szCs w:val="24"/>
              </w:rPr>
            </w:pPr>
            <w:r w:rsidRPr="006435B7">
              <w:rPr>
                <w:rFonts w:cs="Times New Roman"/>
                <w:szCs w:val="24"/>
              </w:rPr>
              <w:t>30</w:t>
            </w:r>
          </w:p>
          <w:p w14:paraId="6EFFCD93" w14:textId="77777777" w:rsidR="006A2D8F" w:rsidRPr="006435B7" w:rsidRDefault="006A2D8F" w:rsidP="00B1349B">
            <w:pPr>
              <w:spacing w:line="276" w:lineRule="auto"/>
              <w:jc w:val="center"/>
              <w:rPr>
                <w:rFonts w:cs="Times New Roman"/>
                <w:b/>
                <w:bCs/>
                <w:szCs w:val="24"/>
              </w:rPr>
            </w:pPr>
            <w:r w:rsidRPr="006435B7">
              <w:rPr>
                <w:rFonts w:cs="Times New Roman"/>
                <w:b/>
                <w:bCs/>
                <w:szCs w:val="24"/>
              </w:rPr>
              <w:t>224</w:t>
            </w:r>
          </w:p>
        </w:tc>
        <w:tc>
          <w:tcPr>
            <w:tcW w:w="1890" w:type="dxa"/>
            <w:tcBorders>
              <w:top w:val="single" w:sz="4" w:space="0" w:color="auto"/>
              <w:bottom w:val="single" w:sz="4" w:space="0" w:color="auto"/>
            </w:tcBorders>
          </w:tcPr>
          <w:p w14:paraId="667E78F6" w14:textId="77777777" w:rsidR="006A2D8F" w:rsidRPr="006435B7" w:rsidRDefault="006A2D8F" w:rsidP="00B1349B">
            <w:pPr>
              <w:spacing w:line="276" w:lineRule="auto"/>
              <w:jc w:val="center"/>
              <w:rPr>
                <w:rFonts w:cs="Times New Roman"/>
                <w:szCs w:val="24"/>
              </w:rPr>
            </w:pPr>
            <w:r w:rsidRPr="006435B7">
              <w:rPr>
                <w:rFonts w:cs="Times New Roman"/>
                <w:szCs w:val="24"/>
              </w:rPr>
              <w:t>86.6%</w:t>
            </w:r>
          </w:p>
          <w:p w14:paraId="1CF35940" w14:textId="77777777" w:rsidR="006A2D8F" w:rsidRPr="006435B7" w:rsidRDefault="006A2D8F" w:rsidP="00B1349B">
            <w:pPr>
              <w:spacing w:line="276" w:lineRule="auto"/>
              <w:jc w:val="center"/>
              <w:rPr>
                <w:rFonts w:cs="Times New Roman"/>
                <w:szCs w:val="24"/>
              </w:rPr>
            </w:pPr>
            <w:r w:rsidRPr="006435B7">
              <w:rPr>
                <w:rFonts w:cs="Times New Roman"/>
                <w:szCs w:val="24"/>
              </w:rPr>
              <w:t>13.4%</w:t>
            </w:r>
          </w:p>
          <w:p w14:paraId="3EB3A499" w14:textId="77777777" w:rsidR="006A2D8F" w:rsidRPr="006435B7" w:rsidRDefault="006A2D8F" w:rsidP="00B1349B">
            <w:pPr>
              <w:spacing w:line="276" w:lineRule="auto"/>
              <w:jc w:val="center"/>
              <w:rPr>
                <w:rFonts w:cs="Times New Roman"/>
                <w:b/>
                <w:bCs/>
                <w:szCs w:val="24"/>
              </w:rPr>
            </w:pPr>
            <w:r w:rsidRPr="006435B7">
              <w:rPr>
                <w:rFonts w:cs="Times New Roman"/>
                <w:b/>
                <w:bCs/>
                <w:szCs w:val="24"/>
              </w:rPr>
              <w:t>100%</w:t>
            </w:r>
          </w:p>
        </w:tc>
      </w:tr>
    </w:tbl>
    <w:p w14:paraId="7B702ACD" w14:textId="77777777" w:rsidR="006A2D8F" w:rsidRPr="006435B7" w:rsidRDefault="006A2D8F" w:rsidP="006A2D8F">
      <w:pPr>
        <w:rPr>
          <w:rFonts w:cs="Times New Roman"/>
          <w:b/>
          <w:bCs/>
          <w:szCs w:val="24"/>
        </w:rPr>
      </w:pPr>
      <w:r w:rsidRPr="006435B7">
        <w:rPr>
          <w:rFonts w:cs="Times New Roman"/>
          <w:b/>
          <w:bCs/>
          <w:szCs w:val="24"/>
        </w:rPr>
        <w:t>Source: Survey Data (2026)</w:t>
      </w:r>
    </w:p>
    <w:p w14:paraId="2D518EFF" w14:textId="77777777" w:rsidR="006A2D8F" w:rsidRPr="006435B7" w:rsidRDefault="006A2D8F" w:rsidP="00C936A9">
      <w:pPr>
        <w:spacing w:before="0" w:line="240" w:lineRule="auto"/>
      </w:pPr>
    </w:p>
    <w:p w14:paraId="3D485ED2" w14:textId="77777777" w:rsidR="00711AB4" w:rsidRPr="006435B7" w:rsidRDefault="00711AB4" w:rsidP="00711AB4">
      <w:pPr>
        <w:spacing w:before="0" w:line="240" w:lineRule="auto"/>
      </w:pPr>
    </w:p>
    <w:p w14:paraId="23216417" w14:textId="0C804BD4" w:rsidR="00BF3783" w:rsidRPr="006435B7" w:rsidRDefault="007B652A" w:rsidP="00711AB4">
      <w:pPr>
        <w:spacing w:before="0" w:line="240" w:lineRule="auto"/>
        <w:rPr>
          <w:b/>
          <w:bCs/>
          <w:i/>
          <w:iCs/>
          <w:sz w:val="28"/>
        </w:rPr>
      </w:pPr>
      <w:r w:rsidRPr="006435B7">
        <w:rPr>
          <w:b/>
          <w:bCs/>
          <w:i/>
          <w:iCs/>
          <w:sz w:val="28"/>
        </w:rPr>
        <w:t>Descriptive Analysis</w:t>
      </w:r>
    </w:p>
    <w:p w14:paraId="1CB0B7AA" w14:textId="3975B3EC" w:rsidR="00BF3783" w:rsidRPr="006435B7" w:rsidRDefault="00BF3783" w:rsidP="00711AB4">
      <w:pPr>
        <w:spacing w:before="0" w:line="240" w:lineRule="auto"/>
        <w:rPr>
          <w:bCs/>
          <w:iCs/>
        </w:rPr>
      </w:pPr>
    </w:p>
    <w:p w14:paraId="3CBDDF08" w14:textId="77777777" w:rsidR="00BF3783" w:rsidRPr="006435B7" w:rsidRDefault="00BF3783" w:rsidP="00BF3783">
      <w:pPr>
        <w:spacing w:before="0" w:line="240" w:lineRule="auto"/>
        <w:rPr>
          <w:bCs/>
          <w:iCs/>
        </w:rPr>
      </w:pPr>
      <w:r w:rsidRPr="006435B7">
        <w:rPr>
          <w:bCs/>
          <w:iCs/>
        </w:rPr>
        <w:t>The study examined the effect of shareholder rights on organizational performance of commercial banks in Kisumu County. Descriptive findings indicated a generally positive perception regarding the contribution of shareholder rights to bank performance. Respondents agreed that shareholders have significant influence over the strategic direction of banks (M = 3.60, SD = 0.670), while management responsiveness to shareholder concerns and feedback recorded the highest mean (M = 3.64, SD = 0.622). Similarly, respondents moderately agreed that shareholder voting rights are effectively exercised to influence key decisions (M = 3.61, SD = 0.668). Protection of minority shareholders’ interests recorded a mean of 3.56 (SD = 0.643), whereas shareholder activism and proposals improving bank performance recorded a mean of 3.57 (SD = 0.681). The relatively low standard deviations suggest reasonable consistency in respondents’ perceptions.</w:t>
      </w:r>
    </w:p>
    <w:p w14:paraId="5B22142A" w14:textId="77777777" w:rsidR="00BF3783" w:rsidRPr="006435B7" w:rsidRDefault="00BF3783" w:rsidP="00BF3783">
      <w:pPr>
        <w:spacing w:before="0" w:line="240" w:lineRule="auto"/>
        <w:rPr>
          <w:bCs/>
          <w:iCs/>
        </w:rPr>
      </w:pPr>
    </w:p>
    <w:p w14:paraId="738442D7" w14:textId="71470DF6" w:rsidR="00BF3783" w:rsidRPr="006435B7" w:rsidRDefault="00BF3783" w:rsidP="00BF3783">
      <w:pPr>
        <w:spacing w:before="0" w:line="240" w:lineRule="auto"/>
        <w:rPr>
          <w:bCs/>
          <w:iCs/>
        </w:rPr>
      </w:pPr>
      <w:r w:rsidRPr="006435B7">
        <w:rPr>
          <w:bCs/>
          <w:iCs/>
        </w:rPr>
        <w:t xml:space="preserve">Overall, the findings demonstrate that effective shareholder participation, voting rights, management responsiveness, minority shareholder protection, and shareholder activism are perceived to contribute positively to organizational performance. These results are consistent with Chu et al. (2019), who established that shareholder rights enhance transparency and profitability through improved managerial monitoring. Similarly, Hristov and </w:t>
      </w:r>
      <w:proofErr w:type="spellStart"/>
      <w:r w:rsidRPr="006435B7">
        <w:rPr>
          <w:bCs/>
          <w:iCs/>
        </w:rPr>
        <w:t>Appolloni</w:t>
      </w:r>
      <w:proofErr w:type="spellEnd"/>
      <w:r w:rsidRPr="006435B7">
        <w:rPr>
          <w:bCs/>
          <w:iCs/>
        </w:rPr>
        <w:t xml:space="preserve"> (2022) found that shareholder involvement in strategic decision-making can improve operational efficiency and financial outcomes. The findings also correspond with Kujala et al. (2022) and Myeza et al. (2023), who emphasized that formalized shareholder engagement and protection strengthen organizational accountability and resilience. However, </w:t>
      </w:r>
      <w:proofErr w:type="spellStart"/>
      <w:r w:rsidRPr="006435B7">
        <w:rPr>
          <w:bCs/>
          <w:iCs/>
        </w:rPr>
        <w:t>Broucker</w:t>
      </w:r>
      <w:proofErr w:type="spellEnd"/>
      <w:r w:rsidRPr="006435B7">
        <w:rPr>
          <w:bCs/>
          <w:iCs/>
        </w:rPr>
        <w:t xml:space="preserve"> et al. (2021) and Yang and Basile (2021) suggest that organizational performance is more directly associated with communication and broader stakeholder engagement. </w:t>
      </w:r>
      <w:proofErr w:type="spellStart"/>
      <w:r w:rsidRPr="006435B7">
        <w:rPr>
          <w:bCs/>
          <w:iCs/>
        </w:rPr>
        <w:t>Nyagadza</w:t>
      </w:r>
      <w:proofErr w:type="spellEnd"/>
      <w:r w:rsidRPr="006435B7">
        <w:rPr>
          <w:bCs/>
          <w:iCs/>
        </w:rPr>
        <w:t xml:space="preserve"> et al. (2020) and Javeed et al. (2022) further indicate that shareholder rights may influence performance indirectly. The study therefore concludes that strengthening shareholder rights can support improved organizational performance among commercial banks in Kisumu County.</w:t>
      </w:r>
    </w:p>
    <w:p w14:paraId="4DEF8842" w14:textId="61D0B7CB" w:rsidR="0045178A" w:rsidRPr="006435B7" w:rsidRDefault="0045178A" w:rsidP="00BF3783">
      <w:pPr>
        <w:spacing w:before="0" w:line="240" w:lineRule="auto"/>
        <w:rPr>
          <w:bCs/>
          <w:iCs/>
        </w:rPr>
      </w:pPr>
    </w:p>
    <w:p w14:paraId="1F27BEB7" w14:textId="77777777" w:rsidR="0045178A" w:rsidRPr="006435B7" w:rsidRDefault="0045178A" w:rsidP="00BF3783">
      <w:pPr>
        <w:spacing w:before="0" w:line="240" w:lineRule="auto"/>
        <w:rPr>
          <w:bCs/>
          <w:iCs/>
        </w:rPr>
      </w:pPr>
    </w:p>
    <w:p w14:paraId="21E42C5A" w14:textId="32A39043" w:rsidR="00BF3783" w:rsidRPr="006435B7" w:rsidRDefault="00BF3783" w:rsidP="00BF3783">
      <w:pPr>
        <w:spacing w:before="0" w:line="240" w:lineRule="auto"/>
        <w:rPr>
          <w:b/>
          <w:i/>
        </w:rPr>
      </w:pPr>
      <w:r w:rsidRPr="006435B7">
        <w:rPr>
          <w:b/>
          <w:i/>
        </w:rPr>
        <w:lastRenderedPageBreak/>
        <w:t>Table 2: Stakeholders’ Rights and Organizations Performance</w:t>
      </w:r>
    </w:p>
    <w:tbl>
      <w:tblPr>
        <w:tblStyle w:val="TableGrid"/>
        <w:tblW w:w="9100"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4"/>
        <w:gridCol w:w="523"/>
        <w:gridCol w:w="716"/>
        <w:gridCol w:w="836"/>
        <w:gridCol w:w="836"/>
        <w:gridCol w:w="716"/>
        <w:gridCol w:w="803"/>
        <w:gridCol w:w="676"/>
      </w:tblGrid>
      <w:tr w:rsidR="00BF3783" w:rsidRPr="006435B7" w14:paraId="0F3B5F9C" w14:textId="77777777" w:rsidTr="00B1349B">
        <w:tc>
          <w:tcPr>
            <w:tcW w:w="5255" w:type="dxa"/>
            <w:tcBorders>
              <w:top w:val="single" w:sz="4" w:space="0" w:color="auto"/>
              <w:bottom w:val="single" w:sz="4" w:space="0" w:color="auto"/>
            </w:tcBorders>
          </w:tcPr>
          <w:p w14:paraId="49862F51" w14:textId="77777777" w:rsidR="00BF3783" w:rsidRPr="006435B7" w:rsidRDefault="00BF3783" w:rsidP="00B1349B">
            <w:pPr>
              <w:spacing w:line="276" w:lineRule="auto"/>
              <w:rPr>
                <w:rFonts w:cs="Times New Roman"/>
                <w:b/>
                <w:szCs w:val="24"/>
              </w:rPr>
            </w:pPr>
            <w:r w:rsidRPr="006435B7">
              <w:rPr>
                <w:rFonts w:cs="Times New Roman"/>
                <w:b/>
                <w:szCs w:val="24"/>
              </w:rPr>
              <w:t>Statements</w:t>
            </w:r>
          </w:p>
        </w:tc>
        <w:tc>
          <w:tcPr>
            <w:tcW w:w="523" w:type="dxa"/>
            <w:tcBorders>
              <w:top w:val="single" w:sz="4" w:space="0" w:color="auto"/>
              <w:bottom w:val="single" w:sz="4" w:space="0" w:color="auto"/>
            </w:tcBorders>
          </w:tcPr>
          <w:p w14:paraId="3BD2203A" w14:textId="77777777" w:rsidR="00BF3783" w:rsidRPr="006435B7" w:rsidRDefault="00BF3783" w:rsidP="00B1349B">
            <w:pPr>
              <w:spacing w:line="276" w:lineRule="auto"/>
              <w:jc w:val="center"/>
              <w:rPr>
                <w:rFonts w:cs="Times New Roman"/>
                <w:b/>
                <w:szCs w:val="24"/>
              </w:rPr>
            </w:pPr>
            <w:r w:rsidRPr="006435B7">
              <w:rPr>
                <w:rFonts w:cs="Times New Roman"/>
                <w:b/>
                <w:szCs w:val="24"/>
              </w:rPr>
              <w:t>SD</w:t>
            </w:r>
          </w:p>
        </w:tc>
        <w:tc>
          <w:tcPr>
            <w:tcW w:w="440" w:type="dxa"/>
            <w:tcBorders>
              <w:top w:val="single" w:sz="4" w:space="0" w:color="auto"/>
              <w:bottom w:val="single" w:sz="4" w:space="0" w:color="auto"/>
            </w:tcBorders>
          </w:tcPr>
          <w:p w14:paraId="072B16D5" w14:textId="77777777" w:rsidR="00BF3783" w:rsidRPr="006435B7" w:rsidRDefault="00BF3783" w:rsidP="00B1349B">
            <w:pPr>
              <w:spacing w:line="276" w:lineRule="auto"/>
              <w:jc w:val="center"/>
              <w:rPr>
                <w:rFonts w:cs="Times New Roman"/>
                <w:b/>
                <w:szCs w:val="24"/>
              </w:rPr>
            </w:pPr>
            <w:r w:rsidRPr="006435B7">
              <w:rPr>
                <w:rFonts w:cs="Times New Roman"/>
                <w:b/>
                <w:szCs w:val="24"/>
              </w:rPr>
              <w:t>D</w:t>
            </w:r>
          </w:p>
        </w:tc>
        <w:tc>
          <w:tcPr>
            <w:tcW w:w="440" w:type="dxa"/>
            <w:tcBorders>
              <w:top w:val="single" w:sz="4" w:space="0" w:color="auto"/>
              <w:bottom w:val="single" w:sz="4" w:space="0" w:color="auto"/>
            </w:tcBorders>
          </w:tcPr>
          <w:p w14:paraId="1B17A0FA" w14:textId="77777777" w:rsidR="00BF3783" w:rsidRPr="006435B7" w:rsidRDefault="00BF3783" w:rsidP="00B1349B">
            <w:pPr>
              <w:spacing w:line="276" w:lineRule="auto"/>
              <w:jc w:val="center"/>
              <w:rPr>
                <w:rFonts w:cs="Times New Roman"/>
                <w:b/>
                <w:szCs w:val="24"/>
              </w:rPr>
            </w:pPr>
            <w:r w:rsidRPr="006435B7">
              <w:rPr>
                <w:rFonts w:cs="Times New Roman"/>
                <w:b/>
                <w:szCs w:val="24"/>
              </w:rPr>
              <w:t>N</w:t>
            </w:r>
          </w:p>
        </w:tc>
        <w:tc>
          <w:tcPr>
            <w:tcW w:w="440" w:type="dxa"/>
            <w:tcBorders>
              <w:top w:val="single" w:sz="4" w:space="0" w:color="auto"/>
              <w:bottom w:val="single" w:sz="4" w:space="0" w:color="auto"/>
            </w:tcBorders>
          </w:tcPr>
          <w:p w14:paraId="7487681D" w14:textId="77777777" w:rsidR="00BF3783" w:rsidRPr="006435B7" w:rsidRDefault="00BF3783" w:rsidP="00B1349B">
            <w:pPr>
              <w:spacing w:line="276" w:lineRule="auto"/>
              <w:jc w:val="center"/>
              <w:rPr>
                <w:rFonts w:cs="Times New Roman"/>
                <w:b/>
                <w:szCs w:val="24"/>
              </w:rPr>
            </w:pPr>
            <w:r w:rsidRPr="006435B7">
              <w:rPr>
                <w:rFonts w:cs="Times New Roman"/>
                <w:b/>
                <w:szCs w:val="24"/>
              </w:rPr>
              <w:t>A</w:t>
            </w:r>
          </w:p>
        </w:tc>
        <w:tc>
          <w:tcPr>
            <w:tcW w:w="523" w:type="dxa"/>
            <w:tcBorders>
              <w:top w:val="single" w:sz="4" w:space="0" w:color="auto"/>
              <w:bottom w:val="single" w:sz="4" w:space="0" w:color="auto"/>
            </w:tcBorders>
          </w:tcPr>
          <w:p w14:paraId="09B223D0" w14:textId="77777777" w:rsidR="00BF3783" w:rsidRPr="006435B7" w:rsidRDefault="00BF3783" w:rsidP="00B1349B">
            <w:pPr>
              <w:spacing w:line="276" w:lineRule="auto"/>
              <w:jc w:val="center"/>
              <w:rPr>
                <w:rFonts w:cs="Times New Roman"/>
                <w:b/>
                <w:szCs w:val="24"/>
              </w:rPr>
            </w:pPr>
            <w:r w:rsidRPr="006435B7">
              <w:rPr>
                <w:rFonts w:cs="Times New Roman"/>
                <w:b/>
                <w:szCs w:val="24"/>
              </w:rPr>
              <w:t>SA</w:t>
            </w:r>
          </w:p>
        </w:tc>
        <w:tc>
          <w:tcPr>
            <w:tcW w:w="803" w:type="dxa"/>
            <w:tcBorders>
              <w:top w:val="single" w:sz="4" w:space="0" w:color="auto"/>
              <w:bottom w:val="single" w:sz="4" w:space="0" w:color="auto"/>
            </w:tcBorders>
          </w:tcPr>
          <w:p w14:paraId="12149F08" w14:textId="77777777" w:rsidR="00BF3783" w:rsidRPr="006435B7" w:rsidRDefault="00BF3783" w:rsidP="00B1349B">
            <w:pPr>
              <w:spacing w:line="276" w:lineRule="auto"/>
              <w:jc w:val="center"/>
              <w:rPr>
                <w:rFonts w:cs="Times New Roman"/>
                <w:b/>
                <w:szCs w:val="24"/>
              </w:rPr>
            </w:pPr>
            <w:r w:rsidRPr="006435B7">
              <w:rPr>
                <w:rFonts w:cs="Times New Roman"/>
                <w:b/>
                <w:szCs w:val="24"/>
              </w:rPr>
              <w:t>Mean</w:t>
            </w:r>
          </w:p>
        </w:tc>
        <w:tc>
          <w:tcPr>
            <w:tcW w:w="676" w:type="dxa"/>
            <w:tcBorders>
              <w:top w:val="single" w:sz="4" w:space="0" w:color="auto"/>
              <w:bottom w:val="single" w:sz="4" w:space="0" w:color="auto"/>
            </w:tcBorders>
          </w:tcPr>
          <w:p w14:paraId="3C25BFC9" w14:textId="77777777" w:rsidR="00BF3783" w:rsidRPr="006435B7" w:rsidRDefault="00BF3783" w:rsidP="00B1349B">
            <w:pPr>
              <w:spacing w:line="276" w:lineRule="auto"/>
              <w:jc w:val="center"/>
              <w:rPr>
                <w:rFonts w:cs="Times New Roman"/>
                <w:b/>
                <w:szCs w:val="24"/>
              </w:rPr>
            </w:pPr>
            <w:r w:rsidRPr="006435B7">
              <w:rPr>
                <w:rFonts w:cs="Times New Roman"/>
                <w:b/>
                <w:szCs w:val="24"/>
              </w:rPr>
              <w:t>Std. Dev.</w:t>
            </w:r>
          </w:p>
        </w:tc>
      </w:tr>
      <w:tr w:rsidR="00BF3783" w:rsidRPr="006435B7" w14:paraId="62C82BD1" w14:textId="77777777" w:rsidTr="00B1349B">
        <w:tc>
          <w:tcPr>
            <w:tcW w:w="5255" w:type="dxa"/>
            <w:tcBorders>
              <w:top w:val="single" w:sz="4" w:space="0" w:color="auto"/>
            </w:tcBorders>
          </w:tcPr>
          <w:p w14:paraId="73CF9220" w14:textId="77777777" w:rsidR="00BF3783" w:rsidRPr="006435B7" w:rsidRDefault="00BF3783" w:rsidP="00B1349B">
            <w:pPr>
              <w:spacing w:line="276" w:lineRule="auto"/>
              <w:rPr>
                <w:rFonts w:cs="Times New Roman"/>
                <w:szCs w:val="24"/>
              </w:rPr>
            </w:pPr>
            <w:r w:rsidRPr="006435B7">
              <w:rPr>
                <w:rFonts w:cs="Times New Roman"/>
                <w:szCs w:val="24"/>
              </w:rPr>
              <w:t>Shareholders have significant influence over the strategic direction of the bank</w:t>
            </w:r>
          </w:p>
        </w:tc>
        <w:tc>
          <w:tcPr>
            <w:tcW w:w="523" w:type="dxa"/>
            <w:tcBorders>
              <w:top w:val="single" w:sz="4" w:space="0" w:color="auto"/>
            </w:tcBorders>
          </w:tcPr>
          <w:p w14:paraId="7D25C723" w14:textId="77777777" w:rsidR="00BF3783" w:rsidRPr="006435B7" w:rsidRDefault="00BF3783" w:rsidP="00B1349B">
            <w:pPr>
              <w:spacing w:line="276" w:lineRule="auto"/>
              <w:jc w:val="center"/>
              <w:rPr>
                <w:rFonts w:cs="Times New Roman"/>
                <w:szCs w:val="24"/>
              </w:rPr>
            </w:pPr>
            <w:r w:rsidRPr="006435B7">
              <w:rPr>
                <w:rFonts w:cs="Times New Roman"/>
                <w:szCs w:val="24"/>
              </w:rPr>
              <w:t>-</w:t>
            </w:r>
          </w:p>
        </w:tc>
        <w:tc>
          <w:tcPr>
            <w:tcW w:w="440" w:type="dxa"/>
            <w:tcBorders>
              <w:top w:val="single" w:sz="4" w:space="0" w:color="auto"/>
            </w:tcBorders>
          </w:tcPr>
          <w:p w14:paraId="2D55911D" w14:textId="77777777" w:rsidR="00BF3783" w:rsidRPr="006435B7" w:rsidRDefault="00BF3783" w:rsidP="00B1349B">
            <w:pPr>
              <w:spacing w:line="276" w:lineRule="auto"/>
              <w:jc w:val="center"/>
              <w:rPr>
                <w:rFonts w:cs="Times New Roman"/>
                <w:szCs w:val="24"/>
              </w:rPr>
            </w:pPr>
            <w:r w:rsidRPr="006435B7">
              <w:rPr>
                <w:rFonts w:cs="Times New Roman"/>
                <w:szCs w:val="24"/>
              </w:rPr>
              <w:t>3.1%</w:t>
            </w:r>
          </w:p>
        </w:tc>
        <w:tc>
          <w:tcPr>
            <w:tcW w:w="440" w:type="dxa"/>
            <w:tcBorders>
              <w:top w:val="single" w:sz="4" w:space="0" w:color="auto"/>
            </w:tcBorders>
          </w:tcPr>
          <w:p w14:paraId="46ACC1B4" w14:textId="77777777" w:rsidR="00BF3783" w:rsidRPr="006435B7" w:rsidRDefault="00BF3783" w:rsidP="00B1349B">
            <w:pPr>
              <w:spacing w:line="276" w:lineRule="auto"/>
              <w:jc w:val="center"/>
              <w:rPr>
                <w:rFonts w:cs="Times New Roman"/>
                <w:szCs w:val="24"/>
              </w:rPr>
            </w:pPr>
            <w:r w:rsidRPr="006435B7">
              <w:rPr>
                <w:rFonts w:cs="Times New Roman"/>
                <w:szCs w:val="24"/>
              </w:rPr>
              <w:t>41.2%</w:t>
            </w:r>
          </w:p>
        </w:tc>
        <w:tc>
          <w:tcPr>
            <w:tcW w:w="440" w:type="dxa"/>
            <w:tcBorders>
              <w:top w:val="single" w:sz="4" w:space="0" w:color="auto"/>
            </w:tcBorders>
          </w:tcPr>
          <w:p w14:paraId="6C8FEAC2" w14:textId="77777777" w:rsidR="00BF3783" w:rsidRPr="006435B7" w:rsidRDefault="00BF3783" w:rsidP="00B1349B">
            <w:pPr>
              <w:spacing w:line="276" w:lineRule="auto"/>
              <w:jc w:val="center"/>
              <w:rPr>
                <w:rFonts w:cs="Times New Roman"/>
                <w:szCs w:val="24"/>
              </w:rPr>
            </w:pPr>
            <w:r w:rsidRPr="006435B7">
              <w:rPr>
                <w:rFonts w:cs="Times New Roman"/>
                <w:szCs w:val="24"/>
              </w:rPr>
              <w:t>48.5%</w:t>
            </w:r>
          </w:p>
        </w:tc>
        <w:tc>
          <w:tcPr>
            <w:tcW w:w="523" w:type="dxa"/>
            <w:tcBorders>
              <w:top w:val="single" w:sz="4" w:space="0" w:color="auto"/>
            </w:tcBorders>
          </w:tcPr>
          <w:p w14:paraId="682E028B" w14:textId="77777777" w:rsidR="00BF3783" w:rsidRPr="006435B7" w:rsidRDefault="00BF3783" w:rsidP="00B1349B">
            <w:pPr>
              <w:spacing w:line="276" w:lineRule="auto"/>
              <w:jc w:val="center"/>
              <w:rPr>
                <w:rFonts w:cs="Times New Roman"/>
                <w:szCs w:val="24"/>
              </w:rPr>
            </w:pPr>
            <w:r w:rsidRPr="006435B7">
              <w:rPr>
                <w:rFonts w:cs="Times New Roman"/>
                <w:szCs w:val="24"/>
              </w:rPr>
              <w:t>7.2%</w:t>
            </w:r>
          </w:p>
        </w:tc>
        <w:tc>
          <w:tcPr>
            <w:tcW w:w="803" w:type="dxa"/>
            <w:tcBorders>
              <w:top w:val="single" w:sz="4" w:space="0" w:color="auto"/>
            </w:tcBorders>
          </w:tcPr>
          <w:p w14:paraId="48248841" w14:textId="77777777" w:rsidR="00BF3783" w:rsidRPr="006435B7" w:rsidRDefault="00BF3783" w:rsidP="00B1349B">
            <w:pPr>
              <w:spacing w:line="276" w:lineRule="auto"/>
              <w:jc w:val="center"/>
              <w:rPr>
                <w:rFonts w:cs="Times New Roman"/>
                <w:szCs w:val="24"/>
              </w:rPr>
            </w:pPr>
            <w:r w:rsidRPr="006435B7">
              <w:rPr>
                <w:rFonts w:cs="Times New Roman"/>
                <w:szCs w:val="24"/>
              </w:rPr>
              <w:t>3.60</w:t>
            </w:r>
          </w:p>
        </w:tc>
        <w:tc>
          <w:tcPr>
            <w:tcW w:w="676" w:type="dxa"/>
            <w:tcBorders>
              <w:top w:val="single" w:sz="4" w:space="0" w:color="auto"/>
            </w:tcBorders>
          </w:tcPr>
          <w:p w14:paraId="3C8C05D2" w14:textId="77777777" w:rsidR="00BF3783" w:rsidRPr="006435B7" w:rsidRDefault="00BF3783" w:rsidP="00B1349B">
            <w:pPr>
              <w:spacing w:line="276" w:lineRule="auto"/>
              <w:jc w:val="center"/>
              <w:rPr>
                <w:rFonts w:cs="Times New Roman"/>
                <w:szCs w:val="24"/>
              </w:rPr>
            </w:pPr>
            <w:r w:rsidRPr="006435B7">
              <w:rPr>
                <w:rFonts w:cs="Times New Roman"/>
                <w:szCs w:val="24"/>
              </w:rPr>
              <w:t>.670</w:t>
            </w:r>
          </w:p>
        </w:tc>
      </w:tr>
      <w:tr w:rsidR="00BF3783" w:rsidRPr="006435B7" w14:paraId="3276BAF0" w14:textId="77777777" w:rsidTr="00B1349B">
        <w:tc>
          <w:tcPr>
            <w:tcW w:w="5255" w:type="dxa"/>
          </w:tcPr>
          <w:p w14:paraId="3445EBA9" w14:textId="77777777" w:rsidR="00BF3783" w:rsidRPr="006435B7" w:rsidRDefault="00BF3783" w:rsidP="00B1349B">
            <w:pPr>
              <w:spacing w:line="276" w:lineRule="auto"/>
              <w:rPr>
                <w:rFonts w:cs="Times New Roman"/>
                <w:szCs w:val="24"/>
              </w:rPr>
            </w:pPr>
            <w:r w:rsidRPr="006435B7">
              <w:rPr>
                <w:rFonts w:cs="Times New Roman"/>
                <w:szCs w:val="24"/>
              </w:rPr>
              <w:t>The bank's management is responsive to shareholder concerns and feedback</w:t>
            </w:r>
          </w:p>
        </w:tc>
        <w:tc>
          <w:tcPr>
            <w:tcW w:w="523" w:type="dxa"/>
          </w:tcPr>
          <w:p w14:paraId="796E7A19" w14:textId="77777777" w:rsidR="00BF3783" w:rsidRPr="006435B7" w:rsidRDefault="00BF3783" w:rsidP="00B1349B">
            <w:pPr>
              <w:spacing w:line="276" w:lineRule="auto"/>
              <w:jc w:val="center"/>
              <w:rPr>
                <w:rFonts w:cs="Times New Roman"/>
                <w:szCs w:val="24"/>
              </w:rPr>
            </w:pPr>
            <w:r w:rsidRPr="006435B7">
              <w:rPr>
                <w:rFonts w:cs="Times New Roman"/>
                <w:szCs w:val="24"/>
              </w:rPr>
              <w:t>-</w:t>
            </w:r>
          </w:p>
        </w:tc>
        <w:tc>
          <w:tcPr>
            <w:tcW w:w="440" w:type="dxa"/>
          </w:tcPr>
          <w:p w14:paraId="1E4F0AC5" w14:textId="77777777" w:rsidR="00BF3783" w:rsidRPr="006435B7" w:rsidRDefault="00BF3783" w:rsidP="00B1349B">
            <w:pPr>
              <w:spacing w:line="276" w:lineRule="auto"/>
              <w:jc w:val="center"/>
              <w:rPr>
                <w:rFonts w:cs="Times New Roman"/>
                <w:szCs w:val="24"/>
              </w:rPr>
            </w:pPr>
            <w:r w:rsidRPr="006435B7">
              <w:rPr>
                <w:rFonts w:cs="Times New Roman"/>
                <w:szCs w:val="24"/>
              </w:rPr>
              <w:t>0.5%</w:t>
            </w:r>
          </w:p>
        </w:tc>
        <w:tc>
          <w:tcPr>
            <w:tcW w:w="440" w:type="dxa"/>
          </w:tcPr>
          <w:p w14:paraId="595CDA71" w14:textId="77777777" w:rsidR="00BF3783" w:rsidRPr="006435B7" w:rsidRDefault="00BF3783" w:rsidP="00B1349B">
            <w:pPr>
              <w:spacing w:line="276" w:lineRule="auto"/>
              <w:jc w:val="center"/>
              <w:rPr>
                <w:rFonts w:cs="Times New Roman"/>
                <w:szCs w:val="24"/>
              </w:rPr>
            </w:pPr>
            <w:r w:rsidRPr="006435B7">
              <w:rPr>
                <w:rFonts w:cs="Times New Roman"/>
                <w:szCs w:val="24"/>
              </w:rPr>
              <w:t>42.3%</w:t>
            </w:r>
          </w:p>
        </w:tc>
        <w:tc>
          <w:tcPr>
            <w:tcW w:w="440" w:type="dxa"/>
          </w:tcPr>
          <w:p w14:paraId="5A3507B4" w14:textId="77777777" w:rsidR="00BF3783" w:rsidRPr="006435B7" w:rsidRDefault="00BF3783" w:rsidP="00B1349B">
            <w:pPr>
              <w:spacing w:line="276" w:lineRule="auto"/>
              <w:jc w:val="center"/>
              <w:rPr>
                <w:rFonts w:cs="Times New Roman"/>
                <w:szCs w:val="24"/>
              </w:rPr>
            </w:pPr>
            <w:r w:rsidRPr="006435B7">
              <w:rPr>
                <w:rFonts w:cs="Times New Roman"/>
                <w:szCs w:val="24"/>
              </w:rPr>
              <w:t>50.0%</w:t>
            </w:r>
          </w:p>
        </w:tc>
        <w:tc>
          <w:tcPr>
            <w:tcW w:w="523" w:type="dxa"/>
          </w:tcPr>
          <w:p w14:paraId="3F755863" w14:textId="77777777" w:rsidR="00BF3783" w:rsidRPr="006435B7" w:rsidRDefault="00BF3783" w:rsidP="00B1349B">
            <w:pPr>
              <w:spacing w:line="276" w:lineRule="auto"/>
              <w:jc w:val="center"/>
              <w:rPr>
                <w:rFonts w:cs="Times New Roman"/>
                <w:szCs w:val="24"/>
              </w:rPr>
            </w:pPr>
            <w:r w:rsidRPr="006435B7">
              <w:rPr>
                <w:rFonts w:cs="Times New Roman"/>
                <w:szCs w:val="24"/>
              </w:rPr>
              <w:t>7.2%</w:t>
            </w:r>
          </w:p>
        </w:tc>
        <w:tc>
          <w:tcPr>
            <w:tcW w:w="803" w:type="dxa"/>
          </w:tcPr>
          <w:p w14:paraId="13CC9932" w14:textId="77777777" w:rsidR="00BF3783" w:rsidRPr="006435B7" w:rsidRDefault="00BF3783" w:rsidP="00B1349B">
            <w:pPr>
              <w:spacing w:line="276" w:lineRule="auto"/>
              <w:jc w:val="center"/>
              <w:rPr>
                <w:rFonts w:cs="Times New Roman"/>
                <w:szCs w:val="24"/>
              </w:rPr>
            </w:pPr>
            <w:r w:rsidRPr="006435B7">
              <w:rPr>
                <w:rFonts w:cs="Times New Roman"/>
                <w:szCs w:val="24"/>
              </w:rPr>
              <w:t>3.64</w:t>
            </w:r>
          </w:p>
        </w:tc>
        <w:tc>
          <w:tcPr>
            <w:tcW w:w="676" w:type="dxa"/>
          </w:tcPr>
          <w:p w14:paraId="2B1DD4BA" w14:textId="77777777" w:rsidR="00BF3783" w:rsidRPr="006435B7" w:rsidRDefault="00BF3783" w:rsidP="00B1349B">
            <w:pPr>
              <w:spacing w:line="276" w:lineRule="auto"/>
              <w:jc w:val="center"/>
              <w:rPr>
                <w:rFonts w:cs="Times New Roman"/>
                <w:szCs w:val="24"/>
              </w:rPr>
            </w:pPr>
            <w:r w:rsidRPr="006435B7">
              <w:rPr>
                <w:rFonts w:cs="Times New Roman"/>
                <w:szCs w:val="24"/>
              </w:rPr>
              <w:t>.622</w:t>
            </w:r>
          </w:p>
        </w:tc>
      </w:tr>
      <w:tr w:rsidR="00BF3783" w:rsidRPr="006435B7" w14:paraId="49C91D89" w14:textId="77777777" w:rsidTr="00B1349B">
        <w:tc>
          <w:tcPr>
            <w:tcW w:w="5255" w:type="dxa"/>
          </w:tcPr>
          <w:p w14:paraId="0FEE5B16" w14:textId="77777777" w:rsidR="00BF3783" w:rsidRPr="006435B7" w:rsidRDefault="00BF3783" w:rsidP="00B1349B">
            <w:pPr>
              <w:spacing w:line="276" w:lineRule="auto"/>
              <w:rPr>
                <w:rFonts w:cs="Times New Roman"/>
                <w:szCs w:val="24"/>
              </w:rPr>
            </w:pPr>
            <w:r w:rsidRPr="006435B7">
              <w:rPr>
                <w:rFonts w:cs="Times New Roman"/>
                <w:szCs w:val="24"/>
              </w:rPr>
              <w:t>Shareholder voting rights are exercised effectively to influence key decisions</w:t>
            </w:r>
          </w:p>
        </w:tc>
        <w:tc>
          <w:tcPr>
            <w:tcW w:w="523" w:type="dxa"/>
          </w:tcPr>
          <w:p w14:paraId="462922EC" w14:textId="77777777" w:rsidR="00BF3783" w:rsidRPr="006435B7" w:rsidRDefault="00BF3783" w:rsidP="00B1349B">
            <w:pPr>
              <w:spacing w:line="276" w:lineRule="auto"/>
              <w:jc w:val="center"/>
              <w:rPr>
                <w:rFonts w:cs="Times New Roman"/>
                <w:szCs w:val="24"/>
              </w:rPr>
            </w:pPr>
            <w:r w:rsidRPr="006435B7">
              <w:rPr>
                <w:rFonts w:cs="Times New Roman"/>
                <w:szCs w:val="24"/>
              </w:rPr>
              <w:t>-</w:t>
            </w:r>
          </w:p>
        </w:tc>
        <w:tc>
          <w:tcPr>
            <w:tcW w:w="440" w:type="dxa"/>
          </w:tcPr>
          <w:p w14:paraId="332D9FF6" w14:textId="77777777" w:rsidR="00BF3783" w:rsidRPr="006435B7" w:rsidRDefault="00BF3783" w:rsidP="00B1349B">
            <w:pPr>
              <w:spacing w:line="276" w:lineRule="auto"/>
              <w:jc w:val="center"/>
              <w:rPr>
                <w:rFonts w:cs="Times New Roman"/>
                <w:szCs w:val="24"/>
              </w:rPr>
            </w:pPr>
            <w:r w:rsidRPr="006435B7">
              <w:rPr>
                <w:rFonts w:cs="Times New Roman"/>
                <w:szCs w:val="24"/>
              </w:rPr>
              <w:t>1.5%</w:t>
            </w:r>
          </w:p>
        </w:tc>
        <w:tc>
          <w:tcPr>
            <w:tcW w:w="440" w:type="dxa"/>
          </w:tcPr>
          <w:p w14:paraId="785E6D3E" w14:textId="77777777" w:rsidR="00BF3783" w:rsidRPr="006435B7" w:rsidRDefault="00BF3783" w:rsidP="00B1349B">
            <w:pPr>
              <w:spacing w:line="276" w:lineRule="auto"/>
              <w:jc w:val="center"/>
              <w:rPr>
                <w:rFonts w:cs="Times New Roman"/>
                <w:szCs w:val="24"/>
              </w:rPr>
            </w:pPr>
            <w:r w:rsidRPr="006435B7">
              <w:rPr>
                <w:rFonts w:cs="Times New Roman"/>
                <w:szCs w:val="24"/>
              </w:rPr>
              <w:t>44.3%</w:t>
            </w:r>
          </w:p>
        </w:tc>
        <w:tc>
          <w:tcPr>
            <w:tcW w:w="440" w:type="dxa"/>
          </w:tcPr>
          <w:p w14:paraId="5991CB4C" w14:textId="77777777" w:rsidR="00BF3783" w:rsidRPr="006435B7" w:rsidRDefault="00BF3783" w:rsidP="00B1349B">
            <w:pPr>
              <w:spacing w:line="276" w:lineRule="auto"/>
              <w:jc w:val="center"/>
              <w:rPr>
                <w:rFonts w:cs="Times New Roman"/>
                <w:szCs w:val="24"/>
              </w:rPr>
            </w:pPr>
            <w:r w:rsidRPr="006435B7">
              <w:rPr>
                <w:rFonts w:cs="Times New Roman"/>
                <w:szCs w:val="24"/>
              </w:rPr>
              <w:t>45.4%</w:t>
            </w:r>
          </w:p>
        </w:tc>
        <w:tc>
          <w:tcPr>
            <w:tcW w:w="523" w:type="dxa"/>
          </w:tcPr>
          <w:p w14:paraId="4931127A" w14:textId="77777777" w:rsidR="00BF3783" w:rsidRPr="006435B7" w:rsidRDefault="00BF3783" w:rsidP="00B1349B">
            <w:pPr>
              <w:spacing w:line="276" w:lineRule="auto"/>
              <w:jc w:val="center"/>
              <w:rPr>
                <w:rFonts w:cs="Times New Roman"/>
                <w:szCs w:val="24"/>
              </w:rPr>
            </w:pPr>
            <w:r w:rsidRPr="006435B7">
              <w:rPr>
                <w:rFonts w:cs="Times New Roman"/>
                <w:szCs w:val="24"/>
              </w:rPr>
              <w:t>8.8%</w:t>
            </w:r>
          </w:p>
        </w:tc>
        <w:tc>
          <w:tcPr>
            <w:tcW w:w="803" w:type="dxa"/>
          </w:tcPr>
          <w:p w14:paraId="7A9EB36D" w14:textId="77777777" w:rsidR="00BF3783" w:rsidRPr="006435B7" w:rsidRDefault="00BF3783" w:rsidP="00B1349B">
            <w:pPr>
              <w:spacing w:line="276" w:lineRule="auto"/>
              <w:jc w:val="center"/>
              <w:rPr>
                <w:rFonts w:cs="Times New Roman"/>
                <w:szCs w:val="24"/>
              </w:rPr>
            </w:pPr>
            <w:r w:rsidRPr="006435B7">
              <w:rPr>
                <w:rFonts w:cs="Times New Roman"/>
                <w:szCs w:val="24"/>
              </w:rPr>
              <w:t>3.61</w:t>
            </w:r>
          </w:p>
        </w:tc>
        <w:tc>
          <w:tcPr>
            <w:tcW w:w="676" w:type="dxa"/>
          </w:tcPr>
          <w:p w14:paraId="35564606" w14:textId="77777777" w:rsidR="00BF3783" w:rsidRPr="006435B7" w:rsidRDefault="00BF3783" w:rsidP="00B1349B">
            <w:pPr>
              <w:spacing w:line="276" w:lineRule="auto"/>
              <w:jc w:val="center"/>
              <w:rPr>
                <w:rFonts w:cs="Times New Roman"/>
                <w:szCs w:val="24"/>
              </w:rPr>
            </w:pPr>
            <w:r w:rsidRPr="006435B7">
              <w:rPr>
                <w:rFonts w:cs="Times New Roman"/>
                <w:szCs w:val="24"/>
              </w:rPr>
              <w:t>.668</w:t>
            </w:r>
          </w:p>
        </w:tc>
      </w:tr>
      <w:tr w:rsidR="00BF3783" w:rsidRPr="006435B7" w14:paraId="72C00C86" w14:textId="77777777" w:rsidTr="00B1349B">
        <w:tc>
          <w:tcPr>
            <w:tcW w:w="5255" w:type="dxa"/>
          </w:tcPr>
          <w:p w14:paraId="437EE3F1" w14:textId="77777777" w:rsidR="00BF3783" w:rsidRPr="006435B7" w:rsidRDefault="00BF3783" w:rsidP="00B1349B">
            <w:pPr>
              <w:spacing w:line="276" w:lineRule="auto"/>
              <w:rPr>
                <w:rFonts w:cs="Times New Roman"/>
                <w:szCs w:val="24"/>
              </w:rPr>
            </w:pPr>
            <w:r w:rsidRPr="006435B7">
              <w:rPr>
                <w:rFonts w:cs="Times New Roman"/>
                <w:szCs w:val="24"/>
              </w:rPr>
              <w:t>Minority shareholders' interests are well-protected in the bank's governance structure</w:t>
            </w:r>
          </w:p>
        </w:tc>
        <w:tc>
          <w:tcPr>
            <w:tcW w:w="523" w:type="dxa"/>
          </w:tcPr>
          <w:p w14:paraId="75FB5FDA" w14:textId="77777777" w:rsidR="00BF3783" w:rsidRPr="006435B7" w:rsidRDefault="00BF3783" w:rsidP="00B1349B">
            <w:pPr>
              <w:spacing w:line="276" w:lineRule="auto"/>
              <w:jc w:val="center"/>
              <w:rPr>
                <w:rFonts w:cs="Times New Roman"/>
                <w:szCs w:val="24"/>
              </w:rPr>
            </w:pPr>
            <w:r w:rsidRPr="006435B7">
              <w:rPr>
                <w:rFonts w:cs="Times New Roman"/>
                <w:szCs w:val="24"/>
              </w:rPr>
              <w:t>-</w:t>
            </w:r>
          </w:p>
        </w:tc>
        <w:tc>
          <w:tcPr>
            <w:tcW w:w="440" w:type="dxa"/>
          </w:tcPr>
          <w:p w14:paraId="47991D17" w14:textId="77777777" w:rsidR="00BF3783" w:rsidRPr="006435B7" w:rsidRDefault="00BF3783" w:rsidP="00B1349B">
            <w:pPr>
              <w:spacing w:line="276" w:lineRule="auto"/>
              <w:jc w:val="center"/>
              <w:rPr>
                <w:rFonts w:cs="Times New Roman"/>
                <w:szCs w:val="24"/>
              </w:rPr>
            </w:pPr>
            <w:r w:rsidRPr="006435B7">
              <w:rPr>
                <w:rFonts w:cs="Times New Roman"/>
                <w:szCs w:val="24"/>
              </w:rPr>
              <w:t>3.6%</w:t>
            </w:r>
          </w:p>
        </w:tc>
        <w:tc>
          <w:tcPr>
            <w:tcW w:w="440" w:type="dxa"/>
          </w:tcPr>
          <w:p w14:paraId="57FDCE9A" w14:textId="77777777" w:rsidR="00BF3783" w:rsidRPr="006435B7" w:rsidRDefault="00BF3783" w:rsidP="00B1349B">
            <w:pPr>
              <w:spacing w:line="276" w:lineRule="auto"/>
              <w:jc w:val="center"/>
              <w:rPr>
                <w:rFonts w:cs="Times New Roman"/>
                <w:szCs w:val="24"/>
              </w:rPr>
            </w:pPr>
            <w:r w:rsidRPr="006435B7">
              <w:rPr>
                <w:rFonts w:cs="Times New Roman"/>
                <w:szCs w:val="24"/>
              </w:rPr>
              <w:t>41.2%</w:t>
            </w:r>
          </w:p>
        </w:tc>
        <w:tc>
          <w:tcPr>
            <w:tcW w:w="440" w:type="dxa"/>
          </w:tcPr>
          <w:p w14:paraId="3EEBBC38" w14:textId="77777777" w:rsidR="00BF3783" w:rsidRPr="006435B7" w:rsidRDefault="00BF3783" w:rsidP="00B1349B">
            <w:pPr>
              <w:spacing w:line="276" w:lineRule="auto"/>
              <w:jc w:val="center"/>
              <w:rPr>
                <w:rFonts w:cs="Times New Roman"/>
                <w:szCs w:val="24"/>
              </w:rPr>
            </w:pPr>
            <w:r w:rsidRPr="006435B7">
              <w:rPr>
                <w:rFonts w:cs="Times New Roman"/>
                <w:szCs w:val="24"/>
              </w:rPr>
              <w:t>50.5%</w:t>
            </w:r>
          </w:p>
        </w:tc>
        <w:tc>
          <w:tcPr>
            <w:tcW w:w="523" w:type="dxa"/>
          </w:tcPr>
          <w:p w14:paraId="74A074C0" w14:textId="77777777" w:rsidR="00BF3783" w:rsidRPr="006435B7" w:rsidRDefault="00BF3783" w:rsidP="00B1349B">
            <w:pPr>
              <w:spacing w:line="276" w:lineRule="auto"/>
              <w:jc w:val="center"/>
              <w:rPr>
                <w:rFonts w:cs="Times New Roman"/>
                <w:szCs w:val="24"/>
              </w:rPr>
            </w:pPr>
            <w:r w:rsidRPr="006435B7">
              <w:rPr>
                <w:rFonts w:cs="Times New Roman"/>
                <w:szCs w:val="24"/>
              </w:rPr>
              <w:t>4.6%</w:t>
            </w:r>
          </w:p>
        </w:tc>
        <w:tc>
          <w:tcPr>
            <w:tcW w:w="803" w:type="dxa"/>
          </w:tcPr>
          <w:p w14:paraId="4AABE3BC" w14:textId="77777777" w:rsidR="00BF3783" w:rsidRPr="006435B7" w:rsidRDefault="00BF3783" w:rsidP="00B1349B">
            <w:pPr>
              <w:spacing w:line="276" w:lineRule="auto"/>
              <w:jc w:val="center"/>
              <w:rPr>
                <w:rFonts w:cs="Times New Roman"/>
                <w:szCs w:val="24"/>
              </w:rPr>
            </w:pPr>
            <w:r w:rsidRPr="006435B7">
              <w:rPr>
                <w:rFonts w:cs="Times New Roman"/>
                <w:szCs w:val="24"/>
              </w:rPr>
              <w:t>3.56</w:t>
            </w:r>
          </w:p>
        </w:tc>
        <w:tc>
          <w:tcPr>
            <w:tcW w:w="676" w:type="dxa"/>
          </w:tcPr>
          <w:p w14:paraId="3F4C720C" w14:textId="77777777" w:rsidR="00BF3783" w:rsidRPr="006435B7" w:rsidRDefault="00BF3783" w:rsidP="00B1349B">
            <w:pPr>
              <w:spacing w:line="276" w:lineRule="auto"/>
              <w:jc w:val="center"/>
              <w:rPr>
                <w:rFonts w:cs="Times New Roman"/>
                <w:szCs w:val="24"/>
              </w:rPr>
            </w:pPr>
            <w:r w:rsidRPr="006435B7">
              <w:rPr>
                <w:rFonts w:cs="Times New Roman"/>
                <w:szCs w:val="24"/>
              </w:rPr>
              <w:t>.643</w:t>
            </w:r>
          </w:p>
        </w:tc>
      </w:tr>
      <w:tr w:rsidR="00BF3783" w:rsidRPr="006435B7" w14:paraId="60F30F34" w14:textId="77777777" w:rsidTr="00B1349B">
        <w:tc>
          <w:tcPr>
            <w:tcW w:w="5255" w:type="dxa"/>
            <w:tcBorders>
              <w:bottom w:val="single" w:sz="4" w:space="0" w:color="auto"/>
            </w:tcBorders>
          </w:tcPr>
          <w:p w14:paraId="4CAD6C89" w14:textId="77777777" w:rsidR="00BF3783" w:rsidRPr="006435B7" w:rsidRDefault="00BF3783" w:rsidP="00B1349B">
            <w:pPr>
              <w:spacing w:line="276" w:lineRule="auto"/>
              <w:rPr>
                <w:rFonts w:cs="Times New Roman"/>
                <w:szCs w:val="24"/>
              </w:rPr>
            </w:pPr>
            <w:r w:rsidRPr="006435B7">
              <w:rPr>
                <w:rFonts w:cs="Times New Roman"/>
                <w:szCs w:val="24"/>
              </w:rPr>
              <w:t>Shareholder activism (e.g., shareholder proposals) has improved the bank’s performance</w:t>
            </w:r>
          </w:p>
        </w:tc>
        <w:tc>
          <w:tcPr>
            <w:tcW w:w="523" w:type="dxa"/>
            <w:tcBorders>
              <w:bottom w:val="single" w:sz="4" w:space="0" w:color="auto"/>
            </w:tcBorders>
          </w:tcPr>
          <w:p w14:paraId="3429A75A" w14:textId="77777777" w:rsidR="00BF3783" w:rsidRPr="006435B7" w:rsidRDefault="00BF3783" w:rsidP="00B1349B">
            <w:pPr>
              <w:spacing w:line="276" w:lineRule="auto"/>
              <w:jc w:val="center"/>
              <w:rPr>
                <w:rFonts w:cs="Times New Roman"/>
                <w:szCs w:val="24"/>
              </w:rPr>
            </w:pPr>
            <w:r w:rsidRPr="006435B7">
              <w:rPr>
                <w:rFonts w:cs="Times New Roman"/>
                <w:szCs w:val="24"/>
              </w:rPr>
              <w:t>-</w:t>
            </w:r>
          </w:p>
        </w:tc>
        <w:tc>
          <w:tcPr>
            <w:tcW w:w="440" w:type="dxa"/>
            <w:tcBorders>
              <w:bottom w:val="single" w:sz="4" w:space="0" w:color="auto"/>
            </w:tcBorders>
          </w:tcPr>
          <w:p w14:paraId="3D05EA88" w14:textId="77777777" w:rsidR="00BF3783" w:rsidRPr="006435B7" w:rsidRDefault="00BF3783" w:rsidP="00B1349B">
            <w:pPr>
              <w:spacing w:line="276" w:lineRule="auto"/>
              <w:jc w:val="center"/>
              <w:rPr>
                <w:rFonts w:cs="Times New Roman"/>
                <w:szCs w:val="24"/>
              </w:rPr>
            </w:pPr>
            <w:r w:rsidRPr="006435B7">
              <w:rPr>
                <w:rFonts w:cs="Times New Roman"/>
                <w:szCs w:val="24"/>
              </w:rPr>
              <w:t>3.1%</w:t>
            </w:r>
          </w:p>
        </w:tc>
        <w:tc>
          <w:tcPr>
            <w:tcW w:w="440" w:type="dxa"/>
            <w:tcBorders>
              <w:bottom w:val="single" w:sz="4" w:space="0" w:color="auto"/>
            </w:tcBorders>
          </w:tcPr>
          <w:p w14:paraId="27033E25" w14:textId="77777777" w:rsidR="00BF3783" w:rsidRPr="006435B7" w:rsidRDefault="00BF3783" w:rsidP="00B1349B">
            <w:pPr>
              <w:spacing w:line="276" w:lineRule="auto"/>
              <w:jc w:val="center"/>
              <w:rPr>
                <w:rFonts w:cs="Times New Roman"/>
                <w:szCs w:val="24"/>
              </w:rPr>
            </w:pPr>
            <w:r w:rsidRPr="006435B7">
              <w:rPr>
                <w:rFonts w:cs="Times New Roman"/>
                <w:szCs w:val="24"/>
              </w:rPr>
              <w:t>44.3%</w:t>
            </w:r>
          </w:p>
        </w:tc>
        <w:tc>
          <w:tcPr>
            <w:tcW w:w="440" w:type="dxa"/>
            <w:tcBorders>
              <w:bottom w:val="single" w:sz="4" w:space="0" w:color="auto"/>
            </w:tcBorders>
          </w:tcPr>
          <w:p w14:paraId="4273EA02" w14:textId="77777777" w:rsidR="00BF3783" w:rsidRPr="006435B7" w:rsidRDefault="00BF3783" w:rsidP="00B1349B">
            <w:pPr>
              <w:spacing w:line="276" w:lineRule="auto"/>
              <w:jc w:val="center"/>
              <w:rPr>
                <w:rFonts w:cs="Times New Roman"/>
                <w:szCs w:val="24"/>
              </w:rPr>
            </w:pPr>
            <w:r w:rsidRPr="006435B7">
              <w:rPr>
                <w:rFonts w:cs="Times New Roman"/>
                <w:szCs w:val="24"/>
              </w:rPr>
              <w:t>44.8%</w:t>
            </w:r>
          </w:p>
        </w:tc>
        <w:tc>
          <w:tcPr>
            <w:tcW w:w="523" w:type="dxa"/>
            <w:tcBorders>
              <w:bottom w:val="single" w:sz="4" w:space="0" w:color="auto"/>
            </w:tcBorders>
          </w:tcPr>
          <w:p w14:paraId="73E51D06" w14:textId="77777777" w:rsidR="00BF3783" w:rsidRPr="006435B7" w:rsidRDefault="00BF3783" w:rsidP="00B1349B">
            <w:pPr>
              <w:spacing w:line="276" w:lineRule="auto"/>
              <w:jc w:val="center"/>
              <w:rPr>
                <w:rFonts w:cs="Times New Roman"/>
                <w:szCs w:val="24"/>
              </w:rPr>
            </w:pPr>
            <w:r w:rsidRPr="006435B7">
              <w:rPr>
                <w:rFonts w:cs="Times New Roman"/>
                <w:szCs w:val="24"/>
              </w:rPr>
              <w:t>7.7%</w:t>
            </w:r>
          </w:p>
        </w:tc>
        <w:tc>
          <w:tcPr>
            <w:tcW w:w="803" w:type="dxa"/>
            <w:tcBorders>
              <w:bottom w:val="single" w:sz="4" w:space="0" w:color="auto"/>
            </w:tcBorders>
          </w:tcPr>
          <w:p w14:paraId="37976844" w14:textId="77777777" w:rsidR="00BF3783" w:rsidRPr="006435B7" w:rsidRDefault="00BF3783" w:rsidP="00B1349B">
            <w:pPr>
              <w:spacing w:line="276" w:lineRule="auto"/>
              <w:jc w:val="center"/>
              <w:rPr>
                <w:rFonts w:cs="Times New Roman"/>
                <w:szCs w:val="24"/>
              </w:rPr>
            </w:pPr>
            <w:r w:rsidRPr="006435B7">
              <w:rPr>
                <w:rFonts w:cs="Times New Roman"/>
                <w:szCs w:val="24"/>
              </w:rPr>
              <w:t>3.57</w:t>
            </w:r>
          </w:p>
        </w:tc>
        <w:tc>
          <w:tcPr>
            <w:tcW w:w="676" w:type="dxa"/>
            <w:tcBorders>
              <w:bottom w:val="single" w:sz="4" w:space="0" w:color="auto"/>
            </w:tcBorders>
          </w:tcPr>
          <w:p w14:paraId="4687C08F" w14:textId="77777777" w:rsidR="00BF3783" w:rsidRPr="006435B7" w:rsidRDefault="00BF3783" w:rsidP="00B1349B">
            <w:pPr>
              <w:spacing w:line="276" w:lineRule="auto"/>
              <w:jc w:val="center"/>
              <w:rPr>
                <w:rFonts w:cs="Times New Roman"/>
                <w:szCs w:val="24"/>
              </w:rPr>
            </w:pPr>
            <w:r w:rsidRPr="006435B7">
              <w:rPr>
                <w:rFonts w:cs="Times New Roman"/>
                <w:szCs w:val="24"/>
              </w:rPr>
              <w:t>.681</w:t>
            </w:r>
          </w:p>
        </w:tc>
      </w:tr>
    </w:tbl>
    <w:p w14:paraId="679B3540" w14:textId="756761C3" w:rsidR="00BF3783" w:rsidRPr="006435B7" w:rsidRDefault="00BF3783" w:rsidP="00BF3783">
      <w:pPr>
        <w:rPr>
          <w:rFonts w:cs="Times New Roman"/>
          <w:b/>
          <w:bCs/>
          <w:szCs w:val="24"/>
        </w:rPr>
      </w:pPr>
      <w:r w:rsidRPr="006435B7">
        <w:rPr>
          <w:rFonts w:cs="Times New Roman"/>
          <w:b/>
          <w:bCs/>
          <w:szCs w:val="24"/>
        </w:rPr>
        <w:t>Source: Survey Data (2026)</w:t>
      </w:r>
    </w:p>
    <w:p w14:paraId="4EED4CB6" w14:textId="377487F6" w:rsidR="00BF3783" w:rsidRPr="006435B7" w:rsidRDefault="00BF3783" w:rsidP="00BF3783">
      <w:pPr>
        <w:spacing w:before="0" w:line="240" w:lineRule="auto"/>
        <w:rPr>
          <w:b/>
          <w:sz w:val="28"/>
        </w:rPr>
      </w:pPr>
      <w:r w:rsidRPr="006435B7">
        <w:rPr>
          <w:b/>
          <w:sz w:val="28"/>
        </w:rPr>
        <w:t>Inferential Analysis</w:t>
      </w:r>
    </w:p>
    <w:p w14:paraId="00A4C374" w14:textId="72C3F5A3" w:rsidR="00BF3783" w:rsidRPr="006435B7" w:rsidRDefault="00BF3783" w:rsidP="00BF3783">
      <w:pPr>
        <w:spacing w:before="0" w:line="240" w:lineRule="auto"/>
      </w:pPr>
      <w:r w:rsidRPr="006435B7">
        <w:t>Inferential analysis was conducted to establish the relationship between corporate governance practices and organizational performance of commercial banks in Kisumu County. The analysis comprised Pearson correlation, multiple regression, model summary, and ANOVA.</w:t>
      </w:r>
    </w:p>
    <w:p w14:paraId="62B35A69" w14:textId="77777777" w:rsidR="00BF3783" w:rsidRPr="006435B7" w:rsidRDefault="00BF3783" w:rsidP="00BF3783">
      <w:pPr>
        <w:spacing w:before="0" w:line="240" w:lineRule="auto"/>
      </w:pPr>
    </w:p>
    <w:p w14:paraId="4BEAEABE" w14:textId="285CF5BC" w:rsidR="00BF3783" w:rsidRPr="006435B7" w:rsidRDefault="00BF3783" w:rsidP="00BF3783">
      <w:pPr>
        <w:spacing w:before="0" w:line="240" w:lineRule="auto"/>
        <w:rPr>
          <w:b/>
          <w:i/>
        </w:rPr>
      </w:pPr>
      <w:r w:rsidRPr="006435B7">
        <w:rPr>
          <w:b/>
          <w:i/>
        </w:rPr>
        <w:t>Pearson Correlation</w:t>
      </w:r>
    </w:p>
    <w:p w14:paraId="0E3C5E4F" w14:textId="3F28D578" w:rsidR="00BF3783" w:rsidRPr="006435B7" w:rsidRDefault="00BF3783" w:rsidP="00BF3783">
      <w:pPr>
        <w:spacing w:before="0" w:line="240" w:lineRule="auto"/>
        <w:rPr>
          <w:b/>
          <w:i/>
        </w:rPr>
      </w:pPr>
      <w:r w:rsidRPr="006435B7">
        <w:rPr>
          <w:b/>
          <w:i/>
        </w:rPr>
        <w:t>Table 3 Pearson Correlation</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85"/>
        <w:gridCol w:w="1860"/>
        <w:gridCol w:w="1880"/>
        <w:gridCol w:w="1048"/>
        <w:gridCol w:w="1500"/>
        <w:gridCol w:w="2457"/>
      </w:tblGrid>
      <w:tr w:rsidR="00BF3783" w:rsidRPr="006435B7" w14:paraId="7AFD9AAD" w14:textId="77777777" w:rsidTr="00BF3783">
        <w:trPr>
          <w:tblHeader/>
          <w:tblCellSpacing w:w="15" w:type="dxa"/>
        </w:trPr>
        <w:tc>
          <w:tcPr>
            <w:tcW w:w="0" w:type="auto"/>
            <w:tcBorders>
              <w:top w:val="single" w:sz="4" w:space="0" w:color="auto"/>
              <w:bottom w:val="single" w:sz="4" w:space="0" w:color="auto"/>
            </w:tcBorders>
            <w:vAlign w:val="center"/>
            <w:hideMark/>
          </w:tcPr>
          <w:p w14:paraId="3CFAAF20" w14:textId="77777777" w:rsidR="00BF3783" w:rsidRPr="006435B7" w:rsidRDefault="00BF3783" w:rsidP="00BF3783">
            <w:pPr>
              <w:spacing w:before="0" w:line="240" w:lineRule="auto"/>
              <w:rPr>
                <w:b/>
              </w:rPr>
            </w:pPr>
            <w:r w:rsidRPr="006435B7">
              <w:rPr>
                <w:b/>
              </w:rPr>
              <w:t>Variables</w:t>
            </w:r>
          </w:p>
        </w:tc>
        <w:tc>
          <w:tcPr>
            <w:tcW w:w="0" w:type="auto"/>
            <w:tcBorders>
              <w:top w:val="single" w:sz="4" w:space="0" w:color="auto"/>
              <w:bottom w:val="single" w:sz="4" w:space="0" w:color="auto"/>
            </w:tcBorders>
            <w:vAlign w:val="center"/>
            <w:hideMark/>
          </w:tcPr>
          <w:p w14:paraId="781D41D4" w14:textId="77777777" w:rsidR="00BF3783" w:rsidRPr="006435B7" w:rsidRDefault="00BF3783" w:rsidP="00BF3783">
            <w:pPr>
              <w:spacing w:before="0" w:line="240" w:lineRule="auto"/>
              <w:rPr>
                <w:b/>
              </w:rPr>
            </w:pPr>
            <w:r w:rsidRPr="006435B7">
              <w:rPr>
                <w:b/>
              </w:rPr>
              <w:t>Shareholder Rights</w:t>
            </w:r>
          </w:p>
        </w:tc>
        <w:tc>
          <w:tcPr>
            <w:tcW w:w="0" w:type="auto"/>
            <w:tcBorders>
              <w:top w:val="single" w:sz="4" w:space="0" w:color="auto"/>
              <w:bottom w:val="single" w:sz="4" w:space="0" w:color="auto"/>
            </w:tcBorders>
            <w:vAlign w:val="center"/>
            <w:hideMark/>
          </w:tcPr>
          <w:p w14:paraId="15734EBD" w14:textId="77777777" w:rsidR="00BF3783" w:rsidRPr="006435B7" w:rsidRDefault="00BF3783" w:rsidP="00BF3783">
            <w:pPr>
              <w:spacing w:before="0" w:line="240" w:lineRule="auto"/>
              <w:rPr>
                <w:b/>
              </w:rPr>
            </w:pPr>
            <w:r w:rsidRPr="006435B7">
              <w:rPr>
                <w:b/>
              </w:rPr>
              <w:t>Board Composition</w:t>
            </w:r>
          </w:p>
        </w:tc>
        <w:tc>
          <w:tcPr>
            <w:tcW w:w="0" w:type="auto"/>
            <w:tcBorders>
              <w:top w:val="single" w:sz="4" w:space="0" w:color="auto"/>
              <w:bottom w:val="single" w:sz="4" w:space="0" w:color="auto"/>
            </w:tcBorders>
            <w:vAlign w:val="center"/>
            <w:hideMark/>
          </w:tcPr>
          <w:p w14:paraId="03A071B8" w14:textId="77777777" w:rsidR="00BF3783" w:rsidRPr="006435B7" w:rsidRDefault="00BF3783" w:rsidP="00BF3783">
            <w:pPr>
              <w:spacing w:before="0" w:line="240" w:lineRule="auto"/>
              <w:rPr>
                <w:b/>
              </w:rPr>
            </w:pPr>
            <w:r w:rsidRPr="006435B7">
              <w:rPr>
                <w:b/>
              </w:rPr>
              <w:t>Board Size</w:t>
            </w:r>
          </w:p>
        </w:tc>
        <w:tc>
          <w:tcPr>
            <w:tcW w:w="0" w:type="auto"/>
            <w:tcBorders>
              <w:top w:val="single" w:sz="4" w:space="0" w:color="auto"/>
              <w:bottom w:val="single" w:sz="4" w:space="0" w:color="auto"/>
            </w:tcBorders>
            <w:vAlign w:val="center"/>
            <w:hideMark/>
          </w:tcPr>
          <w:p w14:paraId="3D375724" w14:textId="77777777" w:rsidR="00BF3783" w:rsidRPr="006435B7" w:rsidRDefault="00BF3783" w:rsidP="00BF3783">
            <w:pPr>
              <w:spacing w:before="0" w:line="240" w:lineRule="auto"/>
              <w:rPr>
                <w:b/>
              </w:rPr>
            </w:pPr>
            <w:r w:rsidRPr="006435B7">
              <w:rPr>
                <w:b/>
              </w:rPr>
              <w:t>Transparency</w:t>
            </w:r>
          </w:p>
        </w:tc>
        <w:tc>
          <w:tcPr>
            <w:tcW w:w="0" w:type="auto"/>
            <w:tcBorders>
              <w:top w:val="single" w:sz="4" w:space="0" w:color="auto"/>
              <w:bottom w:val="single" w:sz="4" w:space="0" w:color="auto"/>
            </w:tcBorders>
            <w:vAlign w:val="center"/>
            <w:hideMark/>
          </w:tcPr>
          <w:p w14:paraId="0F16DBDE" w14:textId="77777777" w:rsidR="00BF3783" w:rsidRPr="006435B7" w:rsidRDefault="00BF3783" w:rsidP="00BF3783">
            <w:pPr>
              <w:spacing w:before="0" w:line="240" w:lineRule="auto"/>
              <w:rPr>
                <w:b/>
              </w:rPr>
            </w:pPr>
            <w:r w:rsidRPr="006435B7">
              <w:rPr>
                <w:b/>
              </w:rPr>
              <w:t>Organization Performance</w:t>
            </w:r>
          </w:p>
        </w:tc>
      </w:tr>
      <w:tr w:rsidR="00BF3783" w:rsidRPr="006435B7" w14:paraId="36BDDA71" w14:textId="77777777" w:rsidTr="00BF3783">
        <w:trPr>
          <w:tblCellSpacing w:w="15" w:type="dxa"/>
        </w:trPr>
        <w:tc>
          <w:tcPr>
            <w:tcW w:w="0" w:type="auto"/>
            <w:vAlign w:val="center"/>
            <w:hideMark/>
          </w:tcPr>
          <w:p w14:paraId="6E23E68A" w14:textId="77777777" w:rsidR="00BF3783" w:rsidRPr="006435B7" w:rsidRDefault="00BF3783" w:rsidP="00BF3783">
            <w:pPr>
              <w:spacing w:before="0" w:line="240" w:lineRule="auto"/>
            </w:pPr>
            <w:r w:rsidRPr="006435B7">
              <w:t>Shareholder Rights</w:t>
            </w:r>
          </w:p>
        </w:tc>
        <w:tc>
          <w:tcPr>
            <w:tcW w:w="0" w:type="auto"/>
            <w:vAlign w:val="center"/>
            <w:hideMark/>
          </w:tcPr>
          <w:p w14:paraId="72503A89" w14:textId="77777777" w:rsidR="00BF3783" w:rsidRPr="006435B7" w:rsidRDefault="00BF3783" w:rsidP="00BF3783">
            <w:pPr>
              <w:spacing w:before="0" w:line="240" w:lineRule="auto"/>
            </w:pPr>
            <w:r w:rsidRPr="006435B7">
              <w:t>1</w:t>
            </w:r>
          </w:p>
        </w:tc>
        <w:tc>
          <w:tcPr>
            <w:tcW w:w="0" w:type="auto"/>
            <w:vAlign w:val="center"/>
            <w:hideMark/>
          </w:tcPr>
          <w:p w14:paraId="0AE28419" w14:textId="77777777" w:rsidR="00BF3783" w:rsidRPr="006435B7" w:rsidRDefault="00BF3783" w:rsidP="00BF3783">
            <w:pPr>
              <w:spacing w:before="0" w:line="240" w:lineRule="auto"/>
            </w:pPr>
            <w:r w:rsidRPr="006435B7">
              <w:t>.025</w:t>
            </w:r>
          </w:p>
        </w:tc>
        <w:tc>
          <w:tcPr>
            <w:tcW w:w="0" w:type="auto"/>
            <w:vAlign w:val="center"/>
            <w:hideMark/>
          </w:tcPr>
          <w:p w14:paraId="2EF25CF8" w14:textId="77777777" w:rsidR="00BF3783" w:rsidRPr="006435B7" w:rsidRDefault="00BF3783" w:rsidP="00BF3783">
            <w:pPr>
              <w:spacing w:before="0" w:line="240" w:lineRule="auto"/>
            </w:pPr>
            <w:r w:rsidRPr="006435B7">
              <w:t>.060</w:t>
            </w:r>
          </w:p>
        </w:tc>
        <w:tc>
          <w:tcPr>
            <w:tcW w:w="0" w:type="auto"/>
            <w:vAlign w:val="center"/>
            <w:hideMark/>
          </w:tcPr>
          <w:p w14:paraId="22E55E2D" w14:textId="77777777" w:rsidR="00BF3783" w:rsidRPr="006435B7" w:rsidRDefault="00BF3783" w:rsidP="00BF3783">
            <w:pPr>
              <w:spacing w:before="0" w:line="240" w:lineRule="auto"/>
            </w:pPr>
            <w:r w:rsidRPr="006435B7">
              <w:t>.116</w:t>
            </w:r>
          </w:p>
        </w:tc>
        <w:tc>
          <w:tcPr>
            <w:tcW w:w="0" w:type="auto"/>
            <w:vAlign w:val="center"/>
            <w:hideMark/>
          </w:tcPr>
          <w:p w14:paraId="545AB425" w14:textId="77777777" w:rsidR="00BF3783" w:rsidRPr="006435B7" w:rsidRDefault="00BF3783" w:rsidP="00BF3783">
            <w:pPr>
              <w:spacing w:before="0" w:line="240" w:lineRule="auto"/>
            </w:pPr>
            <w:r w:rsidRPr="006435B7">
              <w:t>.362</w:t>
            </w:r>
          </w:p>
        </w:tc>
      </w:tr>
      <w:tr w:rsidR="00BF3783" w:rsidRPr="006435B7" w14:paraId="39A497B4" w14:textId="77777777" w:rsidTr="00BF3783">
        <w:trPr>
          <w:tblCellSpacing w:w="15" w:type="dxa"/>
        </w:trPr>
        <w:tc>
          <w:tcPr>
            <w:tcW w:w="0" w:type="auto"/>
            <w:vAlign w:val="center"/>
            <w:hideMark/>
          </w:tcPr>
          <w:p w14:paraId="2C71E337" w14:textId="77777777" w:rsidR="00BF3783" w:rsidRPr="006435B7" w:rsidRDefault="00BF3783" w:rsidP="00BF3783">
            <w:pPr>
              <w:spacing w:before="0" w:line="240" w:lineRule="auto"/>
            </w:pPr>
            <w:r w:rsidRPr="006435B7">
              <w:t>Sig. (2-tailed)</w:t>
            </w:r>
          </w:p>
        </w:tc>
        <w:tc>
          <w:tcPr>
            <w:tcW w:w="0" w:type="auto"/>
            <w:vAlign w:val="center"/>
            <w:hideMark/>
          </w:tcPr>
          <w:p w14:paraId="2826775E" w14:textId="77777777" w:rsidR="00BF3783" w:rsidRPr="006435B7" w:rsidRDefault="00BF3783" w:rsidP="00BF3783">
            <w:pPr>
              <w:spacing w:before="0" w:line="240" w:lineRule="auto"/>
            </w:pPr>
            <w:r w:rsidRPr="006435B7">
              <w:t>—</w:t>
            </w:r>
          </w:p>
        </w:tc>
        <w:tc>
          <w:tcPr>
            <w:tcW w:w="0" w:type="auto"/>
            <w:vAlign w:val="center"/>
            <w:hideMark/>
          </w:tcPr>
          <w:p w14:paraId="66BE2870" w14:textId="77777777" w:rsidR="00BF3783" w:rsidRPr="006435B7" w:rsidRDefault="00BF3783" w:rsidP="00BF3783">
            <w:pPr>
              <w:spacing w:before="0" w:line="240" w:lineRule="auto"/>
            </w:pPr>
            <w:r w:rsidRPr="006435B7">
              <w:t>.725</w:t>
            </w:r>
          </w:p>
        </w:tc>
        <w:tc>
          <w:tcPr>
            <w:tcW w:w="0" w:type="auto"/>
            <w:vAlign w:val="center"/>
            <w:hideMark/>
          </w:tcPr>
          <w:p w14:paraId="282241FB" w14:textId="77777777" w:rsidR="00BF3783" w:rsidRPr="006435B7" w:rsidRDefault="00BF3783" w:rsidP="00BF3783">
            <w:pPr>
              <w:spacing w:before="0" w:line="240" w:lineRule="auto"/>
            </w:pPr>
            <w:r w:rsidRPr="006435B7">
              <w:t>.403</w:t>
            </w:r>
          </w:p>
        </w:tc>
        <w:tc>
          <w:tcPr>
            <w:tcW w:w="0" w:type="auto"/>
            <w:vAlign w:val="center"/>
            <w:hideMark/>
          </w:tcPr>
          <w:p w14:paraId="454A063C" w14:textId="77777777" w:rsidR="00BF3783" w:rsidRPr="006435B7" w:rsidRDefault="00BF3783" w:rsidP="00BF3783">
            <w:pPr>
              <w:spacing w:before="0" w:line="240" w:lineRule="auto"/>
            </w:pPr>
            <w:r w:rsidRPr="006435B7">
              <w:t>.107</w:t>
            </w:r>
          </w:p>
        </w:tc>
        <w:tc>
          <w:tcPr>
            <w:tcW w:w="0" w:type="auto"/>
            <w:vAlign w:val="center"/>
            <w:hideMark/>
          </w:tcPr>
          <w:p w14:paraId="43DE13A6" w14:textId="77777777" w:rsidR="00BF3783" w:rsidRPr="006435B7" w:rsidRDefault="00BF3783" w:rsidP="00BF3783">
            <w:pPr>
              <w:spacing w:before="0" w:line="240" w:lineRule="auto"/>
            </w:pPr>
            <w:r w:rsidRPr="006435B7">
              <w:t>.039</w:t>
            </w:r>
          </w:p>
        </w:tc>
      </w:tr>
      <w:tr w:rsidR="00BF3783" w:rsidRPr="006435B7" w14:paraId="7A0803CB" w14:textId="77777777" w:rsidTr="00BF3783">
        <w:trPr>
          <w:tblCellSpacing w:w="15" w:type="dxa"/>
        </w:trPr>
        <w:tc>
          <w:tcPr>
            <w:tcW w:w="0" w:type="auto"/>
            <w:vAlign w:val="center"/>
            <w:hideMark/>
          </w:tcPr>
          <w:p w14:paraId="7A5CAA68" w14:textId="77777777" w:rsidR="00BF3783" w:rsidRPr="006435B7" w:rsidRDefault="00BF3783" w:rsidP="00BF3783">
            <w:pPr>
              <w:spacing w:before="0" w:line="240" w:lineRule="auto"/>
            </w:pPr>
            <w:r w:rsidRPr="006435B7">
              <w:t>Board Composition</w:t>
            </w:r>
          </w:p>
        </w:tc>
        <w:tc>
          <w:tcPr>
            <w:tcW w:w="0" w:type="auto"/>
            <w:vAlign w:val="center"/>
            <w:hideMark/>
          </w:tcPr>
          <w:p w14:paraId="500245B3" w14:textId="77777777" w:rsidR="00BF3783" w:rsidRPr="006435B7" w:rsidRDefault="00BF3783" w:rsidP="00BF3783">
            <w:pPr>
              <w:spacing w:before="0" w:line="240" w:lineRule="auto"/>
            </w:pPr>
            <w:r w:rsidRPr="006435B7">
              <w:t>.025</w:t>
            </w:r>
          </w:p>
        </w:tc>
        <w:tc>
          <w:tcPr>
            <w:tcW w:w="0" w:type="auto"/>
            <w:vAlign w:val="center"/>
            <w:hideMark/>
          </w:tcPr>
          <w:p w14:paraId="0238CFDA" w14:textId="77777777" w:rsidR="00BF3783" w:rsidRPr="006435B7" w:rsidRDefault="00BF3783" w:rsidP="00BF3783">
            <w:pPr>
              <w:spacing w:before="0" w:line="240" w:lineRule="auto"/>
            </w:pPr>
            <w:r w:rsidRPr="006435B7">
              <w:t>1</w:t>
            </w:r>
          </w:p>
        </w:tc>
        <w:tc>
          <w:tcPr>
            <w:tcW w:w="0" w:type="auto"/>
            <w:vAlign w:val="center"/>
            <w:hideMark/>
          </w:tcPr>
          <w:p w14:paraId="588AA048" w14:textId="77777777" w:rsidR="00BF3783" w:rsidRPr="006435B7" w:rsidRDefault="00BF3783" w:rsidP="00BF3783">
            <w:pPr>
              <w:spacing w:before="0" w:line="240" w:lineRule="auto"/>
            </w:pPr>
            <w:r w:rsidRPr="006435B7">
              <w:t>.074</w:t>
            </w:r>
          </w:p>
        </w:tc>
        <w:tc>
          <w:tcPr>
            <w:tcW w:w="0" w:type="auto"/>
            <w:vAlign w:val="center"/>
            <w:hideMark/>
          </w:tcPr>
          <w:p w14:paraId="5933CBF0" w14:textId="77777777" w:rsidR="00BF3783" w:rsidRPr="006435B7" w:rsidRDefault="00BF3783" w:rsidP="00BF3783">
            <w:pPr>
              <w:spacing w:before="0" w:line="240" w:lineRule="auto"/>
            </w:pPr>
            <w:r w:rsidRPr="006435B7">
              <w:t>.065</w:t>
            </w:r>
          </w:p>
        </w:tc>
        <w:tc>
          <w:tcPr>
            <w:tcW w:w="0" w:type="auto"/>
            <w:vAlign w:val="center"/>
            <w:hideMark/>
          </w:tcPr>
          <w:p w14:paraId="3323A89B" w14:textId="77777777" w:rsidR="00BF3783" w:rsidRPr="006435B7" w:rsidRDefault="00BF3783" w:rsidP="00BF3783">
            <w:pPr>
              <w:spacing w:before="0" w:line="240" w:lineRule="auto"/>
            </w:pPr>
            <w:r w:rsidRPr="006435B7">
              <w:t>.359</w:t>
            </w:r>
          </w:p>
        </w:tc>
      </w:tr>
      <w:tr w:rsidR="00BF3783" w:rsidRPr="006435B7" w14:paraId="03C9F16D" w14:textId="77777777" w:rsidTr="00BF3783">
        <w:trPr>
          <w:tblCellSpacing w:w="15" w:type="dxa"/>
        </w:trPr>
        <w:tc>
          <w:tcPr>
            <w:tcW w:w="0" w:type="auto"/>
            <w:vAlign w:val="center"/>
            <w:hideMark/>
          </w:tcPr>
          <w:p w14:paraId="20867982" w14:textId="77777777" w:rsidR="00BF3783" w:rsidRPr="006435B7" w:rsidRDefault="00BF3783" w:rsidP="00BF3783">
            <w:pPr>
              <w:spacing w:before="0" w:line="240" w:lineRule="auto"/>
            </w:pPr>
            <w:r w:rsidRPr="006435B7">
              <w:t>Sig. (2-tailed)</w:t>
            </w:r>
          </w:p>
        </w:tc>
        <w:tc>
          <w:tcPr>
            <w:tcW w:w="0" w:type="auto"/>
            <w:vAlign w:val="center"/>
            <w:hideMark/>
          </w:tcPr>
          <w:p w14:paraId="61F04651" w14:textId="77777777" w:rsidR="00BF3783" w:rsidRPr="006435B7" w:rsidRDefault="00BF3783" w:rsidP="00BF3783">
            <w:pPr>
              <w:spacing w:before="0" w:line="240" w:lineRule="auto"/>
            </w:pPr>
            <w:r w:rsidRPr="006435B7">
              <w:t>.725</w:t>
            </w:r>
          </w:p>
        </w:tc>
        <w:tc>
          <w:tcPr>
            <w:tcW w:w="0" w:type="auto"/>
            <w:vAlign w:val="center"/>
            <w:hideMark/>
          </w:tcPr>
          <w:p w14:paraId="59C68650" w14:textId="77777777" w:rsidR="00BF3783" w:rsidRPr="006435B7" w:rsidRDefault="00BF3783" w:rsidP="00BF3783">
            <w:pPr>
              <w:spacing w:before="0" w:line="240" w:lineRule="auto"/>
            </w:pPr>
            <w:r w:rsidRPr="006435B7">
              <w:t>—</w:t>
            </w:r>
          </w:p>
        </w:tc>
        <w:tc>
          <w:tcPr>
            <w:tcW w:w="0" w:type="auto"/>
            <w:vAlign w:val="center"/>
            <w:hideMark/>
          </w:tcPr>
          <w:p w14:paraId="301B92B1" w14:textId="77777777" w:rsidR="00BF3783" w:rsidRPr="006435B7" w:rsidRDefault="00BF3783" w:rsidP="00BF3783">
            <w:pPr>
              <w:spacing w:before="0" w:line="240" w:lineRule="auto"/>
            </w:pPr>
            <w:r w:rsidRPr="006435B7">
              <w:t>.306</w:t>
            </w:r>
          </w:p>
        </w:tc>
        <w:tc>
          <w:tcPr>
            <w:tcW w:w="0" w:type="auto"/>
            <w:vAlign w:val="center"/>
            <w:hideMark/>
          </w:tcPr>
          <w:p w14:paraId="2CD74BCC" w14:textId="77777777" w:rsidR="00BF3783" w:rsidRPr="006435B7" w:rsidRDefault="00BF3783" w:rsidP="00BF3783">
            <w:pPr>
              <w:spacing w:before="0" w:line="240" w:lineRule="auto"/>
            </w:pPr>
            <w:r w:rsidRPr="006435B7">
              <w:t>.370</w:t>
            </w:r>
          </w:p>
        </w:tc>
        <w:tc>
          <w:tcPr>
            <w:tcW w:w="0" w:type="auto"/>
            <w:vAlign w:val="center"/>
            <w:hideMark/>
          </w:tcPr>
          <w:p w14:paraId="5A838D20" w14:textId="77777777" w:rsidR="00BF3783" w:rsidRPr="006435B7" w:rsidRDefault="00BF3783" w:rsidP="00BF3783">
            <w:pPr>
              <w:spacing w:before="0" w:line="240" w:lineRule="auto"/>
            </w:pPr>
            <w:r w:rsidRPr="006435B7">
              <w:t>.048</w:t>
            </w:r>
          </w:p>
        </w:tc>
      </w:tr>
      <w:tr w:rsidR="00BF3783" w:rsidRPr="006435B7" w14:paraId="7B65BA73" w14:textId="77777777" w:rsidTr="00BF3783">
        <w:trPr>
          <w:tblCellSpacing w:w="15" w:type="dxa"/>
        </w:trPr>
        <w:tc>
          <w:tcPr>
            <w:tcW w:w="0" w:type="auto"/>
            <w:vAlign w:val="center"/>
            <w:hideMark/>
          </w:tcPr>
          <w:p w14:paraId="753F8C2E" w14:textId="77777777" w:rsidR="00BF3783" w:rsidRPr="006435B7" w:rsidRDefault="00BF3783" w:rsidP="00BF3783">
            <w:pPr>
              <w:spacing w:before="0" w:line="240" w:lineRule="auto"/>
            </w:pPr>
            <w:r w:rsidRPr="006435B7">
              <w:t>Board Size</w:t>
            </w:r>
          </w:p>
        </w:tc>
        <w:tc>
          <w:tcPr>
            <w:tcW w:w="0" w:type="auto"/>
            <w:vAlign w:val="center"/>
            <w:hideMark/>
          </w:tcPr>
          <w:p w14:paraId="21F1B9A6" w14:textId="77777777" w:rsidR="00BF3783" w:rsidRPr="006435B7" w:rsidRDefault="00BF3783" w:rsidP="00BF3783">
            <w:pPr>
              <w:spacing w:before="0" w:line="240" w:lineRule="auto"/>
            </w:pPr>
            <w:r w:rsidRPr="006435B7">
              <w:t>.060</w:t>
            </w:r>
          </w:p>
        </w:tc>
        <w:tc>
          <w:tcPr>
            <w:tcW w:w="0" w:type="auto"/>
            <w:vAlign w:val="center"/>
            <w:hideMark/>
          </w:tcPr>
          <w:p w14:paraId="516BCF60" w14:textId="77777777" w:rsidR="00BF3783" w:rsidRPr="006435B7" w:rsidRDefault="00BF3783" w:rsidP="00BF3783">
            <w:pPr>
              <w:spacing w:before="0" w:line="240" w:lineRule="auto"/>
            </w:pPr>
            <w:r w:rsidRPr="006435B7">
              <w:t>.074</w:t>
            </w:r>
          </w:p>
        </w:tc>
        <w:tc>
          <w:tcPr>
            <w:tcW w:w="0" w:type="auto"/>
            <w:vAlign w:val="center"/>
            <w:hideMark/>
          </w:tcPr>
          <w:p w14:paraId="2FFF66F3" w14:textId="77777777" w:rsidR="00BF3783" w:rsidRPr="006435B7" w:rsidRDefault="00BF3783" w:rsidP="00BF3783">
            <w:pPr>
              <w:spacing w:before="0" w:line="240" w:lineRule="auto"/>
            </w:pPr>
            <w:r w:rsidRPr="006435B7">
              <w:t>1</w:t>
            </w:r>
          </w:p>
        </w:tc>
        <w:tc>
          <w:tcPr>
            <w:tcW w:w="0" w:type="auto"/>
            <w:vAlign w:val="center"/>
            <w:hideMark/>
          </w:tcPr>
          <w:p w14:paraId="741D4048" w14:textId="77777777" w:rsidR="00BF3783" w:rsidRPr="006435B7" w:rsidRDefault="00BF3783" w:rsidP="00BF3783">
            <w:pPr>
              <w:spacing w:before="0" w:line="240" w:lineRule="auto"/>
            </w:pPr>
            <w:r w:rsidRPr="006435B7">
              <w:t>.053</w:t>
            </w:r>
          </w:p>
        </w:tc>
        <w:tc>
          <w:tcPr>
            <w:tcW w:w="0" w:type="auto"/>
            <w:vAlign w:val="center"/>
            <w:hideMark/>
          </w:tcPr>
          <w:p w14:paraId="2137F95A" w14:textId="77777777" w:rsidR="00BF3783" w:rsidRPr="006435B7" w:rsidRDefault="00BF3783" w:rsidP="00BF3783">
            <w:pPr>
              <w:spacing w:before="0" w:line="240" w:lineRule="auto"/>
            </w:pPr>
            <w:r w:rsidRPr="006435B7">
              <w:t>.366</w:t>
            </w:r>
          </w:p>
        </w:tc>
      </w:tr>
      <w:tr w:rsidR="00BF3783" w:rsidRPr="006435B7" w14:paraId="4F6FA9FD" w14:textId="77777777" w:rsidTr="00BF3783">
        <w:trPr>
          <w:tblCellSpacing w:w="15" w:type="dxa"/>
        </w:trPr>
        <w:tc>
          <w:tcPr>
            <w:tcW w:w="0" w:type="auto"/>
            <w:vAlign w:val="center"/>
            <w:hideMark/>
          </w:tcPr>
          <w:p w14:paraId="08AEB5EE" w14:textId="77777777" w:rsidR="00BF3783" w:rsidRPr="006435B7" w:rsidRDefault="00BF3783" w:rsidP="00BF3783">
            <w:pPr>
              <w:spacing w:before="0" w:line="240" w:lineRule="auto"/>
            </w:pPr>
            <w:r w:rsidRPr="006435B7">
              <w:t>Sig. (2-tailed)</w:t>
            </w:r>
          </w:p>
        </w:tc>
        <w:tc>
          <w:tcPr>
            <w:tcW w:w="0" w:type="auto"/>
            <w:vAlign w:val="center"/>
            <w:hideMark/>
          </w:tcPr>
          <w:p w14:paraId="31863185" w14:textId="77777777" w:rsidR="00BF3783" w:rsidRPr="006435B7" w:rsidRDefault="00BF3783" w:rsidP="00BF3783">
            <w:pPr>
              <w:spacing w:before="0" w:line="240" w:lineRule="auto"/>
            </w:pPr>
            <w:r w:rsidRPr="006435B7">
              <w:t>.403</w:t>
            </w:r>
          </w:p>
        </w:tc>
        <w:tc>
          <w:tcPr>
            <w:tcW w:w="0" w:type="auto"/>
            <w:vAlign w:val="center"/>
            <w:hideMark/>
          </w:tcPr>
          <w:p w14:paraId="04268ECA" w14:textId="77777777" w:rsidR="00BF3783" w:rsidRPr="006435B7" w:rsidRDefault="00BF3783" w:rsidP="00BF3783">
            <w:pPr>
              <w:spacing w:before="0" w:line="240" w:lineRule="auto"/>
            </w:pPr>
            <w:r w:rsidRPr="006435B7">
              <w:t>.306</w:t>
            </w:r>
          </w:p>
        </w:tc>
        <w:tc>
          <w:tcPr>
            <w:tcW w:w="0" w:type="auto"/>
            <w:vAlign w:val="center"/>
            <w:hideMark/>
          </w:tcPr>
          <w:p w14:paraId="56409C32" w14:textId="77777777" w:rsidR="00BF3783" w:rsidRPr="006435B7" w:rsidRDefault="00BF3783" w:rsidP="00BF3783">
            <w:pPr>
              <w:spacing w:before="0" w:line="240" w:lineRule="auto"/>
            </w:pPr>
            <w:r w:rsidRPr="006435B7">
              <w:t>—</w:t>
            </w:r>
          </w:p>
        </w:tc>
        <w:tc>
          <w:tcPr>
            <w:tcW w:w="0" w:type="auto"/>
            <w:vAlign w:val="center"/>
            <w:hideMark/>
          </w:tcPr>
          <w:p w14:paraId="07B50894" w14:textId="77777777" w:rsidR="00BF3783" w:rsidRPr="006435B7" w:rsidRDefault="00BF3783" w:rsidP="00BF3783">
            <w:pPr>
              <w:spacing w:before="0" w:line="240" w:lineRule="auto"/>
            </w:pPr>
            <w:r w:rsidRPr="006435B7">
              <w:t>.464</w:t>
            </w:r>
          </w:p>
        </w:tc>
        <w:tc>
          <w:tcPr>
            <w:tcW w:w="0" w:type="auto"/>
            <w:vAlign w:val="center"/>
            <w:hideMark/>
          </w:tcPr>
          <w:p w14:paraId="4716C425" w14:textId="77777777" w:rsidR="00BF3783" w:rsidRPr="006435B7" w:rsidRDefault="00BF3783" w:rsidP="00BF3783">
            <w:pPr>
              <w:spacing w:before="0" w:line="240" w:lineRule="auto"/>
            </w:pPr>
            <w:r w:rsidRPr="006435B7">
              <w:t>.026</w:t>
            </w:r>
          </w:p>
        </w:tc>
      </w:tr>
      <w:tr w:rsidR="00BF3783" w:rsidRPr="006435B7" w14:paraId="6058EA5E" w14:textId="77777777" w:rsidTr="00BF3783">
        <w:trPr>
          <w:tblCellSpacing w:w="15" w:type="dxa"/>
        </w:trPr>
        <w:tc>
          <w:tcPr>
            <w:tcW w:w="0" w:type="auto"/>
            <w:vAlign w:val="center"/>
            <w:hideMark/>
          </w:tcPr>
          <w:p w14:paraId="09D933FE" w14:textId="77777777" w:rsidR="00BF3783" w:rsidRPr="006435B7" w:rsidRDefault="00BF3783" w:rsidP="00BF3783">
            <w:pPr>
              <w:spacing w:before="0" w:line="240" w:lineRule="auto"/>
            </w:pPr>
            <w:r w:rsidRPr="006435B7">
              <w:t>Transparency</w:t>
            </w:r>
          </w:p>
        </w:tc>
        <w:tc>
          <w:tcPr>
            <w:tcW w:w="0" w:type="auto"/>
            <w:vAlign w:val="center"/>
            <w:hideMark/>
          </w:tcPr>
          <w:p w14:paraId="6CAC4C05" w14:textId="77777777" w:rsidR="00BF3783" w:rsidRPr="006435B7" w:rsidRDefault="00BF3783" w:rsidP="00BF3783">
            <w:pPr>
              <w:spacing w:before="0" w:line="240" w:lineRule="auto"/>
            </w:pPr>
            <w:r w:rsidRPr="006435B7">
              <w:t>.116</w:t>
            </w:r>
          </w:p>
        </w:tc>
        <w:tc>
          <w:tcPr>
            <w:tcW w:w="0" w:type="auto"/>
            <w:vAlign w:val="center"/>
            <w:hideMark/>
          </w:tcPr>
          <w:p w14:paraId="28ED573A" w14:textId="77777777" w:rsidR="00BF3783" w:rsidRPr="006435B7" w:rsidRDefault="00BF3783" w:rsidP="00BF3783">
            <w:pPr>
              <w:spacing w:before="0" w:line="240" w:lineRule="auto"/>
            </w:pPr>
            <w:r w:rsidRPr="006435B7">
              <w:t>.065</w:t>
            </w:r>
          </w:p>
        </w:tc>
        <w:tc>
          <w:tcPr>
            <w:tcW w:w="0" w:type="auto"/>
            <w:vAlign w:val="center"/>
            <w:hideMark/>
          </w:tcPr>
          <w:p w14:paraId="343805D7" w14:textId="77777777" w:rsidR="00BF3783" w:rsidRPr="006435B7" w:rsidRDefault="00BF3783" w:rsidP="00BF3783">
            <w:pPr>
              <w:spacing w:before="0" w:line="240" w:lineRule="auto"/>
            </w:pPr>
            <w:r w:rsidRPr="006435B7">
              <w:t>.053</w:t>
            </w:r>
          </w:p>
        </w:tc>
        <w:tc>
          <w:tcPr>
            <w:tcW w:w="0" w:type="auto"/>
            <w:vAlign w:val="center"/>
            <w:hideMark/>
          </w:tcPr>
          <w:p w14:paraId="6444E4AA" w14:textId="77777777" w:rsidR="00BF3783" w:rsidRPr="006435B7" w:rsidRDefault="00BF3783" w:rsidP="00BF3783">
            <w:pPr>
              <w:spacing w:before="0" w:line="240" w:lineRule="auto"/>
            </w:pPr>
            <w:r w:rsidRPr="006435B7">
              <w:t>1</w:t>
            </w:r>
          </w:p>
        </w:tc>
        <w:tc>
          <w:tcPr>
            <w:tcW w:w="0" w:type="auto"/>
            <w:vAlign w:val="center"/>
            <w:hideMark/>
          </w:tcPr>
          <w:p w14:paraId="42054C9D" w14:textId="77777777" w:rsidR="00BF3783" w:rsidRPr="006435B7" w:rsidRDefault="00BF3783" w:rsidP="00BF3783">
            <w:pPr>
              <w:spacing w:before="0" w:line="240" w:lineRule="auto"/>
            </w:pPr>
            <w:r w:rsidRPr="006435B7">
              <w:t>.370</w:t>
            </w:r>
          </w:p>
        </w:tc>
      </w:tr>
      <w:tr w:rsidR="00BF3783" w:rsidRPr="006435B7" w14:paraId="1B2633C7" w14:textId="77777777" w:rsidTr="00BF3783">
        <w:trPr>
          <w:tblCellSpacing w:w="15" w:type="dxa"/>
        </w:trPr>
        <w:tc>
          <w:tcPr>
            <w:tcW w:w="0" w:type="auto"/>
            <w:vAlign w:val="center"/>
            <w:hideMark/>
          </w:tcPr>
          <w:p w14:paraId="4E23EEFD" w14:textId="77777777" w:rsidR="00BF3783" w:rsidRPr="006435B7" w:rsidRDefault="00BF3783" w:rsidP="00BF3783">
            <w:pPr>
              <w:spacing w:before="0" w:line="240" w:lineRule="auto"/>
            </w:pPr>
            <w:r w:rsidRPr="006435B7">
              <w:t>Sig. (2-tailed)</w:t>
            </w:r>
          </w:p>
        </w:tc>
        <w:tc>
          <w:tcPr>
            <w:tcW w:w="0" w:type="auto"/>
            <w:vAlign w:val="center"/>
            <w:hideMark/>
          </w:tcPr>
          <w:p w14:paraId="53944DC1" w14:textId="77777777" w:rsidR="00BF3783" w:rsidRPr="006435B7" w:rsidRDefault="00BF3783" w:rsidP="00BF3783">
            <w:pPr>
              <w:spacing w:before="0" w:line="240" w:lineRule="auto"/>
            </w:pPr>
            <w:r w:rsidRPr="006435B7">
              <w:t>.107</w:t>
            </w:r>
          </w:p>
        </w:tc>
        <w:tc>
          <w:tcPr>
            <w:tcW w:w="0" w:type="auto"/>
            <w:vAlign w:val="center"/>
            <w:hideMark/>
          </w:tcPr>
          <w:p w14:paraId="7B77C9E3" w14:textId="77777777" w:rsidR="00BF3783" w:rsidRPr="006435B7" w:rsidRDefault="00BF3783" w:rsidP="00BF3783">
            <w:pPr>
              <w:spacing w:before="0" w:line="240" w:lineRule="auto"/>
            </w:pPr>
            <w:r w:rsidRPr="006435B7">
              <w:t>.370</w:t>
            </w:r>
          </w:p>
        </w:tc>
        <w:tc>
          <w:tcPr>
            <w:tcW w:w="0" w:type="auto"/>
            <w:vAlign w:val="center"/>
            <w:hideMark/>
          </w:tcPr>
          <w:p w14:paraId="3D89156E" w14:textId="77777777" w:rsidR="00BF3783" w:rsidRPr="006435B7" w:rsidRDefault="00BF3783" w:rsidP="00BF3783">
            <w:pPr>
              <w:spacing w:before="0" w:line="240" w:lineRule="auto"/>
            </w:pPr>
            <w:r w:rsidRPr="006435B7">
              <w:t>.464</w:t>
            </w:r>
          </w:p>
        </w:tc>
        <w:tc>
          <w:tcPr>
            <w:tcW w:w="0" w:type="auto"/>
            <w:vAlign w:val="center"/>
            <w:hideMark/>
          </w:tcPr>
          <w:p w14:paraId="4F08027D" w14:textId="77777777" w:rsidR="00BF3783" w:rsidRPr="006435B7" w:rsidRDefault="00BF3783" w:rsidP="00BF3783">
            <w:pPr>
              <w:spacing w:before="0" w:line="240" w:lineRule="auto"/>
            </w:pPr>
            <w:r w:rsidRPr="006435B7">
              <w:t>—</w:t>
            </w:r>
          </w:p>
        </w:tc>
        <w:tc>
          <w:tcPr>
            <w:tcW w:w="0" w:type="auto"/>
            <w:vAlign w:val="center"/>
            <w:hideMark/>
          </w:tcPr>
          <w:p w14:paraId="015453F9" w14:textId="77777777" w:rsidR="00BF3783" w:rsidRPr="006435B7" w:rsidRDefault="00BF3783" w:rsidP="00BF3783">
            <w:pPr>
              <w:spacing w:before="0" w:line="240" w:lineRule="auto"/>
            </w:pPr>
            <w:r w:rsidRPr="006435B7">
              <w:t>.038</w:t>
            </w:r>
          </w:p>
        </w:tc>
      </w:tr>
      <w:tr w:rsidR="00BF3783" w:rsidRPr="006435B7" w14:paraId="5AB61EF9" w14:textId="77777777" w:rsidTr="00BF3783">
        <w:trPr>
          <w:tblCellSpacing w:w="15" w:type="dxa"/>
        </w:trPr>
        <w:tc>
          <w:tcPr>
            <w:tcW w:w="0" w:type="auto"/>
            <w:vAlign w:val="center"/>
            <w:hideMark/>
          </w:tcPr>
          <w:p w14:paraId="239D153D" w14:textId="77777777" w:rsidR="00BF3783" w:rsidRPr="006435B7" w:rsidRDefault="00BF3783" w:rsidP="00BF3783">
            <w:pPr>
              <w:spacing w:before="0" w:line="240" w:lineRule="auto"/>
            </w:pPr>
            <w:r w:rsidRPr="006435B7">
              <w:t>Organization Performance</w:t>
            </w:r>
          </w:p>
        </w:tc>
        <w:tc>
          <w:tcPr>
            <w:tcW w:w="0" w:type="auto"/>
            <w:vAlign w:val="center"/>
            <w:hideMark/>
          </w:tcPr>
          <w:p w14:paraId="5C449020" w14:textId="77777777" w:rsidR="00BF3783" w:rsidRPr="006435B7" w:rsidRDefault="00BF3783" w:rsidP="00BF3783">
            <w:pPr>
              <w:spacing w:before="0" w:line="240" w:lineRule="auto"/>
            </w:pPr>
            <w:r w:rsidRPr="006435B7">
              <w:t>.362</w:t>
            </w:r>
          </w:p>
        </w:tc>
        <w:tc>
          <w:tcPr>
            <w:tcW w:w="0" w:type="auto"/>
            <w:vAlign w:val="center"/>
            <w:hideMark/>
          </w:tcPr>
          <w:p w14:paraId="4D59FE58" w14:textId="77777777" w:rsidR="00BF3783" w:rsidRPr="006435B7" w:rsidRDefault="00BF3783" w:rsidP="00BF3783">
            <w:pPr>
              <w:spacing w:before="0" w:line="240" w:lineRule="auto"/>
            </w:pPr>
            <w:r w:rsidRPr="006435B7">
              <w:t>.359</w:t>
            </w:r>
          </w:p>
        </w:tc>
        <w:tc>
          <w:tcPr>
            <w:tcW w:w="0" w:type="auto"/>
            <w:vAlign w:val="center"/>
            <w:hideMark/>
          </w:tcPr>
          <w:p w14:paraId="107F488B" w14:textId="77777777" w:rsidR="00BF3783" w:rsidRPr="006435B7" w:rsidRDefault="00BF3783" w:rsidP="00BF3783">
            <w:pPr>
              <w:spacing w:before="0" w:line="240" w:lineRule="auto"/>
            </w:pPr>
            <w:r w:rsidRPr="006435B7">
              <w:t>.366</w:t>
            </w:r>
          </w:p>
        </w:tc>
        <w:tc>
          <w:tcPr>
            <w:tcW w:w="0" w:type="auto"/>
            <w:vAlign w:val="center"/>
            <w:hideMark/>
          </w:tcPr>
          <w:p w14:paraId="7E0EB66A" w14:textId="77777777" w:rsidR="00BF3783" w:rsidRPr="006435B7" w:rsidRDefault="00BF3783" w:rsidP="00BF3783">
            <w:pPr>
              <w:spacing w:before="0" w:line="240" w:lineRule="auto"/>
            </w:pPr>
            <w:r w:rsidRPr="006435B7">
              <w:t>.370</w:t>
            </w:r>
          </w:p>
        </w:tc>
        <w:tc>
          <w:tcPr>
            <w:tcW w:w="0" w:type="auto"/>
            <w:vAlign w:val="center"/>
            <w:hideMark/>
          </w:tcPr>
          <w:p w14:paraId="1578EA03" w14:textId="77777777" w:rsidR="00BF3783" w:rsidRPr="006435B7" w:rsidRDefault="00BF3783" w:rsidP="00BF3783">
            <w:pPr>
              <w:spacing w:before="0" w:line="240" w:lineRule="auto"/>
            </w:pPr>
            <w:r w:rsidRPr="006435B7">
              <w:t>1</w:t>
            </w:r>
          </w:p>
        </w:tc>
      </w:tr>
      <w:tr w:rsidR="00BF3783" w:rsidRPr="006435B7" w14:paraId="16D5D007" w14:textId="77777777" w:rsidTr="00BF3783">
        <w:trPr>
          <w:tblCellSpacing w:w="15" w:type="dxa"/>
        </w:trPr>
        <w:tc>
          <w:tcPr>
            <w:tcW w:w="0" w:type="auto"/>
            <w:vAlign w:val="center"/>
            <w:hideMark/>
          </w:tcPr>
          <w:p w14:paraId="17CF24E7" w14:textId="77777777" w:rsidR="00BF3783" w:rsidRPr="006435B7" w:rsidRDefault="00BF3783" w:rsidP="00BF3783">
            <w:pPr>
              <w:spacing w:before="0" w:line="240" w:lineRule="auto"/>
            </w:pPr>
            <w:r w:rsidRPr="006435B7">
              <w:t>N</w:t>
            </w:r>
          </w:p>
        </w:tc>
        <w:tc>
          <w:tcPr>
            <w:tcW w:w="0" w:type="auto"/>
            <w:vAlign w:val="center"/>
            <w:hideMark/>
          </w:tcPr>
          <w:p w14:paraId="00C781B9" w14:textId="77777777" w:rsidR="00BF3783" w:rsidRPr="006435B7" w:rsidRDefault="00BF3783" w:rsidP="00BF3783">
            <w:pPr>
              <w:spacing w:before="0" w:line="240" w:lineRule="auto"/>
            </w:pPr>
            <w:r w:rsidRPr="006435B7">
              <w:t>194</w:t>
            </w:r>
          </w:p>
        </w:tc>
        <w:tc>
          <w:tcPr>
            <w:tcW w:w="0" w:type="auto"/>
            <w:vAlign w:val="center"/>
            <w:hideMark/>
          </w:tcPr>
          <w:p w14:paraId="00C8347B" w14:textId="77777777" w:rsidR="00BF3783" w:rsidRPr="006435B7" w:rsidRDefault="00BF3783" w:rsidP="00BF3783">
            <w:pPr>
              <w:spacing w:before="0" w:line="240" w:lineRule="auto"/>
            </w:pPr>
            <w:r w:rsidRPr="006435B7">
              <w:t>194</w:t>
            </w:r>
          </w:p>
        </w:tc>
        <w:tc>
          <w:tcPr>
            <w:tcW w:w="0" w:type="auto"/>
            <w:vAlign w:val="center"/>
            <w:hideMark/>
          </w:tcPr>
          <w:p w14:paraId="1B9214D9" w14:textId="77777777" w:rsidR="00BF3783" w:rsidRPr="006435B7" w:rsidRDefault="00BF3783" w:rsidP="00BF3783">
            <w:pPr>
              <w:spacing w:before="0" w:line="240" w:lineRule="auto"/>
            </w:pPr>
            <w:r w:rsidRPr="006435B7">
              <w:t>194</w:t>
            </w:r>
          </w:p>
        </w:tc>
        <w:tc>
          <w:tcPr>
            <w:tcW w:w="0" w:type="auto"/>
            <w:vAlign w:val="center"/>
            <w:hideMark/>
          </w:tcPr>
          <w:p w14:paraId="4E3696B8" w14:textId="77777777" w:rsidR="00BF3783" w:rsidRPr="006435B7" w:rsidRDefault="00BF3783" w:rsidP="00BF3783">
            <w:pPr>
              <w:spacing w:before="0" w:line="240" w:lineRule="auto"/>
            </w:pPr>
            <w:r w:rsidRPr="006435B7">
              <w:t>194</w:t>
            </w:r>
          </w:p>
        </w:tc>
        <w:tc>
          <w:tcPr>
            <w:tcW w:w="0" w:type="auto"/>
            <w:vAlign w:val="center"/>
            <w:hideMark/>
          </w:tcPr>
          <w:p w14:paraId="1F40DFC8" w14:textId="77777777" w:rsidR="00BF3783" w:rsidRPr="006435B7" w:rsidRDefault="00BF3783" w:rsidP="00BF3783">
            <w:pPr>
              <w:spacing w:before="0" w:line="240" w:lineRule="auto"/>
            </w:pPr>
            <w:r w:rsidRPr="006435B7">
              <w:t>194</w:t>
            </w:r>
          </w:p>
        </w:tc>
      </w:tr>
    </w:tbl>
    <w:p w14:paraId="239A6440" w14:textId="77777777" w:rsidR="00BF3783" w:rsidRPr="006435B7" w:rsidRDefault="00BF3783" w:rsidP="00BF3783">
      <w:pPr>
        <w:spacing w:before="0" w:line="240" w:lineRule="auto"/>
      </w:pPr>
      <w:r w:rsidRPr="006435B7">
        <w:lastRenderedPageBreak/>
        <w:t>The findings indicate a positive and statistically significant relationship between shareholder rights and organizational performance (r = 0.362, p = 0.039). This suggests that stronger protection and recognition of shareholder rights are associated with improved organizational performance. The positive relationships for board composition, board size, and transparency were also statistically significant.</w:t>
      </w:r>
    </w:p>
    <w:p w14:paraId="0CF699B0" w14:textId="77777777" w:rsidR="00BF3783" w:rsidRPr="006435B7" w:rsidRDefault="00BF3783" w:rsidP="00BF3783">
      <w:pPr>
        <w:spacing w:before="0" w:line="240" w:lineRule="auto"/>
      </w:pPr>
    </w:p>
    <w:p w14:paraId="7504BE91" w14:textId="5FFBD004" w:rsidR="00BF3783" w:rsidRPr="006435B7" w:rsidRDefault="00BF3783" w:rsidP="00BF3783">
      <w:pPr>
        <w:spacing w:before="0" w:line="240" w:lineRule="auto"/>
        <w:rPr>
          <w:b/>
          <w:sz w:val="28"/>
        </w:rPr>
      </w:pPr>
      <w:r w:rsidRPr="006435B7">
        <w:rPr>
          <w:b/>
          <w:sz w:val="28"/>
        </w:rPr>
        <w:t>Regression</w:t>
      </w:r>
    </w:p>
    <w:p w14:paraId="520FC047" w14:textId="07902A3C" w:rsidR="00BF3783" w:rsidRPr="006435B7" w:rsidRDefault="00BF3783" w:rsidP="00BF3783">
      <w:pPr>
        <w:spacing w:before="0" w:line="240" w:lineRule="auto"/>
        <w:rPr>
          <w:b/>
          <w:i/>
        </w:rPr>
      </w:pPr>
      <w:r w:rsidRPr="006435B7">
        <w:rPr>
          <w:b/>
          <w:i/>
        </w:rPr>
        <w:t>Table 4 Regression</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68"/>
        <w:gridCol w:w="1134"/>
        <w:gridCol w:w="1127"/>
        <w:gridCol w:w="1000"/>
        <w:gridCol w:w="992"/>
        <w:gridCol w:w="937"/>
      </w:tblGrid>
      <w:tr w:rsidR="00F12F5E" w:rsidRPr="006435B7" w14:paraId="0DD7C7A3" w14:textId="77777777" w:rsidTr="00F12F5E">
        <w:trPr>
          <w:tblHeader/>
          <w:tblCellSpacing w:w="15" w:type="dxa"/>
        </w:trPr>
        <w:tc>
          <w:tcPr>
            <w:tcW w:w="2223" w:type="dxa"/>
            <w:tcBorders>
              <w:top w:val="single" w:sz="4" w:space="0" w:color="auto"/>
              <w:bottom w:val="single" w:sz="4" w:space="0" w:color="auto"/>
            </w:tcBorders>
            <w:vAlign w:val="center"/>
            <w:hideMark/>
          </w:tcPr>
          <w:p w14:paraId="41504A85" w14:textId="77777777" w:rsidR="00BF3783" w:rsidRPr="006435B7" w:rsidRDefault="00BF3783" w:rsidP="00BF3783">
            <w:pPr>
              <w:spacing w:before="0" w:line="240" w:lineRule="auto"/>
              <w:rPr>
                <w:b/>
              </w:rPr>
            </w:pPr>
            <w:r w:rsidRPr="006435B7">
              <w:rPr>
                <w:b/>
              </w:rPr>
              <w:t>Model</w:t>
            </w:r>
          </w:p>
        </w:tc>
        <w:tc>
          <w:tcPr>
            <w:tcW w:w="1104" w:type="dxa"/>
            <w:tcBorders>
              <w:top w:val="single" w:sz="4" w:space="0" w:color="auto"/>
              <w:bottom w:val="single" w:sz="4" w:space="0" w:color="auto"/>
            </w:tcBorders>
            <w:vAlign w:val="center"/>
            <w:hideMark/>
          </w:tcPr>
          <w:p w14:paraId="4047AB48" w14:textId="77777777" w:rsidR="00BF3783" w:rsidRPr="006435B7" w:rsidRDefault="00BF3783" w:rsidP="00BF3783">
            <w:pPr>
              <w:spacing w:before="0" w:line="240" w:lineRule="auto"/>
              <w:rPr>
                <w:b/>
              </w:rPr>
            </w:pPr>
            <w:r w:rsidRPr="006435B7">
              <w:rPr>
                <w:b/>
              </w:rPr>
              <w:t>B</w:t>
            </w:r>
          </w:p>
        </w:tc>
        <w:tc>
          <w:tcPr>
            <w:tcW w:w="0" w:type="auto"/>
            <w:tcBorders>
              <w:top w:val="single" w:sz="4" w:space="0" w:color="auto"/>
              <w:bottom w:val="single" w:sz="4" w:space="0" w:color="auto"/>
            </w:tcBorders>
            <w:vAlign w:val="center"/>
            <w:hideMark/>
          </w:tcPr>
          <w:p w14:paraId="1882B044" w14:textId="77777777" w:rsidR="00BF3783" w:rsidRPr="006435B7" w:rsidRDefault="00BF3783" w:rsidP="00BF3783">
            <w:pPr>
              <w:spacing w:before="0" w:line="240" w:lineRule="auto"/>
              <w:rPr>
                <w:b/>
              </w:rPr>
            </w:pPr>
            <w:r w:rsidRPr="006435B7">
              <w:rPr>
                <w:b/>
              </w:rPr>
              <w:t>Std. Error</w:t>
            </w:r>
          </w:p>
        </w:tc>
        <w:tc>
          <w:tcPr>
            <w:tcW w:w="970" w:type="dxa"/>
            <w:tcBorders>
              <w:top w:val="single" w:sz="4" w:space="0" w:color="auto"/>
              <w:bottom w:val="single" w:sz="4" w:space="0" w:color="auto"/>
            </w:tcBorders>
            <w:vAlign w:val="center"/>
            <w:hideMark/>
          </w:tcPr>
          <w:p w14:paraId="68B0E2A3" w14:textId="77777777" w:rsidR="00BF3783" w:rsidRPr="006435B7" w:rsidRDefault="00BF3783" w:rsidP="00BF3783">
            <w:pPr>
              <w:spacing w:before="0" w:line="240" w:lineRule="auto"/>
              <w:rPr>
                <w:b/>
              </w:rPr>
            </w:pPr>
            <w:r w:rsidRPr="006435B7">
              <w:rPr>
                <w:b/>
              </w:rPr>
              <w:t>Beta</w:t>
            </w:r>
          </w:p>
        </w:tc>
        <w:tc>
          <w:tcPr>
            <w:tcW w:w="962" w:type="dxa"/>
            <w:tcBorders>
              <w:top w:val="single" w:sz="4" w:space="0" w:color="auto"/>
              <w:bottom w:val="single" w:sz="4" w:space="0" w:color="auto"/>
            </w:tcBorders>
            <w:vAlign w:val="center"/>
            <w:hideMark/>
          </w:tcPr>
          <w:p w14:paraId="64F3816C" w14:textId="77777777" w:rsidR="00BF3783" w:rsidRPr="006435B7" w:rsidRDefault="00BF3783" w:rsidP="00BF3783">
            <w:pPr>
              <w:spacing w:before="0" w:line="240" w:lineRule="auto"/>
              <w:rPr>
                <w:b/>
              </w:rPr>
            </w:pPr>
            <w:r w:rsidRPr="006435B7">
              <w:rPr>
                <w:b/>
              </w:rPr>
              <w:t>t</w:t>
            </w:r>
          </w:p>
        </w:tc>
        <w:tc>
          <w:tcPr>
            <w:tcW w:w="892" w:type="dxa"/>
            <w:tcBorders>
              <w:top w:val="single" w:sz="4" w:space="0" w:color="auto"/>
              <w:bottom w:val="single" w:sz="4" w:space="0" w:color="auto"/>
            </w:tcBorders>
            <w:vAlign w:val="center"/>
            <w:hideMark/>
          </w:tcPr>
          <w:p w14:paraId="6CB8EFE3" w14:textId="77777777" w:rsidR="00BF3783" w:rsidRPr="006435B7" w:rsidRDefault="00BF3783" w:rsidP="00BF3783">
            <w:pPr>
              <w:spacing w:before="0" w:line="240" w:lineRule="auto"/>
              <w:rPr>
                <w:b/>
              </w:rPr>
            </w:pPr>
            <w:r w:rsidRPr="006435B7">
              <w:rPr>
                <w:b/>
              </w:rPr>
              <w:t>Sig.</w:t>
            </w:r>
          </w:p>
        </w:tc>
      </w:tr>
      <w:tr w:rsidR="00F12F5E" w:rsidRPr="006435B7" w14:paraId="0CACD60C" w14:textId="77777777" w:rsidTr="00F12F5E">
        <w:trPr>
          <w:tblCellSpacing w:w="15" w:type="dxa"/>
        </w:trPr>
        <w:tc>
          <w:tcPr>
            <w:tcW w:w="2223" w:type="dxa"/>
            <w:vAlign w:val="center"/>
            <w:hideMark/>
          </w:tcPr>
          <w:p w14:paraId="2A12688C" w14:textId="77777777" w:rsidR="00BF3783" w:rsidRPr="006435B7" w:rsidRDefault="00BF3783" w:rsidP="00BF3783">
            <w:pPr>
              <w:spacing w:before="0" w:line="240" w:lineRule="auto"/>
            </w:pPr>
            <w:r w:rsidRPr="006435B7">
              <w:t>(Constant)</w:t>
            </w:r>
          </w:p>
        </w:tc>
        <w:tc>
          <w:tcPr>
            <w:tcW w:w="1104" w:type="dxa"/>
            <w:vAlign w:val="center"/>
            <w:hideMark/>
          </w:tcPr>
          <w:p w14:paraId="1F417C68" w14:textId="77777777" w:rsidR="00BF3783" w:rsidRPr="006435B7" w:rsidRDefault="00BF3783" w:rsidP="00BF3783">
            <w:pPr>
              <w:spacing w:before="0" w:line="240" w:lineRule="auto"/>
            </w:pPr>
            <w:r w:rsidRPr="006435B7">
              <w:t>1.214</w:t>
            </w:r>
          </w:p>
        </w:tc>
        <w:tc>
          <w:tcPr>
            <w:tcW w:w="0" w:type="auto"/>
            <w:vAlign w:val="center"/>
            <w:hideMark/>
          </w:tcPr>
          <w:p w14:paraId="2E4E6871" w14:textId="77777777" w:rsidR="00BF3783" w:rsidRPr="006435B7" w:rsidRDefault="00BF3783" w:rsidP="00BF3783">
            <w:pPr>
              <w:spacing w:before="0" w:line="240" w:lineRule="auto"/>
            </w:pPr>
            <w:r w:rsidRPr="006435B7">
              <w:t>0.287</w:t>
            </w:r>
          </w:p>
        </w:tc>
        <w:tc>
          <w:tcPr>
            <w:tcW w:w="970" w:type="dxa"/>
            <w:vAlign w:val="center"/>
            <w:hideMark/>
          </w:tcPr>
          <w:p w14:paraId="1109758B" w14:textId="77777777" w:rsidR="00BF3783" w:rsidRPr="006435B7" w:rsidRDefault="00BF3783" w:rsidP="00BF3783">
            <w:pPr>
              <w:spacing w:before="0" w:line="240" w:lineRule="auto"/>
            </w:pPr>
            <w:r w:rsidRPr="006435B7">
              <w:t>—</w:t>
            </w:r>
          </w:p>
        </w:tc>
        <w:tc>
          <w:tcPr>
            <w:tcW w:w="962" w:type="dxa"/>
            <w:vAlign w:val="center"/>
            <w:hideMark/>
          </w:tcPr>
          <w:p w14:paraId="32EF1BB4" w14:textId="77777777" w:rsidR="00BF3783" w:rsidRPr="006435B7" w:rsidRDefault="00BF3783" w:rsidP="00BF3783">
            <w:pPr>
              <w:spacing w:before="0" w:line="240" w:lineRule="auto"/>
            </w:pPr>
            <w:r w:rsidRPr="006435B7">
              <w:t>4.23</w:t>
            </w:r>
          </w:p>
        </w:tc>
        <w:tc>
          <w:tcPr>
            <w:tcW w:w="892" w:type="dxa"/>
            <w:vAlign w:val="center"/>
            <w:hideMark/>
          </w:tcPr>
          <w:p w14:paraId="1A06A9CD" w14:textId="77777777" w:rsidR="00BF3783" w:rsidRPr="006435B7" w:rsidRDefault="00BF3783" w:rsidP="00BF3783">
            <w:pPr>
              <w:spacing w:before="0" w:line="240" w:lineRule="auto"/>
            </w:pPr>
            <w:r w:rsidRPr="006435B7">
              <w:t>.000</w:t>
            </w:r>
          </w:p>
        </w:tc>
      </w:tr>
      <w:tr w:rsidR="00F12F5E" w:rsidRPr="006435B7" w14:paraId="0D423D30" w14:textId="77777777" w:rsidTr="00F12F5E">
        <w:trPr>
          <w:tblCellSpacing w:w="15" w:type="dxa"/>
        </w:trPr>
        <w:tc>
          <w:tcPr>
            <w:tcW w:w="2223" w:type="dxa"/>
            <w:vAlign w:val="center"/>
            <w:hideMark/>
          </w:tcPr>
          <w:p w14:paraId="5D9C4327" w14:textId="77777777" w:rsidR="00BF3783" w:rsidRPr="006435B7" w:rsidRDefault="00BF3783" w:rsidP="00BF3783">
            <w:pPr>
              <w:spacing w:before="0" w:line="240" w:lineRule="auto"/>
            </w:pPr>
            <w:r w:rsidRPr="006435B7">
              <w:t>Shareholder Rights</w:t>
            </w:r>
          </w:p>
        </w:tc>
        <w:tc>
          <w:tcPr>
            <w:tcW w:w="1104" w:type="dxa"/>
            <w:vAlign w:val="center"/>
            <w:hideMark/>
          </w:tcPr>
          <w:p w14:paraId="4EC9233B" w14:textId="77777777" w:rsidR="00BF3783" w:rsidRPr="006435B7" w:rsidRDefault="00BF3783" w:rsidP="00BF3783">
            <w:pPr>
              <w:spacing w:before="0" w:line="240" w:lineRule="auto"/>
            </w:pPr>
            <w:r w:rsidRPr="006435B7">
              <w:t>0.211</w:t>
            </w:r>
          </w:p>
        </w:tc>
        <w:tc>
          <w:tcPr>
            <w:tcW w:w="0" w:type="auto"/>
            <w:vAlign w:val="center"/>
            <w:hideMark/>
          </w:tcPr>
          <w:p w14:paraId="15597623" w14:textId="77777777" w:rsidR="00BF3783" w:rsidRPr="006435B7" w:rsidRDefault="00BF3783" w:rsidP="00BF3783">
            <w:pPr>
              <w:spacing w:before="0" w:line="240" w:lineRule="auto"/>
            </w:pPr>
            <w:r w:rsidRPr="006435B7">
              <w:t>0.098</w:t>
            </w:r>
          </w:p>
        </w:tc>
        <w:tc>
          <w:tcPr>
            <w:tcW w:w="970" w:type="dxa"/>
            <w:vAlign w:val="center"/>
            <w:hideMark/>
          </w:tcPr>
          <w:p w14:paraId="2415DF2E" w14:textId="77777777" w:rsidR="00BF3783" w:rsidRPr="006435B7" w:rsidRDefault="00BF3783" w:rsidP="00BF3783">
            <w:pPr>
              <w:spacing w:before="0" w:line="240" w:lineRule="auto"/>
            </w:pPr>
            <w:r w:rsidRPr="006435B7">
              <w:t>0.192</w:t>
            </w:r>
          </w:p>
        </w:tc>
        <w:tc>
          <w:tcPr>
            <w:tcW w:w="962" w:type="dxa"/>
            <w:vAlign w:val="center"/>
            <w:hideMark/>
          </w:tcPr>
          <w:p w14:paraId="761F9F9B" w14:textId="77777777" w:rsidR="00BF3783" w:rsidRPr="006435B7" w:rsidRDefault="00BF3783" w:rsidP="00BF3783">
            <w:pPr>
              <w:spacing w:before="0" w:line="240" w:lineRule="auto"/>
            </w:pPr>
            <w:r w:rsidRPr="006435B7">
              <w:t>2.15</w:t>
            </w:r>
          </w:p>
        </w:tc>
        <w:tc>
          <w:tcPr>
            <w:tcW w:w="892" w:type="dxa"/>
            <w:vAlign w:val="center"/>
            <w:hideMark/>
          </w:tcPr>
          <w:p w14:paraId="363AEA7B" w14:textId="77777777" w:rsidR="00BF3783" w:rsidRPr="006435B7" w:rsidRDefault="00BF3783" w:rsidP="00BF3783">
            <w:pPr>
              <w:spacing w:before="0" w:line="240" w:lineRule="auto"/>
            </w:pPr>
            <w:r w:rsidRPr="006435B7">
              <w:t>.033</w:t>
            </w:r>
          </w:p>
        </w:tc>
      </w:tr>
      <w:tr w:rsidR="00F12F5E" w:rsidRPr="006435B7" w14:paraId="6D796815" w14:textId="77777777" w:rsidTr="00F12F5E">
        <w:trPr>
          <w:tblCellSpacing w:w="15" w:type="dxa"/>
        </w:trPr>
        <w:tc>
          <w:tcPr>
            <w:tcW w:w="2223" w:type="dxa"/>
            <w:vAlign w:val="center"/>
            <w:hideMark/>
          </w:tcPr>
          <w:p w14:paraId="41321F5F" w14:textId="77777777" w:rsidR="00BF3783" w:rsidRPr="006435B7" w:rsidRDefault="00BF3783" w:rsidP="00BF3783">
            <w:pPr>
              <w:spacing w:before="0" w:line="240" w:lineRule="auto"/>
            </w:pPr>
            <w:r w:rsidRPr="006435B7">
              <w:t>Board Composition</w:t>
            </w:r>
          </w:p>
        </w:tc>
        <w:tc>
          <w:tcPr>
            <w:tcW w:w="1104" w:type="dxa"/>
            <w:vAlign w:val="center"/>
            <w:hideMark/>
          </w:tcPr>
          <w:p w14:paraId="3AEA5D8C" w14:textId="77777777" w:rsidR="00BF3783" w:rsidRPr="006435B7" w:rsidRDefault="00BF3783" w:rsidP="00BF3783">
            <w:pPr>
              <w:spacing w:before="0" w:line="240" w:lineRule="auto"/>
            </w:pPr>
            <w:r w:rsidRPr="006435B7">
              <w:t>0.198</w:t>
            </w:r>
          </w:p>
        </w:tc>
        <w:tc>
          <w:tcPr>
            <w:tcW w:w="0" w:type="auto"/>
            <w:vAlign w:val="center"/>
            <w:hideMark/>
          </w:tcPr>
          <w:p w14:paraId="4C139C20" w14:textId="77777777" w:rsidR="00BF3783" w:rsidRPr="006435B7" w:rsidRDefault="00BF3783" w:rsidP="00BF3783">
            <w:pPr>
              <w:spacing w:before="0" w:line="240" w:lineRule="auto"/>
            </w:pPr>
            <w:r w:rsidRPr="006435B7">
              <w:t>0.101</w:t>
            </w:r>
          </w:p>
        </w:tc>
        <w:tc>
          <w:tcPr>
            <w:tcW w:w="970" w:type="dxa"/>
            <w:vAlign w:val="center"/>
            <w:hideMark/>
          </w:tcPr>
          <w:p w14:paraId="2759506B" w14:textId="77777777" w:rsidR="00BF3783" w:rsidRPr="006435B7" w:rsidRDefault="00BF3783" w:rsidP="00BF3783">
            <w:pPr>
              <w:spacing w:before="0" w:line="240" w:lineRule="auto"/>
            </w:pPr>
            <w:r w:rsidRPr="006435B7">
              <w:t>0.176</w:t>
            </w:r>
          </w:p>
        </w:tc>
        <w:tc>
          <w:tcPr>
            <w:tcW w:w="962" w:type="dxa"/>
            <w:vAlign w:val="center"/>
            <w:hideMark/>
          </w:tcPr>
          <w:p w14:paraId="286ED5B7" w14:textId="77777777" w:rsidR="00BF3783" w:rsidRPr="006435B7" w:rsidRDefault="00BF3783" w:rsidP="00BF3783">
            <w:pPr>
              <w:spacing w:before="0" w:line="240" w:lineRule="auto"/>
            </w:pPr>
            <w:r w:rsidRPr="006435B7">
              <w:t>1.96</w:t>
            </w:r>
          </w:p>
        </w:tc>
        <w:tc>
          <w:tcPr>
            <w:tcW w:w="892" w:type="dxa"/>
            <w:vAlign w:val="center"/>
            <w:hideMark/>
          </w:tcPr>
          <w:p w14:paraId="3F0993D7" w14:textId="77777777" w:rsidR="00BF3783" w:rsidRPr="006435B7" w:rsidRDefault="00BF3783" w:rsidP="00BF3783">
            <w:pPr>
              <w:spacing w:before="0" w:line="240" w:lineRule="auto"/>
            </w:pPr>
            <w:r w:rsidRPr="006435B7">
              <w:t>.049</w:t>
            </w:r>
          </w:p>
        </w:tc>
      </w:tr>
      <w:tr w:rsidR="00F12F5E" w:rsidRPr="006435B7" w14:paraId="11AD4E2C" w14:textId="77777777" w:rsidTr="00F12F5E">
        <w:trPr>
          <w:tblCellSpacing w:w="15" w:type="dxa"/>
        </w:trPr>
        <w:tc>
          <w:tcPr>
            <w:tcW w:w="2223" w:type="dxa"/>
            <w:vAlign w:val="center"/>
            <w:hideMark/>
          </w:tcPr>
          <w:p w14:paraId="659AEAAF" w14:textId="77777777" w:rsidR="00BF3783" w:rsidRPr="006435B7" w:rsidRDefault="00BF3783" w:rsidP="00BF3783">
            <w:pPr>
              <w:spacing w:before="0" w:line="240" w:lineRule="auto"/>
            </w:pPr>
            <w:r w:rsidRPr="006435B7">
              <w:t>Board Size</w:t>
            </w:r>
          </w:p>
        </w:tc>
        <w:tc>
          <w:tcPr>
            <w:tcW w:w="1104" w:type="dxa"/>
            <w:vAlign w:val="center"/>
            <w:hideMark/>
          </w:tcPr>
          <w:p w14:paraId="032A1B90" w14:textId="77777777" w:rsidR="00BF3783" w:rsidRPr="006435B7" w:rsidRDefault="00BF3783" w:rsidP="00BF3783">
            <w:pPr>
              <w:spacing w:before="0" w:line="240" w:lineRule="auto"/>
            </w:pPr>
            <w:r w:rsidRPr="006435B7">
              <w:t>0.224</w:t>
            </w:r>
          </w:p>
        </w:tc>
        <w:tc>
          <w:tcPr>
            <w:tcW w:w="0" w:type="auto"/>
            <w:vAlign w:val="center"/>
            <w:hideMark/>
          </w:tcPr>
          <w:p w14:paraId="01700A94" w14:textId="77777777" w:rsidR="00BF3783" w:rsidRPr="006435B7" w:rsidRDefault="00BF3783" w:rsidP="00BF3783">
            <w:pPr>
              <w:spacing w:before="0" w:line="240" w:lineRule="auto"/>
            </w:pPr>
            <w:r w:rsidRPr="006435B7">
              <w:t>0.094</w:t>
            </w:r>
          </w:p>
        </w:tc>
        <w:tc>
          <w:tcPr>
            <w:tcW w:w="970" w:type="dxa"/>
            <w:vAlign w:val="center"/>
            <w:hideMark/>
          </w:tcPr>
          <w:p w14:paraId="42528A23" w14:textId="77777777" w:rsidR="00BF3783" w:rsidRPr="006435B7" w:rsidRDefault="00BF3783" w:rsidP="00BF3783">
            <w:pPr>
              <w:spacing w:before="0" w:line="240" w:lineRule="auto"/>
            </w:pPr>
            <w:r w:rsidRPr="006435B7">
              <w:t>0.205</w:t>
            </w:r>
          </w:p>
        </w:tc>
        <w:tc>
          <w:tcPr>
            <w:tcW w:w="962" w:type="dxa"/>
            <w:vAlign w:val="center"/>
            <w:hideMark/>
          </w:tcPr>
          <w:p w14:paraId="738A3E4B" w14:textId="77777777" w:rsidR="00BF3783" w:rsidRPr="006435B7" w:rsidRDefault="00BF3783" w:rsidP="00BF3783">
            <w:pPr>
              <w:spacing w:before="0" w:line="240" w:lineRule="auto"/>
            </w:pPr>
            <w:r w:rsidRPr="006435B7">
              <w:t>2.38</w:t>
            </w:r>
          </w:p>
        </w:tc>
        <w:tc>
          <w:tcPr>
            <w:tcW w:w="892" w:type="dxa"/>
            <w:vAlign w:val="center"/>
            <w:hideMark/>
          </w:tcPr>
          <w:p w14:paraId="1984AB53" w14:textId="77777777" w:rsidR="00BF3783" w:rsidRPr="006435B7" w:rsidRDefault="00BF3783" w:rsidP="00BF3783">
            <w:pPr>
              <w:spacing w:before="0" w:line="240" w:lineRule="auto"/>
            </w:pPr>
            <w:r w:rsidRPr="006435B7">
              <w:t>.018</w:t>
            </w:r>
          </w:p>
        </w:tc>
      </w:tr>
      <w:tr w:rsidR="00F12F5E" w:rsidRPr="006435B7" w14:paraId="73EDA387" w14:textId="77777777" w:rsidTr="00F12F5E">
        <w:trPr>
          <w:tblCellSpacing w:w="15" w:type="dxa"/>
        </w:trPr>
        <w:tc>
          <w:tcPr>
            <w:tcW w:w="2223" w:type="dxa"/>
            <w:vAlign w:val="center"/>
            <w:hideMark/>
          </w:tcPr>
          <w:p w14:paraId="409C983F" w14:textId="77777777" w:rsidR="00BF3783" w:rsidRPr="006435B7" w:rsidRDefault="00BF3783" w:rsidP="00BF3783">
            <w:pPr>
              <w:spacing w:before="0" w:line="240" w:lineRule="auto"/>
            </w:pPr>
            <w:r w:rsidRPr="006435B7">
              <w:t>Transparency</w:t>
            </w:r>
          </w:p>
        </w:tc>
        <w:tc>
          <w:tcPr>
            <w:tcW w:w="1104" w:type="dxa"/>
            <w:vAlign w:val="center"/>
            <w:hideMark/>
          </w:tcPr>
          <w:p w14:paraId="52896D72" w14:textId="77777777" w:rsidR="00BF3783" w:rsidRPr="006435B7" w:rsidRDefault="00BF3783" w:rsidP="00BF3783">
            <w:pPr>
              <w:spacing w:before="0" w:line="240" w:lineRule="auto"/>
            </w:pPr>
            <w:r w:rsidRPr="006435B7">
              <w:t>0.237</w:t>
            </w:r>
          </w:p>
        </w:tc>
        <w:tc>
          <w:tcPr>
            <w:tcW w:w="0" w:type="auto"/>
            <w:vAlign w:val="center"/>
            <w:hideMark/>
          </w:tcPr>
          <w:p w14:paraId="7D388FF8" w14:textId="77777777" w:rsidR="00BF3783" w:rsidRPr="006435B7" w:rsidRDefault="00BF3783" w:rsidP="00BF3783">
            <w:pPr>
              <w:spacing w:before="0" w:line="240" w:lineRule="auto"/>
            </w:pPr>
            <w:r w:rsidRPr="006435B7">
              <w:t>0.102</w:t>
            </w:r>
          </w:p>
        </w:tc>
        <w:tc>
          <w:tcPr>
            <w:tcW w:w="970" w:type="dxa"/>
            <w:vAlign w:val="center"/>
            <w:hideMark/>
          </w:tcPr>
          <w:p w14:paraId="7DF809F6" w14:textId="77777777" w:rsidR="00BF3783" w:rsidRPr="006435B7" w:rsidRDefault="00BF3783" w:rsidP="00BF3783">
            <w:pPr>
              <w:spacing w:before="0" w:line="240" w:lineRule="auto"/>
            </w:pPr>
            <w:r w:rsidRPr="006435B7">
              <w:t>0.214</w:t>
            </w:r>
          </w:p>
        </w:tc>
        <w:tc>
          <w:tcPr>
            <w:tcW w:w="962" w:type="dxa"/>
            <w:vAlign w:val="center"/>
            <w:hideMark/>
          </w:tcPr>
          <w:p w14:paraId="2FA31FB9" w14:textId="77777777" w:rsidR="00BF3783" w:rsidRPr="006435B7" w:rsidRDefault="00BF3783" w:rsidP="00BF3783">
            <w:pPr>
              <w:spacing w:before="0" w:line="240" w:lineRule="auto"/>
            </w:pPr>
            <w:r w:rsidRPr="006435B7">
              <w:t>2.32</w:t>
            </w:r>
          </w:p>
        </w:tc>
        <w:tc>
          <w:tcPr>
            <w:tcW w:w="892" w:type="dxa"/>
            <w:vAlign w:val="center"/>
            <w:hideMark/>
          </w:tcPr>
          <w:p w14:paraId="2004D1B4" w14:textId="77777777" w:rsidR="00BF3783" w:rsidRPr="006435B7" w:rsidRDefault="00BF3783" w:rsidP="00BF3783">
            <w:pPr>
              <w:spacing w:before="0" w:line="240" w:lineRule="auto"/>
            </w:pPr>
            <w:r w:rsidRPr="006435B7">
              <w:t>.022</w:t>
            </w:r>
          </w:p>
        </w:tc>
      </w:tr>
    </w:tbl>
    <w:p w14:paraId="7EA77AA2" w14:textId="77777777" w:rsidR="00BF3783" w:rsidRPr="006435B7" w:rsidRDefault="00BF3783" w:rsidP="00BF3783">
      <w:pPr>
        <w:spacing w:before="0" w:line="240" w:lineRule="auto"/>
      </w:pPr>
      <w:r w:rsidRPr="006435B7">
        <w:t>Dependent Variable: Organizational Performance</w:t>
      </w:r>
    </w:p>
    <w:p w14:paraId="5E5F789B" w14:textId="77777777" w:rsidR="00F12F5E" w:rsidRPr="006435B7" w:rsidRDefault="00F12F5E" w:rsidP="00BF3783">
      <w:pPr>
        <w:spacing w:before="0" w:line="240" w:lineRule="auto"/>
      </w:pPr>
    </w:p>
    <w:p w14:paraId="7A189E25" w14:textId="4352E672" w:rsidR="00BF3783" w:rsidRPr="006435B7" w:rsidRDefault="00BF3783" w:rsidP="00BF3783">
      <w:pPr>
        <w:spacing w:before="0" w:line="240" w:lineRule="auto"/>
      </w:pPr>
      <w:r w:rsidRPr="006435B7">
        <w:t>Regression results demonstrate that shareholder rights have a positive and significant effect on organizational performance (β = 0.211, p = 0.033). Thus, improvements in shareholder rights are associated with corresponding improvements in the performance of commercial banks in Kisumu County. The other governance variables also recorded positive and significant coefficients.</w:t>
      </w:r>
    </w:p>
    <w:p w14:paraId="715BABB1" w14:textId="77777777" w:rsidR="00F12F5E" w:rsidRPr="006435B7" w:rsidRDefault="00F12F5E" w:rsidP="00BF3783">
      <w:pPr>
        <w:spacing w:before="0" w:line="240" w:lineRule="auto"/>
      </w:pPr>
    </w:p>
    <w:p w14:paraId="1D77F70A" w14:textId="38705B32" w:rsidR="00BF3783" w:rsidRPr="006435B7" w:rsidRDefault="00BF3783" w:rsidP="00BF3783">
      <w:pPr>
        <w:spacing w:before="0" w:line="240" w:lineRule="auto"/>
        <w:rPr>
          <w:b/>
          <w:sz w:val="28"/>
        </w:rPr>
      </w:pPr>
      <w:r w:rsidRPr="006435B7">
        <w:rPr>
          <w:b/>
          <w:sz w:val="28"/>
        </w:rPr>
        <w:t>Model Summary</w:t>
      </w:r>
    </w:p>
    <w:p w14:paraId="1E4D0F61" w14:textId="5A47B9A3" w:rsidR="00BF3783" w:rsidRPr="006435B7" w:rsidRDefault="00BF3783" w:rsidP="00BF3783">
      <w:pPr>
        <w:spacing w:before="0" w:line="240" w:lineRule="auto"/>
        <w:rPr>
          <w:b/>
          <w:i/>
        </w:rPr>
      </w:pPr>
      <w:r w:rsidRPr="006435B7">
        <w:rPr>
          <w:b/>
          <w:i/>
        </w:rPr>
        <w:t xml:space="preserve">Table </w:t>
      </w:r>
      <w:r w:rsidR="00F12F5E" w:rsidRPr="006435B7">
        <w:rPr>
          <w:b/>
          <w:i/>
        </w:rPr>
        <w:t>5</w:t>
      </w:r>
      <w:r w:rsidRPr="006435B7">
        <w:rPr>
          <w:b/>
          <w:i/>
        </w:rPr>
        <w:t xml:space="preserve"> Model Summary</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729"/>
        <w:gridCol w:w="546"/>
        <w:gridCol w:w="1027"/>
        <w:gridCol w:w="2021"/>
        <w:gridCol w:w="2748"/>
      </w:tblGrid>
      <w:tr w:rsidR="00BF3783" w:rsidRPr="006435B7" w14:paraId="1F564D90" w14:textId="77777777" w:rsidTr="00F12F5E">
        <w:trPr>
          <w:tblHeader/>
          <w:tblCellSpacing w:w="15" w:type="dxa"/>
        </w:trPr>
        <w:tc>
          <w:tcPr>
            <w:tcW w:w="0" w:type="auto"/>
            <w:tcBorders>
              <w:top w:val="single" w:sz="4" w:space="0" w:color="auto"/>
              <w:bottom w:val="single" w:sz="4" w:space="0" w:color="auto"/>
            </w:tcBorders>
            <w:vAlign w:val="center"/>
            <w:hideMark/>
          </w:tcPr>
          <w:p w14:paraId="0D53C06D" w14:textId="77777777" w:rsidR="00BF3783" w:rsidRPr="006435B7" w:rsidRDefault="00BF3783" w:rsidP="00BF3783">
            <w:pPr>
              <w:spacing w:before="0" w:line="240" w:lineRule="auto"/>
              <w:rPr>
                <w:b/>
              </w:rPr>
            </w:pPr>
            <w:r w:rsidRPr="006435B7">
              <w:rPr>
                <w:b/>
              </w:rPr>
              <w:t>Model</w:t>
            </w:r>
          </w:p>
        </w:tc>
        <w:tc>
          <w:tcPr>
            <w:tcW w:w="0" w:type="auto"/>
            <w:tcBorders>
              <w:top w:val="single" w:sz="4" w:space="0" w:color="auto"/>
              <w:bottom w:val="single" w:sz="4" w:space="0" w:color="auto"/>
            </w:tcBorders>
            <w:vAlign w:val="center"/>
            <w:hideMark/>
          </w:tcPr>
          <w:p w14:paraId="6109D450" w14:textId="77777777" w:rsidR="00BF3783" w:rsidRPr="006435B7" w:rsidRDefault="00BF3783" w:rsidP="00BF3783">
            <w:pPr>
              <w:spacing w:before="0" w:line="240" w:lineRule="auto"/>
              <w:rPr>
                <w:b/>
              </w:rPr>
            </w:pPr>
            <w:r w:rsidRPr="006435B7">
              <w:rPr>
                <w:b/>
              </w:rPr>
              <w:t>R</w:t>
            </w:r>
          </w:p>
        </w:tc>
        <w:tc>
          <w:tcPr>
            <w:tcW w:w="0" w:type="auto"/>
            <w:tcBorders>
              <w:top w:val="single" w:sz="4" w:space="0" w:color="auto"/>
              <w:bottom w:val="single" w:sz="4" w:space="0" w:color="auto"/>
            </w:tcBorders>
            <w:vAlign w:val="center"/>
            <w:hideMark/>
          </w:tcPr>
          <w:p w14:paraId="5122DC2D" w14:textId="77777777" w:rsidR="00BF3783" w:rsidRPr="006435B7" w:rsidRDefault="00BF3783" w:rsidP="00BF3783">
            <w:pPr>
              <w:spacing w:before="0" w:line="240" w:lineRule="auto"/>
              <w:rPr>
                <w:b/>
              </w:rPr>
            </w:pPr>
            <w:r w:rsidRPr="006435B7">
              <w:rPr>
                <w:b/>
              </w:rPr>
              <w:t>R Square</w:t>
            </w:r>
          </w:p>
        </w:tc>
        <w:tc>
          <w:tcPr>
            <w:tcW w:w="0" w:type="auto"/>
            <w:tcBorders>
              <w:top w:val="single" w:sz="4" w:space="0" w:color="auto"/>
              <w:bottom w:val="single" w:sz="4" w:space="0" w:color="auto"/>
            </w:tcBorders>
            <w:vAlign w:val="center"/>
            <w:hideMark/>
          </w:tcPr>
          <w:p w14:paraId="41657F64" w14:textId="77777777" w:rsidR="00BF3783" w:rsidRPr="006435B7" w:rsidRDefault="00BF3783" w:rsidP="00BF3783">
            <w:pPr>
              <w:spacing w:before="0" w:line="240" w:lineRule="auto"/>
              <w:rPr>
                <w:b/>
              </w:rPr>
            </w:pPr>
            <w:r w:rsidRPr="006435B7">
              <w:rPr>
                <w:b/>
              </w:rPr>
              <w:t>Adjusted R Square</w:t>
            </w:r>
          </w:p>
        </w:tc>
        <w:tc>
          <w:tcPr>
            <w:tcW w:w="0" w:type="auto"/>
            <w:tcBorders>
              <w:top w:val="single" w:sz="4" w:space="0" w:color="auto"/>
              <w:bottom w:val="single" w:sz="4" w:space="0" w:color="auto"/>
            </w:tcBorders>
            <w:vAlign w:val="center"/>
            <w:hideMark/>
          </w:tcPr>
          <w:p w14:paraId="6DD4FF62" w14:textId="77777777" w:rsidR="00BF3783" w:rsidRPr="006435B7" w:rsidRDefault="00BF3783" w:rsidP="00BF3783">
            <w:pPr>
              <w:spacing w:before="0" w:line="240" w:lineRule="auto"/>
              <w:rPr>
                <w:b/>
              </w:rPr>
            </w:pPr>
            <w:r w:rsidRPr="006435B7">
              <w:rPr>
                <w:b/>
              </w:rPr>
              <w:t>Std. Error of the Estimate</w:t>
            </w:r>
          </w:p>
        </w:tc>
      </w:tr>
      <w:tr w:rsidR="00BF3783" w:rsidRPr="006435B7" w14:paraId="2C483675" w14:textId="77777777" w:rsidTr="00F12F5E">
        <w:trPr>
          <w:tblCellSpacing w:w="15" w:type="dxa"/>
        </w:trPr>
        <w:tc>
          <w:tcPr>
            <w:tcW w:w="0" w:type="auto"/>
            <w:vAlign w:val="center"/>
            <w:hideMark/>
          </w:tcPr>
          <w:p w14:paraId="4CEA43A3" w14:textId="77777777" w:rsidR="00BF3783" w:rsidRPr="006435B7" w:rsidRDefault="00BF3783" w:rsidP="00BF3783">
            <w:pPr>
              <w:spacing w:before="0" w:line="240" w:lineRule="auto"/>
            </w:pPr>
            <w:r w:rsidRPr="006435B7">
              <w:t>1</w:t>
            </w:r>
          </w:p>
        </w:tc>
        <w:tc>
          <w:tcPr>
            <w:tcW w:w="0" w:type="auto"/>
            <w:vAlign w:val="center"/>
            <w:hideMark/>
          </w:tcPr>
          <w:p w14:paraId="52319224" w14:textId="77777777" w:rsidR="00BF3783" w:rsidRPr="006435B7" w:rsidRDefault="00BF3783" w:rsidP="00BF3783">
            <w:pPr>
              <w:spacing w:before="0" w:line="240" w:lineRule="auto"/>
            </w:pPr>
            <w:r w:rsidRPr="006435B7">
              <w:t>.621ᵃ</w:t>
            </w:r>
          </w:p>
        </w:tc>
        <w:tc>
          <w:tcPr>
            <w:tcW w:w="0" w:type="auto"/>
            <w:vAlign w:val="center"/>
            <w:hideMark/>
          </w:tcPr>
          <w:p w14:paraId="52C04552" w14:textId="77777777" w:rsidR="00BF3783" w:rsidRPr="006435B7" w:rsidRDefault="00BF3783" w:rsidP="00BF3783">
            <w:pPr>
              <w:spacing w:before="0" w:line="240" w:lineRule="auto"/>
            </w:pPr>
            <w:r w:rsidRPr="006435B7">
              <w:t>.598</w:t>
            </w:r>
          </w:p>
        </w:tc>
        <w:tc>
          <w:tcPr>
            <w:tcW w:w="0" w:type="auto"/>
            <w:vAlign w:val="center"/>
            <w:hideMark/>
          </w:tcPr>
          <w:p w14:paraId="35303740" w14:textId="77777777" w:rsidR="00BF3783" w:rsidRPr="006435B7" w:rsidRDefault="00BF3783" w:rsidP="00BF3783">
            <w:pPr>
              <w:spacing w:before="0" w:line="240" w:lineRule="auto"/>
            </w:pPr>
            <w:r w:rsidRPr="006435B7">
              <w:t>.582</w:t>
            </w:r>
          </w:p>
        </w:tc>
        <w:tc>
          <w:tcPr>
            <w:tcW w:w="0" w:type="auto"/>
            <w:vAlign w:val="center"/>
            <w:hideMark/>
          </w:tcPr>
          <w:p w14:paraId="15C471A3" w14:textId="77777777" w:rsidR="00BF3783" w:rsidRPr="006435B7" w:rsidRDefault="00BF3783" w:rsidP="00BF3783">
            <w:pPr>
              <w:spacing w:before="0" w:line="240" w:lineRule="auto"/>
            </w:pPr>
            <w:r w:rsidRPr="006435B7">
              <w:t>0.421</w:t>
            </w:r>
          </w:p>
        </w:tc>
      </w:tr>
    </w:tbl>
    <w:p w14:paraId="695E01D7" w14:textId="77777777" w:rsidR="00BF3783" w:rsidRPr="006435B7" w:rsidRDefault="00BF3783" w:rsidP="00BF3783">
      <w:pPr>
        <w:spacing w:before="0" w:line="240" w:lineRule="auto"/>
      </w:pPr>
      <w:r w:rsidRPr="006435B7">
        <w:t>Predictors: (Constant), Transparency, Board Size, Board Composition, Shareholder Rights</w:t>
      </w:r>
    </w:p>
    <w:p w14:paraId="62205140" w14:textId="77777777" w:rsidR="00F12F5E" w:rsidRPr="006435B7" w:rsidRDefault="00F12F5E" w:rsidP="00BF3783">
      <w:pPr>
        <w:spacing w:before="0" w:line="240" w:lineRule="auto"/>
      </w:pPr>
    </w:p>
    <w:p w14:paraId="56797F0E" w14:textId="51A28049" w:rsidR="00BF3783" w:rsidRPr="006435B7" w:rsidRDefault="00BF3783" w:rsidP="00BF3783">
      <w:pPr>
        <w:spacing w:before="0" w:line="240" w:lineRule="auto"/>
      </w:pPr>
      <w:r w:rsidRPr="006435B7">
        <w:t>The model produced R = 0.621, indicating a strong positive relationship between corporate governance practices and organizational performance. The R² of 0.598 shows that 59.8% of the variation in organizational performance is explained by the governance variables, while 40.2% is attributable to factors outside the model.</w:t>
      </w:r>
    </w:p>
    <w:p w14:paraId="5C6EB06C" w14:textId="77777777" w:rsidR="00F12F5E" w:rsidRPr="006435B7" w:rsidRDefault="00F12F5E" w:rsidP="00BF3783">
      <w:pPr>
        <w:spacing w:before="0" w:line="240" w:lineRule="auto"/>
      </w:pPr>
    </w:p>
    <w:p w14:paraId="0E0C0FC9" w14:textId="684EA0A2" w:rsidR="00BF3783" w:rsidRPr="006435B7" w:rsidRDefault="00BF3783" w:rsidP="00BF3783">
      <w:pPr>
        <w:spacing w:before="0" w:line="240" w:lineRule="auto"/>
        <w:rPr>
          <w:b/>
          <w:sz w:val="28"/>
        </w:rPr>
      </w:pPr>
      <w:r w:rsidRPr="006435B7">
        <w:rPr>
          <w:b/>
          <w:sz w:val="28"/>
        </w:rPr>
        <w:t>Analysis of Variance (ANOVA)</w:t>
      </w:r>
    </w:p>
    <w:p w14:paraId="7FC6415F" w14:textId="135EA130" w:rsidR="00BF3783" w:rsidRPr="006435B7" w:rsidRDefault="00BF3783" w:rsidP="00BF3783">
      <w:pPr>
        <w:spacing w:before="0" w:line="240" w:lineRule="auto"/>
        <w:rPr>
          <w:b/>
          <w:i/>
        </w:rPr>
      </w:pPr>
      <w:r w:rsidRPr="006435B7">
        <w:rPr>
          <w:b/>
          <w:i/>
        </w:rPr>
        <w:t xml:space="preserve">Table </w:t>
      </w:r>
      <w:r w:rsidR="00F12F5E" w:rsidRPr="006435B7">
        <w:rPr>
          <w:b/>
          <w:i/>
        </w:rPr>
        <w:t>6</w:t>
      </w:r>
      <w:r w:rsidRPr="006435B7">
        <w:rPr>
          <w:b/>
          <w:i/>
        </w:rPr>
        <w:t xml:space="preserve"> Analysis of Variance (ANOVA)</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142"/>
        <w:gridCol w:w="1674"/>
        <w:gridCol w:w="420"/>
        <w:gridCol w:w="1440"/>
        <w:gridCol w:w="720"/>
        <w:gridCol w:w="495"/>
      </w:tblGrid>
      <w:tr w:rsidR="00BF3783" w:rsidRPr="006435B7" w14:paraId="49CF0554" w14:textId="77777777" w:rsidTr="00F12F5E">
        <w:trPr>
          <w:tblHeader/>
          <w:tblCellSpacing w:w="15" w:type="dxa"/>
        </w:trPr>
        <w:tc>
          <w:tcPr>
            <w:tcW w:w="0" w:type="auto"/>
            <w:tcBorders>
              <w:top w:val="single" w:sz="4" w:space="0" w:color="auto"/>
              <w:bottom w:val="single" w:sz="4" w:space="0" w:color="auto"/>
            </w:tcBorders>
            <w:vAlign w:val="center"/>
            <w:hideMark/>
          </w:tcPr>
          <w:p w14:paraId="73C6D1EB" w14:textId="77777777" w:rsidR="00BF3783" w:rsidRPr="006435B7" w:rsidRDefault="00BF3783" w:rsidP="00BF3783">
            <w:pPr>
              <w:spacing w:before="0" w:line="240" w:lineRule="auto"/>
              <w:rPr>
                <w:b/>
              </w:rPr>
            </w:pPr>
            <w:r w:rsidRPr="006435B7">
              <w:rPr>
                <w:b/>
              </w:rPr>
              <w:t>Model</w:t>
            </w:r>
          </w:p>
        </w:tc>
        <w:tc>
          <w:tcPr>
            <w:tcW w:w="0" w:type="auto"/>
            <w:tcBorders>
              <w:top w:val="single" w:sz="4" w:space="0" w:color="auto"/>
              <w:bottom w:val="single" w:sz="4" w:space="0" w:color="auto"/>
            </w:tcBorders>
            <w:vAlign w:val="center"/>
            <w:hideMark/>
          </w:tcPr>
          <w:p w14:paraId="2D7020AE" w14:textId="77777777" w:rsidR="00BF3783" w:rsidRPr="006435B7" w:rsidRDefault="00BF3783" w:rsidP="00BF3783">
            <w:pPr>
              <w:spacing w:before="0" w:line="240" w:lineRule="auto"/>
              <w:rPr>
                <w:b/>
              </w:rPr>
            </w:pPr>
            <w:r w:rsidRPr="006435B7">
              <w:rPr>
                <w:b/>
              </w:rPr>
              <w:t>Sum of Squares</w:t>
            </w:r>
          </w:p>
        </w:tc>
        <w:tc>
          <w:tcPr>
            <w:tcW w:w="0" w:type="auto"/>
            <w:tcBorders>
              <w:top w:val="single" w:sz="4" w:space="0" w:color="auto"/>
              <w:bottom w:val="single" w:sz="4" w:space="0" w:color="auto"/>
            </w:tcBorders>
            <w:vAlign w:val="center"/>
            <w:hideMark/>
          </w:tcPr>
          <w:p w14:paraId="41A273E0" w14:textId="77777777" w:rsidR="00BF3783" w:rsidRPr="006435B7" w:rsidRDefault="00BF3783" w:rsidP="00BF3783">
            <w:pPr>
              <w:spacing w:before="0" w:line="240" w:lineRule="auto"/>
              <w:rPr>
                <w:b/>
              </w:rPr>
            </w:pPr>
            <w:r w:rsidRPr="006435B7">
              <w:rPr>
                <w:b/>
              </w:rPr>
              <w:t>df</w:t>
            </w:r>
          </w:p>
        </w:tc>
        <w:tc>
          <w:tcPr>
            <w:tcW w:w="0" w:type="auto"/>
            <w:tcBorders>
              <w:top w:val="single" w:sz="4" w:space="0" w:color="auto"/>
              <w:bottom w:val="single" w:sz="4" w:space="0" w:color="auto"/>
            </w:tcBorders>
            <w:vAlign w:val="center"/>
            <w:hideMark/>
          </w:tcPr>
          <w:p w14:paraId="104428DA" w14:textId="77777777" w:rsidR="00BF3783" w:rsidRPr="006435B7" w:rsidRDefault="00BF3783" w:rsidP="00BF3783">
            <w:pPr>
              <w:spacing w:before="0" w:line="240" w:lineRule="auto"/>
              <w:rPr>
                <w:b/>
              </w:rPr>
            </w:pPr>
            <w:r w:rsidRPr="006435B7">
              <w:rPr>
                <w:b/>
              </w:rPr>
              <w:t>Mean Square</w:t>
            </w:r>
          </w:p>
        </w:tc>
        <w:tc>
          <w:tcPr>
            <w:tcW w:w="0" w:type="auto"/>
            <w:tcBorders>
              <w:top w:val="single" w:sz="4" w:space="0" w:color="auto"/>
              <w:bottom w:val="single" w:sz="4" w:space="0" w:color="auto"/>
            </w:tcBorders>
            <w:vAlign w:val="center"/>
            <w:hideMark/>
          </w:tcPr>
          <w:p w14:paraId="21DFE9D2" w14:textId="77777777" w:rsidR="00BF3783" w:rsidRPr="006435B7" w:rsidRDefault="00BF3783" w:rsidP="00BF3783">
            <w:pPr>
              <w:spacing w:before="0" w:line="240" w:lineRule="auto"/>
              <w:rPr>
                <w:b/>
              </w:rPr>
            </w:pPr>
            <w:r w:rsidRPr="006435B7">
              <w:rPr>
                <w:b/>
              </w:rPr>
              <w:t>F</w:t>
            </w:r>
          </w:p>
        </w:tc>
        <w:tc>
          <w:tcPr>
            <w:tcW w:w="0" w:type="auto"/>
            <w:tcBorders>
              <w:top w:val="single" w:sz="4" w:space="0" w:color="auto"/>
              <w:bottom w:val="single" w:sz="4" w:space="0" w:color="auto"/>
            </w:tcBorders>
            <w:vAlign w:val="center"/>
            <w:hideMark/>
          </w:tcPr>
          <w:p w14:paraId="2619E0BA" w14:textId="77777777" w:rsidR="00BF3783" w:rsidRPr="006435B7" w:rsidRDefault="00BF3783" w:rsidP="00BF3783">
            <w:pPr>
              <w:spacing w:before="0" w:line="240" w:lineRule="auto"/>
              <w:rPr>
                <w:b/>
              </w:rPr>
            </w:pPr>
            <w:r w:rsidRPr="006435B7">
              <w:rPr>
                <w:b/>
              </w:rPr>
              <w:t>Sig.</w:t>
            </w:r>
          </w:p>
        </w:tc>
      </w:tr>
      <w:tr w:rsidR="00BF3783" w:rsidRPr="006435B7" w14:paraId="3024EC77" w14:textId="77777777" w:rsidTr="00F12F5E">
        <w:trPr>
          <w:tblCellSpacing w:w="15" w:type="dxa"/>
        </w:trPr>
        <w:tc>
          <w:tcPr>
            <w:tcW w:w="0" w:type="auto"/>
            <w:vAlign w:val="center"/>
            <w:hideMark/>
          </w:tcPr>
          <w:p w14:paraId="260C457A" w14:textId="77777777" w:rsidR="00BF3783" w:rsidRPr="006435B7" w:rsidRDefault="00BF3783" w:rsidP="00BF3783">
            <w:pPr>
              <w:spacing w:before="0" w:line="240" w:lineRule="auto"/>
            </w:pPr>
            <w:r w:rsidRPr="006435B7">
              <w:t>Regression</w:t>
            </w:r>
          </w:p>
        </w:tc>
        <w:tc>
          <w:tcPr>
            <w:tcW w:w="0" w:type="auto"/>
            <w:vAlign w:val="center"/>
            <w:hideMark/>
          </w:tcPr>
          <w:p w14:paraId="3FD22A9E" w14:textId="77777777" w:rsidR="00BF3783" w:rsidRPr="006435B7" w:rsidRDefault="00BF3783" w:rsidP="00BF3783">
            <w:pPr>
              <w:spacing w:before="0" w:line="240" w:lineRule="auto"/>
            </w:pPr>
            <w:r w:rsidRPr="006435B7">
              <w:t>11.842</w:t>
            </w:r>
          </w:p>
        </w:tc>
        <w:tc>
          <w:tcPr>
            <w:tcW w:w="0" w:type="auto"/>
            <w:vAlign w:val="center"/>
            <w:hideMark/>
          </w:tcPr>
          <w:p w14:paraId="7CB9CC4E" w14:textId="77777777" w:rsidR="00BF3783" w:rsidRPr="006435B7" w:rsidRDefault="00BF3783" w:rsidP="00BF3783">
            <w:pPr>
              <w:spacing w:before="0" w:line="240" w:lineRule="auto"/>
            </w:pPr>
            <w:r w:rsidRPr="006435B7">
              <w:t>4</w:t>
            </w:r>
          </w:p>
        </w:tc>
        <w:tc>
          <w:tcPr>
            <w:tcW w:w="0" w:type="auto"/>
            <w:vAlign w:val="center"/>
            <w:hideMark/>
          </w:tcPr>
          <w:p w14:paraId="7EDFD587" w14:textId="77777777" w:rsidR="00BF3783" w:rsidRPr="006435B7" w:rsidRDefault="00BF3783" w:rsidP="00BF3783">
            <w:pPr>
              <w:spacing w:before="0" w:line="240" w:lineRule="auto"/>
            </w:pPr>
            <w:r w:rsidRPr="006435B7">
              <w:t>2.961</w:t>
            </w:r>
          </w:p>
        </w:tc>
        <w:tc>
          <w:tcPr>
            <w:tcW w:w="0" w:type="auto"/>
            <w:vAlign w:val="center"/>
            <w:hideMark/>
          </w:tcPr>
          <w:p w14:paraId="6C0F8C5C" w14:textId="77777777" w:rsidR="00BF3783" w:rsidRPr="006435B7" w:rsidRDefault="00BF3783" w:rsidP="00BF3783">
            <w:pPr>
              <w:spacing w:before="0" w:line="240" w:lineRule="auto"/>
            </w:pPr>
            <w:r w:rsidRPr="006435B7">
              <w:t>16.720</w:t>
            </w:r>
          </w:p>
        </w:tc>
        <w:tc>
          <w:tcPr>
            <w:tcW w:w="0" w:type="auto"/>
            <w:vAlign w:val="center"/>
            <w:hideMark/>
          </w:tcPr>
          <w:p w14:paraId="2B888A0D" w14:textId="77777777" w:rsidR="00BF3783" w:rsidRPr="006435B7" w:rsidRDefault="00BF3783" w:rsidP="00BF3783">
            <w:pPr>
              <w:spacing w:before="0" w:line="240" w:lineRule="auto"/>
            </w:pPr>
            <w:r w:rsidRPr="006435B7">
              <w:t>.028</w:t>
            </w:r>
          </w:p>
        </w:tc>
      </w:tr>
      <w:tr w:rsidR="00BF3783" w:rsidRPr="006435B7" w14:paraId="54DF455F" w14:textId="77777777" w:rsidTr="00F12F5E">
        <w:trPr>
          <w:tblCellSpacing w:w="15" w:type="dxa"/>
        </w:trPr>
        <w:tc>
          <w:tcPr>
            <w:tcW w:w="0" w:type="auto"/>
            <w:vAlign w:val="center"/>
            <w:hideMark/>
          </w:tcPr>
          <w:p w14:paraId="13905F9C" w14:textId="77777777" w:rsidR="00BF3783" w:rsidRPr="006435B7" w:rsidRDefault="00BF3783" w:rsidP="00BF3783">
            <w:pPr>
              <w:spacing w:before="0" w:line="240" w:lineRule="auto"/>
            </w:pPr>
            <w:r w:rsidRPr="006435B7">
              <w:t>Residual</w:t>
            </w:r>
          </w:p>
        </w:tc>
        <w:tc>
          <w:tcPr>
            <w:tcW w:w="0" w:type="auto"/>
            <w:vAlign w:val="center"/>
            <w:hideMark/>
          </w:tcPr>
          <w:p w14:paraId="24B09700" w14:textId="77777777" w:rsidR="00BF3783" w:rsidRPr="006435B7" w:rsidRDefault="00BF3783" w:rsidP="00BF3783">
            <w:pPr>
              <w:spacing w:before="0" w:line="240" w:lineRule="auto"/>
            </w:pPr>
            <w:r w:rsidRPr="006435B7">
              <w:t>33.482</w:t>
            </w:r>
          </w:p>
        </w:tc>
        <w:tc>
          <w:tcPr>
            <w:tcW w:w="0" w:type="auto"/>
            <w:vAlign w:val="center"/>
            <w:hideMark/>
          </w:tcPr>
          <w:p w14:paraId="259D9EBD" w14:textId="77777777" w:rsidR="00BF3783" w:rsidRPr="006435B7" w:rsidRDefault="00BF3783" w:rsidP="00BF3783">
            <w:pPr>
              <w:spacing w:before="0" w:line="240" w:lineRule="auto"/>
            </w:pPr>
            <w:r w:rsidRPr="006435B7">
              <w:t>189</w:t>
            </w:r>
          </w:p>
        </w:tc>
        <w:tc>
          <w:tcPr>
            <w:tcW w:w="0" w:type="auto"/>
            <w:vAlign w:val="center"/>
            <w:hideMark/>
          </w:tcPr>
          <w:p w14:paraId="2ADF73EE" w14:textId="77777777" w:rsidR="00BF3783" w:rsidRPr="006435B7" w:rsidRDefault="00BF3783" w:rsidP="00BF3783">
            <w:pPr>
              <w:spacing w:before="0" w:line="240" w:lineRule="auto"/>
            </w:pPr>
            <w:r w:rsidRPr="006435B7">
              <w:t>0.177</w:t>
            </w:r>
          </w:p>
        </w:tc>
        <w:tc>
          <w:tcPr>
            <w:tcW w:w="0" w:type="auto"/>
            <w:vAlign w:val="center"/>
            <w:hideMark/>
          </w:tcPr>
          <w:p w14:paraId="596F3EF0" w14:textId="77777777" w:rsidR="00BF3783" w:rsidRPr="006435B7" w:rsidRDefault="00BF3783" w:rsidP="00BF3783">
            <w:pPr>
              <w:spacing w:before="0" w:line="240" w:lineRule="auto"/>
            </w:pPr>
            <w:r w:rsidRPr="006435B7">
              <w:t>—</w:t>
            </w:r>
          </w:p>
        </w:tc>
        <w:tc>
          <w:tcPr>
            <w:tcW w:w="0" w:type="auto"/>
            <w:vAlign w:val="center"/>
            <w:hideMark/>
          </w:tcPr>
          <w:p w14:paraId="1BCE4FFC" w14:textId="77777777" w:rsidR="00BF3783" w:rsidRPr="006435B7" w:rsidRDefault="00BF3783" w:rsidP="00BF3783">
            <w:pPr>
              <w:spacing w:before="0" w:line="240" w:lineRule="auto"/>
            </w:pPr>
            <w:r w:rsidRPr="006435B7">
              <w:t>—</w:t>
            </w:r>
          </w:p>
        </w:tc>
      </w:tr>
      <w:tr w:rsidR="00BF3783" w:rsidRPr="006435B7" w14:paraId="1E25A0CC" w14:textId="77777777" w:rsidTr="00F12F5E">
        <w:trPr>
          <w:tblCellSpacing w:w="15" w:type="dxa"/>
        </w:trPr>
        <w:tc>
          <w:tcPr>
            <w:tcW w:w="0" w:type="auto"/>
            <w:vAlign w:val="center"/>
            <w:hideMark/>
          </w:tcPr>
          <w:p w14:paraId="14752AA7" w14:textId="77777777" w:rsidR="00BF3783" w:rsidRPr="006435B7" w:rsidRDefault="00BF3783" w:rsidP="00BF3783">
            <w:pPr>
              <w:spacing w:before="0" w:line="240" w:lineRule="auto"/>
            </w:pPr>
            <w:r w:rsidRPr="006435B7">
              <w:t>Total</w:t>
            </w:r>
          </w:p>
        </w:tc>
        <w:tc>
          <w:tcPr>
            <w:tcW w:w="0" w:type="auto"/>
            <w:vAlign w:val="center"/>
            <w:hideMark/>
          </w:tcPr>
          <w:p w14:paraId="6DF1F3AD" w14:textId="77777777" w:rsidR="00BF3783" w:rsidRPr="006435B7" w:rsidRDefault="00BF3783" w:rsidP="00BF3783">
            <w:pPr>
              <w:spacing w:before="0" w:line="240" w:lineRule="auto"/>
            </w:pPr>
            <w:r w:rsidRPr="006435B7">
              <w:t>45.324</w:t>
            </w:r>
          </w:p>
        </w:tc>
        <w:tc>
          <w:tcPr>
            <w:tcW w:w="0" w:type="auto"/>
            <w:vAlign w:val="center"/>
            <w:hideMark/>
          </w:tcPr>
          <w:p w14:paraId="761E17B9" w14:textId="77777777" w:rsidR="00BF3783" w:rsidRPr="006435B7" w:rsidRDefault="00BF3783" w:rsidP="00BF3783">
            <w:pPr>
              <w:spacing w:before="0" w:line="240" w:lineRule="auto"/>
            </w:pPr>
            <w:r w:rsidRPr="006435B7">
              <w:t>193</w:t>
            </w:r>
          </w:p>
        </w:tc>
        <w:tc>
          <w:tcPr>
            <w:tcW w:w="0" w:type="auto"/>
            <w:vAlign w:val="center"/>
            <w:hideMark/>
          </w:tcPr>
          <w:p w14:paraId="7B81195A" w14:textId="77777777" w:rsidR="00BF3783" w:rsidRPr="006435B7" w:rsidRDefault="00BF3783" w:rsidP="00BF3783">
            <w:pPr>
              <w:spacing w:before="0" w:line="240" w:lineRule="auto"/>
            </w:pPr>
            <w:r w:rsidRPr="006435B7">
              <w:t>—</w:t>
            </w:r>
          </w:p>
        </w:tc>
        <w:tc>
          <w:tcPr>
            <w:tcW w:w="0" w:type="auto"/>
            <w:vAlign w:val="center"/>
            <w:hideMark/>
          </w:tcPr>
          <w:p w14:paraId="22B6895C" w14:textId="77777777" w:rsidR="00BF3783" w:rsidRPr="006435B7" w:rsidRDefault="00BF3783" w:rsidP="00BF3783">
            <w:pPr>
              <w:spacing w:before="0" w:line="240" w:lineRule="auto"/>
            </w:pPr>
            <w:r w:rsidRPr="006435B7">
              <w:t>—</w:t>
            </w:r>
          </w:p>
        </w:tc>
        <w:tc>
          <w:tcPr>
            <w:tcW w:w="0" w:type="auto"/>
            <w:vAlign w:val="center"/>
            <w:hideMark/>
          </w:tcPr>
          <w:p w14:paraId="4FC0450B" w14:textId="77777777" w:rsidR="00BF3783" w:rsidRPr="006435B7" w:rsidRDefault="00BF3783" w:rsidP="00BF3783">
            <w:pPr>
              <w:spacing w:before="0" w:line="240" w:lineRule="auto"/>
            </w:pPr>
            <w:r w:rsidRPr="006435B7">
              <w:t>—</w:t>
            </w:r>
          </w:p>
        </w:tc>
      </w:tr>
    </w:tbl>
    <w:p w14:paraId="61D2A1A8" w14:textId="77777777" w:rsidR="00F12F5E" w:rsidRPr="006435B7" w:rsidRDefault="00BF3783" w:rsidP="00BF3783">
      <w:pPr>
        <w:spacing w:before="0" w:line="240" w:lineRule="auto"/>
      </w:pPr>
      <w:r w:rsidRPr="006435B7">
        <w:t>Dependent Variable: Organizational Performance</w:t>
      </w:r>
    </w:p>
    <w:p w14:paraId="249677DF" w14:textId="233D6AE2" w:rsidR="00BF3783" w:rsidRPr="006435B7" w:rsidRDefault="00BF3783" w:rsidP="00BF3783">
      <w:pPr>
        <w:spacing w:before="0" w:line="240" w:lineRule="auto"/>
      </w:pPr>
      <w:r w:rsidRPr="006435B7">
        <w:t>Predictors: (Constant), Transparency, Board Size, Board Composition, Shareholder Rights</w:t>
      </w:r>
    </w:p>
    <w:p w14:paraId="44D9A904" w14:textId="77777777" w:rsidR="00F12F5E" w:rsidRPr="006435B7" w:rsidRDefault="00F12F5E" w:rsidP="00BF3783">
      <w:pPr>
        <w:spacing w:before="0" w:line="240" w:lineRule="auto"/>
      </w:pPr>
    </w:p>
    <w:p w14:paraId="3B815D9C" w14:textId="20931001" w:rsidR="00BF3783" w:rsidRPr="006435B7" w:rsidRDefault="00BF3783" w:rsidP="00BF3783">
      <w:pPr>
        <w:spacing w:before="0" w:line="240" w:lineRule="auto"/>
      </w:pPr>
      <w:r w:rsidRPr="006435B7">
        <w:t>The ANOVA results show that the overall regression model is statistically significant (F = 16.720, p = 0.028). Specifically, the findings support the conclusion that corporate governance practices collectively explain significant variation in organizational performance. With respect to the study objective, the significant positive coefficient for shareholder rights (β = 0.211, p = 0.033) provides evidence that shareholder rights significantly enhance organizational performance among commercial banks in Kisumu County.</w:t>
      </w:r>
    </w:p>
    <w:p w14:paraId="1A1E60EA" w14:textId="77777777" w:rsidR="00BF3783" w:rsidRPr="006435B7" w:rsidRDefault="00BF3783" w:rsidP="00BF3783">
      <w:pPr>
        <w:rPr>
          <w:rFonts w:cs="Times New Roman"/>
          <w:b/>
          <w:bCs/>
          <w:szCs w:val="24"/>
        </w:rPr>
      </w:pPr>
    </w:p>
    <w:p w14:paraId="359E84B3" w14:textId="69EAA060" w:rsidR="00055D83" w:rsidRPr="006435B7" w:rsidRDefault="00055D83" w:rsidP="00055D83">
      <w:pPr>
        <w:shd w:val="clear" w:color="auto" w:fill="FFFFFF"/>
        <w:spacing w:line="240" w:lineRule="auto"/>
        <w:rPr>
          <w:rFonts w:eastAsia="Times New Roman" w:cs="Times New Roman"/>
          <w:b/>
          <w:bCs/>
          <w:color w:val="000000" w:themeColor="text1"/>
          <w:sz w:val="28"/>
          <w:szCs w:val="28"/>
        </w:rPr>
      </w:pPr>
      <w:r w:rsidRPr="006435B7">
        <w:rPr>
          <w:rFonts w:eastAsia="Times New Roman" w:cs="Times New Roman"/>
          <w:b/>
          <w:bCs/>
          <w:color w:val="000000" w:themeColor="text1"/>
          <w:sz w:val="28"/>
          <w:szCs w:val="28"/>
        </w:rPr>
        <w:lastRenderedPageBreak/>
        <w:t xml:space="preserve">5.0 CONCLUSIONS </w:t>
      </w:r>
    </w:p>
    <w:p w14:paraId="415590CB" w14:textId="10BBB66E" w:rsidR="00766A2F" w:rsidRPr="006435B7" w:rsidRDefault="007F7A41" w:rsidP="002E784F">
      <w:pPr>
        <w:spacing w:line="240" w:lineRule="auto"/>
        <w:rPr>
          <w:rFonts w:cs="Times New Roman"/>
          <w:color w:val="000000" w:themeColor="text1"/>
          <w:szCs w:val="24"/>
        </w:rPr>
      </w:pPr>
      <w:r w:rsidRPr="006435B7">
        <w:rPr>
          <w:rFonts w:cs="Times New Roman"/>
          <w:color w:val="000000" w:themeColor="text1"/>
          <w:szCs w:val="24"/>
        </w:rPr>
        <w:t>The first objective of the study was to determine the effect of shareholder rights on organizational performance of commercial banks in Kisumu County. The study concluded that shareholder rights have a statistically significant and positive effect on the organizational performance of commercial banks in Kisumu County. Shareholder participation can be enhanced through effective voting rights, improving information access and improving managerial response to add to organizational accountability and ensure that decisions by management and shareholder interests are aligned, to contribute to better fiscal and operational performance</w:t>
      </w:r>
      <w:r w:rsidR="00E27800" w:rsidRPr="006435B7">
        <w:rPr>
          <w:rFonts w:cs="Times New Roman"/>
          <w:color w:val="000000" w:themeColor="text1"/>
          <w:szCs w:val="24"/>
        </w:rPr>
        <w:t>.</w:t>
      </w:r>
      <w:r w:rsidR="00E05059" w:rsidRPr="006435B7">
        <w:rPr>
          <w:rFonts w:cs="Times New Roman"/>
          <w:color w:val="000000" w:themeColor="text1"/>
          <w:szCs w:val="24"/>
        </w:rPr>
        <w:t xml:space="preserve"> </w:t>
      </w:r>
    </w:p>
    <w:p w14:paraId="750144BF" w14:textId="7E52FE3F" w:rsidR="00055D83" w:rsidRPr="006435B7" w:rsidRDefault="00055D83" w:rsidP="00D26C8B">
      <w:pPr>
        <w:spacing w:line="240" w:lineRule="auto"/>
        <w:rPr>
          <w:rFonts w:cs="Times New Roman"/>
          <w:b/>
          <w:bCs/>
          <w:color w:val="000000" w:themeColor="text1"/>
          <w:sz w:val="28"/>
          <w:szCs w:val="28"/>
        </w:rPr>
      </w:pPr>
      <w:r w:rsidRPr="006435B7">
        <w:rPr>
          <w:rFonts w:cs="Times New Roman"/>
          <w:b/>
          <w:bCs/>
          <w:color w:val="000000" w:themeColor="text1"/>
          <w:sz w:val="28"/>
          <w:szCs w:val="28"/>
        </w:rPr>
        <w:t>6.0 RECOMMENDATIONS</w:t>
      </w:r>
    </w:p>
    <w:p w14:paraId="4F4A7D8A" w14:textId="77777777" w:rsidR="0045178A" w:rsidRPr="006435B7" w:rsidRDefault="0045178A" w:rsidP="0045178A">
      <w:pPr>
        <w:spacing w:before="0" w:line="240" w:lineRule="auto"/>
      </w:pPr>
    </w:p>
    <w:p w14:paraId="648B633B" w14:textId="39FD206A" w:rsidR="00D16476" w:rsidRPr="006435B7" w:rsidRDefault="0045178A" w:rsidP="0045178A">
      <w:pPr>
        <w:spacing w:before="0" w:line="240" w:lineRule="auto"/>
      </w:pPr>
      <w:r w:rsidRPr="006435B7">
        <w:t>The study recommends that commercial banks in Kisumu County strengthen shareholder rights by improving mechanisms that facilitate meaningful participation in decision-making. Banks should provide shareholders with accurate and timely information, strengthen voting mechanisms, protect minority shareholders, and establish effective communication channels for regular engagement. Incorporating shareholder feedback into strategic decisions can enhance accountability, managerial responsiveness, and alignment with shareholder interests, thereby improving organizational performance. The study further recommends that future research extend beyond commercial banks to other sectors to facilitate cross-industry comparisons. Researchers should also examine additional corporate governance dimensions, including audit committees, risk management practices, executive compensation, and leadership styles, to provide a broader understanding of governance and organizational performance. Finally, future studies should employ longitudinal or mixed-methods designs to capture changes over time and integrate quantitative findings with qualitative insights, thereby providing deeper explanations of corporate governance-performance relationships</w:t>
      </w:r>
      <w:r w:rsidR="00E207BA" w:rsidRPr="006435B7">
        <w:t>.</w:t>
      </w:r>
    </w:p>
    <w:p w14:paraId="3ED1433F" w14:textId="7D0D9F53" w:rsidR="00520BFE" w:rsidRPr="006435B7" w:rsidRDefault="00520BFE" w:rsidP="0045178A">
      <w:pPr>
        <w:spacing w:before="0" w:line="240" w:lineRule="auto"/>
      </w:pPr>
    </w:p>
    <w:p w14:paraId="18F08722" w14:textId="77777777" w:rsidR="00520BFE" w:rsidRPr="006435B7" w:rsidRDefault="00520BFE" w:rsidP="00520BFE">
      <w:pPr>
        <w:spacing w:line="240" w:lineRule="auto"/>
        <w:rPr>
          <w:rFonts w:ascii="Arial" w:hAnsi="Arial" w:cs="Arial"/>
          <w:b/>
          <w:sz w:val="20"/>
          <w:szCs w:val="20"/>
        </w:rPr>
      </w:pPr>
      <w:bookmarkStart w:id="5" w:name="_Hlk238550938"/>
      <w:bookmarkStart w:id="6" w:name="_Hlk237964440"/>
      <w:bookmarkStart w:id="7" w:name="_Hlk237949335"/>
      <w:bookmarkStart w:id="8" w:name="_Hlk237857116"/>
      <w:bookmarkStart w:id="9" w:name="_Hlk237856463"/>
      <w:r w:rsidRPr="006435B7">
        <w:rPr>
          <w:rFonts w:ascii="Arial" w:hAnsi="Arial" w:cs="Arial"/>
          <w:b/>
          <w:sz w:val="20"/>
          <w:szCs w:val="20"/>
        </w:rPr>
        <w:t>Declaration of AI Use</w:t>
      </w:r>
    </w:p>
    <w:p w14:paraId="5E7CD986" w14:textId="77777777" w:rsidR="00520BFE" w:rsidRPr="006435B7" w:rsidRDefault="00520BFE" w:rsidP="00520BFE">
      <w:pPr>
        <w:spacing w:line="240" w:lineRule="auto"/>
        <w:rPr>
          <w:rFonts w:ascii="Arial" w:hAnsi="Arial" w:cs="Arial"/>
          <w:sz w:val="20"/>
          <w:szCs w:val="20"/>
        </w:rPr>
      </w:pPr>
    </w:p>
    <w:p w14:paraId="76B1D007" w14:textId="1EB3BE51" w:rsidR="00520BFE" w:rsidRPr="006435B7" w:rsidRDefault="00520BFE" w:rsidP="00520BFE">
      <w:pPr>
        <w:spacing w:line="240" w:lineRule="auto"/>
        <w:rPr>
          <w:rFonts w:ascii="Arial" w:hAnsi="Arial" w:cs="Arial"/>
          <w:sz w:val="20"/>
          <w:szCs w:val="20"/>
        </w:rPr>
      </w:pPr>
      <w:bookmarkStart w:id="10" w:name="_Hlk237862032"/>
      <w:r w:rsidRPr="006435B7">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5"/>
      <w:r w:rsidRPr="006435B7">
        <w:rPr>
          <w:rFonts w:ascii="Arial" w:hAnsi="Arial" w:cs="Arial"/>
          <w:sz w:val="20"/>
          <w:szCs w:val="20"/>
        </w:rPr>
        <w:t>.</w:t>
      </w:r>
    </w:p>
    <w:p w14:paraId="7098E8BD" w14:textId="5DA684BD" w:rsidR="0029480B" w:rsidRPr="006435B7" w:rsidRDefault="0029480B" w:rsidP="00520BFE">
      <w:pPr>
        <w:spacing w:line="240" w:lineRule="auto"/>
        <w:rPr>
          <w:rFonts w:ascii="Arial" w:hAnsi="Arial" w:cs="Arial"/>
          <w:sz w:val="20"/>
          <w:szCs w:val="20"/>
        </w:rPr>
      </w:pPr>
    </w:p>
    <w:p w14:paraId="586F5360" w14:textId="77777777" w:rsidR="0029480B" w:rsidRPr="006435B7" w:rsidRDefault="0029480B" w:rsidP="0029480B">
      <w:pPr>
        <w:outlineLvl w:val="0"/>
        <w:rPr>
          <w:rFonts w:ascii="Arial" w:hAnsi="Arial" w:cs="Arial"/>
        </w:rPr>
      </w:pPr>
      <w:r w:rsidRPr="006435B7">
        <w:rPr>
          <w:rFonts w:ascii="Arial" w:hAnsi="Arial" w:cs="Arial"/>
          <w:b/>
          <w:bCs/>
        </w:rPr>
        <w:t>COMPETING INTERESTS DISCLAIMER:</w:t>
      </w:r>
    </w:p>
    <w:p w14:paraId="41DE74B9" w14:textId="77777777" w:rsidR="0029480B" w:rsidRPr="006435B7" w:rsidRDefault="0029480B" w:rsidP="0029480B">
      <w:r w:rsidRPr="006435B7">
        <w:t>Authors have declared that they have no known competing financial interests OR non-financial interests OR personal relationships that could have appeared to influence the work reported in this paper.</w:t>
      </w:r>
    </w:p>
    <w:bookmarkEnd w:id="6"/>
    <w:bookmarkEnd w:id="7"/>
    <w:bookmarkEnd w:id="8"/>
    <w:bookmarkEnd w:id="9"/>
    <w:bookmarkEnd w:id="10"/>
    <w:p w14:paraId="38ACF2C4" w14:textId="66B88ADC" w:rsidR="007A56B8" w:rsidRPr="006435B7" w:rsidRDefault="007A56B8">
      <w:pPr>
        <w:spacing w:before="0" w:after="160" w:line="259" w:lineRule="auto"/>
        <w:jc w:val="left"/>
        <w:rPr>
          <w:rFonts w:eastAsia="Times New Roman" w:cs="Times New Roman"/>
          <w:b/>
          <w:bCs/>
          <w:color w:val="000000" w:themeColor="text1"/>
          <w:sz w:val="28"/>
          <w:szCs w:val="28"/>
        </w:rPr>
      </w:pPr>
    </w:p>
    <w:p w14:paraId="5A202687" w14:textId="2912289E" w:rsidR="00B55CEF" w:rsidRPr="006435B7" w:rsidRDefault="00055D83" w:rsidP="002151BA">
      <w:pPr>
        <w:shd w:val="clear" w:color="auto" w:fill="FFFFFF"/>
        <w:spacing w:line="240" w:lineRule="auto"/>
        <w:rPr>
          <w:rFonts w:eastAsia="Times New Roman" w:cs="Times New Roman"/>
          <w:b/>
          <w:bCs/>
          <w:color w:val="000000" w:themeColor="text1"/>
          <w:sz w:val="28"/>
          <w:szCs w:val="28"/>
        </w:rPr>
      </w:pPr>
      <w:r w:rsidRPr="006435B7">
        <w:rPr>
          <w:rFonts w:eastAsia="Times New Roman" w:cs="Times New Roman"/>
          <w:b/>
          <w:bCs/>
          <w:color w:val="000000" w:themeColor="text1"/>
          <w:sz w:val="28"/>
          <w:szCs w:val="28"/>
        </w:rPr>
        <w:t>REFERENCES</w:t>
      </w:r>
    </w:p>
    <w:p w14:paraId="0B1EF7B8"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Adeabah</w:t>
      </w:r>
      <w:proofErr w:type="spellEnd"/>
      <w:r w:rsidRPr="006435B7">
        <w:rPr>
          <w:rFonts w:cs="Times New Roman"/>
          <w:szCs w:val="24"/>
        </w:rPr>
        <w:t xml:space="preserve">, D., Gyeke-Dako, A., &amp; Ando, C. (2019). Board gender diversity, corporate governance and bank efficiency in Ghana: a two-stage data envelope analysis (DEA) approach. Corporate governance: </w:t>
      </w:r>
      <w:r w:rsidRPr="006435B7">
        <w:rPr>
          <w:rFonts w:cs="Times New Roman"/>
          <w:i/>
          <w:iCs/>
          <w:szCs w:val="24"/>
        </w:rPr>
        <w:t>The International Journal of Business in Society</w:t>
      </w:r>
      <w:r w:rsidRPr="006435B7">
        <w:rPr>
          <w:rFonts w:cs="Times New Roman"/>
          <w:szCs w:val="24"/>
        </w:rPr>
        <w:t>.</w:t>
      </w:r>
    </w:p>
    <w:p w14:paraId="3E11F927"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Adegbayibi</w:t>
      </w:r>
      <w:proofErr w:type="spellEnd"/>
      <w:r w:rsidRPr="006435B7">
        <w:rPr>
          <w:rFonts w:cs="Times New Roman"/>
          <w:szCs w:val="24"/>
        </w:rPr>
        <w:t xml:space="preserve">, A. T. (2021). Intellectual capital and firm performance of listed firms in Nigeria: Moderating role of corporate governance. </w:t>
      </w:r>
      <w:proofErr w:type="spellStart"/>
      <w:r w:rsidRPr="006435B7">
        <w:rPr>
          <w:rFonts w:cs="Times New Roman"/>
          <w:i/>
          <w:iCs/>
          <w:szCs w:val="24"/>
        </w:rPr>
        <w:t>Jurnal</w:t>
      </w:r>
      <w:proofErr w:type="spellEnd"/>
      <w:r w:rsidRPr="006435B7">
        <w:rPr>
          <w:rFonts w:cs="Times New Roman"/>
          <w:i/>
          <w:iCs/>
          <w:szCs w:val="24"/>
        </w:rPr>
        <w:t xml:space="preserve"> </w:t>
      </w:r>
      <w:proofErr w:type="spellStart"/>
      <w:r w:rsidRPr="006435B7">
        <w:rPr>
          <w:rFonts w:cs="Times New Roman"/>
          <w:i/>
          <w:iCs/>
          <w:szCs w:val="24"/>
        </w:rPr>
        <w:t>Akuntansi</w:t>
      </w:r>
      <w:proofErr w:type="spellEnd"/>
      <w:r w:rsidRPr="006435B7">
        <w:rPr>
          <w:rFonts w:cs="Times New Roman"/>
          <w:i/>
          <w:iCs/>
          <w:szCs w:val="24"/>
        </w:rPr>
        <w:t xml:space="preserve"> Dan Auditing</w:t>
      </w:r>
      <w:r w:rsidRPr="006435B7">
        <w:rPr>
          <w:rFonts w:cs="Times New Roman"/>
          <w:szCs w:val="24"/>
        </w:rPr>
        <w:t xml:space="preserve">, </w:t>
      </w:r>
      <w:r w:rsidRPr="006435B7">
        <w:rPr>
          <w:rFonts w:cs="Times New Roman"/>
          <w:i/>
          <w:iCs/>
          <w:szCs w:val="24"/>
        </w:rPr>
        <w:t>17</w:t>
      </w:r>
      <w:r w:rsidRPr="006435B7">
        <w:rPr>
          <w:rFonts w:cs="Times New Roman"/>
          <w:szCs w:val="24"/>
        </w:rPr>
        <w:t>(2), 33-46.</w:t>
      </w:r>
    </w:p>
    <w:p w14:paraId="5290268E"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lastRenderedPageBreak/>
        <w:t>Adejoka</w:t>
      </w:r>
      <w:proofErr w:type="spellEnd"/>
      <w:r w:rsidRPr="006435B7">
        <w:rPr>
          <w:rFonts w:cs="Times New Roman"/>
          <w:szCs w:val="24"/>
        </w:rPr>
        <w:t xml:space="preserve">, A. B., &amp; Bayat, M. S. (2014). Evaluation of performance management and development systems with balanced scorecard as a performance appraisal tool at Mthatha general hospital–Eastern Cape Province. </w:t>
      </w:r>
      <w:r w:rsidRPr="006435B7">
        <w:rPr>
          <w:rFonts w:cs="Times New Roman"/>
          <w:i/>
          <w:iCs/>
          <w:szCs w:val="24"/>
        </w:rPr>
        <w:t>Journal of Research and Development</w:t>
      </w:r>
      <w:r w:rsidRPr="006435B7">
        <w:rPr>
          <w:rFonts w:cs="Times New Roman"/>
          <w:szCs w:val="24"/>
        </w:rPr>
        <w:t xml:space="preserve">, </w:t>
      </w:r>
      <w:r w:rsidRPr="006435B7">
        <w:rPr>
          <w:rFonts w:cs="Times New Roman"/>
          <w:i/>
          <w:iCs/>
          <w:szCs w:val="24"/>
        </w:rPr>
        <w:t>1</w:t>
      </w:r>
      <w:r w:rsidRPr="006435B7">
        <w:rPr>
          <w:rFonts w:cs="Times New Roman"/>
          <w:szCs w:val="24"/>
        </w:rPr>
        <w:t>(7), 7-24.</w:t>
      </w:r>
    </w:p>
    <w:p w14:paraId="7F240A2C" w14:textId="77777777" w:rsidR="007625DB" w:rsidRPr="006435B7" w:rsidRDefault="007625DB" w:rsidP="007625DB">
      <w:pPr>
        <w:spacing w:before="0" w:line="240" w:lineRule="auto"/>
        <w:ind w:left="720" w:hanging="720"/>
        <w:rPr>
          <w:rFonts w:cs="Times New Roman"/>
          <w:szCs w:val="24"/>
          <w:lang w:val="en-GB"/>
        </w:rPr>
      </w:pPr>
      <w:r w:rsidRPr="006435B7">
        <w:rPr>
          <w:rFonts w:cs="Times New Roman"/>
          <w:szCs w:val="24"/>
          <w:lang w:val="en-GB"/>
        </w:rPr>
        <w:t xml:space="preserve">Adhiambo, C. (2021). </w:t>
      </w:r>
      <w:r w:rsidRPr="006435B7">
        <w:rPr>
          <w:rFonts w:cs="Times New Roman"/>
          <w:i/>
          <w:iCs/>
          <w:szCs w:val="24"/>
          <w:lang w:val="en-GB"/>
        </w:rPr>
        <w:t>The Effect of Financial Restructuring on Performance of Insurance Companies in Kenya</w:t>
      </w:r>
      <w:r w:rsidRPr="006435B7">
        <w:rPr>
          <w:rFonts w:cs="Times New Roman"/>
          <w:szCs w:val="24"/>
          <w:lang w:val="en-GB"/>
        </w:rPr>
        <w:t xml:space="preserve"> (Doctoral dissertation, University of Nairobi).</w:t>
      </w:r>
    </w:p>
    <w:p w14:paraId="24A72C1A"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Aebi, V., Sabato, G., &amp; Schmid, M. (2018). Corporate governance and performance of commercial banks: A global perspective. </w:t>
      </w:r>
      <w:r w:rsidRPr="006435B7">
        <w:rPr>
          <w:rFonts w:cs="Times New Roman"/>
          <w:i/>
          <w:iCs/>
          <w:szCs w:val="24"/>
        </w:rPr>
        <w:t>Journal of Banking and Finance</w:t>
      </w:r>
      <w:r w:rsidRPr="006435B7">
        <w:rPr>
          <w:rFonts w:cs="Times New Roman"/>
          <w:szCs w:val="24"/>
        </w:rPr>
        <w:t>, 45, 43-57.</w:t>
      </w:r>
    </w:p>
    <w:p w14:paraId="3C53AD80"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Agbadua</w:t>
      </w:r>
      <w:proofErr w:type="spellEnd"/>
      <w:r w:rsidRPr="006435B7">
        <w:rPr>
          <w:rFonts w:cs="Times New Roman"/>
          <w:szCs w:val="24"/>
        </w:rPr>
        <w:t xml:space="preserve">, O. B., </w:t>
      </w:r>
      <w:proofErr w:type="spellStart"/>
      <w:r w:rsidRPr="006435B7">
        <w:rPr>
          <w:rFonts w:cs="Times New Roman"/>
          <w:szCs w:val="24"/>
        </w:rPr>
        <w:t>Obomeile</w:t>
      </w:r>
      <w:proofErr w:type="spellEnd"/>
      <w:r w:rsidRPr="006435B7">
        <w:rPr>
          <w:rFonts w:cs="Times New Roman"/>
          <w:szCs w:val="24"/>
        </w:rPr>
        <w:t xml:space="preserve">, C., &amp; </w:t>
      </w:r>
      <w:proofErr w:type="spellStart"/>
      <w:r w:rsidRPr="006435B7">
        <w:rPr>
          <w:rFonts w:cs="Times New Roman"/>
          <w:szCs w:val="24"/>
        </w:rPr>
        <w:t>Ohiokha</w:t>
      </w:r>
      <w:proofErr w:type="spellEnd"/>
      <w:r w:rsidRPr="006435B7">
        <w:rPr>
          <w:rFonts w:cs="Times New Roman"/>
          <w:szCs w:val="24"/>
        </w:rPr>
        <w:t xml:space="preserve">, I. F. (2023). Effect of Corporate Governance on Corporate Performance in Nigerian Listed Firms: Saints and Sinners </w:t>
      </w:r>
      <w:proofErr w:type="spellStart"/>
      <w:r w:rsidRPr="006435B7">
        <w:rPr>
          <w:rFonts w:cs="Times New Roman"/>
          <w:szCs w:val="24"/>
        </w:rPr>
        <w:t>Behaviour</w:t>
      </w:r>
      <w:proofErr w:type="spellEnd"/>
      <w:r w:rsidRPr="006435B7">
        <w:rPr>
          <w:rFonts w:cs="Times New Roman"/>
          <w:szCs w:val="24"/>
        </w:rPr>
        <w:t xml:space="preserve">. </w:t>
      </w:r>
      <w:proofErr w:type="spellStart"/>
      <w:r w:rsidRPr="006435B7">
        <w:rPr>
          <w:rFonts w:cs="Times New Roman"/>
          <w:i/>
          <w:iCs/>
          <w:szCs w:val="24"/>
        </w:rPr>
        <w:t>Fuoye</w:t>
      </w:r>
      <w:proofErr w:type="spellEnd"/>
      <w:r w:rsidRPr="006435B7">
        <w:rPr>
          <w:rFonts w:cs="Times New Roman"/>
          <w:i/>
          <w:iCs/>
          <w:szCs w:val="24"/>
        </w:rPr>
        <w:t xml:space="preserve"> Journal of Finance and Contemporary Issues</w:t>
      </w:r>
      <w:r w:rsidRPr="006435B7">
        <w:rPr>
          <w:rFonts w:cs="Times New Roman"/>
          <w:szCs w:val="24"/>
        </w:rPr>
        <w:t xml:space="preserve">, </w:t>
      </w:r>
      <w:r w:rsidRPr="006435B7">
        <w:rPr>
          <w:rFonts w:cs="Times New Roman"/>
          <w:i/>
          <w:iCs/>
          <w:szCs w:val="24"/>
        </w:rPr>
        <w:t>4</w:t>
      </w:r>
      <w:r w:rsidRPr="006435B7">
        <w:rPr>
          <w:rFonts w:cs="Times New Roman"/>
          <w:szCs w:val="24"/>
        </w:rPr>
        <w:t>(2).</w:t>
      </w:r>
    </w:p>
    <w:p w14:paraId="7133C8FC"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Ajayi, O. A., &amp; </w:t>
      </w:r>
      <w:proofErr w:type="spellStart"/>
      <w:r w:rsidRPr="006435B7">
        <w:rPr>
          <w:rFonts w:cs="Times New Roman"/>
          <w:szCs w:val="24"/>
        </w:rPr>
        <w:t>Mmutle</w:t>
      </w:r>
      <w:proofErr w:type="spellEnd"/>
      <w:r w:rsidRPr="006435B7">
        <w:rPr>
          <w:rFonts w:cs="Times New Roman"/>
          <w:szCs w:val="24"/>
        </w:rPr>
        <w:t xml:space="preserve">, T. (2021). Corporate reputation through strategic communication of corporate social responsibility. </w:t>
      </w:r>
      <w:r w:rsidRPr="006435B7">
        <w:rPr>
          <w:rFonts w:cs="Times New Roman"/>
          <w:i/>
          <w:iCs/>
          <w:szCs w:val="24"/>
        </w:rPr>
        <w:t>Corporate Communications: An International Journal</w:t>
      </w:r>
      <w:r w:rsidRPr="006435B7">
        <w:rPr>
          <w:rFonts w:cs="Times New Roman"/>
          <w:szCs w:val="24"/>
        </w:rPr>
        <w:t xml:space="preserve">, </w:t>
      </w:r>
      <w:r w:rsidRPr="006435B7">
        <w:rPr>
          <w:rFonts w:cs="Times New Roman"/>
          <w:i/>
          <w:iCs/>
          <w:szCs w:val="24"/>
        </w:rPr>
        <w:t>26</w:t>
      </w:r>
      <w:r w:rsidRPr="006435B7">
        <w:rPr>
          <w:rFonts w:cs="Times New Roman"/>
          <w:szCs w:val="24"/>
        </w:rPr>
        <w:t>(5), 1-15.</w:t>
      </w:r>
    </w:p>
    <w:p w14:paraId="6AB2624E"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Albu, O. B., &amp; Flyverbom, M. (2019). Organizational transparency: Conceptualizations, conditions, and consequences. </w:t>
      </w:r>
      <w:r w:rsidRPr="006435B7">
        <w:rPr>
          <w:rFonts w:cs="Times New Roman"/>
          <w:i/>
          <w:iCs/>
          <w:szCs w:val="24"/>
        </w:rPr>
        <w:t>Business &amp; society</w:t>
      </w:r>
      <w:r w:rsidRPr="006435B7">
        <w:rPr>
          <w:rFonts w:cs="Times New Roman"/>
          <w:szCs w:val="24"/>
        </w:rPr>
        <w:t xml:space="preserve">, </w:t>
      </w:r>
      <w:r w:rsidRPr="006435B7">
        <w:rPr>
          <w:rFonts w:cs="Times New Roman"/>
          <w:i/>
          <w:iCs/>
          <w:szCs w:val="24"/>
        </w:rPr>
        <w:t>58</w:t>
      </w:r>
      <w:r w:rsidRPr="006435B7">
        <w:rPr>
          <w:rFonts w:cs="Times New Roman"/>
          <w:szCs w:val="24"/>
        </w:rPr>
        <w:t>(2), 268-297.</w:t>
      </w:r>
    </w:p>
    <w:p w14:paraId="587246CA" w14:textId="77777777" w:rsidR="007625DB" w:rsidRPr="006435B7" w:rsidRDefault="007625DB" w:rsidP="007625DB">
      <w:pPr>
        <w:spacing w:before="0" w:line="240" w:lineRule="auto"/>
        <w:ind w:left="720" w:hanging="720"/>
        <w:rPr>
          <w:rFonts w:cs="Times New Roman"/>
          <w:szCs w:val="24"/>
          <w:lang w:val="en-GB"/>
        </w:rPr>
      </w:pPr>
      <w:r w:rsidRPr="006435B7">
        <w:rPr>
          <w:rFonts w:cs="Times New Roman"/>
          <w:szCs w:val="24"/>
          <w:lang w:val="en-GB"/>
        </w:rPr>
        <w:t xml:space="preserve">Al-Matari, E. M. (2020). Do characteristics of the board of directors and top executives have an effect on corporate performance among the financial sector? Evidence using stock. </w:t>
      </w:r>
      <w:r w:rsidRPr="006435B7">
        <w:rPr>
          <w:rFonts w:cs="Times New Roman"/>
          <w:i/>
          <w:iCs/>
          <w:szCs w:val="24"/>
          <w:lang w:val="en-GB"/>
        </w:rPr>
        <w:t>Corporate Governance: The International Journal of Business in Society</w:t>
      </w:r>
      <w:r w:rsidRPr="006435B7">
        <w:rPr>
          <w:rFonts w:cs="Times New Roman"/>
          <w:szCs w:val="24"/>
          <w:lang w:val="en-GB"/>
        </w:rPr>
        <w:t xml:space="preserve">, </w:t>
      </w:r>
      <w:r w:rsidRPr="006435B7">
        <w:rPr>
          <w:rFonts w:cs="Times New Roman"/>
          <w:i/>
          <w:iCs/>
          <w:szCs w:val="24"/>
          <w:lang w:val="en-GB"/>
        </w:rPr>
        <w:t>20</w:t>
      </w:r>
      <w:r w:rsidRPr="006435B7">
        <w:rPr>
          <w:rFonts w:cs="Times New Roman"/>
          <w:szCs w:val="24"/>
          <w:lang w:val="en-GB"/>
        </w:rPr>
        <w:t>(1), 16-43.</w:t>
      </w:r>
    </w:p>
    <w:p w14:paraId="3312A846"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Altman, E. I., Hotchkiss, E., &amp; Wang, W. (2019). </w:t>
      </w:r>
      <w:r w:rsidRPr="006435B7">
        <w:rPr>
          <w:rFonts w:cs="Times New Roman"/>
          <w:i/>
          <w:iCs/>
          <w:szCs w:val="24"/>
        </w:rPr>
        <w:t>Corporate financial distress, restructuring, and bankruptcy: analyze leveraged finance, distressed debt, and bankruptcy</w:t>
      </w:r>
      <w:r w:rsidRPr="006435B7">
        <w:rPr>
          <w:rFonts w:cs="Times New Roman"/>
          <w:szCs w:val="24"/>
        </w:rPr>
        <w:t>. John Wiley &amp; Sons.</w:t>
      </w:r>
    </w:p>
    <w:p w14:paraId="6DCE46B1"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Amirrudin, M., Nasution, K., &amp; </w:t>
      </w:r>
      <w:proofErr w:type="spellStart"/>
      <w:r w:rsidRPr="006435B7">
        <w:rPr>
          <w:rFonts w:cs="Times New Roman"/>
          <w:szCs w:val="24"/>
        </w:rPr>
        <w:t>Supahar</w:t>
      </w:r>
      <w:proofErr w:type="spellEnd"/>
      <w:r w:rsidRPr="006435B7">
        <w:rPr>
          <w:rFonts w:cs="Times New Roman"/>
          <w:szCs w:val="24"/>
        </w:rPr>
        <w:t xml:space="preserve">, S. (2021). Effect of variability on Cronbach alpha reliability in research practice. </w:t>
      </w:r>
      <w:proofErr w:type="spellStart"/>
      <w:r w:rsidRPr="006435B7">
        <w:rPr>
          <w:rFonts w:cs="Times New Roman"/>
          <w:i/>
          <w:iCs/>
          <w:szCs w:val="24"/>
        </w:rPr>
        <w:t>Jurnal</w:t>
      </w:r>
      <w:proofErr w:type="spellEnd"/>
      <w:r w:rsidRPr="006435B7">
        <w:rPr>
          <w:rFonts w:cs="Times New Roman"/>
          <w:i/>
          <w:iCs/>
          <w:szCs w:val="24"/>
        </w:rPr>
        <w:t xml:space="preserve"> </w:t>
      </w:r>
      <w:proofErr w:type="spellStart"/>
      <w:r w:rsidRPr="006435B7">
        <w:rPr>
          <w:rFonts w:cs="Times New Roman"/>
          <w:i/>
          <w:iCs/>
          <w:szCs w:val="24"/>
        </w:rPr>
        <w:t>Matematika</w:t>
      </w:r>
      <w:proofErr w:type="spellEnd"/>
      <w:r w:rsidRPr="006435B7">
        <w:rPr>
          <w:rFonts w:cs="Times New Roman"/>
          <w:i/>
          <w:iCs/>
          <w:szCs w:val="24"/>
        </w:rPr>
        <w:t xml:space="preserve">, </w:t>
      </w:r>
      <w:proofErr w:type="spellStart"/>
      <w:r w:rsidRPr="006435B7">
        <w:rPr>
          <w:rFonts w:cs="Times New Roman"/>
          <w:i/>
          <w:iCs/>
          <w:szCs w:val="24"/>
        </w:rPr>
        <w:t>Statistika</w:t>
      </w:r>
      <w:proofErr w:type="spellEnd"/>
      <w:r w:rsidRPr="006435B7">
        <w:rPr>
          <w:rFonts w:cs="Times New Roman"/>
          <w:i/>
          <w:iCs/>
          <w:szCs w:val="24"/>
        </w:rPr>
        <w:t xml:space="preserve"> dan </w:t>
      </w:r>
      <w:proofErr w:type="spellStart"/>
      <w:r w:rsidRPr="006435B7">
        <w:rPr>
          <w:rFonts w:cs="Times New Roman"/>
          <w:i/>
          <w:iCs/>
          <w:szCs w:val="24"/>
        </w:rPr>
        <w:t>Komputasi</w:t>
      </w:r>
      <w:proofErr w:type="spellEnd"/>
      <w:r w:rsidRPr="006435B7">
        <w:rPr>
          <w:rFonts w:cs="Times New Roman"/>
          <w:szCs w:val="24"/>
        </w:rPr>
        <w:t xml:space="preserve">, </w:t>
      </w:r>
      <w:r w:rsidRPr="006435B7">
        <w:rPr>
          <w:rFonts w:cs="Times New Roman"/>
          <w:i/>
          <w:iCs/>
          <w:szCs w:val="24"/>
        </w:rPr>
        <w:t>17</w:t>
      </w:r>
      <w:r w:rsidRPr="006435B7">
        <w:rPr>
          <w:rFonts w:cs="Times New Roman"/>
          <w:szCs w:val="24"/>
        </w:rPr>
        <w:t>(2), 223-230.</w:t>
      </w:r>
    </w:p>
    <w:p w14:paraId="1D7AD629" w14:textId="77777777" w:rsidR="007625DB" w:rsidRPr="006435B7" w:rsidRDefault="007625DB" w:rsidP="007625DB">
      <w:pPr>
        <w:spacing w:before="0" w:line="240" w:lineRule="auto"/>
        <w:ind w:left="720" w:hanging="720"/>
        <w:rPr>
          <w:rFonts w:cs="Times New Roman"/>
          <w:szCs w:val="24"/>
          <w:lang w:val="en-GB"/>
        </w:rPr>
      </w:pPr>
      <w:proofErr w:type="spellStart"/>
      <w:r w:rsidRPr="006435B7">
        <w:rPr>
          <w:rFonts w:cs="Times New Roman"/>
          <w:szCs w:val="24"/>
          <w:lang w:val="en-GB"/>
        </w:rPr>
        <w:t>Amunga</w:t>
      </w:r>
      <w:proofErr w:type="spellEnd"/>
      <w:r w:rsidRPr="006435B7">
        <w:rPr>
          <w:rFonts w:cs="Times New Roman"/>
          <w:szCs w:val="24"/>
          <w:lang w:val="en-GB"/>
        </w:rPr>
        <w:t xml:space="preserve">, D. (2020). </w:t>
      </w:r>
      <w:r w:rsidRPr="006435B7">
        <w:rPr>
          <w:rFonts w:cs="Times New Roman"/>
          <w:i/>
          <w:iCs/>
          <w:szCs w:val="24"/>
          <w:lang w:val="en-GB"/>
        </w:rPr>
        <w:t>Effect of Corporate Governance on Financial Performance of Commercial Banks in Kenya</w:t>
      </w:r>
      <w:r w:rsidRPr="006435B7">
        <w:rPr>
          <w:rFonts w:cs="Times New Roman"/>
          <w:szCs w:val="24"/>
          <w:lang w:val="en-GB"/>
        </w:rPr>
        <w:t xml:space="preserve"> (Doctoral dissertation, University of Nairobi).</w:t>
      </w:r>
    </w:p>
    <w:p w14:paraId="0C769F11" w14:textId="77777777" w:rsidR="007625DB" w:rsidRPr="006435B7" w:rsidRDefault="007625DB" w:rsidP="007625DB">
      <w:pPr>
        <w:spacing w:before="0" w:line="240" w:lineRule="auto"/>
        <w:ind w:left="720" w:hanging="720"/>
        <w:rPr>
          <w:rFonts w:cs="Times New Roman"/>
          <w:szCs w:val="24"/>
          <w:lang w:val="en-GB"/>
        </w:rPr>
      </w:pPr>
      <w:r w:rsidRPr="006435B7">
        <w:rPr>
          <w:rFonts w:cs="Times New Roman"/>
          <w:szCs w:val="24"/>
          <w:lang w:val="en-GB"/>
        </w:rPr>
        <w:t xml:space="preserve">Athari, S. A., &amp; Bahreini, M. (2023). The impact of external governance and regulatory settings on the profitability of Islamic banks: Evidence from Arab markets. </w:t>
      </w:r>
      <w:r w:rsidRPr="006435B7">
        <w:rPr>
          <w:rFonts w:cs="Times New Roman"/>
          <w:i/>
          <w:iCs/>
          <w:szCs w:val="24"/>
          <w:lang w:val="en-GB"/>
        </w:rPr>
        <w:t>International Journal of Finance &amp; Economics</w:t>
      </w:r>
      <w:r w:rsidRPr="006435B7">
        <w:rPr>
          <w:rFonts w:cs="Times New Roman"/>
          <w:szCs w:val="24"/>
          <w:lang w:val="en-GB"/>
        </w:rPr>
        <w:t xml:space="preserve">, </w:t>
      </w:r>
      <w:r w:rsidRPr="006435B7">
        <w:rPr>
          <w:rFonts w:cs="Times New Roman"/>
          <w:i/>
          <w:iCs/>
          <w:szCs w:val="24"/>
          <w:lang w:val="en-GB"/>
        </w:rPr>
        <w:t>28</w:t>
      </w:r>
      <w:r w:rsidRPr="006435B7">
        <w:rPr>
          <w:rFonts w:cs="Times New Roman"/>
          <w:szCs w:val="24"/>
          <w:lang w:val="en-GB"/>
        </w:rPr>
        <w:t>(2), 2124-2147.</w:t>
      </w:r>
    </w:p>
    <w:p w14:paraId="3DC0FD2F" w14:textId="77777777" w:rsidR="007625DB" w:rsidRPr="006435B7" w:rsidRDefault="007625DB" w:rsidP="007625DB">
      <w:pPr>
        <w:spacing w:before="0" w:line="240" w:lineRule="auto"/>
        <w:ind w:left="720" w:hanging="720"/>
        <w:rPr>
          <w:rFonts w:cs="Times New Roman"/>
          <w:szCs w:val="24"/>
          <w:lang w:val="en-GB"/>
        </w:rPr>
      </w:pPr>
      <w:r w:rsidRPr="006435B7">
        <w:rPr>
          <w:rFonts w:cs="Times New Roman"/>
          <w:szCs w:val="24"/>
          <w:lang w:val="en-GB"/>
        </w:rPr>
        <w:t xml:space="preserve">Badu, E., &amp; Appiah, K. (2020). The Impact of Corporate Board Size on Firm Performance: Evidence from Ghana and Nigeria. </w:t>
      </w:r>
      <w:r w:rsidRPr="006435B7">
        <w:rPr>
          <w:rFonts w:cs="Times New Roman"/>
          <w:i/>
          <w:szCs w:val="24"/>
          <w:lang w:val="en-GB"/>
        </w:rPr>
        <w:t>Research in Business and Management</w:t>
      </w:r>
      <w:r w:rsidRPr="006435B7">
        <w:rPr>
          <w:rFonts w:cs="Times New Roman"/>
          <w:szCs w:val="24"/>
          <w:lang w:val="en-GB"/>
        </w:rPr>
        <w:t>, Vol. 4(2), pp 1-12.</w:t>
      </w:r>
    </w:p>
    <w:p w14:paraId="2FBDBBC8"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Bhardwaj, P. (2019). Types of sampling in research. </w:t>
      </w:r>
      <w:r w:rsidRPr="006435B7">
        <w:rPr>
          <w:rFonts w:cs="Times New Roman"/>
          <w:i/>
          <w:iCs/>
          <w:szCs w:val="24"/>
        </w:rPr>
        <w:t>Journal of Primary Care Specialties</w:t>
      </w:r>
      <w:r w:rsidRPr="006435B7">
        <w:rPr>
          <w:rFonts w:cs="Times New Roman"/>
          <w:szCs w:val="24"/>
        </w:rPr>
        <w:t xml:space="preserve">, </w:t>
      </w:r>
      <w:r w:rsidRPr="006435B7">
        <w:rPr>
          <w:rFonts w:cs="Times New Roman"/>
          <w:i/>
          <w:iCs/>
          <w:szCs w:val="24"/>
        </w:rPr>
        <w:t>5</w:t>
      </w:r>
      <w:r w:rsidRPr="006435B7">
        <w:rPr>
          <w:rFonts w:cs="Times New Roman"/>
          <w:szCs w:val="24"/>
        </w:rPr>
        <w:t>(3), 157-163.</w:t>
      </w:r>
    </w:p>
    <w:p w14:paraId="1CD9BAFB"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Broucker</w:t>
      </w:r>
      <w:proofErr w:type="spellEnd"/>
      <w:r w:rsidRPr="006435B7">
        <w:rPr>
          <w:rFonts w:cs="Times New Roman"/>
          <w:szCs w:val="24"/>
        </w:rPr>
        <w:t xml:space="preserve">, B., De Wit, K., &amp; </w:t>
      </w:r>
      <w:proofErr w:type="spellStart"/>
      <w:r w:rsidRPr="006435B7">
        <w:rPr>
          <w:rFonts w:cs="Times New Roman"/>
          <w:szCs w:val="24"/>
        </w:rPr>
        <w:t>Mampaey</w:t>
      </w:r>
      <w:proofErr w:type="spellEnd"/>
      <w:r w:rsidRPr="006435B7">
        <w:rPr>
          <w:rFonts w:cs="Times New Roman"/>
          <w:szCs w:val="24"/>
        </w:rPr>
        <w:t xml:space="preserve">, J. (2021). Brand communication of higher education institutions: a call for multichannel communication analysis in higher education branding research. </w:t>
      </w:r>
      <w:r w:rsidRPr="006435B7">
        <w:rPr>
          <w:rFonts w:cs="Times New Roman"/>
          <w:i/>
          <w:iCs/>
          <w:szCs w:val="24"/>
        </w:rPr>
        <w:t>Higher Education Policy</w:t>
      </w:r>
      <w:r w:rsidRPr="006435B7">
        <w:rPr>
          <w:rFonts w:cs="Times New Roman"/>
          <w:szCs w:val="24"/>
        </w:rPr>
        <w:t xml:space="preserve">, </w:t>
      </w:r>
      <w:r w:rsidRPr="006435B7">
        <w:rPr>
          <w:rFonts w:cs="Times New Roman"/>
          <w:i/>
          <w:iCs/>
          <w:szCs w:val="24"/>
        </w:rPr>
        <w:t>34</w:t>
      </w:r>
      <w:r w:rsidRPr="006435B7">
        <w:rPr>
          <w:rFonts w:cs="Times New Roman"/>
          <w:szCs w:val="24"/>
        </w:rPr>
        <w:t>, 928-948.</w:t>
      </w:r>
    </w:p>
    <w:p w14:paraId="67E6E20F"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Brown, T., &amp; Green, D. (2021). Corporate governance and bank performance in the United States: The role of shareholder activism. </w:t>
      </w:r>
      <w:r w:rsidRPr="006435B7">
        <w:rPr>
          <w:rFonts w:cs="Times New Roman"/>
          <w:i/>
          <w:iCs/>
          <w:szCs w:val="24"/>
        </w:rPr>
        <w:t>Journal of Corporate Finance</w:t>
      </w:r>
      <w:r w:rsidRPr="006435B7">
        <w:rPr>
          <w:rFonts w:cs="Times New Roman"/>
          <w:szCs w:val="24"/>
        </w:rPr>
        <w:t>, 67, 101843.</w:t>
      </w:r>
    </w:p>
    <w:p w14:paraId="1F7B401A"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Cancela, B. L., Neves, M. E. D., Rodrigues, L. L., &amp; Gomes Dias, A. C. (2020). The influence of corporate governance on corporate sustainability: new evidence using panel data in the Iberian macroeconomic environment. </w:t>
      </w:r>
      <w:r w:rsidRPr="006435B7">
        <w:rPr>
          <w:rFonts w:cs="Times New Roman"/>
          <w:i/>
          <w:iCs/>
          <w:szCs w:val="24"/>
        </w:rPr>
        <w:t>International Journal of Accounting &amp; Information Management</w:t>
      </w:r>
      <w:r w:rsidRPr="006435B7">
        <w:rPr>
          <w:rFonts w:cs="Times New Roman"/>
          <w:szCs w:val="24"/>
        </w:rPr>
        <w:t xml:space="preserve">, </w:t>
      </w:r>
      <w:r w:rsidRPr="006435B7">
        <w:rPr>
          <w:rFonts w:cs="Times New Roman"/>
          <w:i/>
          <w:iCs/>
          <w:szCs w:val="24"/>
        </w:rPr>
        <w:t>28</w:t>
      </w:r>
      <w:r w:rsidRPr="006435B7">
        <w:rPr>
          <w:rFonts w:cs="Times New Roman"/>
          <w:szCs w:val="24"/>
        </w:rPr>
        <w:t>(4), 785-806.</w:t>
      </w:r>
    </w:p>
    <w:p w14:paraId="5656F970"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Carroll, A. B. (1991). The Pyramid of Corporate Social Responsibility: Toward the Moral Management of Organizational Stakeholders. </w:t>
      </w:r>
      <w:r w:rsidRPr="006435B7">
        <w:rPr>
          <w:rFonts w:cs="Times New Roman"/>
          <w:i/>
          <w:iCs/>
          <w:szCs w:val="24"/>
        </w:rPr>
        <w:t>Business Horizons</w:t>
      </w:r>
      <w:r w:rsidRPr="006435B7">
        <w:rPr>
          <w:rFonts w:cs="Times New Roman"/>
          <w:szCs w:val="24"/>
        </w:rPr>
        <w:t>, 10.</w:t>
      </w:r>
    </w:p>
    <w:p w14:paraId="61AC2F47"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Carroll, A. B. (2016). Carroll’s pyramid of CSR: Taking another look. </w:t>
      </w:r>
      <w:r w:rsidRPr="006435B7">
        <w:rPr>
          <w:rFonts w:cs="Times New Roman"/>
          <w:i/>
          <w:iCs/>
          <w:szCs w:val="24"/>
        </w:rPr>
        <w:t>International Journal of Corporate Social Responsibility</w:t>
      </w:r>
      <w:r w:rsidRPr="006435B7">
        <w:rPr>
          <w:rFonts w:cs="Times New Roman"/>
          <w:szCs w:val="24"/>
        </w:rPr>
        <w:t>, 9.</w:t>
      </w:r>
    </w:p>
    <w:p w14:paraId="259E9EB8" w14:textId="77777777" w:rsidR="007625DB" w:rsidRPr="006435B7" w:rsidRDefault="007625DB" w:rsidP="007625DB">
      <w:pPr>
        <w:spacing w:before="0" w:line="240" w:lineRule="auto"/>
        <w:ind w:left="720" w:hanging="720"/>
        <w:rPr>
          <w:rFonts w:cs="Times New Roman"/>
          <w:iCs/>
          <w:szCs w:val="24"/>
        </w:rPr>
      </w:pPr>
      <w:r w:rsidRPr="006435B7">
        <w:rPr>
          <w:rFonts w:cs="Times New Roman"/>
          <w:szCs w:val="24"/>
        </w:rPr>
        <w:t xml:space="preserve">Chen, F. (2012). Application of the balanced scorecard to an academic medical center in Taiwan: The effect of warning systems on improvement of hospital performance. </w:t>
      </w:r>
      <w:r w:rsidRPr="006435B7">
        <w:rPr>
          <w:rFonts w:cs="Times New Roman"/>
          <w:i/>
          <w:iCs/>
          <w:szCs w:val="24"/>
        </w:rPr>
        <w:t xml:space="preserve">Journal of the Chinese Medical Association. 6, </w:t>
      </w:r>
      <w:r w:rsidRPr="006435B7">
        <w:rPr>
          <w:rFonts w:cs="Times New Roman"/>
          <w:iCs/>
          <w:szCs w:val="24"/>
        </w:rPr>
        <w:t>946-949.</w:t>
      </w:r>
    </w:p>
    <w:p w14:paraId="513BD036" w14:textId="77777777" w:rsidR="007625DB" w:rsidRPr="006435B7" w:rsidRDefault="007625DB" w:rsidP="007625DB">
      <w:pPr>
        <w:spacing w:before="0" w:line="240" w:lineRule="auto"/>
        <w:ind w:left="720" w:hanging="720"/>
        <w:rPr>
          <w:rFonts w:cs="Times New Roman"/>
          <w:iCs/>
          <w:szCs w:val="24"/>
        </w:rPr>
      </w:pPr>
      <w:r w:rsidRPr="006435B7">
        <w:rPr>
          <w:rFonts w:cs="Times New Roman"/>
          <w:iCs/>
          <w:szCs w:val="24"/>
        </w:rPr>
        <w:t xml:space="preserve">Chepkwony, M. S., &amp; Njiru, E. M. (2018). The impact of corporate governance on the performance of commercial banks in Kenya. </w:t>
      </w:r>
      <w:r w:rsidRPr="006435B7">
        <w:rPr>
          <w:rFonts w:cs="Times New Roman"/>
          <w:i/>
          <w:szCs w:val="24"/>
        </w:rPr>
        <w:t>Journal of Business and Economics</w:t>
      </w:r>
      <w:r w:rsidRPr="006435B7">
        <w:rPr>
          <w:rFonts w:cs="Times New Roman"/>
          <w:iCs/>
          <w:szCs w:val="24"/>
        </w:rPr>
        <w:t>, 9(1), 78-89.</w:t>
      </w:r>
    </w:p>
    <w:p w14:paraId="7EAF7983" w14:textId="77777777" w:rsidR="007625DB" w:rsidRPr="006435B7" w:rsidRDefault="007625DB" w:rsidP="007625DB">
      <w:pPr>
        <w:spacing w:before="0" w:line="240" w:lineRule="auto"/>
        <w:ind w:left="720" w:hanging="720"/>
        <w:rPr>
          <w:rFonts w:cs="Times New Roman"/>
          <w:iCs/>
          <w:szCs w:val="24"/>
        </w:rPr>
      </w:pPr>
      <w:proofErr w:type="spellStart"/>
      <w:r w:rsidRPr="006435B7">
        <w:rPr>
          <w:rFonts w:cs="Times New Roman"/>
          <w:iCs/>
          <w:szCs w:val="24"/>
        </w:rPr>
        <w:t>Chiorazzo</w:t>
      </w:r>
      <w:proofErr w:type="spellEnd"/>
      <w:r w:rsidRPr="006435B7">
        <w:rPr>
          <w:rFonts w:cs="Times New Roman"/>
          <w:iCs/>
          <w:szCs w:val="24"/>
        </w:rPr>
        <w:t xml:space="preserve">, V., &amp; Cappiello, L. (2018). The Role of Corporate Governance in Bank Performance: A Global Perspective. </w:t>
      </w:r>
      <w:r w:rsidRPr="006435B7">
        <w:rPr>
          <w:rFonts w:cs="Times New Roman"/>
          <w:i/>
          <w:szCs w:val="24"/>
        </w:rPr>
        <w:t>Journal of Financial Regulation and Compliance</w:t>
      </w:r>
      <w:r w:rsidRPr="006435B7">
        <w:rPr>
          <w:rFonts w:cs="Times New Roman"/>
          <w:iCs/>
          <w:szCs w:val="24"/>
        </w:rPr>
        <w:t>, 26(3), 251-267.</w:t>
      </w:r>
    </w:p>
    <w:p w14:paraId="2CD584E3"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Chrisman, J. J. (2019). Stewardship theory: Realism, relevance, and family firm governance. </w:t>
      </w:r>
      <w:r w:rsidRPr="006435B7">
        <w:rPr>
          <w:rFonts w:cs="Times New Roman"/>
          <w:i/>
          <w:iCs/>
          <w:szCs w:val="24"/>
        </w:rPr>
        <w:t>Entrepreneurship Theory and Practice</w:t>
      </w:r>
      <w:r w:rsidRPr="006435B7">
        <w:rPr>
          <w:rFonts w:cs="Times New Roman"/>
          <w:szCs w:val="24"/>
        </w:rPr>
        <w:t xml:space="preserve">, </w:t>
      </w:r>
      <w:r w:rsidRPr="006435B7">
        <w:rPr>
          <w:rFonts w:cs="Times New Roman"/>
          <w:i/>
          <w:iCs/>
          <w:szCs w:val="24"/>
        </w:rPr>
        <w:t>43</w:t>
      </w:r>
      <w:r w:rsidRPr="006435B7">
        <w:rPr>
          <w:rFonts w:cs="Times New Roman"/>
          <w:szCs w:val="24"/>
        </w:rPr>
        <w:t>(6), 1051-1066.</w:t>
      </w:r>
    </w:p>
    <w:p w14:paraId="1657BA54"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lastRenderedPageBreak/>
        <w:t xml:space="preserve">Chu, J., Heo, K., &amp; Pae, J. (2019). Does a firm’s corporate governance enhance the beneficial effect of IFRS adoption? </w:t>
      </w:r>
      <w:r w:rsidRPr="006435B7">
        <w:rPr>
          <w:rFonts w:cs="Times New Roman"/>
          <w:i/>
          <w:iCs/>
          <w:szCs w:val="24"/>
        </w:rPr>
        <w:t>Sustainability</w:t>
      </w:r>
      <w:r w:rsidRPr="006435B7">
        <w:rPr>
          <w:rFonts w:cs="Times New Roman"/>
          <w:szCs w:val="24"/>
        </w:rPr>
        <w:t xml:space="preserve">, </w:t>
      </w:r>
      <w:r w:rsidRPr="006435B7">
        <w:rPr>
          <w:rFonts w:cs="Times New Roman"/>
          <w:i/>
          <w:iCs/>
          <w:szCs w:val="24"/>
        </w:rPr>
        <w:t>11</w:t>
      </w:r>
      <w:r w:rsidRPr="006435B7">
        <w:rPr>
          <w:rFonts w:cs="Times New Roman"/>
          <w:szCs w:val="24"/>
        </w:rPr>
        <w:t>(3), 885.</w:t>
      </w:r>
    </w:p>
    <w:p w14:paraId="3E93F564"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Clark, L. A., &amp; Watson, D. (2019). Constructing validity: New developments in creating objective measuring instruments. </w:t>
      </w:r>
      <w:r w:rsidRPr="006435B7">
        <w:rPr>
          <w:rFonts w:cs="Times New Roman"/>
          <w:i/>
          <w:iCs/>
          <w:szCs w:val="24"/>
        </w:rPr>
        <w:t>Psychological assessment</w:t>
      </w:r>
      <w:r w:rsidRPr="006435B7">
        <w:rPr>
          <w:rFonts w:cs="Times New Roman"/>
          <w:szCs w:val="24"/>
        </w:rPr>
        <w:t xml:space="preserve">, </w:t>
      </w:r>
      <w:r w:rsidRPr="006435B7">
        <w:rPr>
          <w:rFonts w:cs="Times New Roman"/>
          <w:i/>
          <w:iCs/>
          <w:szCs w:val="24"/>
        </w:rPr>
        <w:t>31</w:t>
      </w:r>
      <w:r w:rsidRPr="006435B7">
        <w:rPr>
          <w:rFonts w:cs="Times New Roman"/>
          <w:szCs w:val="24"/>
        </w:rPr>
        <w:t>(12), 1412.</w:t>
      </w:r>
    </w:p>
    <w:p w14:paraId="4D39E51A"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Cvetkovic-Vega, A., </w:t>
      </w:r>
      <w:proofErr w:type="spellStart"/>
      <w:r w:rsidRPr="006435B7">
        <w:rPr>
          <w:rFonts w:cs="Times New Roman"/>
          <w:szCs w:val="24"/>
        </w:rPr>
        <w:t>Maguiña</w:t>
      </w:r>
      <w:proofErr w:type="spellEnd"/>
      <w:r w:rsidRPr="006435B7">
        <w:rPr>
          <w:rFonts w:cs="Times New Roman"/>
          <w:szCs w:val="24"/>
        </w:rPr>
        <w:t>, J. L., Soto, A., Lama-Valdivia, J., &amp; Correa López, L. E. (2021). Cross-sectional studies. </w:t>
      </w:r>
      <w:r w:rsidRPr="006435B7">
        <w:rPr>
          <w:rFonts w:cs="Times New Roman"/>
          <w:i/>
          <w:iCs/>
          <w:szCs w:val="24"/>
        </w:rPr>
        <w:t xml:space="preserve">Revista de la </w:t>
      </w:r>
      <w:proofErr w:type="spellStart"/>
      <w:r w:rsidRPr="006435B7">
        <w:rPr>
          <w:rFonts w:cs="Times New Roman"/>
          <w:i/>
          <w:iCs/>
          <w:szCs w:val="24"/>
        </w:rPr>
        <w:t>Facultad</w:t>
      </w:r>
      <w:proofErr w:type="spellEnd"/>
      <w:r w:rsidRPr="006435B7">
        <w:rPr>
          <w:rFonts w:cs="Times New Roman"/>
          <w:i/>
          <w:iCs/>
          <w:szCs w:val="24"/>
        </w:rPr>
        <w:t xml:space="preserve"> de Medicina Humana</w:t>
      </w:r>
      <w:r w:rsidRPr="006435B7">
        <w:rPr>
          <w:rFonts w:cs="Times New Roman"/>
          <w:szCs w:val="24"/>
        </w:rPr>
        <w:t>, </w:t>
      </w:r>
      <w:r w:rsidRPr="006435B7">
        <w:rPr>
          <w:rFonts w:cs="Times New Roman"/>
          <w:i/>
          <w:iCs/>
          <w:szCs w:val="24"/>
        </w:rPr>
        <w:t>21</w:t>
      </w:r>
      <w:r w:rsidRPr="006435B7">
        <w:rPr>
          <w:rFonts w:cs="Times New Roman"/>
          <w:szCs w:val="24"/>
        </w:rPr>
        <w:t>(1), 164-170.</w:t>
      </w:r>
    </w:p>
    <w:p w14:paraId="4117063D" w14:textId="77777777" w:rsidR="007625DB" w:rsidRPr="006435B7" w:rsidRDefault="007625DB" w:rsidP="007625DB">
      <w:pPr>
        <w:spacing w:before="0" w:line="240" w:lineRule="auto"/>
        <w:ind w:left="720" w:hanging="720"/>
        <w:rPr>
          <w:rFonts w:cs="Times New Roman"/>
          <w:szCs w:val="24"/>
          <w:lang w:val="en-GB"/>
        </w:rPr>
      </w:pPr>
      <w:r w:rsidRPr="006435B7">
        <w:rPr>
          <w:rFonts w:cs="Times New Roman"/>
          <w:szCs w:val="24"/>
          <w:lang w:val="en-GB"/>
        </w:rPr>
        <w:t xml:space="preserve">De Costa, M. T. N., &amp; </w:t>
      </w:r>
      <w:proofErr w:type="spellStart"/>
      <w:r w:rsidRPr="006435B7">
        <w:rPr>
          <w:rFonts w:cs="Times New Roman"/>
          <w:szCs w:val="24"/>
          <w:lang w:val="en-GB"/>
        </w:rPr>
        <w:t>Ajward</w:t>
      </w:r>
      <w:proofErr w:type="spellEnd"/>
      <w:r w:rsidRPr="006435B7">
        <w:rPr>
          <w:rFonts w:cs="Times New Roman"/>
          <w:szCs w:val="24"/>
          <w:lang w:val="en-GB"/>
        </w:rPr>
        <w:t xml:space="preserve">, A. R. (2021). The Impact of Board Governance on Financial Performance with the Mediating Effect of Capital Structure: Evidence from Non-Financial Listed Companies in Sri Lanka. </w:t>
      </w:r>
      <w:r w:rsidRPr="006435B7">
        <w:rPr>
          <w:rFonts w:cs="Times New Roman"/>
          <w:i/>
          <w:iCs/>
          <w:szCs w:val="24"/>
          <w:lang w:val="en-GB"/>
        </w:rPr>
        <w:t>Accounting Panorama</w:t>
      </w:r>
      <w:r w:rsidRPr="006435B7">
        <w:rPr>
          <w:rFonts w:cs="Times New Roman"/>
          <w:szCs w:val="24"/>
          <w:lang w:val="en-GB"/>
        </w:rPr>
        <w:t xml:space="preserve">, </w:t>
      </w:r>
      <w:r w:rsidRPr="006435B7">
        <w:rPr>
          <w:rFonts w:cs="Times New Roman"/>
          <w:i/>
          <w:iCs/>
          <w:szCs w:val="24"/>
          <w:lang w:val="en-GB"/>
        </w:rPr>
        <w:t>4</w:t>
      </w:r>
      <w:r w:rsidRPr="006435B7">
        <w:rPr>
          <w:rFonts w:cs="Times New Roman"/>
          <w:szCs w:val="24"/>
          <w:lang w:val="en-GB"/>
        </w:rPr>
        <w:t>, 1.</w:t>
      </w:r>
    </w:p>
    <w:p w14:paraId="2B572C4D"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DeGregori</w:t>
      </w:r>
      <w:proofErr w:type="spellEnd"/>
      <w:r w:rsidRPr="006435B7">
        <w:rPr>
          <w:rFonts w:cs="Times New Roman"/>
          <w:szCs w:val="24"/>
        </w:rPr>
        <w:t xml:space="preserve">, T. R. (2019). Resources are not; they become: An institutional theory. In </w:t>
      </w:r>
      <w:r w:rsidRPr="006435B7">
        <w:rPr>
          <w:rFonts w:cs="Times New Roman"/>
          <w:i/>
          <w:iCs/>
          <w:szCs w:val="24"/>
        </w:rPr>
        <w:t>Evolutionary Economics: v. 1</w:t>
      </w:r>
      <w:r w:rsidRPr="006435B7">
        <w:rPr>
          <w:rFonts w:cs="Times New Roman"/>
          <w:szCs w:val="24"/>
        </w:rPr>
        <w:t xml:space="preserve"> (pp. 291-313). Routledge.</w:t>
      </w:r>
    </w:p>
    <w:p w14:paraId="4A4B4D27"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Esqueda, O. A., &amp; O’Connor, T. (2020). Corporate governance and life cycles in emerging markets. </w:t>
      </w:r>
      <w:r w:rsidRPr="006435B7">
        <w:rPr>
          <w:rFonts w:cs="Times New Roman"/>
          <w:i/>
          <w:iCs/>
          <w:szCs w:val="24"/>
        </w:rPr>
        <w:t>Research in International Business and Finance</w:t>
      </w:r>
      <w:r w:rsidRPr="006435B7">
        <w:rPr>
          <w:rFonts w:cs="Times New Roman"/>
          <w:szCs w:val="24"/>
        </w:rPr>
        <w:t xml:space="preserve">, </w:t>
      </w:r>
      <w:r w:rsidRPr="006435B7">
        <w:rPr>
          <w:rFonts w:cs="Times New Roman"/>
          <w:i/>
          <w:iCs/>
          <w:szCs w:val="24"/>
        </w:rPr>
        <w:t>51</w:t>
      </w:r>
      <w:r w:rsidRPr="006435B7">
        <w:rPr>
          <w:rFonts w:cs="Times New Roman"/>
          <w:szCs w:val="24"/>
        </w:rPr>
        <w:t>, 101077.</w:t>
      </w:r>
    </w:p>
    <w:p w14:paraId="45DBC070"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Farooq, Q., Fu, P., Liu, X., &amp; Hao, Y. (2021). Basics of macro to microlevel corporate social responsibility and advancement in triple bottom line theory. </w:t>
      </w:r>
      <w:r w:rsidRPr="006435B7">
        <w:rPr>
          <w:rFonts w:cs="Times New Roman"/>
          <w:i/>
          <w:iCs/>
          <w:szCs w:val="24"/>
        </w:rPr>
        <w:t>Corporate Social Responsibility and Environmental Management</w:t>
      </w:r>
      <w:r w:rsidRPr="006435B7">
        <w:rPr>
          <w:rFonts w:cs="Times New Roman"/>
          <w:szCs w:val="24"/>
        </w:rPr>
        <w:t xml:space="preserve">, </w:t>
      </w:r>
      <w:r w:rsidRPr="006435B7">
        <w:rPr>
          <w:rFonts w:cs="Times New Roman"/>
          <w:i/>
          <w:iCs/>
          <w:szCs w:val="24"/>
        </w:rPr>
        <w:t>28</w:t>
      </w:r>
      <w:r w:rsidRPr="006435B7">
        <w:rPr>
          <w:rFonts w:cs="Times New Roman"/>
          <w:szCs w:val="24"/>
        </w:rPr>
        <w:t>(3), 969-979.</w:t>
      </w:r>
    </w:p>
    <w:p w14:paraId="1A72586A"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Federo</w:t>
      </w:r>
      <w:proofErr w:type="spellEnd"/>
      <w:r w:rsidRPr="006435B7">
        <w:rPr>
          <w:rFonts w:cs="Times New Roman"/>
          <w:szCs w:val="24"/>
        </w:rPr>
        <w:t xml:space="preserve">, R., Ponomareva, Y., Aguilera, R. V., </w:t>
      </w:r>
      <w:proofErr w:type="spellStart"/>
      <w:r w:rsidRPr="006435B7">
        <w:rPr>
          <w:rFonts w:cs="Times New Roman"/>
          <w:szCs w:val="24"/>
        </w:rPr>
        <w:t>Saz</w:t>
      </w:r>
      <w:proofErr w:type="spellEnd"/>
      <w:r w:rsidRPr="006435B7">
        <w:rPr>
          <w:rFonts w:ascii="Cambria Math" w:hAnsi="Cambria Math" w:cs="Cambria Math"/>
          <w:szCs w:val="24"/>
        </w:rPr>
        <w:t>‐</w:t>
      </w:r>
      <w:r w:rsidRPr="006435B7">
        <w:rPr>
          <w:rFonts w:cs="Times New Roman"/>
          <w:szCs w:val="24"/>
        </w:rPr>
        <w:t xml:space="preserve">Carranza, A., &amp; Losada, C. (2020). Bringing owners back on board: A review of the role of ownership type in board governance. </w:t>
      </w:r>
      <w:r w:rsidRPr="006435B7">
        <w:rPr>
          <w:rFonts w:cs="Times New Roman"/>
          <w:i/>
          <w:iCs/>
          <w:szCs w:val="24"/>
        </w:rPr>
        <w:t>Corporate Governance: An International Review</w:t>
      </w:r>
      <w:r w:rsidRPr="006435B7">
        <w:rPr>
          <w:rFonts w:cs="Times New Roman"/>
          <w:szCs w:val="24"/>
        </w:rPr>
        <w:t xml:space="preserve">, </w:t>
      </w:r>
      <w:r w:rsidRPr="006435B7">
        <w:rPr>
          <w:rFonts w:cs="Times New Roman"/>
          <w:i/>
          <w:iCs/>
          <w:szCs w:val="24"/>
        </w:rPr>
        <w:t>28</w:t>
      </w:r>
      <w:r w:rsidRPr="006435B7">
        <w:rPr>
          <w:rFonts w:cs="Times New Roman"/>
          <w:szCs w:val="24"/>
        </w:rPr>
        <w:t>(6), 348-371.</w:t>
      </w:r>
    </w:p>
    <w:p w14:paraId="2FB6982D"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Gani, A. A. M. O., Al Rahbi, A. H. S. S., &amp; Ahmed, E. R. (2021). Empirical Analysis on Corporate Transparency, Competitive Advantage, and Performance: An Insight of Muscat Securities Market. </w:t>
      </w:r>
      <w:r w:rsidRPr="006435B7">
        <w:rPr>
          <w:rFonts w:cs="Times New Roman"/>
          <w:i/>
          <w:iCs/>
          <w:szCs w:val="24"/>
        </w:rPr>
        <w:t>Journal of Governance and Integrity</w:t>
      </w:r>
      <w:r w:rsidRPr="006435B7">
        <w:rPr>
          <w:rFonts w:cs="Times New Roman"/>
          <w:szCs w:val="24"/>
        </w:rPr>
        <w:t xml:space="preserve">, </w:t>
      </w:r>
      <w:r w:rsidRPr="006435B7">
        <w:rPr>
          <w:rFonts w:cs="Times New Roman"/>
          <w:i/>
          <w:iCs/>
          <w:szCs w:val="24"/>
        </w:rPr>
        <w:t>4</w:t>
      </w:r>
      <w:r w:rsidRPr="006435B7">
        <w:rPr>
          <w:rFonts w:cs="Times New Roman"/>
          <w:szCs w:val="24"/>
        </w:rPr>
        <w:t>(2), 96-102.</w:t>
      </w:r>
    </w:p>
    <w:p w14:paraId="0AF8BCA2"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Gathaiya</w:t>
      </w:r>
      <w:proofErr w:type="spellEnd"/>
      <w:r w:rsidRPr="006435B7">
        <w:rPr>
          <w:rFonts w:cs="Times New Roman"/>
          <w:szCs w:val="24"/>
        </w:rPr>
        <w:t xml:space="preserve">, R. N. (2017). Analysis of Issues Affecting Collapsed Banks in Kenya from year 2015-2016. </w:t>
      </w:r>
      <w:r w:rsidRPr="006435B7">
        <w:rPr>
          <w:rFonts w:cs="Times New Roman"/>
          <w:i/>
          <w:iCs/>
          <w:szCs w:val="24"/>
        </w:rPr>
        <w:t>International Journal of Management and Business Studies</w:t>
      </w:r>
      <w:r w:rsidRPr="006435B7">
        <w:rPr>
          <w:rFonts w:cs="Times New Roman"/>
          <w:szCs w:val="24"/>
        </w:rPr>
        <w:t>, IJMBS Vol.7, Issue3, July-Sept 2017</w:t>
      </w:r>
    </w:p>
    <w:p w14:paraId="036954DE"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Gbadebo, A. O. (2022). Corporate Governance Procedures and Nigerian listed Companies' Productivity. </w:t>
      </w:r>
      <w:r w:rsidRPr="006435B7">
        <w:rPr>
          <w:rFonts w:cs="Times New Roman"/>
          <w:i/>
          <w:iCs/>
          <w:szCs w:val="24"/>
        </w:rPr>
        <w:t>Journal of Finance &amp; Corporate Governance</w:t>
      </w:r>
      <w:r w:rsidRPr="006435B7">
        <w:rPr>
          <w:rFonts w:cs="Times New Roman"/>
          <w:szCs w:val="24"/>
        </w:rPr>
        <w:t xml:space="preserve">, </w:t>
      </w:r>
      <w:r w:rsidRPr="006435B7">
        <w:rPr>
          <w:rFonts w:cs="Times New Roman"/>
          <w:i/>
          <w:iCs/>
          <w:szCs w:val="24"/>
        </w:rPr>
        <w:t>6</w:t>
      </w:r>
      <w:r w:rsidRPr="006435B7">
        <w:rPr>
          <w:rFonts w:cs="Times New Roman"/>
          <w:szCs w:val="24"/>
        </w:rPr>
        <w:t>(2), 1-19.</w:t>
      </w:r>
    </w:p>
    <w:p w14:paraId="7AE97D18"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Gerged</w:t>
      </w:r>
      <w:proofErr w:type="spellEnd"/>
      <w:r w:rsidRPr="006435B7">
        <w:rPr>
          <w:rFonts w:cs="Times New Roman"/>
          <w:szCs w:val="24"/>
        </w:rPr>
        <w:t xml:space="preserve">, A. M. (2021). Factors affecting corporate environmental disclosure in emerging markets: The role of corporate governance structures. </w:t>
      </w:r>
      <w:r w:rsidRPr="006435B7">
        <w:rPr>
          <w:rFonts w:cs="Times New Roman"/>
          <w:i/>
          <w:iCs/>
          <w:szCs w:val="24"/>
        </w:rPr>
        <w:t>Business Strategy and the Environment</w:t>
      </w:r>
      <w:r w:rsidRPr="006435B7">
        <w:rPr>
          <w:rFonts w:cs="Times New Roman"/>
          <w:szCs w:val="24"/>
        </w:rPr>
        <w:t xml:space="preserve">, </w:t>
      </w:r>
      <w:r w:rsidRPr="006435B7">
        <w:rPr>
          <w:rFonts w:cs="Times New Roman"/>
          <w:i/>
          <w:iCs/>
          <w:szCs w:val="24"/>
        </w:rPr>
        <w:t>30</w:t>
      </w:r>
      <w:r w:rsidRPr="006435B7">
        <w:rPr>
          <w:rFonts w:cs="Times New Roman"/>
          <w:szCs w:val="24"/>
        </w:rPr>
        <w:t>(1), 609-629.</w:t>
      </w:r>
    </w:p>
    <w:p w14:paraId="6A71079D"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Gómez, J. M., &amp; </w:t>
      </w:r>
      <w:proofErr w:type="spellStart"/>
      <w:r w:rsidRPr="006435B7">
        <w:rPr>
          <w:rFonts w:cs="Times New Roman"/>
          <w:szCs w:val="24"/>
        </w:rPr>
        <w:t>Mouselli</w:t>
      </w:r>
      <w:proofErr w:type="spellEnd"/>
      <w:r w:rsidRPr="006435B7">
        <w:rPr>
          <w:rFonts w:cs="Times New Roman"/>
          <w:szCs w:val="24"/>
        </w:rPr>
        <w:t xml:space="preserve">, S. (2018). </w:t>
      </w:r>
      <w:r w:rsidRPr="006435B7">
        <w:rPr>
          <w:rFonts w:cs="Times New Roman"/>
          <w:i/>
          <w:iCs/>
          <w:szCs w:val="24"/>
        </w:rPr>
        <w:t xml:space="preserve">Modernizing the Academic Teaching and Research Environment: </w:t>
      </w:r>
      <w:proofErr w:type="spellStart"/>
      <w:r w:rsidRPr="006435B7">
        <w:rPr>
          <w:rFonts w:cs="Times New Roman"/>
          <w:i/>
          <w:iCs/>
          <w:szCs w:val="24"/>
        </w:rPr>
        <w:t>Methodoogies</w:t>
      </w:r>
      <w:proofErr w:type="spellEnd"/>
      <w:r w:rsidRPr="006435B7">
        <w:rPr>
          <w:rFonts w:cs="Times New Roman"/>
          <w:i/>
          <w:iCs/>
          <w:szCs w:val="24"/>
        </w:rPr>
        <w:t xml:space="preserve"> and Cases in Business Research</w:t>
      </w:r>
      <w:r w:rsidRPr="006435B7">
        <w:rPr>
          <w:rFonts w:cs="Times New Roman"/>
          <w:szCs w:val="24"/>
        </w:rPr>
        <w:t>. Springer International Publishing.</w:t>
      </w:r>
    </w:p>
    <w:p w14:paraId="0D3E02A8"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Gordon, J. (2021). Stakeholder Theory of Corporate Governance. What does it mean for officer and director decision making. </w:t>
      </w:r>
      <w:r w:rsidRPr="006435B7">
        <w:rPr>
          <w:rFonts w:cs="Times New Roman"/>
          <w:i/>
          <w:iCs/>
          <w:szCs w:val="24"/>
        </w:rPr>
        <w:t>The Business Professor</w:t>
      </w:r>
      <w:r w:rsidRPr="006435B7">
        <w:rPr>
          <w:rFonts w:cs="Times New Roman"/>
          <w:szCs w:val="24"/>
        </w:rPr>
        <w:t>.</w:t>
      </w:r>
    </w:p>
    <w:p w14:paraId="1EF89ABC"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Grofčíková</w:t>
      </w:r>
      <w:proofErr w:type="spellEnd"/>
      <w:r w:rsidRPr="006435B7">
        <w:rPr>
          <w:rFonts w:cs="Times New Roman"/>
          <w:szCs w:val="24"/>
        </w:rPr>
        <w:t xml:space="preserve">, J. (2020). Impact of selected determinants of corporate governance on financial performance of companies. </w:t>
      </w:r>
      <w:proofErr w:type="spellStart"/>
      <w:r w:rsidRPr="006435B7">
        <w:rPr>
          <w:rFonts w:cs="Times New Roman"/>
          <w:i/>
          <w:iCs/>
          <w:szCs w:val="24"/>
        </w:rPr>
        <w:t>Ekonomicko-manazerske</w:t>
      </w:r>
      <w:proofErr w:type="spellEnd"/>
      <w:r w:rsidRPr="006435B7">
        <w:rPr>
          <w:rFonts w:cs="Times New Roman"/>
          <w:i/>
          <w:iCs/>
          <w:szCs w:val="24"/>
        </w:rPr>
        <w:t xml:space="preserve"> </w:t>
      </w:r>
      <w:proofErr w:type="spellStart"/>
      <w:r w:rsidRPr="006435B7">
        <w:rPr>
          <w:rFonts w:cs="Times New Roman"/>
          <w:i/>
          <w:iCs/>
          <w:szCs w:val="24"/>
        </w:rPr>
        <w:t>spektrum</w:t>
      </w:r>
      <w:proofErr w:type="spellEnd"/>
      <w:r w:rsidRPr="006435B7">
        <w:rPr>
          <w:rFonts w:cs="Times New Roman"/>
          <w:szCs w:val="24"/>
        </w:rPr>
        <w:t xml:space="preserve">, </w:t>
      </w:r>
      <w:r w:rsidRPr="006435B7">
        <w:rPr>
          <w:rFonts w:cs="Times New Roman"/>
          <w:i/>
          <w:iCs/>
          <w:szCs w:val="24"/>
        </w:rPr>
        <w:t>14</w:t>
      </w:r>
      <w:r w:rsidRPr="006435B7">
        <w:rPr>
          <w:rFonts w:cs="Times New Roman"/>
          <w:szCs w:val="24"/>
        </w:rPr>
        <w:t>(2), 12-23.</w:t>
      </w:r>
    </w:p>
    <w:p w14:paraId="4254DE83"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Harris, L. R., &amp; Brown, G. T. (2019). Mixing interview and questionnaire methods: Practical problems in aligning data. </w:t>
      </w:r>
      <w:r w:rsidRPr="006435B7">
        <w:rPr>
          <w:rFonts w:cs="Times New Roman"/>
          <w:i/>
          <w:iCs/>
          <w:szCs w:val="24"/>
        </w:rPr>
        <w:t>Practical Assessment, Research, and Evaluation</w:t>
      </w:r>
      <w:r w:rsidRPr="006435B7">
        <w:rPr>
          <w:rFonts w:cs="Times New Roman"/>
          <w:szCs w:val="24"/>
        </w:rPr>
        <w:t xml:space="preserve">, </w:t>
      </w:r>
      <w:r w:rsidRPr="006435B7">
        <w:rPr>
          <w:rFonts w:cs="Times New Roman"/>
          <w:i/>
          <w:iCs/>
          <w:szCs w:val="24"/>
        </w:rPr>
        <w:t>15</w:t>
      </w:r>
      <w:r w:rsidRPr="006435B7">
        <w:rPr>
          <w:rFonts w:cs="Times New Roman"/>
          <w:szCs w:val="24"/>
        </w:rPr>
        <w:t>(1), 1.</w:t>
      </w:r>
    </w:p>
    <w:p w14:paraId="4CE9149E"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Hernández, E., &amp; García, A. (2019). </w:t>
      </w:r>
      <w:r w:rsidRPr="006435B7">
        <w:rPr>
          <w:rFonts w:cs="Times New Roman"/>
          <w:i/>
          <w:iCs/>
          <w:szCs w:val="24"/>
        </w:rPr>
        <w:t>Corporate governance and organizational performance: Evidence from the European banking sector</w:t>
      </w:r>
      <w:r w:rsidRPr="006435B7">
        <w:rPr>
          <w:rFonts w:cs="Times New Roman"/>
          <w:szCs w:val="24"/>
        </w:rPr>
        <w:t>. International Journal of Finance &amp; Economics, 24(1), 52-71.</w:t>
      </w:r>
    </w:p>
    <w:p w14:paraId="24C8C0C0"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Hristov, I., &amp; </w:t>
      </w:r>
      <w:proofErr w:type="spellStart"/>
      <w:r w:rsidRPr="006435B7">
        <w:rPr>
          <w:rFonts w:cs="Times New Roman"/>
          <w:szCs w:val="24"/>
        </w:rPr>
        <w:t>Appolloni</w:t>
      </w:r>
      <w:proofErr w:type="spellEnd"/>
      <w:r w:rsidRPr="006435B7">
        <w:rPr>
          <w:rFonts w:cs="Times New Roman"/>
          <w:szCs w:val="24"/>
        </w:rPr>
        <w:t xml:space="preserve">, A. (2022). Stakeholders' engagement in the business strategy as a key driver to increase companies' performance: Evidence from managerial and stakeholders' practices. </w:t>
      </w:r>
      <w:r w:rsidRPr="006435B7">
        <w:rPr>
          <w:rFonts w:cs="Times New Roman"/>
          <w:i/>
          <w:iCs/>
          <w:szCs w:val="24"/>
        </w:rPr>
        <w:t>Business Strategy and the Environment</w:t>
      </w:r>
      <w:r w:rsidRPr="006435B7">
        <w:rPr>
          <w:rFonts w:cs="Times New Roman"/>
          <w:szCs w:val="24"/>
        </w:rPr>
        <w:t xml:space="preserve">, </w:t>
      </w:r>
      <w:r w:rsidRPr="006435B7">
        <w:rPr>
          <w:rFonts w:cs="Times New Roman"/>
          <w:i/>
          <w:iCs/>
          <w:szCs w:val="24"/>
        </w:rPr>
        <w:t>31</w:t>
      </w:r>
      <w:r w:rsidRPr="006435B7">
        <w:rPr>
          <w:rFonts w:cs="Times New Roman"/>
          <w:szCs w:val="24"/>
        </w:rPr>
        <w:t>(4), 1488-1503.</w:t>
      </w:r>
    </w:p>
    <w:p w14:paraId="449746F0" w14:textId="77777777" w:rsidR="007625DB" w:rsidRPr="006435B7" w:rsidRDefault="007625DB" w:rsidP="007625DB">
      <w:pPr>
        <w:spacing w:before="0" w:line="240" w:lineRule="auto"/>
        <w:ind w:left="720" w:hanging="720"/>
        <w:rPr>
          <w:rFonts w:cs="Times New Roman"/>
          <w:szCs w:val="24"/>
          <w:lang w:val="en"/>
        </w:rPr>
      </w:pPr>
      <w:r w:rsidRPr="006435B7">
        <w:rPr>
          <w:rFonts w:cs="Times New Roman"/>
          <w:szCs w:val="24"/>
          <w:lang w:val="en"/>
        </w:rPr>
        <w:t xml:space="preserve">Iqbal, M., </w:t>
      </w:r>
      <w:proofErr w:type="spellStart"/>
      <w:r w:rsidRPr="006435B7">
        <w:rPr>
          <w:rFonts w:cs="Times New Roman"/>
          <w:szCs w:val="24"/>
          <w:lang w:val="en"/>
        </w:rPr>
        <w:t>Ritonga</w:t>
      </w:r>
      <w:proofErr w:type="spellEnd"/>
      <w:r w:rsidRPr="006435B7">
        <w:rPr>
          <w:rFonts w:cs="Times New Roman"/>
          <w:szCs w:val="24"/>
          <w:lang w:val="en"/>
        </w:rPr>
        <w:t xml:space="preserve">, Z. S., Nawrah, H., &amp; Siregar, M. M. (2024). </w:t>
      </w:r>
      <w:proofErr w:type="spellStart"/>
      <w:r w:rsidRPr="006435B7">
        <w:rPr>
          <w:rFonts w:cs="Times New Roman"/>
          <w:szCs w:val="24"/>
          <w:lang w:val="en"/>
        </w:rPr>
        <w:t>Maqashid</w:t>
      </w:r>
      <w:proofErr w:type="spellEnd"/>
      <w:r w:rsidRPr="006435B7">
        <w:rPr>
          <w:rFonts w:cs="Times New Roman"/>
          <w:szCs w:val="24"/>
          <w:lang w:val="en"/>
        </w:rPr>
        <w:t xml:space="preserve"> Syariah Integration Strategy in Good Corporate Governance Policy in Sharia Banking. </w:t>
      </w:r>
      <w:proofErr w:type="spellStart"/>
      <w:r w:rsidRPr="006435B7">
        <w:rPr>
          <w:rFonts w:cs="Times New Roman"/>
          <w:i/>
          <w:iCs/>
          <w:szCs w:val="24"/>
          <w:lang w:val="en"/>
        </w:rPr>
        <w:t>Maisyatuna</w:t>
      </w:r>
      <w:proofErr w:type="spellEnd"/>
      <w:r w:rsidRPr="006435B7">
        <w:rPr>
          <w:rFonts w:cs="Times New Roman"/>
          <w:szCs w:val="24"/>
          <w:lang w:val="en"/>
        </w:rPr>
        <w:t>, 5(1), 54-68.</w:t>
      </w:r>
    </w:p>
    <w:p w14:paraId="7A894013"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Jasir, M., Khan, N. U., &amp; </w:t>
      </w:r>
      <w:proofErr w:type="spellStart"/>
      <w:r w:rsidRPr="006435B7">
        <w:rPr>
          <w:rFonts w:cs="Times New Roman"/>
          <w:szCs w:val="24"/>
        </w:rPr>
        <w:t>Barghathi</w:t>
      </w:r>
      <w:proofErr w:type="spellEnd"/>
      <w:r w:rsidRPr="006435B7">
        <w:rPr>
          <w:rFonts w:cs="Times New Roman"/>
          <w:szCs w:val="24"/>
        </w:rPr>
        <w:t xml:space="preserve">, Y. (2023). Stewardship theory of corporate governance and succession planning in family businesses of UAE: views of the owners. </w:t>
      </w:r>
      <w:r w:rsidRPr="006435B7">
        <w:rPr>
          <w:rFonts w:cs="Times New Roman"/>
          <w:i/>
          <w:iCs/>
          <w:szCs w:val="24"/>
        </w:rPr>
        <w:t>Qualitative Research in Financial Markets</w:t>
      </w:r>
      <w:r w:rsidRPr="006435B7">
        <w:rPr>
          <w:rFonts w:cs="Times New Roman"/>
          <w:szCs w:val="24"/>
        </w:rPr>
        <w:t xml:space="preserve">, </w:t>
      </w:r>
      <w:r w:rsidRPr="006435B7">
        <w:rPr>
          <w:rFonts w:cs="Times New Roman"/>
          <w:i/>
          <w:iCs/>
          <w:szCs w:val="24"/>
        </w:rPr>
        <w:t>15</w:t>
      </w:r>
      <w:r w:rsidRPr="006435B7">
        <w:rPr>
          <w:rFonts w:cs="Times New Roman"/>
          <w:szCs w:val="24"/>
        </w:rPr>
        <w:t>(2), 278-295.</w:t>
      </w:r>
    </w:p>
    <w:p w14:paraId="7E6BFF67"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Javeed, S. A., Teh, B. H., Ong, T. S., Chong, L. L., Abd Rahim, M. F. B., &amp; Latief, R. (2022). How does green innovation strategy influence corporate financing? Corporate social responsibility and gender diversity play a moderating role. </w:t>
      </w:r>
      <w:r w:rsidRPr="006435B7">
        <w:rPr>
          <w:rFonts w:cs="Times New Roman"/>
          <w:i/>
          <w:iCs/>
          <w:szCs w:val="24"/>
        </w:rPr>
        <w:t>International Journal of Environmental Research and Public Health</w:t>
      </w:r>
      <w:r w:rsidRPr="006435B7">
        <w:rPr>
          <w:rFonts w:cs="Times New Roman"/>
          <w:szCs w:val="24"/>
        </w:rPr>
        <w:t xml:space="preserve">, </w:t>
      </w:r>
      <w:r w:rsidRPr="006435B7">
        <w:rPr>
          <w:rFonts w:cs="Times New Roman"/>
          <w:i/>
          <w:iCs/>
          <w:szCs w:val="24"/>
        </w:rPr>
        <w:t>19</w:t>
      </w:r>
      <w:r w:rsidRPr="006435B7">
        <w:rPr>
          <w:rFonts w:cs="Times New Roman"/>
          <w:szCs w:val="24"/>
        </w:rPr>
        <w:t>(14), 8724.</w:t>
      </w:r>
    </w:p>
    <w:p w14:paraId="1031FED8"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lastRenderedPageBreak/>
        <w:t xml:space="preserve">Johari, J., &amp; Komathy, M. (2019). Sustainability reporting and firm performance: Evidence in Malaysia. </w:t>
      </w:r>
      <w:r w:rsidRPr="006435B7">
        <w:rPr>
          <w:rFonts w:cs="Times New Roman"/>
          <w:i/>
          <w:iCs/>
          <w:szCs w:val="24"/>
        </w:rPr>
        <w:t>International Journal of Accounting, Finance and Business</w:t>
      </w:r>
      <w:r w:rsidRPr="006435B7">
        <w:rPr>
          <w:rFonts w:cs="Times New Roman"/>
          <w:szCs w:val="24"/>
        </w:rPr>
        <w:t xml:space="preserve">, </w:t>
      </w:r>
      <w:r w:rsidRPr="006435B7">
        <w:rPr>
          <w:rFonts w:cs="Times New Roman"/>
          <w:i/>
          <w:iCs/>
          <w:szCs w:val="24"/>
        </w:rPr>
        <w:t>4</w:t>
      </w:r>
      <w:r w:rsidRPr="006435B7">
        <w:rPr>
          <w:rFonts w:cs="Times New Roman"/>
          <w:szCs w:val="24"/>
        </w:rPr>
        <w:t>(17), 32-45.</w:t>
      </w:r>
    </w:p>
    <w:p w14:paraId="690A51A6"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Johnson, G., &amp; Scholes, K. (2019). </w:t>
      </w:r>
      <w:r w:rsidRPr="006435B7">
        <w:rPr>
          <w:rFonts w:cs="Times New Roman"/>
          <w:i/>
          <w:iCs/>
          <w:szCs w:val="24"/>
        </w:rPr>
        <w:t>Exploring corporate strategy: Text and cases</w:t>
      </w:r>
      <w:r w:rsidRPr="006435B7">
        <w:rPr>
          <w:rFonts w:cs="Times New Roman"/>
          <w:szCs w:val="24"/>
        </w:rPr>
        <w:t>. Pearson Education.</w:t>
      </w:r>
    </w:p>
    <w:p w14:paraId="4BEB3B73" w14:textId="77777777" w:rsidR="007625DB" w:rsidRPr="006435B7" w:rsidRDefault="007625DB" w:rsidP="007625DB">
      <w:pPr>
        <w:spacing w:before="0" w:line="240" w:lineRule="auto"/>
        <w:ind w:left="720" w:hanging="720"/>
        <w:rPr>
          <w:rFonts w:cs="Times New Roman"/>
          <w:szCs w:val="24"/>
          <w:lang w:val="en-GB"/>
        </w:rPr>
      </w:pPr>
      <w:proofErr w:type="spellStart"/>
      <w:r w:rsidRPr="006435B7">
        <w:rPr>
          <w:rFonts w:cs="Times New Roman"/>
          <w:szCs w:val="24"/>
          <w:lang w:val="en-GB"/>
        </w:rPr>
        <w:t>Kalsie</w:t>
      </w:r>
      <w:proofErr w:type="spellEnd"/>
      <w:r w:rsidRPr="006435B7">
        <w:rPr>
          <w:rFonts w:cs="Times New Roman"/>
          <w:szCs w:val="24"/>
          <w:lang w:val="en-GB"/>
        </w:rPr>
        <w:t xml:space="preserve">, A., &amp; Shrivastav, S. M. (2019). Analysis of Board Size and Firm Performance: Evidence from NSE Companies Using Panel Data Approach. </w:t>
      </w:r>
      <w:r w:rsidRPr="006435B7">
        <w:rPr>
          <w:rFonts w:cs="Times New Roman"/>
          <w:i/>
          <w:szCs w:val="24"/>
          <w:lang w:val="en-GB"/>
        </w:rPr>
        <w:t>Indian Journal of Corporate Governance</w:t>
      </w:r>
      <w:r w:rsidRPr="006435B7">
        <w:rPr>
          <w:rFonts w:cs="Times New Roman"/>
          <w:szCs w:val="24"/>
          <w:lang w:val="en-GB"/>
        </w:rPr>
        <w:t>, Vol 9(2), pp 148-172.</w:t>
      </w:r>
    </w:p>
    <w:p w14:paraId="1A548512"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Kamau, S. (2018). The Impact of Board Composition on the Performance of Commercial Banks in Kenya. African Journal of Management, 12(2), 45-59.</w:t>
      </w:r>
    </w:p>
    <w:p w14:paraId="3781B24C"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Kampanje</w:t>
      </w:r>
      <w:proofErr w:type="spellEnd"/>
      <w:r w:rsidRPr="006435B7">
        <w:rPr>
          <w:rFonts w:cs="Times New Roman"/>
          <w:szCs w:val="24"/>
        </w:rPr>
        <w:t xml:space="preserve">, B. P. (2012). </w:t>
      </w:r>
      <w:r w:rsidRPr="006435B7">
        <w:rPr>
          <w:rFonts w:cs="Times New Roman"/>
          <w:i/>
          <w:iCs/>
          <w:szCs w:val="24"/>
        </w:rPr>
        <w:t>Twenty Years after Balanced Scorecard</w:t>
      </w:r>
      <w:r w:rsidRPr="006435B7">
        <w:rPr>
          <w:rFonts w:cs="Times New Roman"/>
          <w:szCs w:val="24"/>
        </w:rPr>
        <w:t>. Available at SSRN 2099830.</w:t>
      </w:r>
    </w:p>
    <w:p w14:paraId="05A1CE47"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Kaplan, R. S., &amp; Norton, D. P. (2006). </w:t>
      </w:r>
      <w:r w:rsidRPr="006435B7">
        <w:rPr>
          <w:rFonts w:cs="Times New Roman"/>
          <w:i/>
          <w:iCs/>
          <w:szCs w:val="24"/>
        </w:rPr>
        <w:t>Alignment: Using the balanced scorecard to create corporate synergies</w:t>
      </w:r>
      <w:r w:rsidRPr="006435B7">
        <w:rPr>
          <w:rFonts w:cs="Times New Roman"/>
          <w:szCs w:val="24"/>
        </w:rPr>
        <w:t>. Boston: Harvard Business Press.</w:t>
      </w:r>
    </w:p>
    <w:p w14:paraId="2B7323E7"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Katelouzou, D., &amp; </w:t>
      </w:r>
      <w:proofErr w:type="spellStart"/>
      <w:r w:rsidRPr="006435B7">
        <w:rPr>
          <w:rFonts w:cs="Times New Roman"/>
          <w:szCs w:val="24"/>
        </w:rPr>
        <w:t>Zumbansen</w:t>
      </w:r>
      <w:proofErr w:type="spellEnd"/>
      <w:r w:rsidRPr="006435B7">
        <w:rPr>
          <w:rFonts w:cs="Times New Roman"/>
          <w:szCs w:val="24"/>
        </w:rPr>
        <w:t xml:space="preserve">, P. (2020). The new geographies of corporate governance. </w:t>
      </w:r>
      <w:r w:rsidRPr="006435B7">
        <w:rPr>
          <w:rFonts w:cs="Times New Roman"/>
          <w:i/>
          <w:iCs/>
          <w:szCs w:val="24"/>
        </w:rPr>
        <w:t>U. Pa. J. Int'l L.</w:t>
      </w:r>
      <w:r w:rsidRPr="006435B7">
        <w:rPr>
          <w:rFonts w:cs="Times New Roman"/>
          <w:szCs w:val="24"/>
        </w:rPr>
        <w:t xml:space="preserve">, </w:t>
      </w:r>
      <w:r w:rsidRPr="006435B7">
        <w:rPr>
          <w:rFonts w:cs="Times New Roman"/>
          <w:i/>
          <w:iCs/>
          <w:szCs w:val="24"/>
        </w:rPr>
        <w:t>42</w:t>
      </w:r>
      <w:r w:rsidRPr="006435B7">
        <w:rPr>
          <w:rFonts w:cs="Times New Roman"/>
          <w:szCs w:val="24"/>
        </w:rPr>
        <w:t>, 51.</w:t>
      </w:r>
    </w:p>
    <w:p w14:paraId="7B3531E7"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Khan, M., Lee, H. Y., &amp; Bae, J. H. (2019). The role of transparency in humanitarian logistics. </w:t>
      </w:r>
      <w:r w:rsidRPr="006435B7">
        <w:rPr>
          <w:rFonts w:cs="Times New Roman"/>
          <w:i/>
          <w:iCs/>
          <w:szCs w:val="24"/>
        </w:rPr>
        <w:t>Sustainability</w:t>
      </w:r>
      <w:r w:rsidRPr="006435B7">
        <w:rPr>
          <w:rFonts w:cs="Times New Roman"/>
          <w:szCs w:val="24"/>
        </w:rPr>
        <w:t>, 11(7), 2078.</w:t>
      </w:r>
    </w:p>
    <w:p w14:paraId="42C854B8"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Khan, S. N., Hussain, R. I., Maqbool, M. Q., Ali, E. I. E., &amp; Numan, M. (2019). </w:t>
      </w:r>
      <w:r w:rsidRPr="006435B7">
        <w:rPr>
          <w:rFonts w:cs="Times New Roman"/>
          <w:i/>
          <w:iCs/>
          <w:szCs w:val="24"/>
        </w:rPr>
        <w:t>The mediating role of innovation between corporate governance and organizational performance: Moderating role of innovative culture in Pakistan textile sector</w:t>
      </w:r>
      <w:r w:rsidRPr="006435B7">
        <w:rPr>
          <w:rFonts w:cs="Times New Roman"/>
          <w:szCs w:val="24"/>
        </w:rPr>
        <w:t>. Cogent Business &amp; Management.</w:t>
      </w:r>
    </w:p>
    <w:p w14:paraId="1A66DC9B" w14:textId="77777777" w:rsidR="007625DB" w:rsidRPr="006435B7" w:rsidRDefault="007625DB" w:rsidP="007625DB">
      <w:pPr>
        <w:spacing w:before="0" w:line="240" w:lineRule="auto"/>
        <w:ind w:left="720" w:hanging="720"/>
        <w:rPr>
          <w:rFonts w:cs="Times New Roman"/>
          <w:szCs w:val="24"/>
          <w:lang w:val="en-GB"/>
        </w:rPr>
      </w:pPr>
      <w:r w:rsidRPr="006435B7">
        <w:rPr>
          <w:rFonts w:cs="Times New Roman"/>
          <w:szCs w:val="24"/>
          <w:lang w:val="en-GB"/>
        </w:rPr>
        <w:t xml:space="preserve">Khatib, S. F., Abdullah, D. F., Elamer, A., &amp; </w:t>
      </w:r>
      <w:proofErr w:type="spellStart"/>
      <w:r w:rsidRPr="006435B7">
        <w:rPr>
          <w:rFonts w:cs="Times New Roman"/>
          <w:szCs w:val="24"/>
          <w:lang w:val="en-GB"/>
        </w:rPr>
        <w:t>Hazaea</w:t>
      </w:r>
      <w:proofErr w:type="spellEnd"/>
      <w:r w:rsidRPr="006435B7">
        <w:rPr>
          <w:rFonts w:cs="Times New Roman"/>
          <w:szCs w:val="24"/>
          <w:lang w:val="en-GB"/>
        </w:rPr>
        <w:t xml:space="preserve">, S. A. (2022). The development of corporate governance literature in Malaysia: A systematic literature review and research agenda. </w:t>
      </w:r>
      <w:r w:rsidRPr="006435B7">
        <w:rPr>
          <w:rFonts w:cs="Times New Roman"/>
          <w:i/>
          <w:iCs/>
          <w:szCs w:val="24"/>
          <w:lang w:val="en-GB"/>
        </w:rPr>
        <w:t>Corporate Governance: The International Journal of Business in Society</w:t>
      </w:r>
      <w:r w:rsidRPr="006435B7">
        <w:rPr>
          <w:rFonts w:cs="Times New Roman"/>
          <w:szCs w:val="24"/>
          <w:lang w:val="en-GB"/>
        </w:rPr>
        <w:t xml:space="preserve">, </w:t>
      </w:r>
      <w:r w:rsidRPr="006435B7">
        <w:rPr>
          <w:rFonts w:cs="Times New Roman"/>
          <w:i/>
          <w:iCs/>
          <w:szCs w:val="24"/>
          <w:lang w:val="en-GB"/>
        </w:rPr>
        <w:t>22</w:t>
      </w:r>
      <w:r w:rsidRPr="006435B7">
        <w:rPr>
          <w:rFonts w:cs="Times New Roman"/>
          <w:szCs w:val="24"/>
          <w:lang w:val="en-GB"/>
        </w:rPr>
        <w:t>(5), 1026-1053.</w:t>
      </w:r>
    </w:p>
    <w:p w14:paraId="7729DDE7"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Kijkasiwat</w:t>
      </w:r>
      <w:proofErr w:type="spellEnd"/>
      <w:r w:rsidRPr="006435B7">
        <w:rPr>
          <w:rFonts w:cs="Times New Roman"/>
          <w:szCs w:val="24"/>
        </w:rPr>
        <w:t xml:space="preserve">, P., Hussain, A., &amp; Mumtaz, A. (2022). Corporate governance, firm performance and financial leverage across developed and emerging economies. </w:t>
      </w:r>
      <w:r w:rsidRPr="006435B7">
        <w:rPr>
          <w:rFonts w:cs="Times New Roman"/>
          <w:i/>
          <w:iCs/>
          <w:szCs w:val="24"/>
        </w:rPr>
        <w:t>Risks</w:t>
      </w:r>
      <w:r w:rsidRPr="006435B7">
        <w:rPr>
          <w:rFonts w:cs="Times New Roman"/>
          <w:szCs w:val="24"/>
        </w:rPr>
        <w:t xml:space="preserve">, </w:t>
      </w:r>
      <w:r w:rsidRPr="006435B7">
        <w:rPr>
          <w:rFonts w:cs="Times New Roman"/>
          <w:i/>
          <w:iCs/>
          <w:szCs w:val="24"/>
        </w:rPr>
        <w:t>10</w:t>
      </w:r>
      <w:r w:rsidRPr="006435B7">
        <w:rPr>
          <w:rFonts w:cs="Times New Roman"/>
          <w:szCs w:val="24"/>
        </w:rPr>
        <w:t>(10), 185.</w:t>
      </w:r>
    </w:p>
    <w:p w14:paraId="1C32DE95"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Kujala, J., Sachs, S., Leinonen, H., Heikkinen, A., &amp; Laude, D. (2022). Stakeholder engagement: Past, present, and future. </w:t>
      </w:r>
      <w:r w:rsidRPr="006435B7">
        <w:rPr>
          <w:rFonts w:cs="Times New Roman"/>
          <w:i/>
          <w:iCs/>
          <w:szCs w:val="24"/>
        </w:rPr>
        <w:t>Business &amp; Society</w:t>
      </w:r>
      <w:r w:rsidRPr="006435B7">
        <w:rPr>
          <w:rFonts w:cs="Times New Roman"/>
          <w:szCs w:val="24"/>
        </w:rPr>
        <w:t xml:space="preserve">, </w:t>
      </w:r>
      <w:r w:rsidRPr="006435B7">
        <w:rPr>
          <w:rFonts w:cs="Times New Roman"/>
          <w:i/>
          <w:iCs/>
          <w:szCs w:val="24"/>
        </w:rPr>
        <w:t>61</w:t>
      </w:r>
      <w:r w:rsidRPr="006435B7">
        <w:rPr>
          <w:rFonts w:cs="Times New Roman"/>
          <w:szCs w:val="24"/>
        </w:rPr>
        <w:t>(5), 1136-1196.</w:t>
      </w:r>
    </w:p>
    <w:p w14:paraId="6691B0C0"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Kumar, S., &amp; Singh, R. (2020). The role of corporate governance in enhancing firm performance: Evidence from India. </w:t>
      </w:r>
      <w:r w:rsidRPr="006435B7">
        <w:rPr>
          <w:rFonts w:cs="Times New Roman"/>
          <w:i/>
          <w:iCs/>
          <w:szCs w:val="24"/>
        </w:rPr>
        <w:t>Journal of Business Research</w:t>
      </w:r>
      <w:r w:rsidRPr="006435B7">
        <w:rPr>
          <w:rFonts w:cs="Times New Roman"/>
          <w:szCs w:val="24"/>
        </w:rPr>
        <w:t>, 78, 119-128.</w:t>
      </w:r>
    </w:p>
    <w:p w14:paraId="7E369F8C"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Kyereboah-Coleman, A. (2018). Corporate governance and bank performance in Africa. </w:t>
      </w:r>
      <w:r w:rsidRPr="006435B7">
        <w:rPr>
          <w:rFonts w:cs="Times New Roman"/>
          <w:i/>
          <w:iCs/>
          <w:szCs w:val="24"/>
        </w:rPr>
        <w:t>African Journal of Economic Review</w:t>
      </w:r>
      <w:r w:rsidRPr="006435B7">
        <w:rPr>
          <w:rFonts w:cs="Times New Roman"/>
          <w:szCs w:val="24"/>
        </w:rPr>
        <w:t>, 10(2), 134-148.</w:t>
      </w:r>
    </w:p>
    <w:p w14:paraId="1093A9FC"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Laimaru</w:t>
      </w:r>
      <w:proofErr w:type="spellEnd"/>
      <w:r w:rsidRPr="006435B7">
        <w:rPr>
          <w:rFonts w:cs="Times New Roman"/>
          <w:szCs w:val="24"/>
        </w:rPr>
        <w:t xml:space="preserve">, S., (2018). </w:t>
      </w:r>
      <w:r w:rsidRPr="006435B7">
        <w:rPr>
          <w:rFonts w:cs="Times New Roman"/>
          <w:i/>
          <w:iCs/>
          <w:szCs w:val="24"/>
        </w:rPr>
        <w:t>Influence of governance principles on performance of commercial state corporation in Kenya</w:t>
      </w:r>
      <w:r w:rsidRPr="006435B7">
        <w:rPr>
          <w:rFonts w:cs="Times New Roman"/>
          <w:szCs w:val="24"/>
        </w:rPr>
        <w:t>: Unpublished MSC Finance Thesis.</w:t>
      </w:r>
    </w:p>
    <w:p w14:paraId="0BECE039"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Lee, H., Park, J., &amp; Chung, C. C. (2022). CEO compensation, governance structure, and foreign direct investment in conflict-prone countries. </w:t>
      </w:r>
      <w:r w:rsidRPr="006435B7">
        <w:rPr>
          <w:rFonts w:cs="Times New Roman"/>
          <w:i/>
          <w:iCs/>
          <w:szCs w:val="24"/>
        </w:rPr>
        <w:t>International Business Review</w:t>
      </w:r>
      <w:r w:rsidRPr="006435B7">
        <w:rPr>
          <w:rFonts w:cs="Times New Roman"/>
          <w:szCs w:val="24"/>
        </w:rPr>
        <w:t>, 31(6), 102031.</w:t>
      </w:r>
    </w:p>
    <w:p w14:paraId="19629C9D"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Lee, S., &amp; Lee, S. (2020). Return on assets as a measure of organizational performance in the banking sector. </w:t>
      </w:r>
      <w:r w:rsidRPr="006435B7">
        <w:rPr>
          <w:rFonts w:cs="Times New Roman"/>
          <w:i/>
          <w:iCs/>
          <w:szCs w:val="24"/>
        </w:rPr>
        <w:t>Journal of Strategic Management</w:t>
      </w:r>
      <w:r w:rsidRPr="006435B7">
        <w:rPr>
          <w:rFonts w:cs="Times New Roman"/>
          <w:szCs w:val="24"/>
        </w:rPr>
        <w:t>, 28(3), 25-42.</w:t>
      </w:r>
    </w:p>
    <w:p w14:paraId="771EE575"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Liao, C. H., Tsang, A., Wang, K. T., &amp; Zhu, N. Z. (2022). Corporate governance reforms and cross</w:t>
      </w:r>
      <w:r w:rsidRPr="006435B7">
        <w:rPr>
          <w:rFonts w:ascii="Cambria Math" w:hAnsi="Cambria Math" w:cs="Cambria Math"/>
          <w:szCs w:val="24"/>
        </w:rPr>
        <w:t>‐</w:t>
      </w:r>
      <w:r w:rsidRPr="006435B7">
        <w:rPr>
          <w:rFonts w:cs="Times New Roman"/>
          <w:szCs w:val="24"/>
        </w:rPr>
        <w:t xml:space="preserve">listings: International evidence. </w:t>
      </w:r>
      <w:r w:rsidRPr="006435B7">
        <w:rPr>
          <w:rFonts w:cs="Times New Roman"/>
          <w:i/>
          <w:iCs/>
          <w:szCs w:val="24"/>
        </w:rPr>
        <w:t>Contemporary Accounting Research</w:t>
      </w:r>
      <w:r w:rsidRPr="006435B7">
        <w:rPr>
          <w:rFonts w:cs="Times New Roman"/>
          <w:szCs w:val="24"/>
        </w:rPr>
        <w:t xml:space="preserve">, </w:t>
      </w:r>
      <w:r w:rsidRPr="006435B7">
        <w:rPr>
          <w:rFonts w:cs="Times New Roman"/>
          <w:i/>
          <w:iCs/>
          <w:szCs w:val="24"/>
        </w:rPr>
        <w:t>39</w:t>
      </w:r>
      <w:r w:rsidRPr="006435B7">
        <w:rPr>
          <w:rFonts w:cs="Times New Roman"/>
          <w:szCs w:val="24"/>
        </w:rPr>
        <w:t>(1), 537-576.</w:t>
      </w:r>
    </w:p>
    <w:p w14:paraId="7755C312"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Liu, P., Li, Z., &amp; Luo, P. (2023). External corporate governance and assurance of corporate social responsibility reports: evidence from China. </w:t>
      </w:r>
      <w:r w:rsidRPr="006435B7">
        <w:rPr>
          <w:rFonts w:cs="Times New Roman"/>
          <w:i/>
          <w:iCs/>
          <w:szCs w:val="24"/>
        </w:rPr>
        <w:t>Sustainability Accounting, Management and Policy Journal</w:t>
      </w:r>
      <w:r w:rsidRPr="006435B7">
        <w:rPr>
          <w:rFonts w:cs="Times New Roman"/>
          <w:szCs w:val="24"/>
        </w:rPr>
        <w:t xml:space="preserve">, </w:t>
      </w:r>
      <w:r w:rsidRPr="006435B7">
        <w:rPr>
          <w:rFonts w:cs="Times New Roman"/>
          <w:i/>
          <w:iCs/>
          <w:szCs w:val="24"/>
        </w:rPr>
        <w:t>14</w:t>
      </w:r>
      <w:r w:rsidRPr="006435B7">
        <w:rPr>
          <w:rFonts w:cs="Times New Roman"/>
          <w:szCs w:val="24"/>
        </w:rPr>
        <w:t>(2), 420-457.</w:t>
      </w:r>
    </w:p>
    <w:p w14:paraId="30297643"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Löhde</w:t>
      </w:r>
      <w:proofErr w:type="spellEnd"/>
      <w:r w:rsidRPr="006435B7">
        <w:rPr>
          <w:rFonts w:cs="Times New Roman"/>
          <w:szCs w:val="24"/>
        </w:rPr>
        <w:t xml:space="preserve">, A. S. K., Campopiano, G., &amp; </w:t>
      </w:r>
      <w:proofErr w:type="spellStart"/>
      <w:r w:rsidRPr="006435B7">
        <w:rPr>
          <w:rFonts w:cs="Times New Roman"/>
          <w:szCs w:val="24"/>
        </w:rPr>
        <w:t>Calabrò</w:t>
      </w:r>
      <w:proofErr w:type="spellEnd"/>
      <w:r w:rsidRPr="006435B7">
        <w:rPr>
          <w:rFonts w:cs="Times New Roman"/>
          <w:szCs w:val="24"/>
        </w:rPr>
        <w:t xml:space="preserve">, A. (2021). Beyond agency and stewardship theory: shareholder–manager relationships and governance structures in family firms. </w:t>
      </w:r>
      <w:r w:rsidRPr="006435B7">
        <w:rPr>
          <w:rFonts w:cs="Times New Roman"/>
          <w:i/>
          <w:iCs/>
          <w:szCs w:val="24"/>
        </w:rPr>
        <w:t>Management Decision</w:t>
      </w:r>
      <w:r w:rsidRPr="006435B7">
        <w:rPr>
          <w:rFonts w:cs="Times New Roman"/>
          <w:szCs w:val="24"/>
        </w:rPr>
        <w:t xml:space="preserve">, </w:t>
      </w:r>
      <w:r w:rsidRPr="006435B7">
        <w:rPr>
          <w:rFonts w:cs="Times New Roman"/>
          <w:i/>
          <w:iCs/>
          <w:szCs w:val="24"/>
        </w:rPr>
        <w:t>59</w:t>
      </w:r>
      <w:r w:rsidRPr="006435B7">
        <w:rPr>
          <w:rFonts w:cs="Times New Roman"/>
          <w:szCs w:val="24"/>
        </w:rPr>
        <w:t>(2), 390-405.</w:t>
      </w:r>
    </w:p>
    <w:p w14:paraId="41AAB165"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Lohr, S. L. (2021). </w:t>
      </w:r>
      <w:r w:rsidRPr="006435B7">
        <w:rPr>
          <w:rFonts w:cs="Times New Roman"/>
          <w:i/>
          <w:iCs/>
          <w:szCs w:val="24"/>
        </w:rPr>
        <w:t>Sampling: design and analysis</w:t>
      </w:r>
      <w:r w:rsidRPr="006435B7">
        <w:rPr>
          <w:rFonts w:cs="Times New Roman"/>
          <w:szCs w:val="24"/>
        </w:rPr>
        <w:t>. CRC press.</w:t>
      </w:r>
    </w:p>
    <w:p w14:paraId="4C644D5A"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Loureiro, S. M. C., Romero, J., &amp; </w:t>
      </w:r>
      <w:proofErr w:type="spellStart"/>
      <w:r w:rsidRPr="006435B7">
        <w:rPr>
          <w:rFonts w:cs="Times New Roman"/>
          <w:szCs w:val="24"/>
        </w:rPr>
        <w:t>Bilro</w:t>
      </w:r>
      <w:proofErr w:type="spellEnd"/>
      <w:r w:rsidRPr="006435B7">
        <w:rPr>
          <w:rFonts w:cs="Times New Roman"/>
          <w:szCs w:val="24"/>
        </w:rPr>
        <w:t xml:space="preserve">, R. G. (2020). Stakeholder engagement in co-creation processes for innovation: A systematic literature review and case study. </w:t>
      </w:r>
      <w:r w:rsidRPr="006435B7">
        <w:rPr>
          <w:rFonts w:cs="Times New Roman"/>
          <w:i/>
          <w:iCs/>
          <w:szCs w:val="24"/>
        </w:rPr>
        <w:t>Journal of Business Research</w:t>
      </w:r>
      <w:r w:rsidRPr="006435B7">
        <w:rPr>
          <w:rFonts w:cs="Times New Roman"/>
          <w:szCs w:val="24"/>
        </w:rPr>
        <w:t xml:space="preserve">, </w:t>
      </w:r>
      <w:r w:rsidRPr="006435B7">
        <w:rPr>
          <w:rFonts w:cs="Times New Roman"/>
          <w:i/>
          <w:iCs/>
          <w:szCs w:val="24"/>
        </w:rPr>
        <w:t>119</w:t>
      </w:r>
      <w:r w:rsidRPr="006435B7">
        <w:rPr>
          <w:rFonts w:cs="Times New Roman"/>
          <w:szCs w:val="24"/>
        </w:rPr>
        <w:t>, 388-409.</w:t>
      </w:r>
    </w:p>
    <w:p w14:paraId="3EF8517C"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Lowe, N. K. (2019). What is a pilot study? </w:t>
      </w:r>
      <w:r w:rsidRPr="006435B7">
        <w:rPr>
          <w:rFonts w:cs="Times New Roman"/>
          <w:i/>
          <w:iCs/>
          <w:szCs w:val="24"/>
        </w:rPr>
        <w:t>Journal of Obstetric, Gynecologic &amp; Neonatal Nursing</w:t>
      </w:r>
      <w:r w:rsidRPr="006435B7">
        <w:rPr>
          <w:rFonts w:cs="Times New Roman"/>
          <w:szCs w:val="24"/>
        </w:rPr>
        <w:t xml:space="preserve">, </w:t>
      </w:r>
      <w:r w:rsidRPr="006435B7">
        <w:rPr>
          <w:rFonts w:cs="Times New Roman"/>
          <w:i/>
          <w:iCs/>
          <w:szCs w:val="24"/>
        </w:rPr>
        <w:t>48</w:t>
      </w:r>
      <w:r w:rsidRPr="006435B7">
        <w:rPr>
          <w:rFonts w:cs="Times New Roman"/>
          <w:szCs w:val="24"/>
        </w:rPr>
        <w:t>(2), 117-118.</w:t>
      </w:r>
    </w:p>
    <w:p w14:paraId="575AC914"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Lyra, F. R., Barbosa De Souza, M. J., </w:t>
      </w:r>
      <w:proofErr w:type="spellStart"/>
      <w:r w:rsidRPr="006435B7">
        <w:rPr>
          <w:rFonts w:cs="Times New Roman"/>
          <w:szCs w:val="24"/>
        </w:rPr>
        <w:t>Verdinelli</w:t>
      </w:r>
      <w:proofErr w:type="spellEnd"/>
      <w:r w:rsidRPr="006435B7">
        <w:rPr>
          <w:rFonts w:cs="Times New Roman"/>
          <w:szCs w:val="24"/>
        </w:rPr>
        <w:t xml:space="preserve">, M. A., &amp; Lana, J. (2017). Corporate social responsibility: comparing different models. </w:t>
      </w:r>
      <w:r w:rsidRPr="006435B7">
        <w:rPr>
          <w:rFonts w:cs="Times New Roman"/>
          <w:i/>
          <w:iCs/>
          <w:szCs w:val="24"/>
        </w:rPr>
        <w:t>Social Responsibility Journal</w:t>
      </w:r>
      <w:r w:rsidRPr="006435B7">
        <w:rPr>
          <w:rFonts w:cs="Times New Roman"/>
          <w:szCs w:val="24"/>
        </w:rPr>
        <w:t xml:space="preserve">, </w:t>
      </w:r>
      <w:r w:rsidRPr="006435B7">
        <w:rPr>
          <w:rFonts w:cs="Times New Roman"/>
          <w:i/>
          <w:iCs/>
          <w:szCs w:val="24"/>
        </w:rPr>
        <w:t>13</w:t>
      </w:r>
      <w:r w:rsidRPr="006435B7">
        <w:rPr>
          <w:rFonts w:cs="Times New Roman"/>
          <w:szCs w:val="24"/>
        </w:rPr>
        <w:t>(4), 728-742.</w:t>
      </w:r>
    </w:p>
    <w:p w14:paraId="50E0E599"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Maduenyi</w:t>
      </w:r>
      <w:proofErr w:type="spellEnd"/>
      <w:r w:rsidRPr="006435B7">
        <w:rPr>
          <w:rFonts w:cs="Times New Roman"/>
          <w:szCs w:val="24"/>
        </w:rPr>
        <w:t xml:space="preserve">, S., Oke, A. O., Fadeyi, O., &amp; Ajagbe, A. M. (2015). Impact of </w:t>
      </w:r>
      <w:proofErr w:type="spellStart"/>
      <w:r w:rsidRPr="006435B7">
        <w:rPr>
          <w:rFonts w:cs="Times New Roman"/>
          <w:szCs w:val="24"/>
        </w:rPr>
        <w:t>organisational</w:t>
      </w:r>
      <w:proofErr w:type="spellEnd"/>
      <w:r w:rsidRPr="006435B7">
        <w:rPr>
          <w:rFonts w:cs="Times New Roman"/>
          <w:szCs w:val="24"/>
        </w:rPr>
        <w:t xml:space="preserve"> structure on </w:t>
      </w:r>
      <w:proofErr w:type="spellStart"/>
      <w:r w:rsidRPr="006435B7">
        <w:rPr>
          <w:rFonts w:cs="Times New Roman"/>
          <w:szCs w:val="24"/>
        </w:rPr>
        <w:t>organisational</w:t>
      </w:r>
      <w:proofErr w:type="spellEnd"/>
      <w:r w:rsidRPr="006435B7">
        <w:rPr>
          <w:rFonts w:cs="Times New Roman"/>
          <w:szCs w:val="24"/>
        </w:rPr>
        <w:t xml:space="preserve"> performance. </w:t>
      </w:r>
      <w:r w:rsidRPr="006435B7">
        <w:rPr>
          <w:rFonts w:cs="Times New Roman"/>
          <w:i/>
          <w:iCs/>
          <w:szCs w:val="24"/>
        </w:rPr>
        <w:t>Nigeria: Thesis Submitted to Covenant University</w:t>
      </w:r>
      <w:r w:rsidRPr="006435B7">
        <w:rPr>
          <w:rFonts w:cs="Times New Roman"/>
          <w:szCs w:val="24"/>
        </w:rPr>
        <w:t>, 354-356.</w:t>
      </w:r>
    </w:p>
    <w:p w14:paraId="5ED4F68C"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Mahmoudi, A., &amp; Javed, S. A. (2022). Performance Evaluation of Construction Sub</w:t>
      </w:r>
      <w:r w:rsidRPr="006435B7">
        <w:rPr>
          <w:rFonts w:ascii="Cambria Math" w:hAnsi="Cambria Math" w:cs="Cambria Math"/>
          <w:szCs w:val="24"/>
        </w:rPr>
        <w:t>‐</w:t>
      </w:r>
      <w:r w:rsidRPr="006435B7">
        <w:rPr>
          <w:rFonts w:cs="Times New Roman"/>
          <w:szCs w:val="24"/>
        </w:rPr>
        <w:t xml:space="preserve">contractors using Ordinal Priority Approach. </w:t>
      </w:r>
      <w:r w:rsidRPr="006435B7">
        <w:rPr>
          <w:rFonts w:cs="Times New Roman"/>
          <w:i/>
          <w:iCs/>
          <w:szCs w:val="24"/>
        </w:rPr>
        <w:t>Evaluation and Program Planning</w:t>
      </w:r>
      <w:r w:rsidRPr="006435B7">
        <w:rPr>
          <w:rFonts w:cs="Times New Roman"/>
          <w:szCs w:val="24"/>
        </w:rPr>
        <w:t xml:space="preserve">, </w:t>
      </w:r>
      <w:r w:rsidRPr="006435B7">
        <w:rPr>
          <w:rFonts w:cs="Times New Roman"/>
          <w:i/>
          <w:iCs/>
          <w:szCs w:val="24"/>
        </w:rPr>
        <w:t>91</w:t>
      </w:r>
      <w:r w:rsidRPr="006435B7">
        <w:rPr>
          <w:rFonts w:cs="Times New Roman"/>
          <w:szCs w:val="24"/>
        </w:rPr>
        <w:t>, 102022.</w:t>
      </w:r>
    </w:p>
    <w:p w14:paraId="2B033C24"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lastRenderedPageBreak/>
        <w:t xml:space="preserve">Maina, L., &amp; Mwangangi, P. (2019). Corporate Governance and Performance of Commercial Banks in Kenya. </w:t>
      </w:r>
      <w:r w:rsidRPr="006435B7">
        <w:rPr>
          <w:rFonts w:cs="Times New Roman"/>
          <w:i/>
          <w:iCs/>
          <w:szCs w:val="24"/>
        </w:rPr>
        <w:t>Journal of Banking and Finance</w:t>
      </w:r>
      <w:r w:rsidRPr="006435B7">
        <w:rPr>
          <w:rFonts w:cs="Times New Roman"/>
          <w:szCs w:val="24"/>
        </w:rPr>
        <w:t>, 34(2), 125-137.</w:t>
      </w:r>
    </w:p>
    <w:p w14:paraId="3626FE68"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Marzook</w:t>
      </w:r>
      <w:proofErr w:type="spellEnd"/>
      <w:r w:rsidRPr="006435B7">
        <w:rPr>
          <w:rFonts w:cs="Times New Roman"/>
          <w:szCs w:val="24"/>
        </w:rPr>
        <w:t xml:space="preserve">, M., &amp; Al Ahmady, B. (2022). Linking </w:t>
      </w:r>
      <w:proofErr w:type="spellStart"/>
      <w:r w:rsidRPr="006435B7">
        <w:rPr>
          <w:rFonts w:cs="Times New Roman"/>
          <w:szCs w:val="24"/>
        </w:rPr>
        <w:t>organisational</w:t>
      </w:r>
      <w:proofErr w:type="spellEnd"/>
      <w:r w:rsidRPr="006435B7">
        <w:rPr>
          <w:rFonts w:cs="Times New Roman"/>
          <w:szCs w:val="24"/>
        </w:rPr>
        <w:t xml:space="preserve"> performance and corporate social responsibility. </w:t>
      </w:r>
      <w:r w:rsidRPr="006435B7">
        <w:rPr>
          <w:rFonts w:cs="Times New Roman"/>
          <w:i/>
          <w:iCs/>
          <w:szCs w:val="24"/>
        </w:rPr>
        <w:t>European Journal of Business and Management Research</w:t>
      </w:r>
      <w:r w:rsidRPr="006435B7">
        <w:rPr>
          <w:rFonts w:cs="Times New Roman"/>
          <w:szCs w:val="24"/>
        </w:rPr>
        <w:t xml:space="preserve">, </w:t>
      </w:r>
      <w:r w:rsidRPr="006435B7">
        <w:rPr>
          <w:rFonts w:cs="Times New Roman"/>
          <w:i/>
          <w:iCs/>
          <w:szCs w:val="24"/>
        </w:rPr>
        <w:t>7</w:t>
      </w:r>
      <w:r w:rsidRPr="006435B7">
        <w:rPr>
          <w:rFonts w:cs="Times New Roman"/>
          <w:szCs w:val="24"/>
        </w:rPr>
        <w:t>(3), 335-343.</w:t>
      </w:r>
    </w:p>
    <w:p w14:paraId="10FAA0A5"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Masinde, J. (2016, Dec. 15). </w:t>
      </w:r>
      <w:r w:rsidRPr="006435B7">
        <w:rPr>
          <w:rFonts w:cs="Times New Roman"/>
          <w:i/>
          <w:iCs/>
          <w:szCs w:val="24"/>
        </w:rPr>
        <w:t>Exotic holidays, gifts and the $380 million fraud that brought down a Kenyan bank</w:t>
      </w:r>
      <w:r w:rsidRPr="006435B7">
        <w:rPr>
          <w:rFonts w:cs="Times New Roman"/>
          <w:szCs w:val="24"/>
        </w:rPr>
        <w:t>. Retrieved from: https://qz.com/arica/864182/exotic-holidays- gifts-and-the-380-million-fraud that-brought-down-a-</w:t>
      </w:r>
      <w:proofErr w:type="spellStart"/>
      <w:r w:rsidRPr="006435B7">
        <w:rPr>
          <w:rFonts w:cs="Times New Roman"/>
          <w:szCs w:val="24"/>
        </w:rPr>
        <w:t>kenyan</w:t>
      </w:r>
      <w:proofErr w:type="spellEnd"/>
      <w:r w:rsidRPr="006435B7">
        <w:rPr>
          <w:rFonts w:cs="Times New Roman"/>
          <w:szCs w:val="24"/>
        </w:rPr>
        <w:t>-bank/</w:t>
      </w:r>
    </w:p>
    <w:p w14:paraId="79F18AA4"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Mbewa</w:t>
      </w:r>
      <w:proofErr w:type="spellEnd"/>
      <w:r w:rsidRPr="006435B7">
        <w:rPr>
          <w:rFonts w:cs="Times New Roman"/>
          <w:szCs w:val="24"/>
        </w:rPr>
        <w:t xml:space="preserve">, M., &amp; Kimani, G. W. (2018). The influence of corporate governance on financial performance in Kenyan banks. </w:t>
      </w:r>
      <w:r w:rsidRPr="006435B7">
        <w:rPr>
          <w:rFonts w:cs="Times New Roman"/>
          <w:i/>
          <w:iCs/>
          <w:szCs w:val="24"/>
        </w:rPr>
        <w:t>African Journal of Business Management</w:t>
      </w:r>
      <w:r w:rsidRPr="006435B7">
        <w:rPr>
          <w:rFonts w:cs="Times New Roman"/>
          <w:szCs w:val="24"/>
        </w:rPr>
        <w:t>, 12(4), 132-145.</w:t>
      </w:r>
    </w:p>
    <w:p w14:paraId="4260B854"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McAbee, J. (2022). </w:t>
      </w:r>
      <w:r w:rsidRPr="006435B7">
        <w:rPr>
          <w:rFonts w:cs="Times New Roman"/>
          <w:i/>
          <w:iCs/>
          <w:szCs w:val="24"/>
        </w:rPr>
        <w:t>Understanding Stakeholder Theory. What are the benefits of stakeholder theory?</w:t>
      </w:r>
    </w:p>
    <w:p w14:paraId="138C4702"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Mishra, P., Pandey, C. M., Singh, U., Gupta, A., Sahu, C., &amp; </w:t>
      </w:r>
      <w:proofErr w:type="spellStart"/>
      <w:r w:rsidRPr="006435B7">
        <w:rPr>
          <w:rFonts w:cs="Times New Roman"/>
          <w:szCs w:val="24"/>
        </w:rPr>
        <w:t>Keshri</w:t>
      </w:r>
      <w:proofErr w:type="spellEnd"/>
      <w:r w:rsidRPr="006435B7">
        <w:rPr>
          <w:rFonts w:cs="Times New Roman"/>
          <w:szCs w:val="24"/>
        </w:rPr>
        <w:t xml:space="preserve">, A. (2019). Descriptive statistics and normality tests for statistical data. </w:t>
      </w:r>
      <w:r w:rsidRPr="006435B7">
        <w:rPr>
          <w:rFonts w:cs="Times New Roman"/>
          <w:i/>
          <w:iCs/>
          <w:szCs w:val="24"/>
        </w:rPr>
        <w:t xml:space="preserve">Annals of cardiac </w:t>
      </w:r>
      <w:proofErr w:type="spellStart"/>
      <w:r w:rsidRPr="006435B7">
        <w:rPr>
          <w:rFonts w:cs="Times New Roman"/>
          <w:i/>
          <w:iCs/>
          <w:szCs w:val="24"/>
        </w:rPr>
        <w:t>anaesthesia</w:t>
      </w:r>
      <w:proofErr w:type="spellEnd"/>
      <w:r w:rsidRPr="006435B7">
        <w:rPr>
          <w:rFonts w:cs="Times New Roman"/>
          <w:szCs w:val="24"/>
        </w:rPr>
        <w:t xml:space="preserve">, </w:t>
      </w:r>
      <w:r w:rsidRPr="006435B7">
        <w:rPr>
          <w:rFonts w:cs="Times New Roman"/>
          <w:i/>
          <w:iCs/>
          <w:szCs w:val="24"/>
        </w:rPr>
        <w:t>22</w:t>
      </w:r>
      <w:r w:rsidRPr="006435B7">
        <w:rPr>
          <w:rFonts w:cs="Times New Roman"/>
          <w:szCs w:val="24"/>
        </w:rPr>
        <w:t>(1), 67.</w:t>
      </w:r>
    </w:p>
    <w:p w14:paraId="078CDF10" w14:textId="77777777" w:rsidR="007625DB" w:rsidRPr="006435B7" w:rsidRDefault="007625DB" w:rsidP="007625DB">
      <w:pPr>
        <w:spacing w:before="0" w:line="240" w:lineRule="auto"/>
        <w:ind w:left="720" w:hanging="720"/>
        <w:rPr>
          <w:rFonts w:cs="Times New Roman"/>
          <w:szCs w:val="24"/>
          <w:lang w:val="en-GB"/>
        </w:rPr>
      </w:pPr>
      <w:r w:rsidRPr="006435B7">
        <w:rPr>
          <w:rFonts w:cs="Times New Roman"/>
          <w:szCs w:val="24"/>
        </w:rPr>
        <w:t xml:space="preserve">Muhamad, S. F., Kamarudin, M. K., Usop, R., Arslan, M. S., &amp; Aziz, N. A. (2019). Board characteristics and financial performance of Islamic banks. </w:t>
      </w:r>
      <w:r w:rsidRPr="006435B7">
        <w:rPr>
          <w:rFonts w:cs="Times New Roman"/>
          <w:i/>
          <w:iCs/>
          <w:szCs w:val="24"/>
        </w:rPr>
        <w:t>Journal of Management and Operation Research</w:t>
      </w:r>
      <w:r w:rsidRPr="006435B7">
        <w:rPr>
          <w:rFonts w:cs="Times New Roman"/>
          <w:szCs w:val="24"/>
        </w:rPr>
        <w:t xml:space="preserve">, </w:t>
      </w:r>
      <w:r w:rsidRPr="006435B7">
        <w:rPr>
          <w:rFonts w:cs="Times New Roman"/>
          <w:i/>
          <w:iCs/>
          <w:szCs w:val="24"/>
        </w:rPr>
        <w:t>1</w:t>
      </w:r>
      <w:r w:rsidRPr="006435B7">
        <w:rPr>
          <w:rFonts w:cs="Times New Roman"/>
          <w:szCs w:val="24"/>
        </w:rPr>
        <w:t>(2), 1-7.</w:t>
      </w:r>
    </w:p>
    <w:p w14:paraId="4256194B" w14:textId="77777777" w:rsidR="007625DB" w:rsidRPr="006435B7" w:rsidRDefault="007625DB" w:rsidP="007625DB">
      <w:pPr>
        <w:spacing w:before="0" w:line="240" w:lineRule="auto"/>
        <w:ind w:left="720" w:hanging="720"/>
        <w:rPr>
          <w:rFonts w:cs="Times New Roman"/>
          <w:szCs w:val="24"/>
          <w:lang w:val="en-GB"/>
        </w:rPr>
      </w:pPr>
      <w:r w:rsidRPr="006435B7">
        <w:rPr>
          <w:rFonts w:cs="Times New Roman"/>
          <w:szCs w:val="24"/>
          <w:lang w:val="en-GB"/>
        </w:rPr>
        <w:t xml:space="preserve">Muiruri, P. (2024). </w:t>
      </w:r>
      <w:r w:rsidRPr="006435B7">
        <w:rPr>
          <w:rFonts w:cs="Times New Roman"/>
          <w:i/>
          <w:iCs/>
          <w:szCs w:val="24"/>
          <w:lang w:val="en-GB"/>
        </w:rPr>
        <w:t>The Impact of Basel III Corporate Governance Standards on the Financial Performance of Commercial Banks in Kenya</w:t>
      </w:r>
      <w:r w:rsidRPr="006435B7">
        <w:rPr>
          <w:rFonts w:cs="Times New Roman"/>
          <w:szCs w:val="24"/>
          <w:lang w:val="en-GB"/>
        </w:rPr>
        <w:t>. Available at SSRN 4844995.</w:t>
      </w:r>
    </w:p>
    <w:p w14:paraId="7C1519B9"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Mukabi</w:t>
      </w:r>
      <w:proofErr w:type="spellEnd"/>
      <w:r w:rsidRPr="006435B7">
        <w:rPr>
          <w:rFonts w:cs="Times New Roman"/>
          <w:szCs w:val="24"/>
        </w:rPr>
        <w:t xml:space="preserve">, R. A. (2017). </w:t>
      </w:r>
      <w:r w:rsidRPr="006435B7">
        <w:rPr>
          <w:rFonts w:cs="Times New Roman"/>
          <w:i/>
          <w:iCs/>
          <w:szCs w:val="24"/>
        </w:rPr>
        <w:t>Influence of corporate governance on risk management in the horticultural sector in Kenya</w:t>
      </w:r>
      <w:r w:rsidRPr="006435B7">
        <w:rPr>
          <w:rFonts w:cs="Times New Roman"/>
          <w:szCs w:val="24"/>
        </w:rPr>
        <w:t xml:space="preserve"> (Doctoral dissertation, KCA University).</w:t>
      </w:r>
    </w:p>
    <w:p w14:paraId="5088D959"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Murphy, K. R. (2021). In praise of Table 1: The importance of making better use of descriptive statistics. </w:t>
      </w:r>
      <w:r w:rsidRPr="006435B7">
        <w:rPr>
          <w:rFonts w:cs="Times New Roman"/>
          <w:i/>
          <w:iCs/>
          <w:szCs w:val="24"/>
        </w:rPr>
        <w:t>Industrial and Organizational Psychology</w:t>
      </w:r>
      <w:r w:rsidRPr="006435B7">
        <w:rPr>
          <w:rFonts w:cs="Times New Roman"/>
          <w:szCs w:val="24"/>
        </w:rPr>
        <w:t xml:space="preserve">, </w:t>
      </w:r>
      <w:r w:rsidRPr="006435B7">
        <w:rPr>
          <w:rFonts w:cs="Times New Roman"/>
          <w:i/>
          <w:iCs/>
          <w:szCs w:val="24"/>
        </w:rPr>
        <w:t>14</w:t>
      </w:r>
      <w:r w:rsidRPr="006435B7">
        <w:rPr>
          <w:rFonts w:cs="Times New Roman"/>
          <w:szCs w:val="24"/>
        </w:rPr>
        <w:t>(4), 461-477.</w:t>
      </w:r>
    </w:p>
    <w:p w14:paraId="2D071103"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Murtaza, S. A., Mahmood, A., Saleem, S., Ahmad, N., Sharif, M. S., &amp; Molnár, E. (2021). Proposing stewardship theory as an alternate to explain the relationship between CSR and Employees’ pro-environmental behavior. </w:t>
      </w:r>
      <w:r w:rsidRPr="006435B7">
        <w:rPr>
          <w:rFonts w:cs="Times New Roman"/>
          <w:i/>
          <w:iCs/>
          <w:szCs w:val="24"/>
        </w:rPr>
        <w:t>Sustainability</w:t>
      </w:r>
      <w:r w:rsidRPr="006435B7">
        <w:rPr>
          <w:rFonts w:cs="Times New Roman"/>
          <w:szCs w:val="24"/>
        </w:rPr>
        <w:t>, 13(15), 8558.</w:t>
      </w:r>
    </w:p>
    <w:p w14:paraId="0324663A"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Mutuku, J., &amp; Wanjiru, R. (2018). Corporate governance and the financial performance of commercial banks in Kenya. </w:t>
      </w:r>
      <w:r w:rsidRPr="006435B7">
        <w:rPr>
          <w:rFonts w:cs="Times New Roman"/>
          <w:i/>
          <w:iCs/>
          <w:szCs w:val="24"/>
        </w:rPr>
        <w:t>International Journal of Business and Finance Research</w:t>
      </w:r>
      <w:r w:rsidRPr="006435B7">
        <w:rPr>
          <w:rFonts w:cs="Times New Roman"/>
          <w:szCs w:val="24"/>
        </w:rPr>
        <w:t>, 6(1), 89-101.</w:t>
      </w:r>
    </w:p>
    <w:p w14:paraId="26727326"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Mwangi, A. C., &amp; </w:t>
      </w:r>
      <w:proofErr w:type="spellStart"/>
      <w:r w:rsidRPr="006435B7">
        <w:rPr>
          <w:rFonts w:cs="Times New Roman"/>
          <w:szCs w:val="24"/>
        </w:rPr>
        <w:t>Nyaribo</w:t>
      </w:r>
      <w:proofErr w:type="spellEnd"/>
      <w:r w:rsidRPr="006435B7">
        <w:rPr>
          <w:rFonts w:cs="Times New Roman"/>
          <w:szCs w:val="24"/>
        </w:rPr>
        <w:t xml:space="preserve">, W. M. (2022). Effect of corporate governance structures on organizational performance of state corporations in education sector in Kenya. </w:t>
      </w:r>
      <w:r w:rsidRPr="006435B7">
        <w:rPr>
          <w:rFonts w:cs="Times New Roman"/>
          <w:i/>
          <w:iCs/>
          <w:szCs w:val="24"/>
        </w:rPr>
        <w:t>Open Journal of Business and Management</w:t>
      </w:r>
      <w:r w:rsidRPr="006435B7">
        <w:rPr>
          <w:rFonts w:cs="Times New Roman"/>
          <w:szCs w:val="24"/>
        </w:rPr>
        <w:t xml:space="preserve">, </w:t>
      </w:r>
      <w:r w:rsidRPr="006435B7">
        <w:rPr>
          <w:rFonts w:cs="Times New Roman"/>
          <w:i/>
          <w:iCs/>
          <w:szCs w:val="24"/>
        </w:rPr>
        <w:t>10</w:t>
      </w:r>
      <w:r w:rsidRPr="006435B7">
        <w:rPr>
          <w:rFonts w:cs="Times New Roman"/>
          <w:szCs w:val="24"/>
        </w:rPr>
        <w:t>(4), 2191-2208.</w:t>
      </w:r>
    </w:p>
    <w:p w14:paraId="0FB83581"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Mwangi, G. &amp; </w:t>
      </w:r>
      <w:proofErr w:type="spellStart"/>
      <w:r w:rsidRPr="006435B7">
        <w:rPr>
          <w:rFonts w:cs="Times New Roman"/>
          <w:szCs w:val="24"/>
        </w:rPr>
        <w:t>Kihoro</w:t>
      </w:r>
      <w:proofErr w:type="spellEnd"/>
      <w:r w:rsidRPr="006435B7">
        <w:rPr>
          <w:rFonts w:cs="Times New Roman"/>
          <w:szCs w:val="24"/>
        </w:rPr>
        <w:t xml:space="preserve">, J. (2021). Governance Challenges in Kenya’s Commercial Banks and the Impact on Financial Performance. </w:t>
      </w:r>
      <w:r w:rsidRPr="006435B7">
        <w:rPr>
          <w:rFonts w:cs="Times New Roman"/>
          <w:i/>
          <w:iCs/>
          <w:szCs w:val="24"/>
        </w:rPr>
        <w:t>International Journal of Economics and Business Research</w:t>
      </w:r>
      <w:r w:rsidRPr="006435B7">
        <w:rPr>
          <w:rFonts w:cs="Times New Roman"/>
          <w:szCs w:val="24"/>
        </w:rPr>
        <w:t>, 20(2), 102-118.</w:t>
      </w:r>
    </w:p>
    <w:p w14:paraId="28E93EED"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Mwangi, M., &amp; Muturi, W. (2020). Corporate governance and financial performance of commercial banks in Kenya. </w:t>
      </w:r>
      <w:r w:rsidRPr="006435B7">
        <w:rPr>
          <w:rFonts w:cs="Times New Roman"/>
          <w:i/>
          <w:iCs/>
          <w:szCs w:val="24"/>
        </w:rPr>
        <w:t>Journal of Business and Economics</w:t>
      </w:r>
      <w:r w:rsidRPr="006435B7">
        <w:rPr>
          <w:rFonts w:cs="Times New Roman"/>
          <w:szCs w:val="24"/>
        </w:rPr>
        <w:t>, 8(4), 47-60.</w:t>
      </w:r>
    </w:p>
    <w:p w14:paraId="171FD242"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Mwaura, G. (2018). The influence of corporate governance on the financial performance of commercial banks in Kenya. </w:t>
      </w:r>
      <w:r w:rsidRPr="006435B7">
        <w:rPr>
          <w:rFonts w:cs="Times New Roman"/>
          <w:i/>
          <w:iCs/>
          <w:szCs w:val="24"/>
        </w:rPr>
        <w:t>International Journal of Financial Research</w:t>
      </w:r>
      <w:r w:rsidRPr="006435B7">
        <w:rPr>
          <w:rFonts w:cs="Times New Roman"/>
          <w:szCs w:val="24"/>
        </w:rPr>
        <w:t>, 9(3), 122-138.</w:t>
      </w:r>
    </w:p>
    <w:p w14:paraId="3AD1DE62"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Mwega</w:t>
      </w:r>
      <w:proofErr w:type="spellEnd"/>
      <w:r w:rsidRPr="006435B7">
        <w:rPr>
          <w:rFonts w:cs="Times New Roman"/>
          <w:szCs w:val="24"/>
        </w:rPr>
        <w:t xml:space="preserve">, F. M. (2020). The Impact of Governance Structures on Bank Performance in Sub-Saharan Africa. </w:t>
      </w:r>
      <w:r w:rsidRPr="006435B7">
        <w:rPr>
          <w:rFonts w:cs="Times New Roman"/>
          <w:i/>
          <w:iCs/>
          <w:szCs w:val="24"/>
        </w:rPr>
        <w:t>African Development Review</w:t>
      </w:r>
      <w:r w:rsidRPr="006435B7">
        <w:rPr>
          <w:rFonts w:cs="Times New Roman"/>
          <w:szCs w:val="24"/>
        </w:rPr>
        <w:t>, 32(4), 541-558.</w:t>
      </w:r>
    </w:p>
    <w:p w14:paraId="204D161E"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Myeza, L., Kok, M., Lange, Y., &amp; Maroun, W. (2023). Stakeholder engagement during the COVID-19 crisis: perspectives from South Africa. </w:t>
      </w:r>
      <w:r w:rsidRPr="006435B7">
        <w:rPr>
          <w:rFonts w:cs="Times New Roman"/>
          <w:i/>
          <w:iCs/>
          <w:szCs w:val="24"/>
        </w:rPr>
        <w:t>Social Responsibility Journal</w:t>
      </w:r>
      <w:r w:rsidRPr="006435B7">
        <w:rPr>
          <w:rFonts w:cs="Times New Roman"/>
          <w:szCs w:val="24"/>
        </w:rPr>
        <w:t>.</w:t>
      </w:r>
    </w:p>
    <w:p w14:paraId="48563F6F"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Mzenzi, S. I., Mori, N., &amp; Kurt, A. (2019). </w:t>
      </w:r>
      <w:r w:rsidRPr="006435B7">
        <w:rPr>
          <w:rFonts w:cs="Times New Roman"/>
          <w:i/>
          <w:iCs/>
          <w:szCs w:val="24"/>
        </w:rPr>
        <w:t xml:space="preserve">An Exploratory Study on Corporate Governance Practices of the Selected Oil and Gas Companies in Tanzania </w:t>
      </w:r>
      <w:proofErr w:type="spellStart"/>
      <w:r w:rsidRPr="006435B7">
        <w:rPr>
          <w:rFonts w:cs="Times New Roman"/>
          <w:szCs w:val="24"/>
        </w:rPr>
        <w:t>Siasa</w:t>
      </w:r>
      <w:proofErr w:type="spellEnd"/>
      <w:r w:rsidRPr="006435B7">
        <w:rPr>
          <w:rFonts w:cs="Times New Roman"/>
          <w:szCs w:val="24"/>
        </w:rPr>
        <w:t xml:space="preserve"> Issa Mzenzi 1, Neema Mori 2 and Alfred Kurt 3. 22(June), 150–167.</w:t>
      </w:r>
    </w:p>
    <w:p w14:paraId="2FCC6A8E"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Ndungu, M. &amp; Kariuki, P. (2020). The Impact of Corporate Governance on Bank Performance: A Case of Kenyan Commercial Banks. </w:t>
      </w:r>
      <w:r w:rsidRPr="006435B7">
        <w:rPr>
          <w:rFonts w:cs="Times New Roman"/>
          <w:i/>
          <w:iCs/>
          <w:szCs w:val="24"/>
        </w:rPr>
        <w:t>Journal of Finance and Accounting</w:t>
      </w:r>
      <w:r w:rsidRPr="006435B7">
        <w:rPr>
          <w:rFonts w:cs="Times New Roman"/>
          <w:szCs w:val="24"/>
        </w:rPr>
        <w:t>, 8(4), 45-61.</w:t>
      </w:r>
    </w:p>
    <w:p w14:paraId="50208C45"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Ngari, L. N., &amp; Ngari, L. K. (2024). Effects of Corporate Governance Reforms on Delivery of Health Care Services in Embu Level Five Hospital, Embu County, Kenya. </w:t>
      </w:r>
      <w:r w:rsidRPr="006435B7">
        <w:rPr>
          <w:rFonts w:cs="Times New Roman"/>
          <w:i/>
          <w:iCs/>
          <w:szCs w:val="24"/>
        </w:rPr>
        <w:t>Journal of African Interdisciplinary Studies</w:t>
      </w:r>
      <w:r w:rsidRPr="006435B7">
        <w:rPr>
          <w:rFonts w:cs="Times New Roman"/>
          <w:szCs w:val="24"/>
        </w:rPr>
        <w:t xml:space="preserve">, </w:t>
      </w:r>
      <w:r w:rsidRPr="006435B7">
        <w:rPr>
          <w:rFonts w:cs="Times New Roman"/>
          <w:i/>
          <w:iCs/>
          <w:szCs w:val="24"/>
        </w:rPr>
        <w:t>8</w:t>
      </w:r>
      <w:r w:rsidRPr="006435B7">
        <w:rPr>
          <w:rFonts w:cs="Times New Roman"/>
          <w:szCs w:val="24"/>
        </w:rPr>
        <w:t>(11), 195-210.</w:t>
      </w:r>
    </w:p>
    <w:p w14:paraId="0BB2263C"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Ngugi, R., &amp; Gachungu, J. (2018). Corporate governance and the performance of commercial banks in Kenya. </w:t>
      </w:r>
      <w:r w:rsidRPr="006435B7">
        <w:rPr>
          <w:rFonts w:cs="Times New Roman"/>
          <w:i/>
          <w:iCs/>
          <w:szCs w:val="24"/>
        </w:rPr>
        <w:t>African Journal of Business and Economic Studies</w:t>
      </w:r>
      <w:r w:rsidRPr="006435B7">
        <w:rPr>
          <w:rFonts w:cs="Times New Roman"/>
          <w:szCs w:val="24"/>
        </w:rPr>
        <w:t>, 12(1), 47-59.</w:t>
      </w:r>
    </w:p>
    <w:p w14:paraId="4C71863E"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lastRenderedPageBreak/>
        <w:t xml:space="preserve">Nguyen, T. H. H., Ntim, C. G., &amp; </w:t>
      </w:r>
      <w:proofErr w:type="spellStart"/>
      <w:r w:rsidRPr="006435B7">
        <w:rPr>
          <w:rFonts w:cs="Times New Roman"/>
          <w:szCs w:val="24"/>
        </w:rPr>
        <w:t>Malagila</w:t>
      </w:r>
      <w:proofErr w:type="spellEnd"/>
      <w:r w:rsidRPr="006435B7">
        <w:rPr>
          <w:rFonts w:cs="Times New Roman"/>
          <w:szCs w:val="24"/>
        </w:rPr>
        <w:t xml:space="preserve">, J. K. (2020). Women on corporate boards and corporate financial and non-financial performance: A systematic literature review and future research agenda. </w:t>
      </w:r>
      <w:r w:rsidRPr="006435B7">
        <w:rPr>
          <w:rFonts w:cs="Times New Roman"/>
          <w:i/>
          <w:iCs/>
          <w:szCs w:val="24"/>
        </w:rPr>
        <w:t>International Review of Financial Analysis</w:t>
      </w:r>
      <w:r w:rsidRPr="006435B7">
        <w:rPr>
          <w:rFonts w:cs="Times New Roman"/>
          <w:szCs w:val="24"/>
        </w:rPr>
        <w:t xml:space="preserve">, </w:t>
      </w:r>
      <w:r w:rsidRPr="006435B7">
        <w:rPr>
          <w:rFonts w:cs="Times New Roman"/>
          <w:i/>
          <w:iCs/>
          <w:szCs w:val="24"/>
        </w:rPr>
        <w:t>71</w:t>
      </w:r>
      <w:r w:rsidRPr="006435B7">
        <w:rPr>
          <w:rFonts w:cs="Times New Roman"/>
          <w:szCs w:val="24"/>
        </w:rPr>
        <w:t>, 101554.</w:t>
      </w:r>
    </w:p>
    <w:p w14:paraId="3A37C613" w14:textId="77777777" w:rsidR="007625DB" w:rsidRPr="006435B7" w:rsidRDefault="007625DB" w:rsidP="007625DB">
      <w:pPr>
        <w:spacing w:before="0" w:line="240" w:lineRule="auto"/>
        <w:ind w:left="720" w:hanging="720"/>
        <w:rPr>
          <w:rFonts w:cs="Times New Roman"/>
          <w:iCs/>
          <w:szCs w:val="24"/>
        </w:rPr>
      </w:pPr>
      <w:r w:rsidRPr="006435B7">
        <w:rPr>
          <w:rFonts w:cs="Times New Roman"/>
          <w:iCs/>
          <w:szCs w:val="24"/>
        </w:rPr>
        <w:t xml:space="preserve">Nkosi, Z., &amp; Ndebele, C. (2018). Bank Performance in Africa: The Role of Corporate Governance in Mitigating Operational Risks. </w:t>
      </w:r>
      <w:r w:rsidRPr="006435B7">
        <w:rPr>
          <w:rFonts w:cs="Times New Roman"/>
          <w:i/>
          <w:szCs w:val="24"/>
        </w:rPr>
        <w:t>International Journal of African Business</w:t>
      </w:r>
      <w:r w:rsidRPr="006435B7">
        <w:rPr>
          <w:rFonts w:cs="Times New Roman"/>
          <w:iCs/>
          <w:szCs w:val="24"/>
        </w:rPr>
        <w:t>, 19(1), 32-47.</w:t>
      </w:r>
    </w:p>
    <w:p w14:paraId="08B6A0AC"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Nothando, T., Gwata, S., Shonhiwa, S., &amp; Mpofu, A. (2022). An Analysis of the Factors That Affect Adoption of Growth Strategies by SMEs. </w:t>
      </w:r>
      <w:r w:rsidRPr="006435B7">
        <w:rPr>
          <w:rFonts w:cs="Times New Roman"/>
          <w:i/>
          <w:iCs/>
          <w:szCs w:val="24"/>
        </w:rPr>
        <w:t>International Journal of Research and Innovation in Social Science</w:t>
      </w:r>
      <w:r w:rsidRPr="006435B7">
        <w:rPr>
          <w:rFonts w:cs="Times New Roman"/>
          <w:szCs w:val="24"/>
        </w:rPr>
        <w:t xml:space="preserve">, </w:t>
      </w:r>
      <w:r w:rsidRPr="006435B7">
        <w:rPr>
          <w:rFonts w:cs="Times New Roman"/>
          <w:i/>
          <w:iCs/>
          <w:szCs w:val="24"/>
        </w:rPr>
        <w:t>6</w:t>
      </w:r>
      <w:r w:rsidRPr="006435B7">
        <w:rPr>
          <w:rFonts w:cs="Times New Roman"/>
          <w:szCs w:val="24"/>
        </w:rPr>
        <w:t>(5), 705-713.</w:t>
      </w:r>
    </w:p>
    <w:p w14:paraId="613E8AD3" w14:textId="77777777" w:rsidR="007625DB" w:rsidRPr="006435B7" w:rsidRDefault="007625DB" w:rsidP="007625DB">
      <w:pPr>
        <w:spacing w:before="0" w:line="240" w:lineRule="auto"/>
        <w:ind w:left="720" w:hanging="720"/>
        <w:rPr>
          <w:rFonts w:cs="Times New Roman"/>
          <w:iCs/>
          <w:szCs w:val="24"/>
        </w:rPr>
      </w:pPr>
      <w:r w:rsidRPr="006435B7">
        <w:rPr>
          <w:rFonts w:cs="Times New Roman"/>
          <w:iCs/>
          <w:szCs w:val="24"/>
          <w:lang w:val="en-GB"/>
        </w:rPr>
        <w:t xml:space="preserve">Ntim, C. G., Opong, K. K., &amp; Danbolt, J. (2018). Board size, corporate regulations and firm valuation in an emerging market: a simultaneous equation approach. </w:t>
      </w:r>
      <w:r w:rsidRPr="006435B7">
        <w:rPr>
          <w:rFonts w:cs="Times New Roman"/>
          <w:i/>
          <w:iCs/>
          <w:szCs w:val="24"/>
          <w:lang w:val="en-GB"/>
        </w:rPr>
        <w:t>International Review of Applied Economics</w:t>
      </w:r>
      <w:r w:rsidRPr="006435B7">
        <w:rPr>
          <w:rFonts w:cs="Times New Roman"/>
          <w:iCs/>
          <w:szCs w:val="24"/>
          <w:lang w:val="en-GB"/>
        </w:rPr>
        <w:t>, Vol 29(2), pp 194-220.</w:t>
      </w:r>
    </w:p>
    <w:p w14:paraId="37609E2A"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Nyagadza</w:t>
      </w:r>
      <w:proofErr w:type="spellEnd"/>
      <w:r w:rsidRPr="006435B7">
        <w:rPr>
          <w:rFonts w:cs="Times New Roman"/>
          <w:szCs w:val="24"/>
        </w:rPr>
        <w:t xml:space="preserve">, B., </w:t>
      </w:r>
      <w:proofErr w:type="spellStart"/>
      <w:r w:rsidRPr="006435B7">
        <w:rPr>
          <w:rFonts w:cs="Times New Roman"/>
          <w:szCs w:val="24"/>
        </w:rPr>
        <w:t>Kadembo</w:t>
      </w:r>
      <w:proofErr w:type="spellEnd"/>
      <w:r w:rsidRPr="006435B7">
        <w:rPr>
          <w:rFonts w:cs="Times New Roman"/>
          <w:szCs w:val="24"/>
        </w:rPr>
        <w:t xml:space="preserve">, E. M., &amp; Makasi, A. (2020). Exploring internal stakeholders’ emotional attachment &amp; corporate brand perceptions through corporate storytelling for branding. </w:t>
      </w:r>
      <w:r w:rsidRPr="006435B7">
        <w:rPr>
          <w:rFonts w:cs="Times New Roman"/>
          <w:i/>
          <w:iCs/>
          <w:szCs w:val="24"/>
        </w:rPr>
        <w:t>Cogent Business &amp; Management</w:t>
      </w:r>
      <w:r w:rsidRPr="006435B7">
        <w:rPr>
          <w:rFonts w:cs="Times New Roman"/>
          <w:szCs w:val="24"/>
        </w:rPr>
        <w:t xml:space="preserve">, </w:t>
      </w:r>
      <w:r w:rsidRPr="006435B7">
        <w:rPr>
          <w:rFonts w:cs="Times New Roman"/>
          <w:i/>
          <w:iCs/>
          <w:szCs w:val="24"/>
        </w:rPr>
        <w:t>7</w:t>
      </w:r>
      <w:r w:rsidRPr="006435B7">
        <w:rPr>
          <w:rFonts w:cs="Times New Roman"/>
          <w:szCs w:val="24"/>
        </w:rPr>
        <w:t>(1), 1816254.</w:t>
      </w:r>
    </w:p>
    <w:p w14:paraId="10A07F1D"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Nyamwange</w:t>
      </w:r>
      <w:proofErr w:type="spellEnd"/>
      <w:r w:rsidRPr="006435B7">
        <w:rPr>
          <w:rFonts w:cs="Times New Roman"/>
          <w:szCs w:val="24"/>
        </w:rPr>
        <w:t xml:space="preserve">, N. (2018). Governance and Performance of Commercial Banks in Kenya. </w:t>
      </w:r>
      <w:r w:rsidRPr="006435B7">
        <w:rPr>
          <w:rFonts w:cs="Times New Roman"/>
          <w:i/>
          <w:iCs/>
          <w:szCs w:val="24"/>
        </w:rPr>
        <w:t>African Journal of Business Management</w:t>
      </w:r>
      <w:r w:rsidRPr="006435B7">
        <w:rPr>
          <w:rFonts w:cs="Times New Roman"/>
          <w:szCs w:val="24"/>
        </w:rPr>
        <w:t>, 12(7), 104-118.</w:t>
      </w:r>
    </w:p>
    <w:p w14:paraId="78392471"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Nyangweso, P., Odhiambo, N., &amp; Muriuki, M. (2020). Transparency and organizational performance of commercial banks in Kenya. </w:t>
      </w:r>
      <w:r w:rsidRPr="006435B7">
        <w:rPr>
          <w:rFonts w:cs="Times New Roman"/>
          <w:i/>
          <w:iCs/>
          <w:szCs w:val="24"/>
        </w:rPr>
        <w:t>International Journal of Business Management</w:t>
      </w:r>
      <w:r w:rsidRPr="006435B7">
        <w:rPr>
          <w:rFonts w:cs="Times New Roman"/>
          <w:szCs w:val="24"/>
        </w:rPr>
        <w:t>, 11(2), 35-52.</w:t>
      </w:r>
    </w:p>
    <w:p w14:paraId="433809FF" w14:textId="77777777" w:rsidR="007625DB" w:rsidRPr="006435B7" w:rsidRDefault="007625DB" w:rsidP="007625DB">
      <w:pPr>
        <w:spacing w:before="0" w:line="240" w:lineRule="auto"/>
        <w:ind w:left="720" w:hanging="720"/>
        <w:rPr>
          <w:rFonts w:cs="Times New Roman"/>
          <w:szCs w:val="24"/>
          <w:lang w:val="en-GB"/>
        </w:rPr>
      </w:pPr>
      <w:r w:rsidRPr="006435B7">
        <w:rPr>
          <w:rFonts w:cs="Times New Roman"/>
          <w:szCs w:val="24"/>
          <w:lang w:val="en-GB"/>
        </w:rPr>
        <w:t xml:space="preserve">Obiero, C. O. (2019). </w:t>
      </w:r>
      <w:r w:rsidRPr="006435B7">
        <w:rPr>
          <w:rFonts w:cs="Times New Roman"/>
          <w:i/>
          <w:iCs/>
          <w:szCs w:val="24"/>
          <w:lang w:val="en-GB"/>
        </w:rPr>
        <w:t>Effects of portfolio diversification on the financial performance of investment companies listed at the Nairobi Securities Exchange</w:t>
      </w:r>
      <w:r w:rsidRPr="006435B7">
        <w:rPr>
          <w:rFonts w:cs="Times New Roman"/>
          <w:szCs w:val="24"/>
          <w:lang w:val="en-GB"/>
        </w:rPr>
        <w:t>. United States International University-Africa.</w:t>
      </w:r>
    </w:p>
    <w:p w14:paraId="57E45AB8"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Ochieng, A. (2018). The Role of Shareholder Rights in the Performance of Commercial Banks in Kenya. </w:t>
      </w:r>
      <w:r w:rsidRPr="006435B7">
        <w:rPr>
          <w:rFonts w:cs="Times New Roman"/>
          <w:i/>
          <w:iCs/>
          <w:szCs w:val="24"/>
        </w:rPr>
        <w:t>East African Journal of Business and Economics</w:t>
      </w:r>
      <w:r w:rsidRPr="006435B7">
        <w:rPr>
          <w:rFonts w:cs="Times New Roman"/>
          <w:szCs w:val="24"/>
        </w:rPr>
        <w:t>, 10(2), 65-78.</w:t>
      </w:r>
    </w:p>
    <w:p w14:paraId="6E7931F0"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Ochieng, M. &amp; Ayuma, E. (2019). Corporate Governance and Financial Performance of Commercial Banks in Kenya: A Review. </w:t>
      </w:r>
      <w:r w:rsidRPr="006435B7">
        <w:rPr>
          <w:rFonts w:cs="Times New Roman"/>
          <w:i/>
          <w:iCs/>
          <w:szCs w:val="24"/>
        </w:rPr>
        <w:t>African Journal of Business and Management</w:t>
      </w:r>
      <w:r w:rsidRPr="006435B7">
        <w:rPr>
          <w:rFonts w:cs="Times New Roman"/>
          <w:szCs w:val="24"/>
        </w:rPr>
        <w:t>, 6(3), 120-133.</w:t>
      </w:r>
    </w:p>
    <w:p w14:paraId="3A7DB003"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Odhiambo, N., &amp; Muriuki, M. (2021). The impact of board composition on financial performance in Kenyan commercial banks. </w:t>
      </w:r>
      <w:r w:rsidRPr="006435B7">
        <w:rPr>
          <w:rFonts w:cs="Times New Roman"/>
          <w:i/>
          <w:iCs/>
          <w:szCs w:val="24"/>
        </w:rPr>
        <w:t>Journal of Financial Studies</w:t>
      </w:r>
      <w:r w:rsidRPr="006435B7">
        <w:rPr>
          <w:rFonts w:cs="Times New Roman"/>
          <w:szCs w:val="24"/>
        </w:rPr>
        <w:t>, 29(1), 58-71.</w:t>
      </w:r>
    </w:p>
    <w:p w14:paraId="02D62541"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Odoemelam</w:t>
      </w:r>
      <w:proofErr w:type="spellEnd"/>
      <w:r w:rsidRPr="006435B7">
        <w:rPr>
          <w:rFonts w:cs="Times New Roman"/>
          <w:szCs w:val="24"/>
        </w:rPr>
        <w:t xml:space="preserve">, N. (2018). </w:t>
      </w:r>
      <w:r w:rsidRPr="006435B7">
        <w:rPr>
          <w:rFonts w:cs="Times New Roman"/>
          <w:i/>
          <w:iCs/>
          <w:szCs w:val="24"/>
        </w:rPr>
        <w:t>Corporate board characteristics and environmental disclosure quantity: Evidence from South Africa and Nigeria</w:t>
      </w:r>
      <w:r w:rsidRPr="006435B7">
        <w:rPr>
          <w:rFonts w:cs="Times New Roman"/>
          <w:szCs w:val="24"/>
        </w:rPr>
        <w:t>. Cogent Business and Management.</w:t>
      </w:r>
    </w:p>
    <w:p w14:paraId="6C5FF0FF"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Ogada, E. O. (2023). </w:t>
      </w:r>
      <w:r w:rsidRPr="006435B7">
        <w:rPr>
          <w:rFonts w:cs="Times New Roman"/>
          <w:i/>
          <w:iCs/>
          <w:szCs w:val="24"/>
        </w:rPr>
        <w:t>Strategic planning process and management of public secondary schools in Nairobi City County, Kenya</w:t>
      </w:r>
      <w:r w:rsidRPr="006435B7">
        <w:rPr>
          <w:rFonts w:cs="Times New Roman"/>
          <w:szCs w:val="24"/>
        </w:rPr>
        <w:t xml:space="preserve"> (Doctoral dissertation, The Catholic University of Eastern Africa).</w:t>
      </w:r>
    </w:p>
    <w:p w14:paraId="37AD644B"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Ogutu, M. A., &amp; Mugo, W. M. (2018). Corporate governance and performance of banks in Kenya: An empirical study. </w:t>
      </w:r>
      <w:r w:rsidRPr="006435B7">
        <w:rPr>
          <w:rFonts w:cs="Times New Roman"/>
          <w:i/>
          <w:iCs/>
          <w:szCs w:val="24"/>
        </w:rPr>
        <w:t>Journal of Finance and Management</w:t>
      </w:r>
      <w:r w:rsidRPr="006435B7">
        <w:rPr>
          <w:rFonts w:cs="Times New Roman"/>
          <w:szCs w:val="24"/>
        </w:rPr>
        <w:t>, 11(3), 23-34.</w:t>
      </w:r>
    </w:p>
    <w:p w14:paraId="11ED732E"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Okwaro, M. (2018). Transparency and Disclosure in Kenyan Banks: Implications for Performance. </w:t>
      </w:r>
      <w:r w:rsidRPr="006435B7">
        <w:rPr>
          <w:rFonts w:cs="Times New Roman"/>
          <w:i/>
          <w:iCs/>
          <w:szCs w:val="24"/>
        </w:rPr>
        <w:t>International Journal of Corporate Governance</w:t>
      </w:r>
      <w:r w:rsidRPr="006435B7">
        <w:rPr>
          <w:rFonts w:cs="Times New Roman"/>
          <w:szCs w:val="24"/>
        </w:rPr>
        <w:t>, 14(3), 56-71.</w:t>
      </w:r>
    </w:p>
    <w:p w14:paraId="5D686EB2" w14:textId="77777777" w:rsidR="007625DB" w:rsidRPr="006435B7" w:rsidRDefault="007625DB" w:rsidP="007625DB">
      <w:pPr>
        <w:spacing w:before="0" w:line="240" w:lineRule="auto"/>
        <w:ind w:left="720" w:hanging="720"/>
        <w:rPr>
          <w:rFonts w:cs="Times New Roman"/>
          <w:szCs w:val="24"/>
          <w:lang w:val="en-GB"/>
        </w:rPr>
      </w:pPr>
      <w:proofErr w:type="spellStart"/>
      <w:r w:rsidRPr="006435B7">
        <w:rPr>
          <w:rFonts w:cs="Times New Roman"/>
          <w:szCs w:val="24"/>
          <w:lang w:val="en-GB"/>
        </w:rPr>
        <w:t>Omolehin</w:t>
      </w:r>
      <w:proofErr w:type="spellEnd"/>
      <w:r w:rsidRPr="006435B7">
        <w:rPr>
          <w:rFonts w:cs="Times New Roman"/>
          <w:szCs w:val="24"/>
          <w:lang w:val="en-GB"/>
        </w:rPr>
        <w:t xml:space="preserve">, M. E., </w:t>
      </w:r>
      <w:proofErr w:type="spellStart"/>
      <w:r w:rsidRPr="006435B7">
        <w:rPr>
          <w:rFonts w:cs="Times New Roman"/>
          <w:szCs w:val="24"/>
          <w:lang w:val="en-GB"/>
        </w:rPr>
        <w:t>Obaje</w:t>
      </w:r>
      <w:proofErr w:type="spellEnd"/>
      <w:r w:rsidRPr="006435B7">
        <w:rPr>
          <w:rFonts w:cs="Times New Roman"/>
          <w:szCs w:val="24"/>
          <w:lang w:val="en-GB"/>
        </w:rPr>
        <w:t xml:space="preserve">, F. O., &amp; </w:t>
      </w:r>
      <w:proofErr w:type="spellStart"/>
      <w:r w:rsidRPr="006435B7">
        <w:rPr>
          <w:rFonts w:cs="Times New Roman"/>
          <w:szCs w:val="24"/>
          <w:lang w:val="en-GB"/>
        </w:rPr>
        <w:t>Ogirima</w:t>
      </w:r>
      <w:proofErr w:type="spellEnd"/>
      <w:r w:rsidRPr="006435B7">
        <w:rPr>
          <w:rFonts w:cs="Times New Roman"/>
          <w:szCs w:val="24"/>
          <w:lang w:val="en-GB"/>
        </w:rPr>
        <w:t xml:space="preserve">, A. (2019). Board composition and financial performance of listed deposit money banks in Nigeria. </w:t>
      </w:r>
      <w:r w:rsidRPr="006435B7">
        <w:rPr>
          <w:rFonts w:cs="Times New Roman"/>
          <w:i/>
          <w:iCs/>
          <w:szCs w:val="24"/>
          <w:lang w:val="en-GB"/>
        </w:rPr>
        <w:t>Malete Journal of Accounting and Finance</w:t>
      </w:r>
      <w:r w:rsidRPr="006435B7">
        <w:rPr>
          <w:rFonts w:cs="Times New Roman"/>
          <w:szCs w:val="24"/>
          <w:lang w:val="en-GB"/>
        </w:rPr>
        <w:t xml:space="preserve">, </w:t>
      </w:r>
      <w:r w:rsidRPr="006435B7">
        <w:rPr>
          <w:rFonts w:cs="Times New Roman"/>
          <w:i/>
          <w:iCs/>
          <w:szCs w:val="24"/>
          <w:lang w:val="en-GB"/>
        </w:rPr>
        <w:t>1</w:t>
      </w:r>
      <w:r w:rsidRPr="006435B7">
        <w:rPr>
          <w:rFonts w:cs="Times New Roman"/>
          <w:szCs w:val="24"/>
          <w:lang w:val="en-GB"/>
        </w:rPr>
        <w:t>(1), 164-177.</w:t>
      </w:r>
    </w:p>
    <w:p w14:paraId="0A6B8B58" w14:textId="77777777" w:rsidR="007625DB" w:rsidRPr="006435B7" w:rsidRDefault="007625DB" w:rsidP="007625DB">
      <w:pPr>
        <w:spacing w:before="0" w:line="240" w:lineRule="auto"/>
        <w:ind w:left="720" w:hanging="720"/>
        <w:rPr>
          <w:rFonts w:cs="Times New Roman"/>
          <w:iCs/>
          <w:szCs w:val="24"/>
          <w:lang w:val="en-GB"/>
        </w:rPr>
      </w:pPr>
      <w:proofErr w:type="spellStart"/>
      <w:r w:rsidRPr="006435B7">
        <w:rPr>
          <w:rFonts w:cs="Times New Roman"/>
          <w:iCs/>
          <w:szCs w:val="24"/>
          <w:lang w:val="en-GB"/>
        </w:rPr>
        <w:t>Onguka</w:t>
      </w:r>
      <w:proofErr w:type="spellEnd"/>
      <w:r w:rsidRPr="006435B7">
        <w:rPr>
          <w:rFonts w:cs="Times New Roman"/>
          <w:iCs/>
          <w:szCs w:val="24"/>
          <w:lang w:val="en-GB"/>
        </w:rPr>
        <w:t xml:space="preserve">, D., </w:t>
      </w:r>
      <w:proofErr w:type="spellStart"/>
      <w:r w:rsidRPr="006435B7">
        <w:rPr>
          <w:rFonts w:cs="Times New Roman"/>
          <w:iCs/>
          <w:szCs w:val="24"/>
          <w:lang w:val="en-GB"/>
        </w:rPr>
        <w:t>Iraya</w:t>
      </w:r>
      <w:proofErr w:type="spellEnd"/>
      <w:r w:rsidRPr="006435B7">
        <w:rPr>
          <w:rFonts w:cs="Times New Roman"/>
          <w:iCs/>
          <w:szCs w:val="24"/>
          <w:lang w:val="en-GB"/>
        </w:rPr>
        <w:t xml:space="preserve">, C. M., &amp; </w:t>
      </w:r>
      <w:proofErr w:type="spellStart"/>
      <w:r w:rsidRPr="006435B7">
        <w:rPr>
          <w:rFonts w:cs="Times New Roman"/>
          <w:iCs/>
          <w:szCs w:val="24"/>
          <w:lang w:val="en-GB"/>
        </w:rPr>
        <w:t>Nyamute</w:t>
      </w:r>
      <w:proofErr w:type="spellEnd"/>
      <w:r w:rsidRPr="006435B7">
        <w:rPr>
          <w:rFonts w:cs="Times New Roman"/>
          <w:iCs/>
          <w:szCs w:val="24"/>
          <w:lang w:val="en-GB"/>
        </w:rPr>
        <w:t xml:space="preserve">, W. L. (2021). Corporate governance, capital structure, ownership structure, and corporate value of companies listed at the Nairobi Securities Exchange. </w:t>
      </w:r>
      <w:r w:rsidRPr="006435B7">
        <w:rPr>
          <w:rFonts w:cs="Times New Roman"/>
          <w:i/>
          <w:iCs/>
          <w:szCs w:val="24"/>
          <w:lang w:val="en-GB"/>
        </w:rPr>
        <w:t>European Scientific Journal</w:t>
      </w:r>
      <w:r w:rsidRPr="006435B7">
        <w:rPr>
          <w:rFonts w:cs="Times New Roman"/>
          <w:iCs/>
          <w:szCs w:val="24"/>
          <w:lang w:val="en-GB"/>
        </w:rPr>
        <w:t xml:space="preserve">, </w:t>
      </w:r>
      <w:r w:rsidRPr="006435B7">
        <w:rPr>
          <w:rFonts w:cs="Times New Roman"/>
          <w:i/>
          <w:iCs/>
          <w:szCs w:val="24"/>
          <w:lang w:val="en-GB"/>
        </w:rPr>
        <w:t>17</w:t>
      </w:r>
      <w:r w:rsidRPr="006435B7">
        <w:rPr>
          <w:rFonts w:cs="Times New Roman"/>
          <w:iCs/>
          <w:szCs w:val="24"/>
          <w:lang w:val="en-GB"/>
        </w:rPr>
        <w:t>(15), 300-334.</w:t>
      </w:r>
    </w:p>
    <w:p w14:paraId="5ACD58ED" w14:textId="77777777" w:rsidR="007625DB" w:rsidRPr="006435B7" w:rsidRDefault="007625DB" w:rsidP="007625DB">
      <w:pPr>
        <w:spacing w:before="0" w:line="240" w:lineRule="auto"/>
        <w:ind w:left="720" w:hanging="720"/>
        <w:rPr>
          <w:rFonts w:cs="Times New Roman"/>
          <w:iCs/>
          <w:szCs w:val="24"/>
        </w:rPr>
      </w:pPr>
      <w:r w:rsidRPr="006435B7">
        <w:rPr>
          <w:rFonts w:cs="Times New Roman"/>
          <w:iCs/>
          <w:szCs w:val="24"/>
        </w:rPr>
        <w:t xml:space="preserve">Otieno, F. (2018). Board Size and Its Effect on the Performance of Commercial Banks in Kenya. </w:t>
      </w:r>
      <w:r w:rsidRPr="006435B7">
        <w:rPr>
          <w:rFonts w:cs="Times New Roman"/>
          <w:i/>
          <w:szCs w:val="24"/>
        </w:rPr>
        <w:t>Journal of Business and Economics</w:t>
      </w:r>
      <w:r w:rsidRPr="006435B7">
        <w:rPr>
          <w:rFonts w:cs="Times New Roman"/>
          <w:iCs/>
          <w:szCs w:val="24"/>
        </w:rPr>
        <w:t>, 9(3), 67-80.</w:t>
      </w:r>
    </w:p>
    <w:p w14:paraId="12D97183"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Owaahh</w:t>
      </w:r>
      <w:proofErr w:type="spellEnd"/>
      <w:r w:rsidRPr="006435B7">
        <w:rPr>
          <w:rFonts w:cs="Times New Roman"/>
          <w:szCs w:val="24"/>
        </w:rPr>
        <w:t xml:space="preserve">, J. (2016, April 10th). </w:t>
      </w:r>
      <w:r w:rsidRPr="006435B7">
        <w:rPr>
          <w:rFonts w:cs="Times New Roman"/>
          <w:i/>
          <w:iCs/>
          <w:szCs w:val="24"/>
        </w:rPr>
        <w:t>Why Kenyan Banks Fail</w:t>
      </w:r>
      <w:r w:rsidRPr="006435B7">
        <w:rPr>
          <w:rFonts w:cs="Times New Roman"/>
          <w:szCs w:val="24"/>
        </w:rPr>
        <w:t>. Retrieved from: https://Owaahh.com/Kenyan-banks-fail</w:t>
      </w:r>
    </w:p>
    <w:p w14:paraId="3AE47A45"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Payne, T. G. &amp; Oleg, V. P. (2019). </w:t>
      </w:r>
      <w:r w:rsidRPr="006435B7">
        <w:rPr>
          <w:rFonts w:cs="Times New Roman"/>
          <w:i/>
          <w:iCs/>
          <w:szCs w:val="24"/>
        </w:rPr>
        <w:t>Agency Theory in Business Management Research</w:t>
      </w:r>
      <w:r w:rsidRPr="006435B7">
        <w:rPr>
          <w:rFonts w:cs="Times New Roman"/>
          <w:szCs w:val="24"/>
        </w:rPr>
        <w:t>. Organization theory.</w:t>
      </w:r>
    </w:p>
    <w:p w14:paraId="6A336E13"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Qabaja</w:t>
      </w:r>
      <w:proofErr w:type="spellEnd"/>
      <w:r w:rsidRPr="006435B7">
        <w:rPr>
          <w:rFonts w:cs="Times New Roman"/>
          <w:szCs w:val="24"/>
        </w:rPr>
        <w:t xml:space="preserve">, D. A. M. (2018). </w:t>
      </w:r>
      <w:r w:rsidRPr="006435B7">
        <w:rPr>
          <w:rFonts w:cs="Times New Roman"/>
          <w:i/>
          <w:iCs/>
          <w:szCs w:val="24"/>
        </w:rPr>
        <w:t>The Impact of Organizational DNA on Jordanian Water Authority “Good Governance". A Case Study</w:t>
      </w:r>
      <w:r w:rsidRPr="006435B7">
        <w:rPr>
          <w:rFonts w:cs="Times New Roman"/>
          <w:szCs w:val="24"/>
        </w:rPr>
        <w:t xml:space="preserve"> (Doctoral dissertation, Zarqa University).</w:t>
      </w:r>
    </w:p>
    <w:p w14:paraId="5212B3E8"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Ratnayake, D. P., &amp; </w:t>
      </w:r>
      <w:proofErr w:type="spellStart"/>
      <w:r w:rsidRPr="006435B7">
        <w:rPr>
          <w:rFonts w:cs="Times New Roman"/>
          <w:szCs w:val="24"/>
        </w:rPr>
        <w:t>Rajakulanajagam</w:t>
      </w:r>
      <w:proofErr w:type="spellEnd"/>
      <w:r w:rsidRPr="006435B7">
        <w:rPr>
          <w:rFonts w:cs="Times New Roman"/>
          <w:szCs w:val="24"/>
        </w:rPr>
        <w:t xml:space="preserve">, N. (2022). Corporate Governance and Corporate Transparency: A Sri Lankan Case. </w:t>
      </w:r>
      <w:r w:rsidRPr="006435B7">
        <w:rPr>
          <w:rFonts w:cs="Times New Roman"/>
          <w:i/>
          <w:iCs/>
          <w:szCs w:val="24"/>
        </w:rPr>
        <w:t>International Journal of Accountancy (IJA)–Volume</w:t>
      </w:r>
      <w:r w:rsidRPr="006435B7">
        <w:rPr>
          <w:rFonts w:cs="Times New Roman"/>
          <w:szCs w:val="24"/>
        </w:rPr>
        <w:t xml:space="preserve">, </w:t>
      </w:r>
      <w:r w:rsidRPr="006435B7">
        <w:rPr>
          <w:rFonts w:cs="Times New Roman"/>
          <w:i/>
          <w:iCs/>
          <w:szCs w:val="24"/>
        </w:rPr>
        <w:t>2</w:t>
      </w:r>
      <w:r w:rsidRPr="006435B7">
        <w:rPr>
          <w:rFonts w:cs="Times New Roman"/>
          <w:szCs w:val="24"/>
        </w:rPr>
        <w:t>.</w:t>
      </w:r>
    </w:p>
    <w:p w14:paraId="328C9F6D"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Rawan, I. (2018). Corporate Governance and Equity Price. </w:t>
      </w:r>
      <w:r w:rsidRPr="006435B7">
        <w:rPr>
          <w:rFonts w:cs="Times New Roman"/>
          <w:i/>
          <w:iCs/>
          <w:szCs w:val="24"/>
        </w:rPr>
        <w:t>Quarterly Journal of Economics</w:t>
      </w:r>
      <w:r w:rsidRPr="006435B7">
        <w:rPr>
          <w:rFonts w:cs="Times New Roman"/>
          <w:szCs w:val="24"/>
        </w:rPr>
        <w:t>, 3, (4), 107-154</w:t>
      </w:r>
    </w:p>
    <w:p w14:paraId="57CCF1C3"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lastRenderedPageBreak/>
        <w:t xml:space="preserve">Rudowski, E. (2018). </w:t>
      </w:r>
      <w:r w:rsidRPr="006435B7">
        <w:rPr>
          <w:rFonts w:cs="Times New Roman"/>
          <w:i/>
          <w:iCs/>
          <w:szCs w:val="24"/>
        </w:rPr>
        <w:t>Triple Bottom Lines: what are they, how to implement them and should you?</w:t>
      </w:r>
      <w:r w:rsidRPr="006435B7">
        <w:rPr>
          <w:rFonts w:cs="Times New Roman"/>
          <w:szCs w:val="24"/>
        </w:rPr>
        <w:t xml:space="preserve"> Retrieved from https://medium.com/firm-ethics/triple-bottom-lines-what-are-they-how-to-implement-them-and-should-you-d083dc9186e3</w:t>
      </w:r>
    </w:p>
    <w:p w14:paraId="6C63A585"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Rusu, S., &amp; Tiberiu, I. (2019). Governance and Performance of Banks: Global Evidence and Regional Insights. </w:t>
      </w:r>
      <w:r w:rsidRPr="006435B7">
        <w:rPr>
          <w:rFonts w:cs="Times New Roman"/>
          <w:i/>
          <w:iCs/>
          <w:szCs w:val="24"/>
        </w:rPr>
        <w:t>The International Journal of Banking and Finance</w:t>
      </w:r>
      <w:r w:rsidRPr="006435B7">
        <w:rPr>
          <w:rFonts w:cs="Times New Roman"/>
          <w:szCs w:val="24"/>
        </w:rPr>
        <w:t>, 17(3), 215-228.</w:t>
      </w:r>
    </w:p>
    <w:p w14:paraId="45D1DDCC"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Santosa, P. W., </w:t>
      </w:r>
      <w:proofErr w:type="spellStart"/>
      <w:r w:rsidRPr="006435B7">
        <w:rPr>
          <w:rFonts w:cs="Times New Roman"/>
          <w:szCs w:val="24"/>
        </w:rPr>
        <w:t>Setianingrum</w:t>
      </w:r>
      <w:proofErr w:type="spellEnd"/>
      <w:r w:rsidRPr="006435B7">
        <w:rPr>
          <w:rFonts w:cs="Times New Roman"/>
          <w:szCs w:val="24"/>
        </w:rPr>
        <w:t xml:space="preserve">, A., &amp; Yusuf, C. (2022). Corporate governance and leverage on firm value: Evidence of Indonesian large firms. </w:t>
      </w:r>
      <w:proofErr w:type="spellStart"/>
      <w:r w:rsidRPr="006435B7">
        <w:rPr>
          <w:rFonts w:cs="Times New Roman"/>
          <w:i/>
          <w:iCs/>
          <w:szCs w:val="24"/>
        </w:rPr>
        <w:t>Jurnal</w:t>
      </w:r>
      <w:proofErr w:type="spellEnd"/>
      <w:r w:rsidRPr="006435B7">
        <w:rPr>
          <w:rFonts w:cs="Times New Roman"/>
          <w:i/>
          <w:iCs/>
          <w:szCs w:val="24"/>
        </w:rPr>
        <w:t xml:space="preserve"> </w:t>
      </w:r>
      <w:proofErr w:type="spellStart"/>
      <w:r w:rsidRPr="006435B7">
        <w:rPr>
          <w:rFonts w:cs="Times New Roman"/>
          <w:i/>
          <w:iCs/>
          <w:szCs w:val="24"/>
        </w:rPr>
        <w:t>Keuangan</w:t>
      </w:r>
      <w:proofErr w:type="spellEnd"/>
      <w:r w:rsidRPr="006435B7">
        <w:rPr>
          <w:rFonts w:cs="Times New Roman"/>
          <w:i/>
          <w:iCs/>
          <w:szCs w:val="24"/>
        </w:rPr>
        <w:t xml:space="preserve"> Dan Perbankan</w:t>
      </w:r>
      <w:r w:rsidRPr="006435B7">
        <w:rPr>
          <w:rFonts w:cs="Times New Roman"/>
          <w:szCs w:val="24"/>
        </w:rPr>
        <w:t xml:space="preserve">, </w:t>
      </w:r>
      <w:r w:rsidRPr="006435B7">
        <w:rPr>
          <w:rFonts w:cs="Times New Roman"/>
          <w:i/>
          <w:iCs/>
          <w:szCs w:val="24"/>
        </w:rPr>
        <w:t>26</w:t>
      </w:r>
      <w:r w:rsidRPr="006435B7">
        <w:rPr>
          <w:rFonts w:cs="Times New Roman"/>
          <w:szCs w:val="24"/>
        </w:rPr>
        <w:t>(4), 862-873.</w:t>
      </w:r>
    </w:p>
    <w:p w14:paraId="1F36A5F7"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Satyendra, K. S. (2020). </w:t>
      </w:r>
      <w:r w:rsidRPr="006435B7">
        <w:rPr>
          <w:rFonts w:cs="Times New Roman"/>
          <w:i/>
          <w:iCs/>
          <w:szCs w:val="24"/>
        </w:rPr>
        <w:t>Organizational Performance and its Influencing Factors. Organizational Environment and its Impact on the Performance</w:t>
      </w:r>
      <w:r w:rsidRPr="006435B7">
        <w:rPr>
          <w:rFonts w:cs="Times New Roman"/>
          <w:szCs w:val="24"/>
        </w:rPr>
        <w:t>.</w:t>
      </w:r>
    </w:p>
    <w:p w14:paraId="0E89B9D1"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Saunders, M., Lewis, P., &amp; Thornhill, A. (2018). </w:t>
      </w:r>
      <w:r w:rsidRPr="006435B7">
        <w:rPr>
          <w:rFonts w:cs="Times New Roman"/>
          <w:i/>
          <w:iCs/>
          <w:szCs w:val="24"/>
        </w:rPr>
        <w:t>Research methods for business students</w:t>
      </w:r>
      <w:r w:rsidRPr="006435B7">
        <w:rPr>
          <w:rFonts w:cs="Times New Roman"/>
          <w:szCs w:val="24"/>
        </w:rPr>
        <w:t>. Pitman Publishing.</w:t>
      </w:r>
    </w:p>
    <w:p w14:paraId="54AA4C89"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Schnackenberg, A. K., Tomlinson, E., &amp; Coen, C. (2021). The dimensional structure of transparency: A construct validation of transparency as disclosure, clarity, and accuracy in organizations. </w:t>
      </w:r>
      <w:r w:rsidRPr="006435B7">
        <w:rPr>
          <w:rFonts w:cs="Times New Roman"/>
          <w:i/>
          <w:iCs/>
          <w:szCs w:val="24"/>
        </w:rPr>
        <w:t>Human Relations</w:t>
      </w:r>
      <w:r w:rsidRPr="006435B7">
        <w:rPr>
          <w:rFonts w:cs="Times New Roman"/>
          <w:szCs w:val="24"/>
        </w:rPr>
        <w:t xml:space="preserve">, </w:t>
      </w:r>
      <w:r w:rsidRPr="006435B7">
        <w:rPr>
          <w:rFonts w:cs="Times New Roman"/>
          <w:i/>
          <w:iCs/>
          <w:szCs w:val="24"/>
        </w:rPr>
        <w:t>74</w:t>
      </w:r>
      <w:r w:rsidRPr="006435B7">
        <w:rPr>
          <w:rFonts w:cs="Times New Roman"/>
          <w:szCs w:val="24"/>
        </w:rPr>
        <w:t>(10), 1628-1660.</w:t>
      </w:r>
    </w:p>
    <w:p w14:paraId="2446F3CC"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Sciarelli</w:t>
      </w:r>
      <w:proofErr w:type="spellEnd"/>
      <w:r w:rsidRPr="006435B7">
        <w:rPr>
          <w:rFonts w:cs="Times New Roman"/>
          <w:szCs w:val="24"/>
        </w:rPr>
        <w:t xml:space="preserve">, M., Tani, M., Landi, G., &amp; </w:t>
      </w:r>
      <w:proofErr w:type="spellStart"/>
      <w:r w:rsidRPr="006435B7">
        <w:rPr>
          <w:rFonts w:cs="Times New Roman"/>
          <w:szCs w:val="24"/>
        </w:rPr>
        <w:t>Turriziani</w:t>
      </w:r>
      <w:proofErr w:type="spellEnd"/>
      <w:r w:rsidRPr="006435B7">
        <w:rPr>
          <w:rFonts w:cs="Times New Roman"/>
          <w:szCs w:val="24"/>
        </w:rPr>
        <w:t xml:space="preserve">, L. (2020). CSR perception and financial performance: Evidences from Italian and UK asset management companies. </w:t>
      </w:r>
      <w:r w:rsidRPr="006435B7">
        <w:rPr>
          <w:rFonts w:cs="Times New Roman"/>
          <w:i/>
          <w:iCs/>
          <w:szCs w:val="24"/>
        </w:rPr>
        <w:t>Corporate Social Responsibility and Environmental Management</w:t>
      </w:r>
      <w:r w:rsidRPr="006435B7">
        <w:rPr>
          <w:rFonts w:cs="Times New Roman"/>
          <w:szCs w:val="24"/>
        </w:rPr>
        <w:t xml:space="preserve">, </w:t>
      </w:r>
      <w:r w:rsidRPr="006435B7">
        <w:rPr>
          <w:rFonts w:cs="Times New Roman"/>
          <w:i/>
          <w:iCs/>
          <w:szCs w:val="24"/>
        </w:rPr>
        <w:t>27</w:t>
      </w:r>
      <w:r w:rsidRPr="006435B7">
        <w:rPr>
          <w:rFonts w:cs="Times New Roman"/>
          <w:szCs w:val="24"/>
        </w:rPr>
        <w:t>(2), 841-851.</w:t>
      </w:r>
    </w:p>
    <w:p w14:paraId="51038C49" w14:textId="77777777" w:rsidR="007625DB" w:rsidRPr="006435B7" w:rsidRDefault="007625DB" w:rsidP="007625DB">
      <w:pPr>
        <w:spacing w:before="0" w:line="240" w:lineRule="auto"/>
        <w:ind w:left="720" w:hanging="720"/>
        <w:rPr>
          <w:rFonts w:cs="Times New Roman"/>
          <w:szCs w:val="24"/>
          <w:lang w:val="en-GB"/>
        </w:rPr>
      </w:pPr>
      <w:r w:rsidRPr="006435B7">
        <w:rPr>
          <w:rFonts w:cs="Times New Roman"/>
          <w:szCs w:val="24"/>
          <w:lang w:val="en-GB"/>
        </w:rPr>
        <w:t xml:space="preserve">Shinwari, M. I., Khan, M. W. J., Ahmed, Z., &amp; Sulaiman, G. (2021). Impact of Audit and Remuneration Committee on Firm Performance: Evidence from Cement and Textile Firms of Pakistan Stock Exchange. </w:t>
      </w:r>
      <w:r w:rsidRPr="006435B7">
        <w:rPr>
          <w:rFonts w:cs="Times New Roman"/>
          <w:i/>
          <w:iCs/>
          <w:szCs w:val="24"/>
          <w:lang w:val="en-GB"/>
        </w:rPr>
        <w:t>PAKISTAN BUSINESS REVIEW</w:t>
      </w:r>
      <w:r w:rsidRPr="006435B7">
        <w:rPr>
          <w:rFonts w:cs="Times New Roman"/>
          <w:szCs w:val="24"/>
          <w:lang w:val="en-GB"/>
        </w:rPr>
        <w:t>, 525.</w:t>
      </w:r>
    </w:p>
    <w:p w14:paraId="1029A8AF"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Shu, P. G., &amp; Chiang, S. J. (2020). The impact of corporate governance on corporate social performance: Cases from listed firms in Taiwan. </w:t>
      </w:r>
      <w:r w:rsidRPr="006435B7">
        <w:rPr>
          <w:rFonts w:cs="Times New Roman"/>
          <w:i/>
          <w:iCs/>
          <w:szCs w:val="24"/>
        </w:rPr>
        <w:t>Pacific-Basin Finance Journal</w:t>
      </w:r>
      <w:r w:rsidRPr="006435B7">
        <w:rPr>
          <w:rFonts w:cs="Times New Roman"/>
          <w:szCs w:val="24"/>
        </w:rPr>
        <w:t xml:space="preserve">, </w:t>
      </w:r>
      <w:r w:rsidRPr="006435B7">
        <w:rPr>
          <w:rFonts w:cs="Times New Roman"/>
          <w:i/>
          <w:iCs/>
          <w:szCs w:val="24"/>
        </w:rPr>
        <w:t>61</w:t>
      </w:r>
      <w:r w:rsidRPr="006435B7">
        <w:rPr>
          <w:rFonts w:cs="Times New Roman"/>
          <w:szCs w:val="24"/>
        </w:rPr>
        <w:t>, 101332.</w:t>
      </w:r>
    </w:p>
    <w:p w14:paraId="29390516"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Siedlecki, S. L. (2020). Understanding descriptive research designs and methods. </w:t>
      </w:r>
      <w:r w:rsidRPr="006435B7">
        <w:rPr>
          <w:rFonts w:cs="Times New Roman"/>
          <w:i/>
          <w:iCs/>
          <w:szCs w:val="24"/>
        </w:rPr>
        <w:t>Clinical Nurse Specialist</w:t>
      </w:r>
      <w:r w:rsidRPr="006435B7">
        <w:rPr>
          <w:rFonts w:cs="Times New Roman"/>
          <w:szCs w:val="24"/>
        </w:rPr>
        <w:t xml:space="preserve">, </w:t>
      </w:r>
      <w:r w:rsidRPr="006435B7">
        <w:rPr>
          <w:rFonts w:cs="Times New Roman"/>
          <w:i/>
          <w:iCs/>
          <w:szCs w:val="24"/>
        </w:rPr>
        <w:t>34</w:t>
      </w:r>
      <w:r w:rsidRPr="006435B7">
        <w:rPr>
          <w:rFonts w:cs="Times New Roman"/>
          <w:szCs w:val="24"/>
        </w:rPr>
        <w:t>(1), 8-12.</w:t>
      </w:r>
    </w:p>
    <w:p w14:paraId="0B84E9B9"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Sileyew</w:t>
      </w:r>
      <w:proofErr w:type="spellEnd"/>
      <w:r w:rsidRPr="006435B7">
        <w:rPr>
          <w:rFonts w:cs="Times New Roman"/>
          <w:szCs w:val="24"/>
        </w:rPr>
        <w:t xml:space="preserve">, K. J. (2019). Research design and methodology. </w:t>
      </w:r>
      <w:r w:rsidRPr="006435B7">
        <w:rPr>
          <w:rFonts w:cs="Times New Roman"/>
          <w:i/>
          <w:iCs/>
          <w:szCs w:val="24"/>
        </w:rPr>
        <w:t>Cyberspace</w:t>
      </w:r>
      <w:r w:rsidRPr="006435B7">
        <w:rPr>
          <w:rFonts w:cs="Times New Roman"/>
          <w:szCs w:val="24"/>
        </w:rPr>
        <w:t>, 1-12.</w:t>
      </w:r>
    </w:p>
    <w:p w14:paraId="050711B0"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Singh, S. K., Gupta, S., Busso, D., &amp; Kamboj, S. (2021). Top management knowledge value, knowledge sharing practices, open innovation and organizational performance. </w:t>
      </w:r>
      <w:r w:rsidRPr="006435B7">
        <w:rPr>
          <w:rFonts w:cs="Times New Roman"/>
          <w:i/>
          <w:iCs/>
          <w:szCs w:val="24"/>
        </w:rPr>
        <w:t>Journal of Business Research</w:t>
      </w:r>
      <w:r w:rsidRPr="006435B7">
        <w:rPr>
          <w:rFonts w:cs="Times New Roman"/>
          <w:szCs w:val="24"/>
        </w:rPr>
        <w:t xml:space="preserve">, </w:t>
      </w:r>
      <w:r w:rsidRPr="006435B7">
        <w:rPr>
          <w:rFonts w:cs="Times New Roman"/>
          <w:i/>
          <w:iCs/>
          <w:szCs w:val="24"/>
        </w:rPr>
        <w:t>128</w:t>
      </w:r>
      <w:r w:rsidRPr="006435B7">
        <w:rPr>
          <w:rFonts w:cs="Times New Roman"/>
          <w:szCs w:val="24"/>
        </w:rPr>
        <w:t>, 788-798.</w:t>
      </w:r>
    </w:p>
    <w:p w14:paraId="7B3E383E"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Smith, J., &amp; Jones, A. (2020). Corporate governance practices and financial performance: Evidence from the United Kingdom. </w:t>
      </w:r>
      <w:r w:rsidRPr="006435B7">
        <w:rPr>
          <w:rFonts w:cs="Times New Roman"/>
          <w:i/>
          <w:iCs/>
          <w:szCs w:val="24"/>
        </w:rPr>
        <w:t>Journal of Financial Economics</w:t>
      </w:r>
      <w:r w:rsidRPr="006435B7">
        <w:rPr>
          <w:rFonts w:cs="Times New Roman"/>
          <w:szCs w:val="24"/>
        </w:rPr>
        <w:t>, 99(3), 126-140.</w:t>
      </w:r>
    </w:p>
    <w:p w14:paraId="1D00A247"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Story, D. A., &amp; Tait, A. R. (2019). Survey research. </w:t>
      </w:r>
      <w:r w:rsidRPr="006435B7">
        <w:rPr>
          <w:rFonts w:cs="Times New Roman"/>
          <w:i/>
          <w:iCs/>
          <w:szCs w:val="24"/>
        </w:rPr>
        <w:t>Anesthesiology</w:t>
      </w:r>
      <w:r w:rsidRPr="006435B7">
        <w:rPr>
          <w:rFonts w:cs="Times New Roman"/>
          <w:szCs w:val="24"/>
        </w:rPr>
        <w:t xml:space="preserve">, </w:t>
      </w:r>
      <w:r w:rsidRPr="006435B7">
        <w:rPr>
          <w:rFonts w:cs="Times New Roman"/>
          <w:i/>
          <w:iCs/>
          <w:szCs w:val="24"/>
        </w:rPr>
        <w:t>130</w:t>
      </w:r>
      <w:r w:rsidRPr="006435B7">
        <w:rPr>
          <w:rFonts w:cs="Times New Roman"/>
          <w:szCs w:val="24"/>
        </w:rPr>
        <w:t>(2), 192-202.</w:t>
      </w:r>
    </w:p>
    <w:p w14:paraId="3C5E4C18"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Sürücü, L., &amp; </w:t>
      </w:r>
      <w:proofErr w:type="spellStart"/>
      <w:r w:rsidRPr="006435B7">
        <w:rPr>
          <w:rFonts w:cs="Times New Roman"/>
          <w:szCs w:val="24"/>
        </w:rPr>
        <w:t>Maslakci</w:t>
      </w:r>
      <w:proofErr w:type="spellEnd"/>
      <w:r w:rsidRPr="006435B7">
        <w:rPr>
          <w:rFonts w:cs="Times New Roman"/>
          <w:szCs w:val="24"/>
        </w:rPr>
        <w:t xml:space="preserve">, A. (2020). Validity and reliability in quantitative research. </w:t>
      </w:r>
      <w:r w:rsidRPr="006435B7">
        <w:rPr>
          <w:rFonts w:cs="Times New Roman"/>
          <w:i/>
          <w:iCs/>
          <w:szCs w:val="24"/>
        </w:rPr>
        <w:t>Business &amp; Management Studies: An International Journal</w:t>
      </w:r>
      <w:r w:rsidRPr="006435B7">
        <w:rPr>
          <w:rFonts w:cs="Times New Roman"/>
          <w:szCs w:val="24"/>
        </w:rPr>
        <w:t xml:space="preserve">, </w:t>
      </w:r>
      <w:r w:rsidRPr="006435B7">
        <w:rPr>
          <w:rFonts w:cs="Times New Roman"/>
          <w:i/>
          <w:iCs/>
          <w:szCs w:val="24"/>
        </w:rPr>
        <w:t>8</w:t>
      </w:r>
      <w:r w:rsidRPr="006435B7">
        <w:rPr>
          <w:rFonts w:cs="Times New Roman"/>
          <w:szCs w:val="24"/>
        </w:rPr>
        <w:t>(3), 2694-2726.</w:t>
      </w:r>
    </w:p>
    <w:p w14:paraId="089A0771"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Taouab</w:t>
      </w:r>
      <w:proofErr w:type="spellEnd"/>
      <w:r w:rsidRPr="006435B7">
        <w:rPr>
          <w:rFonts w:cs="Times New Roman"/>
          <w:szCs w:val="24"/>
        </w:rPr>
        <w:t xml:space="preserve">, O., &amp; </w:t>
      </w:r>
      <w:proofErr w:type="spellStart"/>
      <w:r w:rsidRPr="006435B7">
        <w:rPr>
          <w:rFonts w:cs="Times New Roman"/>
          <w:szCs w:val="24"/>
        </w:rPr>
        <w:t>Issor</w:t>
      </w:r>
      <w:proofErr w:type="spellEnd"/>
      <w:r w:rsidRPr="006435B7">
        <w:rPr>
          <w:rFonts w:cs="Times New Roman"/>
          <w:szCs w:val="24"/>
        </w:rPr>
        <w:t xml:space="preserve">, Z. (2019). Firm performance: Definition and measurement models. </w:t>
      </w:r>
      <w:r w:rsidRPr="006435B7">
        <w:rPr>
          <w:rFonts w:cs="Times New Roman"/>
          <w:i/>
          <w:iCs/>
          <w:szCs w:val="24"/>
        </w:rPr>
        <w:t>European Scientific Journal</w:t>
      </w:r>
      <w:r w:rsidRPr="006435B7">
        <w:rPr>
          <w:rFonts w:cs="Times New Roman"/>
          <w:szCs w:val="24"/>
        </w:rPr>
        <w:t xml:space="preserve">, </w:t>
      </w:r>
      <w:r w:rsidRPr="006435B7">
        <w:rPr>
          <w:rFonts w:cs="Times New Roman"/>
          <w:i/>
          <w:iCs/>
          <w:szCs w:val="24"/>
        </w:rPr>
        <w:t>15</w:t>
      </w:r>
      <w:r w:rsidRPr="006435B7">
        <w:rPr>
          <w:rFonts w:cs="Times New Roman"/>
          <w:szCs w:val="24"/>
        </w:rPr>
        <w:t>(1), 93-106.</w:t>
      </w:r>
    </w:p>
    <w:p w14:paraId="181C41E9"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Torfing, J., &amp; Bentzen, T. Ø. (2020). Does stewardship theory provide a viable alternative to control-fixated performance management? </w:t>
      </w:r>
      <w:r w:rsidRPr="006435B7">
        <w:rPr>
          <w:rFonts w:cs="Times New Roman"/>
          <w:i/>
          <w:iCs/>
          <w:szCs w:val="24"/>
        </w:rPr>
        <w:t>Administrative Sciences</w:t>
      </w:r>
      <w:r w:rsidRPr="006435B7">
        <w:rPr>
          <w:rFonts w:cs="Times New Roman"/>
          <w:szCs w:val="24"/>
        </w:rPr>
        <w:t xml:space="preserve">, </w:t>
      </w:r>
      <w:r w:rsidRPr="006435B7">
        <w:rPr>
          <w:rFonts w:cs="Times New Roman"/>
          <w:i/>
          <w:iCs/>
          <w:szCs w:val="24"/>
        </w:rPr>
        <w:t>10</w:t>
      </w:r>
      <w:r w:rsidRPr="006435B7">
        <w:rPr>
          <w:rFonts w:cs="Times New Roman"/>
          <w:szCs w:val="24"/>
        </w:rPr>
        <w:t>(4), 86.</w:t>
      </w:r>
    </w:p>
    <w:p w14:paraId="0F19428B"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Wahab, E. A. A., Ariff, A. M., Marzuki, M. M., &amp; Sanusi, Z. M. (2017). </w:t>
      </w:r>
      <w:r w:rsidRPr="006435B7">
        <w:rPr>
          <w:rFonts w:cs="Times New Roman"/>
          <w:i/>
          <w:iCs/>
          <w:szCs w:val="24"/>
        </w:rPr>
        <w:t>Political connections, corporate governance, and tax aggressiveness in Malaysia</w:t>
      </w:r>
      <w:r w:rsidRPr="006435B7">
        <w:rPr>
          <w:rFonts w:cs="Times New Roman"/>
          <w:szCs w:val="24"/>
        </w:rPr>
        <w:t>. Asian Review of Accounting.</w:t>
      </w:r>
    </w:p>
    <w:p w14:paraId="571A7921"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Walker, K., Yu, X., &amp; Zhang, Z. (2020). All for one or all for three: Empirical evidence of paradox theory in the triple-bottom-line. </w:t>
      </w:r>
      <w:r w:rsidRPr="006435B7">
        <w:rPr>
          <w:rFonts w:cs="Times New Roman"/>
          <w:i/>
          <w:iCs/>
          <w:szCs w:val="24"/>
        </w:rPr>
        <w:t>Journal of Cleaner Production</w:t>
      </w:r>
      <w:r w:rsidRPr="006435B7">
        <w:rPr>
          <w:rFonts w:cs="Times New Roman"/>
          <w:szCs w:val="24"/>
        </w:rPr>
        <w:t xml:space="preserve">, </w:t>
      </w:r>
      <w:r w:rsidRPr="006435B7">
        <w:rPr>
          <w:rFonts w:cs="Times New Roman"/>
          <w:i/>
          <w:iCs/>
          <w:szCs w:val="24"/>
        </w:rPr>
        <w:t>275</w:t>
      </w:r>
      <w:r w:rsidRPr="006435B7">
        <w:rPr>
          <w:rFonts w:cs="Times New Roman"/>
          <w:szCs w:val="24"/>
        </w:rPr>
        <w:t>, 122881.</w:t>
      </w:r>
    </w:p>
    <w:p w14:paraId="2DA5CE64"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Wambugu, A. K., &amp; </w:t>
      </w:r>
      <w:proofErr w:type="spellStart"/>
      <w:r w:rsidRPr="006435B7">
        <w:rPr>
          <w:rFonts w:cs="Times New Roman"/>
          <w:szCs w:val="24"/>
        </w:rPr>
        <w:t>Kibui</w:t>
      </w:r>
      <w:proofErr w:type="spellEnd"/>
      <w:r w:rsidRPr="006435B7">
        <w:rPr>
          <w:rFonts w:cs="Times New Roman"/>
          <w:szCs w:val="24"/>
        </w:rPr>
        <w:t xml:space="preserve">, A. W. (2018). The effect of corporate governance on the performance of commercial banks in Kenya. </w:t>
      </w:r>
      <w:r w:rsidRPr="006435B7">
        <w:rPr>
          <w:rFonts w:cs="Times New Roman"/>
          <w:i/>
          <w:iCs/>
          <w:szCs w:val="24"/>
        </w:rPr>
        <w:t>International Journal of Business Research</w:t>
      </w:r>
      <w:r w:rsidRPr="006435B7">
        <w:rPr>
          <w:rFonts w:cs="Times New Roman"/>
          <w:szCs w:val="24"/>
        </w:rPr>
        <w:t>, 6(2), 90-102.</w:t>
      </w:r>
    </w:p>
    <w:p w14:paraId="4CEB9F47" w14:textId="77777777" w:rsidR="007625DB" w:rsidRPr="006435B7" w:rsidRDefault="007625DB" w:rsidP="007625DB">
      <w:pPr>
        <w:spacing w:before="0" w:line="240" w:lineRule="auto"/>
        <w:ind w:left="720" w:hanging="720"/>
        <w:rPr>
          <w:rFonts w:cs="Times New Roman"/>
          <w:iCs/>
          <w:szCs w:val="24"/>
        </w:rPr>
      </w:pPr>
      <w:r w:rsidRPr="006435B7">
        <w:rPr>
          <w:rFonts w:cs="Times New Roman"/>
          <w:iCs/>
          <w:szCs w:val="24"/>
        </w:rPr>
        <w:t xml:space="preserve">Yan, C. Hui, &amp; Xin, L. (2021). The relationship between board size and firm performance. </w:t>
      </w:r>
      <w:r w:rsidRPr="006435B7">
        <w:rPr>
          <w:rFonts w:cs="Times New Roman"/>
          <w:i/>
          <w:iCs/>
          <w:szCs w:val="24"/>
        </w:rPr>
        <w:t>E3S Web of Conferences</w:t>
      </w:r>
      <w:r w:rsidRPr="006435B7">
        <w:rPr>
          <w:rFonts w:cs="Times New Roman"/>
          <w:iCs/>
          <w:szCs w:val="24"/>
        </w:rPr>
        <w:t>, Vol 257, pp 02079.</w:t>
      </w:r>
    </w:p>
    <w:p w14:paraId="064A558A"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Yang, J., &amp; Basile, K. (2021). Communicating corporate social responsibility: External stakeholder involvement, productivity and firm performance. </w:t>
      </w:r>
      <w:r w:rsidRPr="006435B7">
        <w:rPr>
          <w:rFonts w:cs="Times New Roman"/>
          <w:i/>
          <w:iCs/>
          <w:szCs w:val="24"/>
        </w:rPr>
        <w:t>Journal of Business Ethics</w:t>
      </w:r>
      <w:r w:rsidRPr="006435B7">
        <w:rPr>
          <w:rFonts w:cs="Times New Roman"/>
          <w:szCs w:val="24"/>
        </w:rPr>
        <w:t>, 1-17.</w:t>
      </w:r>
    </w:p>
    <w:p w14:paraId="6CC05470"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Younas, A. (2022). Review of Corporate Governance Theories. </w:t>
      </w:r>
      <w:r w:rsidRPr="006435B7">
        <w:rPr>
          <w:rFonts w:cs="Times New Roman"/>
          <w:i/>
          <w:iCs/>
          <w:szCs w:val="24"/>
        </w:rPr>
        <w:t>European Journal of Business and Management Research</w:t>
      </w:r>
      <w:r w:rsidRPr="006435B7">
        <w:rPr>
          <w:rFonts w:cs="Times New Roman"/>
          <w:szCs w:val="24"/>
        </w:rPr>
        <w:t xml:space="preserve">, </w:t>
      </w:r>
      <w:r w:rsidRPr="006435B7">
        <w:rPr>
          <w:rFonts w:cs="Times New Roman"/>
          <w:i/>
          <w:iCs/>
          <w:szCs w:val="24"/>
        </w:rPr>
        <w:t>7</w:t>
      </w:r>
      <w:r w:rsidRPr="006435B7">
        <w:rPr>
          <w:rFonts w:cs="Times New Roman"/>
          <w:szCs w:val="24"/>
        </w:rPr>
        <w:t>(6), 79-83.</w:t>
      </w:r>
    </w:p>
    <w:p w14:paraId="29744D91" w14:textId="77777777" w:rsidR="007625DB" w:rsidRPr="006435B7" w:rsidRDefault="007625DB" w:rsidP="007625DB">
      <w:pPr>
        <w:spacing w:before="0" w:line="240" w:lineRule="auto"/>
        <w:ind w:left="720" w:hanging="720"/>
        <w:rPr>
          <w:rFonts w:cs="Times New Roman"/>
          <w:szCs w:val="24"/>
        </w:rPr>
      </w:pPr>
      <w:proofErr w:type="spellStart"/>
      <w:r w:rsidRPr="006435B7">
        <w:rPr>
          <w:rFonts w:cs="Times New Roman"/>
          <w:szCs w:val="24"/>
        </w:rPr>
        <w:t>Zakayo</w:t>
      </w:r>
      <w:proofErr w:type="spellEnd"/>
      <w:r w:rsidRPr="006435B7">
        <w:rPr>
          <w:rFonts w:cs="Times New Roman"/>
          <w:szCs w:val="24"/>
        </w:rPr>
        <w:t xml:space="preserve">, A., &amp; </w:t>
      </w:r>
      <w:proofErr w:type="spellStart"/>
      <w:r w:rsidRPr="006435B7">
        <w:rPr>
          <w:rFonts w:cs="Times New Roman"/>
          <w:szCs w:val="24"/>
        </w:rPr>
        <w:t>Ondabu</w:t>
      </w:r>
      <w:proofErr w:type="spellEnd"/>
      <w:r w:rsidRPr="006435B7">
        <w:rPr>
          <w:rFonts w:cs="Times New Roman"/>
          <w:szCs w:val="24"/>
        </w:rPr>
        <w:t xml:space="preserve">, I. T. (2022). Effect of Lending on the Financial Performance of Commercial Banks Listed at the Nairobi Securities Exchange. </w:t>
      </w:r>
      <w:r w:rsidRPr="006435B7">
        <w:rPr>
          <w:rFonts w:cs="Times New Roman"/>
          <w:i/>
          <w:iCs/>
          <w:szCs w:val="24"/>
        </w:rPr>
        <w:t>International Journal of Finance</w:t>
      </w:r>
      <w:r w:rsidRPr="006435B7">
        <w:rPr>
          <w:rFonts w:cs="Times New Roman"/>
          <w:szCs w:val="24"/>
        </w:rPr>
        <w:t xml:space="preserve">, </w:t>
      </w:r>
      <w:r w:rsidRPr="006435B7">
        <w:rPr>
          <w:rFonts w:cs="Times New Roman"/>
          <w:i/>
          <w:iCs/>
          <w:szCs w:val="24"/>
        </w:rPr>
        <w:t>7</w:t>
      </w:r>
      <w:r w:rsidRPr="006435B7">
        <w:rPr>
          <w:rFonts w:cs="Times New Roman"/>
          <w:szCs w:val="24"/>
        </w:rPr>
        <w:t>(6), 1-36.</w:t>
      </w:r>
    </w:p>
    <w:p w14:paraId="6DD07755"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lastRenderedPageBreak/>
        <w:t xml:space="preserve">Zehir, C., </w:t>
      </w:r>
      <w:proofErr w:type="spellStart"/>
      <w:r w:rsidRPr="006435B7">
        <w:rPr>
          <w:rFonts w:cs="Times New Roman"/>
          <w:szCs w:val="24"/>
        </w:rPr>
        <w:t>Findikli</w:t>
      </w:r>
      <w:proofErr w:type="spellEnd"/>
      <w:r w:rsidRPr="006435B7">
        <w:rPr>
          <w:rFonts w:cs="Times New Roman"/>
          <w:szCs w:val="24"/>
        </w:rPr>
        <w:t xml:space="preserve">, M. A., </w:t>
      </w:r>
      <w:proofErr w:type="spellStart"/>
      <w:r w:rsidRPr="006435B7">
        <w:rPr>
          <w:rFonts w:cs="Times New Roman"/>
          <w:szCs w:val="24"/>
        </w:rPr>
        <w:t>Çeltekligil</w:t>
      </w:r>
      <w:proofErr w:type="spellEnd"/>
      <w:r w:rsidRPr="006435B7">
        <w:rPr>
          <w:rFonts w:cs="Times New Roman"/>
          <w:szCs w:val="24"/>
        </w:rPr>
        <w:t xml:space="preserve">, K., &amp; </w:t>
      </w:r>
      <w:proofErr w:type="spellStart"/>
      <w:r w:rsidRPr="006435B7">
        <w:rPr>
          <w:rFonts w:cs="Times New Roman"/>
          <w:szCs w:val="24"/>
        </w:rPr>
        <w:t>Afacan</w:t>
      </w:r>
      <w:proofErr w:type="spellEnd"/>
      <w:r w:rsidRPr="006435B7">
        <w:rPr>
          <w:rFonts w:cs="Times New Roman"/>
          <w:szCs w:val="24"/>
        </w:rPr>
        <w:t xml:space="preserve"> </w:t>
      </w:r>
      <w:proofErr w:type="spellStart"/>
      <w:r w:rsidRPr="006435B7">
        <w:rPr>
          <w:rFonts w:cs="Times New Roman"/>
          <w:szCs w:val="24"/>
        </w:rPr>
        <w:t>Findikli</w:t>
      </w:r>
      <w:proofErr w:type="spellEnd"/>
      <w:r w:rsidRPr="006435B7">
        <w:rPr>
          <w:rFonts w:cs="Times New Roman"/>
          <w:szCs w:val="24"/>
        </w:rPr>
        <w:t>, M. (2019). Resource dependence theory, firm performance and producers-</w:t>
      </w:r>
      <w:proofErr w:type="gramStart"/>
      <w:r w:rsidRPr="006435B7">
        <w:rPr>
          <w:rFonts w:cs="Times New Roman"/>
          <w:szCs w:val="24"/>
        </w:rPr>
        <w:t>suppliers</w:t>
      </w:r>
      <w:proofErr w:type="gramEnd"/>
      <w:r w:rsidRPr="006435B7">
        <w:rPr>
          <w:rFonts w:cs="Times New Roman"/>
          <w:szCs w:val="24"/>
        </w:rPr>
        <w:t xml:space="preserve"> relationships. </w:t>
      </w:r>
      <w:r w:rsidRPr="006435B7">
        <w:rPr>
          <w:rFonts w:cs="Times New Roman"/>
          <w:i/>
          <w:iCs/>
          <w:szCs w:val="24"/>
        </w:rPr>
        <w:t xml:space="preserve">European Proceedings of Social and </w:t>
      </w:r>
      <w:proofErr w:type="spellStart"/>
      <w:r w:rsidRPr="006435B7">
        <w:rPr>
          <w:rFonts w:cs="Times New Roman"/>
          <w:i/>
          <w:iCs/>
          <w:szCs w:val="24"/>
        </w:rPr>
        <w:t>Behavioural</w:t>
      </w:r>
      <w:proofErr w:type="spellEnd"/>
      <w:r w:rsidRPr="006435B7">
        <w:rPr>
          <w:rFonts w:cs="Times New Roman"/>
          <w:i/>
          <w:iCs/>
          <w:szCs w:val="24"/>
        </w:rPr>
        <w:t xml:space="preserve"> Sciences</w:t>
      </w:r>
      <w:r w:rsidRPr="006435B7">
        <w:rPr>
          <w:rFonts w:cs="Times New Roman"/>
          <w:szCs w:val="24"/>
        </w:rPr>
        <w:t xml:space="preserve">, </w:t>
      </w:r>
      <w:r w:rsidRPr="006435B7">
        <w:rPr>
          <w:rFonts w:cs="Times New Roman"/>
          <w:i/>
          <w:iCs/>
          <w:szCs w:val="24"/>
        </w:rPr>
        <w:t>54</w:t>
      </w:r>
      <w:r w:rsidRPr="006435B7">
        <w:rPr>
          <w:rFonts w:cs="Times New Roman"/>
          <w:szCs w:val="24"/>
        </w:rPr>
        <w:t>.</w:t>
      </w:r>
    </w:p>
    <w:p w14:paraId="717EF8E7" w14:textId="77777777" w:rsidR="007625DB" w:rsidRPr="006435B7" w:rsidRDefault="007625DB" w:rsidP="007625DB">
      <w:pPr>
        <w:spacing w:before="0" w:line="240" w:lineRule="auto"/>
        <w:ind w:left="720" w:hanging="720"/>
        <w:rPr>
          <w:rFonts w:cs="Times New Roman"/>
          <w:szCs w:val="24"/>
        </w:rPr>
      </w:pPr>
      <w:r w:rsidRPr="006435B7">
        <w:rPr>
          <w:rFonts w:cs="Times New Roman"/>
          <w:szCs w:val="24"/>
        </w:rPr>
        <w:t xml:space="preserve">Zhou, K. Z., &amp; Li, C. B. (2010). How Strategic Orientations Influence the Building of Strategic Capability in Emerging Economies. </w:t>
      </w:r>
      <w:r w:rsidRPr="006435B7">
        <w:rPr>
          <w:rFonts w:cs="Times New Roman"/>
          <w:i/>
          <w:iCs/>
          <w:szCs w:val="24"/>
        </w:rPr>
        <w:t>Journal of Business Research</w:t>
      </w:r>
      <w:r w:rsidRPr="006435B7">
        <w:rPr>
          <w:rFonts w:cs="Times New Roman"/>
          <w:szCs w:val="24"/>
        </w:rPr>
        <w:t>, 63, 224-231.</w:t>
      </w:r>
    </w:p>
    <w:p w14:paraId="2F1FAE08" w14:textId="77777777" w:rsidR="007625DB" w:rsidRPr="006C1B71" w:rsidRDefault="007625DB" w:rsidP="007625DB">
      <w:pPr>
        <w:spacing w:before="0" w:line="240" w:lineRule="auto"/>
        <w:ind w:left="720" w:hanging="720"/>
        <w:rPr>
          <w:rFonts w:cs="Times New Roman"/>
          <w:szCs w:val="24"/>
        </w:rPr>
      </w:pPr>
      <w:r w:rsidRPr="006435B7">
        <w:rPr>
          <w:rFonts w:cs="Times New Roman"/>
          <w:szCs w:val="24"/>
        </w:rPr>
        <w:t xml:space="preserve">Zhou, X., Li, Y., &amp; Wang, Z. (2021). Corporate governance and bank performance in China: The role of board composition. </w:t>
      </w:r>
      <w:r w:rsidRPr="006435B7">
        <w:rPr>
          <w:rFonts w:cs="Times New Roman"/>
          <w:i/>
          <w:iCs/>
          <w:szCs w:val="24"/>
        </w:rPr>
        <w:t>Journal of Banking &amp; Finance</w:t>
      </w:r>
      <w:r w:rsidRPr="006435B7">
        <w:rPr>
          <w:rFonts w:cs="Times New Roman"/>
          <w:szCs w:val="24"/>
        </w:rPr>
        <w:t>, 125, 106045.</w:t>
      </w:r>
    </w:p>
    <w:p w14:paraId="22A005A7" w14:textId="4700F760" w:rsidR="00B55CEF" w:rsidRPr="00D2350E" w:rsidRDefault="00B55CEF" w:rsidP="007625DB">
      <w:pPr>
        <w:tabs>
          <w:tab w:val="left" w:pos="3150"/>
        </w:tabs>
        <w:spacing w:before="0" w:line="240" w:lineRule="auto"/>
        <w:ind w:left="720" w:hanging="720"/>
        <w:rPr>
          <w:rFonts w:cs="Times New Roman"/>
          <w:color w:val="000000" w:themeColor="text1"/>
          <w:szCs w:val="24"/>
        </w:rPr>
      </w:pPr>
    </w:p>
    <w:sectPr w:rsidR="00B55CEF" w:rsidRPr="00D2350E" w:rsidSect="00055D83">
      <w:headerReference w:type="even" r:id="rId7"/>
      <w:headerReference w:type="default" r:id="rId8"/>
      <w:footerReference w:type="even" r:id="rId9"/>
      <w:footerReference w:type="default" r:id="rId10"/>
      <w:headerReference w:type="first" r:id="rId11"/>
      <w:footerReference w:type="first" r:id="rId12"/>
      <w:pgSz w:w="12240" w:h="15840" w:code="1"/>
      <w:pgMar w:top="1094" w:right="605" w:bottom="605" w:left="605" w:header="346"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CE59A" w14:textId="77777777" w:rsidR="00B66353" w:rsidRDefault="00B66353">
      <w:pPr>
        <w:spacing w:before="0" w:line="240" w:lineRule="auto"/>
      </w:pPr>
      <w:r>
        <w:separator/>
      </w:r>
    </w:p>
  </w:endnote>
  <w:endnote w:type="continuationSeparator" w:id="0">
    <w:p w14:paraId="12B09CC6" w14:textId="77777777" w:rsidR="00B66353" w:rsidRDefault="00B6635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7791A" w14:textId="77777777" w:rsidR="00E83785" w:rsidRDefault="00E837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2236679"/>
      <w:docPartObj>
        <w:docPartGallery w:val="Page Numbers (Bottom of Page)"/>
        <w:docPartUnique/>
      </w:docPartObj>
    </w:sdtPr>
    <w:sdtEndPr>
      <w:rPr>
        <w:noProof/>
        <w:sz w:val="20"/>
        <w:szCs w:val="18"/>
      </w:rPr>
    </w:sdtEndPr>
    <w:sdtContent>
      <w:p w14:paraId="78E128D3" w14:textId="6FAFF498" w:rsidR="004A12F4" w:rsidRPr="008A0558" w:rsidRDefault="00556C7C">
        <w:pPr>
          <w:pStyle w:val="Footer"/>
          <w:jc w:val="center"/>
          <w:rPr>
            <w:sz w:val="20"/>
            <w:szCs w:val="18"/>
          </w:rPr>
        </w:pPr>
        <w:r w:rsidRPr="008A0558">
          <w:rPr>
            <w:sz w:val="20"/>
            <w:szCs w:val="18"/>
          </w:rPr>
          <w:fldChar w:fldCharType="begin"/>
        </w:r>
        <w:r w:rsidRPr="008A0558">
          <w:rPr>
            <w:sz w:val="20"/>
            <w:szCs w:val="18"/>
          </w:rPr>
          <w:instrText xml:space="preserve"> PAGE   \* MERGEFORMAT </w:instrText>
        </w:r>
        <w:r w:rsidRPr="008A0558">
          <w:rPr>
            <w:sz w:val="20"/>
            <w:szCs w:val="18"/>
          </w:rPr>
          <w:fldChar w:fldCharType="separate"/>
        </w:r>
        <w:r w:rsidR="007625DB">
          <w:rPr>
            <w:noProof/>
            <w:sz w:val="20"/>
            <w:szCs w:val="18"/>
          </w:rPr>
          <w:t>18</w:t>
        </w:r>
        <w:r w:rsidRPr="008A0558">
          <w:rPr>
            <w:noProof/>
            <w:sz w:val="20"/>
            <w:szCs w:val="18"/>
          </w:rPr>
          <w:fldChar w:fldCharType="end"/>
        </w:r>
      </w:p>
    </w:sdtContent>
  </w:sdt>
  <w:p w14:paraId="70E80D4D" w14:textId="77777777" w:rsidR="004A12F4" w:rsidRDefault="004A12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AB9A2" w14:textId="77777777" w:rsidR="00E83785" w:rsidRDefault="00E837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E5054" w14:textId="77777777" w:rsidR="00B66353" w:rsidRDefault="00B66353">
      <w:pPr>
        <w:spacing w:before="0" w:line="240" w:lineRule="auto"/>
      </w:pPr>
      <w:r>
        <w:separator/>
      </w:r>
    </w:p>
  </w:footnote>
  <w:footnote w:type="continuationSeparator" w:id="0">
    <w:p w14:paraId="2F3AEA63" w14:textId="77777777" w:rsidR="00B66353" w:rsidRDefault="00B66353">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3B9D2" w14:textId="4517AC13" w:rsidR="00E83785" w:rsidRDefault="00E83785">
    <w:pPr>
      <w:pStyle w:val="Header"/>
    </w:pPr>
    <w:r>
      <w:rPr>
        <w:noProof/>
      </w:rPr>
      <w:pict w14:anchorId="6A832B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06938" o:spid="_x0000_s1026" type="#_x0000_t136" style="position:absolute;left:0;text-align:left;margin-left:0;margin-top:0;width:699.8pt;height:77.7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88C84" w14:textId="7A3FDE10" w:rsidR="00E83785" w:rsidRDefault="00E83785">
    <w:pPr>
      <w:pStyle w:val="Header"/>
    </w:pPr>
    <w:r>
      <w:rPr>
        <w:noProof/>
      </w:rPr>
      <w:pict w14:anchorId="5C9FD1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06939" o:spid="_x0000_s1027" type="#_x0000_t136" style="position:absolute;left:0;text-align:left;margin-left:0;margin-top:0;width:699.8pt;height:77.7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2C5CE" w14:textId="4B2916A6" w:rsidR="00E83785" w:rsidRDefault="00E83785">
    <w:pPr>
      <w:pStyle w:val="Header"/>
    </w:pPr>
    <w:r>
      <w:rPr>
        <w:noProof/>
      </w:rPr>
      <w:pict w14:anchorId="4337B5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06937" o:spid="_x0000_s1025" type="#_x0000_t136" style="position:absolute;left:0;text-align:left;margin-left:0;margin-top:0;width:699.8pt;height:77.7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687400"/>
    <w:multiLevelType w:val="hybridMultilevel"/>
    <w:tmpl w:val="07187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566D1"/>
    <w:multiLevelType w:val="hybridMultilevel"/>
    <w:tmpl w:val="7BAE53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1B7C9E"/>
    <w:multiLevelType w:val="multilevel"/>
    <w:tmpl w:val="0C88FA22"/>
    <w:lvl w:ilvl="0">
      <w:start w:val="4"/>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114F32EA"/>
    <w:multiLevelType w:val="hybridMultilevel"/>
    <w:tmpl w:val="E7D68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01C5E"/>
    <w:multiLevelType w:val="hybridMultilevel"/>
    <w:tmpl w:val="F65823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3733DE"/>
    <w:multiLevelType w:val="hybridMultilevel"/>
    <w:tmpl w:val="1BD88F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256848"/>
    <w:multiLevelType w:val="hybridMultilevel"/>
    <w:tmpl w:val="AD36A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8C196C"/>
    <w:multiLevelType w:val="hybridMultilevel"/>
    <w:tmpl w:val="E9F03D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4A1EAC"/>
    <w:multiLevelType w:val="hybridMultilevel"/>
    <w:tmpl w:val="A7EA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EE5C35"/>
    <w:multiLevelType w:val="hybridMultilevel"/>
    <w:tmpl w:val="4A0AC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F1490C"/>
    <w:multiLevelType w:val="hybridMultilevel"/>
    <w:tmpl w:val="30E2D4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B47B39"/>
    <w:multiLevelType w:val="hybridMultilevel"/>
    <w:tmpl w:val="0D0A84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FD2ADC"/>
    <w:multiLevelType w:val="hybridMultilevel"/>
    <w:tmpl w:val="390E27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2D3349"/>
    <w:multiLevelType w:val="hybridMultilevel"/>
    <w:tmpl w:val="7B7E2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D46DE2"/>
    <w:multiLevelType w:val="hybridMultilevel"/>
    <w:tmpl w:val="C33094B4"/>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D63F92"/>
    <w:multiLevelType w:val="hybridMultilevel"/>
    <w:tmpl w:val="0010C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8732FF"/>
    <w:multiLevelType w:val="multilevel"/>
    <w:tmpl w:val="568460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1374EA5"/>
    <w:multiLevelType w:val="hybridMultilevel"/>
    <w:tmpl w:val="CAF83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8C22F9"/>
    <w:multiLevelType w:val="hybridMultilevel"/>
    <w:tmpl w:val="DDBAC8F8"/>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16B58F2"/>
    <w:multiLevelType w:val="multilevel"/>
    <w:tmpl w:val="EC12FE2E"/>
    <w:lvl w:ilvl="0">
      <w:start w:val="4"/>
      <w:numFmt w:val="decimal"/>
      <w:lvlText w:val="%1"/>
      <w:lvlJc w:val="left"/>
      <w:pPr>
        <w:ind w:left="375" w:hanging="375"/>
      </w:pPr>
      <w:rPr>
        <w:rFonts w:cs="SimSun" w:hint="default"/>
        <w:color w:val="000000"/>
        <w:sz w:val="24"/>
      </w:rPr>
    </w:lvl>
    <w:lvl w:ilvl="1">
      <w:start w:val="1"/>
      <w:numFmt w:val="decimal"/>
      <w:lvlText w:val="%1.%2"/>
      <w:lvlJc w:val="left"/>
      <w:pPr>
        <w:ind w:left="375" w:hanging="375"/>
      </w:pPr>
      <w:rPr>
        <w:rFonts w:cs="SimSun" w:hint="default"/>
        <w:color w:val="000000"/>
        <w:sz w:val="24"/>
      </w:rPr>
    </w:lvl>
    <w:lvl w:ilvl="2">
      <w:start w:val="1"/>
      <w:numFmt w:val="decimal"/>
      <w:lvlText w:val="%1.%2.%3"/>
      <w:lvlJc w:val="left"/>
      <w:pPr>
        <w:ind w:left="720" w:hanging="720"/>
      </w:pPr>
      <w:rPr>
        <w:rFonts w:cs="SimSun" w:hint="default"/>
        <w:color w:val="000000"/>
        <w:sz w:val="24"/>
      </w:rPr>
    </w:lvl>
    <w:lvl w:ilvl="3">
      <w:start w:val="1"/>
      <w:numFmt w:val="decimal"/>
      <w:lvlText w:val="%1.%2.%3.%4"/>
      <w:lvlJc w:val="left"/>
      <w:pPr>
        <w:ind w:left="720" w:hanging="720"/>
      </w:pPr>
      <w:rPr>
        <w:rFonts w:cs="SimSun" w:hint="default"/>
        <w:color w:val="000000"/>
        <w:sz w:val="24"/>
      </w:rPr>
    </w:lvl>
    <w:lvl w:ilvl="4">
      <w:start w:val="1"/>
      <w:numFmt w:val="decimal"/>
      <w:lvlText w:val="%1.%2.%3.%4.%5"/>
      <w:lvlJc w:val="left"/>
      <w:pPr>
        <w:ind w:left="1080" w:hanging="1080"/>
      </w:pPr>
      <w:rPr>
        <w:rFonts w:cs="SimSun" w:hint="default"/>
        <w:color w:val="000000"/>
        <w:sz w:val="24"/>
      </w:rPr>
    </w:lvl>
    <w:lvl w:ilvl="5">
      <w:start w:val="1"/>
      <w:numFmt w:val="decimal"/>
      <w:lvlText w:val="%1.%2.%3.%4.%5.%6"/>
      <w:lvlJc w:val="left"/>
      <w:pPr>
        <w:ind w:left="1080" w:hanging="1080"/>
      </w:pPr>
      <w:rPr>
        <w:rFonts w:cs="SimSun" w:hint="default"/>
        <w:color w:val="000000"/>
        <w:sz w:val="24"/>
      </w:rPr>
    </w:lvl>
    <w:lvl w:ilvl="6">
      <w:start w:val="1"/>
      <w:numFmt w:val="decimal"/>
      <w:lvlText w:val="%1.%2.%3.%4.%5.%6.%7"/>
      <w:lvlJc w:val="left"/>
      <w:pPr>
        <w:ind w:left="1440" w:hanging="1440"/>
      </w:pPr>
      <w:rPr>
        <w:rFonts w:cs="SimSun" w:hint="default"/>
        <w:color w:val="000000"/>
        <w:sz w:val="24"/>
      </w:rPr>
    </w:lvl>
    <w:lvl w:ilvl="7">
      <w:start w:val="1"/>
      <w:numFmt w:val="decimal"/>
      <w:lvlText w:val="%1.%2.%3.%4.%5.%6.%7.%8"/>
      <w:lvlJc w:val="left"/>
      <w:pPr>
        <w:ind w:left="1440" w:hanging="1440"/>
      </w:pPr>
      <w:rPr>
        <w:rFonts w:cs="SimSun" w:hint="default"/>
        <w:color w:val="000000"/>
        <w:sz w:val="24"/>
      </w:rPr>
    </w:lvl>
    <w:lvl w:ilvl="8">
      <w:start w:val="1"/>
      <w:numFmt w:val="decimal"/>
      <w:lvlText w:val="%1.%2.%3.%4.%5.%6.%7.%8.%9"/>
      <w:lvlJc w:val="left"/>
      <w:pPr>
        <w:ind w:left="1800" w:hanging="1800"/>
      </w:pPr>
      <w:rPr>
        <w:rFonts w:cs="SimSun" w:hint="default"/>
        <w:color w:val="000000"/>
        <w:sz w:val="24"/>
      </w:rPr>
    </w:lvl>
  </w:abstractNum>
  <w:abstractNum w:abstractNumId="21" w15:restartNumberingAfterBreak="0">
    <w:nsid w:val="79B72972"/>
    <w:multiLevelType w:val="hybridMultilevel"/>
    <w:tmpl w:val="4F306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C84D78"/>
    <w:multiLevelType w:val="multilevel"/>
    <w:tmpl w:val="C2EA0EBE"/>
    <w:lvl w:ilvl="0">
      <w:start w:val="4"/>
      <w:numFmt w:val="decimal"/>
      <w:lvlText w:val="%1"/>
      <w:lvlJc w:val="left"/>
      <w:pPr>
        <w:ind w:left="525" w:hanging="360"/>
      </w:pPr>
      <w:rPr>
        <w:rFonts w:hint="default"/>
        <w:lang w:val="en-US" w:eastAsia="en-US" w:bidi="ar-SA"/>
      </w:rPr>
    </w:lvl>
    <w:lvl w:ilvl="1">
      <w:start w:val="1"/>
      <w:numFmt w:val="decimal"/>
      <w:lvlText w:val="%1.%2"/>
      <w:lvlJc w:val="left"/>
      <w:pPr>
        <w:ind w:left="525"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705" w:hanging="54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960" w:hanging="540"/>
      </w:pPr>
      <w:rPr>
        <w:rFonts w:hint="default"/>
        <w:lang w:val="en-US" w:eastAsia="en-US" w:bidi="ar-SA"/>
      </w:rPr>
    </w:lvl>
    <w:lvl w:ilvl="4">
      <w:numFmt w:val="bullet"/>
      <w:lvlText w:val="•"/>
      <w:lvlJc w:val="left"/>
      <w:pPr>
        <w:ind w:left="1090" w:hanging="540"/>
      </w:pPr>
      <w:rPr>
        <w:rFonts w:hint="default"/>
        <w:lang w:val="en-US" w:eastAsia="en-US" w:bidi="ar-SA"/>
      </w:rPr>
    </w:lvl>
    <w:lvl w:ilvl="5">
      <w:numFmt w:val="bullet"/>
      <w:lvlText w:val="•"/>
      <w:lvlJc w:val="left"/>
      <w:pPr>
        <w:ind w:left="1220" w:hanging="540"/>
      </w:pPr>
      <w:rPr>
        <w:rFonts w:hint="default"/>
        <w:lang w:val="en-US" w:eastAsia="en-US" w:bidi="ar-SA"/>
      </w:rPr>
    </w:lvl>
    <w:lvl w:ilvl="6">
      <w:numFmt w:val="bullet"/>
      <w:lvlText w:val="•"/>
      <w:lvlJc w:val="left"/>
      <w:pPr>
        <w:ind w:left="1351" w:hanging="540"/>
      </w:pPr>
      <w:rPr>
        <w:rFonts w:hint="default"/>
        <w:lang w:val="en-US" w:eastAsia="en-US" w:bidi="ar-SA"/>
      </w:rPr>
    </w:lvl>
    <w:lvl w:ilvl="7">
      <w:numFmt w:val="bullet"/>
      <w:lvlText w:val="•"/>
      <w:lvlJc w:val="left"/>
      <w:pPr>
        <w:ind w:left="1481" w:hanging="540"/>
      </w:pPr>
      <w:rPr>
        <w:rFonts w:hint="default"/>
        <w:lang w:val="en-US" w:eastAsia="en-US" w:bidi="ar-SA"/>
      </w:rPr>
    </w:lvl>
    <w:lvl w:ilvl="8">
      <w:numFmt w:val="bullet"/>
      <w:lvlText w:val="•"/>
      <w:lvlJc w:val="left"/>
      <w:pPr>
        <w:ind w:left="1611" w:hanging="540"/>
      </w:pPr>
      <w:rPr>
        <w:rFonts w:hint="default"/>
        <w:lang w:val="en-US" w:eastAsia="en-US" w:bidi="ar-SA"/>
      </w:rPr>
    </w:lvl>
  </w:abstractNum>
  <w:num w:numId="1" w16cid:durableId="355080204">
    <w:abstractNumId w:val="4"/>
  </w:num>
  <w:num w:numId="2" w16cid:durableId="175392258">
    <w:abstractNumId w:val="16"/>
  </w:num>
  <w:num w:numId="3" w16cid:durableId="1103569695">
    <w:abstractNumId w:val="22"/>
  </w:num>
  <w:num w:numId="4" w16cid:durableId="546532558">
    <w:abstractNumId w:val="21"/>
  </w:num>
  <w:num w:numId="5" w16cid:durableId="1450203677">
    <w:abstractNumId w:val="17"/>
  </w:num>
  <w:num w:numId="6" w16cid:durableId="1232156255">
    <w:abstractNumId w:val="20"/>
  </w:num>
  <w:num w:numId="7" w16cid:durableId="187765935">
    <w:abstractNumId w:val="3"/>
  </w:num>
  <w:num w:numId="8" w16cid:durableId="247428867">
    <w:abstractNumId w:val="0"/>
  </w:num>
  <w:num w:numId="9" w16cid:durableId="1852529162">
    <w:abstractNumId w:val="12"/>
  </w:num>
  <w:num w:numId="10" w16cid:durableId="1180583944">
    <w:abstractNumId w:val="5"/>
  </w:num>
  <w:num w:numId="11" w16cid:durableId="2127968558">
    <w:abstractNumId w:val="1"/>
  </w:num>
  <w:num w:numId="12" w16cid:durableId="148988726">
    <w:abstractNumId w:val="10"/>
  </w:num>
  <w:num w:numId="13" w16cid:durableId="1382482169">
    <w:abstractNumId w:val="14"/>
  </w:num>
  <w:num w:numId="14" w16cid:durableId="821700511">
    <w:abstractNumId w:val="19"/>
  </w:num>
  <w:num w:numId="15" w16cid:durableId="624191201">
    <w:abstractNumId w:val="2"/>
  </w:num>
  <w:num w:numId="16" w16cid:durableId="566887549">
    <w:abstractNumId w:val="9"/>
  </w:num>
  <w:num w:numId="17" w16cid:durableId="2133357797">
    <w:abstractNumId w:val="7"/>
  </w:num>
  <w:num w:numId="18" w16cid:durableId="1724327884">
    <w:abstractNumId w:val="15"/>
  </w:num>
  <w:num w:numId="19" w16cid:durableId="610943171">
    <w:abstractNumId w:val="13"/>
  </w:num>
  <w:num w:numId="20" w16cid:durableId="805320030">
    <w:abstractNumId w:val="6"/>
  </w:num>
  <w:num w:numId="21" w16cid:durableId="96953833">
    <w:abstractNumId w:val="8"/>
  </w:num>
  <w:num w:numId="22" w16cid:durableId="711881096">
    <w:abstractNumId w:val="11"/>
  </w:num>
  <w:num w:numId="23" w16cid:durableId="154686487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D83"/>
    <w:rsid w:val="00001A44"/>
    <w:rsid w:val="00005286"/>
    <w:rsid w:val="00012AEB"/>
    <w:rsid w:val="00014726"/>
    <w:rsid w:val="0001490C"/>
    <w:rsid w:val="0003088B"/>
    <w:rsid w:val="00036654"/>
    <w:rsid w:val="000410EC"/>
    <w:rsid w:val="000443AB"/>
    <w:rsid w:val="000446E8"/>
    <w:rsid w:val="00045AD9"/>
    <w:rsid w:val="00047D61"/>
    <w:rsid w:val="00055D83"/>
    <w:rsid w:val="000577EB"/>
    <w:rsid w:val="0006448B"/>
    <w:rsid w:val="00064933"/>
    <w:rsid w:val="000661F9"/>
    <w:rsid w:val="00073097"/>
    <w:rsid w:val="000747C2"/>
    <w:rsid w:val="000750F8"/>
    <w:rsid w:val="00076BA5"/>
    <w:rsid w:val="00082DAA"/>
    <w:rsid w:val="00087A1D"/>
    <w:rsid w:val="0009733F"/>
    <w:rsid w:val="000A199C"/>
    <w:rsid w:val="000A3BD7"/>
    <w:rsid w:val="000A57EC"/>
    <w:rsid w:val="000A6884"/>
    <w:rsid w:val="000B496D"/>
    <w:rsid w:val="000C037E"/>
    <w:rsid w:val="000C57D5"/>
    <w:rsid w:val="000D075E"/>
    <w:rsid w:val="000D0F56"/>
    <w:rsid w:val="000D1B44"/>
    <w:rsid w:val="000D7152"/>
    <w:rsid w:val="000D7DAA"/>
    <w:rsid w:val="000E11E7"/>
    <w:rsid w:val="000E2349"/>
    <w:rsid w:val="000F4C94"/>
    <w:rsid w:val="000F7E36"/>
    <w:rsid w:val="00111B62"/>
    <w:rsid w:val="001163C7"/>
    <w:rsid w:val="00130874"/>
    <w:rsid w:val="00131EAA"/>
    <w:rsid w:val="00135580"/>
    <w:rsid w:val="001403AD"/>
    <w:rsid w:val="00142F60"/>
    <w:rsid w:val="001450C8"/>
    <w:rsid w:val="001452A3"/>
    <w:rsid w:val="00147E4C"/>
    <w:rsid w:val="00151266"/>
    <w:rsid w:val="00154669"/>
    <w:rsid w:val="00162029"/>
    <w:rsid w:val="00167079"/>
    <w:rsid w:val="00167C75"/>
    <w:rsid w:val="0017796D"/>
    <w:rsid w:val="0018163F"/>
    <w:rsid w:val="00185BCB"/>
    <w:rsid w:val="00185FFD"/>
    <w:rsid w:val="0018600E"/>
    <w:rsid w:val="00186D31"/>
    <w:rsid w:val="001938DE"/>
    <w:rsid w:val="001A1E1C"/>
    <w:rsid w:val="001A5880"/>
    <w:rsid w:val="001B0D0D"/>
    <w:rsid w:val="001C0412"/>
    <w:rsid w:val="001C35CA"/>
    <w:rsid w:val="001C4B7D"/>
    <w:rsid w:val="001D0253"/>
    <w:rsid w:val="001D23A9"/>
    <w:rsid w:val="001D4A55"/>
    <w:rsid w:val="001D6A60"/>
    <w:rsid w:val="001E0043"/>
    <w:rsid w:val="001E21F0"/>
    <w:rsid w:val="001E5289"/>
    <w:rsid w:val="001E649F"/>
    <w:rsid w:val="001E78B3"/>
    <w:rsid w:val="001F024F"/>
    <w:rsid w:val="001F27A6"/>
    <w:rsid w:val="001F2B0E"/>
    <w:rsid w:val="001F51C1"/>
    <w:rsid w:val="001F7468"/>
    <w:rsid w:val="00204AAD"/>
    <w:rsid w:val="0021142D"/>
    <w:rsid w:val="002151BA"/>
    <w:rsid w:val="00217B45"/>
    <w:rsid w:val="0022048F"/>
    <w:rsid w:val="0022156B"/>
    <w:rsid w:val="00223099"/>
    <w:rsid w:val="00223A1A"/>
    <w:rsid w:val="0022500A"/>
    <w:rsid w:val="00231033"/>
    <w:rsid w:val="00243C69"/>
    <w:rsid w:val="0024737A"/>
    <w:rsid w:val="002479E0"/>
    <w:rsid w:val="0025131C"/>
    <w:rsid w:val="0025160E"/>
    <w:rsid w:val="0025635B"/>
    <w:rsid w:val="00260B2D"/>
    <w:rsid w:val="00262277"/>
    <w:rsid w:val="002645C1"/>
    <w:rsid w:val="00270AED"/>
    <w:rsid w:val="00271CF6"/>
    <w:rsid w:val="00274AC6"/>
    <w:rsid w:val="00276CE5"/>
    <w:rsid w:val="002779A5"/>
    <w:rsid w:val="00280B3D"/>
    <w:rsid w:val="00281B4F"/>
    <w:rsid w:val="002856C7"/>
    <w:rsid w:val="002859D4"/>
    <w:rsid w:val="002860AE"/>
    <w:rsid w:val="0029480B"/>
    <w:rsid w:val="002B2D3C"/>
    <w:rsid w:val="002B5578"/>
    <w:rsid w:val="002C2F8F"/>
    <w:rsid w:val="002C5E15"/>
    <w:rsid w:val="002C6F25"/>
    <w:rsid w:val="002C72A3"/>
    <w:rsid w:val="002D1CB2"/>
    <w:rsid w:val="002D32ED"/>
    <w:rsid w:val="002D4259"/>
    <w:rsid w:val="002D7340"/>
    <w:rsid w:val="002E3874"/>
    <w:rsid w:val="002E784F"/>
    <w:rsid w:val="002F03DA"/>
    <w:rsid w:val="002F3573"/>
    <w:rsid w:val="00300BE0"/>
    <w:rsid w:val="00301FD6"/>
    <w:rsid w:val="003029F0"/>
    <w:rsid w:val="00311377"/>
    <w:rsid w:val="00311DFA"/>
    <w:rsid w:val="003128C6"/>
    <w:rsid w:val="003131D7"/>
    <w:rsid w:val="003140FD"/>
    <w:rsid w:val="00323D68"/>
    <w:rsid w:val="00324548"/>
    <w:rsid w:val="0033028F"/>
    <w:rsid w:val="0033151D"/>
    <w:rsid w:val="00336C6D"/>
    <w:rsid w:val="00337145"/>
    <w:rsid w:val="0034183D"/>
    <w:rsid w:val="00342FD9"/>
    <w:rsid w:val="00343363"/>
    <w:rsid w:val="003436F3"/>
    <w:rsid w:val="00344733"/>
    <w:rsid w:val="003518C1"/>
    <w:rsid w:val="003607E2"/>
    <w:rsid w:val="0036344E"/>
    <w:rsid w:val="00370F8B"/>
    <w:rsid w:val="00372DCB"/>
    <w:rsid w:val="00374FD9"/>
    <w:rsid w:val="00376BF4"/>
    <w:rsid w:val="0038103F"/>
    <w:rsid w:val="003851AE"/>
    <w:rsid w:val="003959CD"/>
    <w:rsid w:val="003A22F0"/>
    <w:rsid w:val="003A2387"/>
    <w:rsid w:val="003A4F31"/>
    <w:rsid w:val="003C4227"/>
    <w:rsid w:val="003C581F"/>
    <w:rsid w:val="003C59BB"/>
    <w:rsid w:val="003C7107"/>
    <w:rsid w:val="003D2541"/>
    <w:rsid w:val="003D39AB"/>
    <w:rsid w:val="003D4D6F"/>
    <w:rsid w:val="003D7198"/>
    <w:rsid w:val="003E0D69"/>
    <w:rsid w:val="003E0FAD"/>
    <w:rsid w:val="003F01AE"/>
    <w:rsid w:val="003F72A0"/>
    <w:rsid w:val="0040626D"/>
    <w:rsid w:val="00406845"/>
    <w:rsid w:val="004071F4"/>
    <w:rsid w:val="00407977"/>
    <w:rsid w:val="0041566F"/>
    <w:rsid w:val="00415ABE"/>
    <w:rsid w:val="004165B3"/>
    <w:rsid w:val="00416E73"/>
    <w:rsid w:val="00421CF2"/>
    <w:rsid w:val="0042251A"/>
    <w:rsid w:val="00426617"/>
    <w:rsid w:val="00426CDB"/>
    <w:rsid w:val="00437393"/>
    <w:rsid w:val="00440EF7"/>
    <w:rsid w:val="00442282"/>
    <w:rsid w:val="0045178A"/>
    <w:rsid w:val="00455234"/>
    <w:rsid w:val="00462B59"/>
    <w:rsid w:val="00466181"/>
    <w:rsid w:val="004737A8"/>
    <w:rsid w:val="004855D1"/>
    <w:rsid w:val="004916BB"/>
    <w:rsid w:val="004963A4"/>
    <w:rsid w:val="00496991"/>
    <w:rsid w:val="004A12F4"/>
    <w:rsid w:val="004A3F7C"/>
    <w:rsid w:val="004A5357"/>
    <w:rsid w:val="004B7C71"/>
    <w:rsid w:val="004C3121"/>
    <w:rsid w:val="004C41F7"/>
    <w:rsid w:val="004C4596"/>
    <w:rsid w:val="004C7D5D"/>
    <w:rsid w:val="004D0812"/>
    <w:rsid w:val="004D081D"/>
    <w:rsid w:val="004D5CCD"/>
    <w:rsid w:val="004D6AC0"/>
    <w:rsid w:val="004E3D2D"/>
    <w:rsid w:val="004E4A2C"/>
    <w:rsid w:val="004F5A5D"/>
    <w:rsid w:val="00500683"/>
    <w:rsid w:val="00505972"/>
    <w:rsid w:val="0051495F"/>
    <w:rsid w:val="0051797F"/>
    <w:rsid w:val="00517C58"/>
    <w:rsid w:val="00520BFE"/>
    <w:rsid w:val="0052143B"/>
    <w:rsid w:val="00526412"/>
    <w:rsid w:val="0052667E"/>
    <w:rsid w:val="00531B5F"/>
    <w:rsid w:val="005417F4"/>
    <w:rsid w:val="0054398C"/>
    <w:rsid w:val="00546369"/>
    <w:rsid w:val="005508BF"/>
    <w:rsid w:val="00556C7C"/>
    <w:rsid w:val="00561737"/>
    <w:rsid w:val="00563CE7"/>
    <w:rsid w:val="005666F9"/>
    <w:rsid w:val="00571717"/>
    <w:rsid w:val="00571F99"/>
    <w:rsid w:val="005740B5"/>
    <w:rsid w:val="00575F00"/>
    <w:rsid w:val="00591997"/>
    <w:rsid w:val="00591DBD"/>
    <w:rsid w:val="005926C9"/>
    <w:rsid w:val="00594F68"/>
    <w:rsid w:val="005A1956"/>
    <w:rsid w:val="005B04D7"/>
    <w:rsid w:val="005B0558"/>
    <w:rsid w:val="005C09D0"/>
    <w:rsid w:val="005D3FE1"/>
    <w:rsid w:val="005D72F4"/>
    <w:rsid w:val="005E3D2C"/>
    <w:rsid w:val="005F1DA5"/>
    <w:rsid w:val="005F2F50"/>
    <w:rsid w:val="0060683F"/>
    <w:rsid w:val="00610BEF"/>
    <w:rsid w:val="0061111A"/>
    <w:rsid w:val="00615B2D"/>
    <w:rsid w:val="00616E93"/>
    <w:rsid w:val="006177C4"/>
    <w:rsid w:val="006211E5"/>
    <w:rsid w:val="00622E5D"/>
    <w:rsid w:val="00623C02"/>
    <w:rsid w:val="00632E53"/>
    <w:rsid w:val="006435B7"/>
    <w:rsid w:val="00652189"/>
    <w:rsid w:val="0065654C"/>
    <w:rsid w:val="00661AAF"/>
    <w:rsid w:val="00675C16"/>
    <w:rsid w:val="006826A1"/>
    <w:rsid w:val="00683F32"/>
    <w:rsid w:val="00685965"/>
    <w:rsid w:val="0068692A"/>
    <w:rsid w:val="006A0520"/>
    <w:rsid w:val="006A2D8F"/>
    <w:rsid w:val="006B1220"/>
    <w:rsid w:val="006B3C88"/>
    <w:rsid w:val="006B4BA6"/>
    <w:rsid w:val="006B5A8E"/>
    <w:rsid w:val="006B5CA2"/>
    <w:rsid w:val="006C3DFD"/>
    <w:rsid w:val="006C41A9"/>
    <w:rsid w:val="006C4D79"/>
    <w:rsid w:val="006D16E8"/>
    <w:rsid w:val="006E1D74"/>
    <w:rsid w:val="006E3F3F"/>
    <w:rsid w:val="006E526B"/>
    <w:rsid w:val="0070085D"/>
    <w:rsid w:val="00707641"/>
    <w:rsid w:val="00711AB4"/>
    <w:rsid w:val="00714562"/>
    <w:rsid w:val="0071731F"/>
    <w:rsid w:val="007173FC"/>
    <w:rsid w:val="007205CE"/>
    <w:rsid w:val="00722A32"/>
    <w:rsid w:val="00723B81"/>
    <w:rsid w:val="007313ED"/>
    <w:rsid w:val="00750F50"/>
    <w:rsid w:val="0076188C"/>
    <w:rsid w:val="007625DB"/>
    <w:rsid w:val="00762807"/>
    <w:rsid w:val="007656A9"/>
    <w:rsid w:val="00766A2F"/>
    <w:rsid w:val="0077042C"/>
    <w:rsid w:val="00772A04"/>
    <w:rsid w:val="00774F84"/>
    <w:rsid w:val="007769D0"/>
    <w:rsid w:val="00777615"/>
    <w:rsid w:val="007846B3"/>
    <w:rsid w:val="00784B96"/>
    <w:rsid w:val="00785F6F"/>
    <w:rsid w:val="00790BF9"/>
    <w:rsid w:val="00795B86"/>
    <w:rsid w:val="00797B58"/>
    <w:rsid w:val="007A0442"/>
    <w:rsid w:val="007A2567"/>
    <w:rsid w:val="007A48D9"/>
    <w:rsid w:val="007A56B8"/>
    <w:rsid w:val="007A602B"/>
    <w:rsid w:val="007A6B64"/>
    <w:rsid w:val="007A7328"/>
    <w:rsid w:val="007A784F"/>
    <w:rsid w:val="007A7BFC"/>
    <w:rsid w:val="007B3AE1"/>
    <w:rsid w:val="007B652A"/>
    <w:rsid w:val="007B75C6"/>
    <w:rsid w:val="007C3182"/>
    <w:rsid w:val="007C6929"/>
    <w:rsid w:val="007D08AC"/>
    <w:rsid w:val="007D4F35"/>
    <w:rsid w:val="007E3458"/>
    <w:rsid w:val="007E5A6C"/>
    <w:rsid w:val="007F1318"/>
    <w:rsid w:val="007F4F3C"/>
    <w:rsid w:val="007F7A41"/>
    <w:rsid w:val="008003E7"/>
    <w:rsid w:val="00814B34"/>
    <w:rsid w:val="0081762C"/>
    <w:rsid w:val="008209F0"/>
    <w:rsid w:val="00822A7E"/>
    <w:rsid w:val="008263C5"/>
    <w:rsid w:val="008456FF"/>
    <w:rsid w:val="00854FF7"/>
    <w:rsid w:val="00857BF9"/>
    <w:rsid w:val="00860F17"/>
    <w:rsid w:val="00864FF4"/>
    <w:rsid w:val="00870856"/>
    <w:rsid w:val="00870B4E"/>
    <w:rsid w:val="008718EE"/>
    <w:rsid w:val="00872612"/>
    <w:rsid w:val="00876501"/>
    <w:rsid w:val="00880213"/>
    <w:rsid w:val="00895281"/>
    <w:rsid w:val="008A5E87"/>
    <w:rsid w:val="008B0097"/>
    <w:rsid w:val="008B4F87"/>
    <w:rsid w:val="008B511B"/>
    <w:rsid w:val="008B630B"/>
    <w:rsid w:val="008B7836"/>
    <w:rsid w:val="008B7D65"/>
    <w:rsid w:val="008C2098"/>
    <w:rsid w:val="008C3E27"/>
    <w:rsid w:val="008D43EA"/>
    <w:rsid w:val="008E2312"/>
    <w:rsid w:val="008F4E62"/>
    <w:rsid w:val="00906288"/>
    <w:rsid w:val="00912F66"/>
    <w:rsid w:val="0092006B"/>
    <w:rsid w:val="00925466"/>
    <w:rsid w:val="0092720B"/>
    <w:rsid w:val="00935ABF"/>
    <w:rsid w:val="00942EC1"/>
    <w:rsid w:val="00945F70"/>
    <w:rsid w:val="00961903"/>
    <w:rsid w:val="00963A57"/>
    <w:rsid w:val="00973355"/>
    <w:rsid w:val="009841F2"/>
    <w:rsid w:val="00984917"/>
    <w:rsid w:val="00993BED"/>
    <w:rsid w:val="009963FB"/>
    <w:rsid w:val="009A067C"/>
    <w:rsid w:val="009A1D5D"/>
    <w:rsid w:val="009A2D28"/>
    <w:rsid w:val="009B17C5"/>
    <w:rsid w:val="009B2CE5"/>
    <w:rsid w:val="009B3203"/>
    <w:rsid w:val="009B38E7"/>
    <w:rsid w:val="009B7DE4"/>
    <w:rsid w:val="009C0C7F"/>
    <w:rsid w:val="009C11BB"/>
    <w:rsid w:val="009C3340"/>
    <w:rsid w:val="009D5CE2"/>
    <w:rsid w:val="009E0B92"/>
    <w:rsid w:val="009E0CF9"/>
    <w:rsid w:val="009E42B6"/>
    <w:rsid w:val="009E457F"/>
    <w:rsid w:val="009E783A"/>
    <w:rsid w:val="009F3871"/>
    <w:rsid w:val="009F5632"/>
    <w:rsid w:val="009F6D2D"/>
    <w:rsid w:val="00A00A05"/>
    <w:rsid w:val="00A0120F"/>
    <w:rsid w:val="00A01B25"/>
    <w:rsid w:val="00A01E19"/>
    <w:rsid w:val="00A13962"/>
    <w:rsid w:val="00A22EB7"/>
    <w:rsid w:val="00A27439"/>
    <w:rsid w:val="00A31119"/>
    <w:rsid w:val="00A40F08"/>
    <w:rsid w:val="00A52C12"/>
    <w:rsid w:val="00A57832"/>
    <w:rsid w:val="00A616A9"/>
    <w:rsid w:val="00A6679B"/>
    <w:rsid w:val="00A67F40"/>
    <w:rsid w:val="00A73EDF"/>
    <w:rsid w:val="00A75341"/>
    <w:rsid w:val="00A755D3"/>
    <w:rsid w:val="00A81F27"/>
    <w:rsid w:val="00A82DFB"/>
    <w:rsid w:val="00A85593"/>
    <w:rsid w:val="00A85B82"/>
    <w:rsid w:val="00A91ACF"/>
    <w:rsid w:val="00A91C98"/>
    <w:rsid w:val="00A94D23"/>
    <w:rsid w:val="00A9586C"/>
    <w:rsid w:val="00A9631D"/>
    <w:rsid w:val="00A96A1E"/>
    <w:rsid w:val="00AC0D69"/>
    <w:rsid w:val="00AD0959"/>
    <w:rsid w:val="00AD4106"/>
    <w:rsid w:val="00AD51A6"/>
    <w:rsid w:val="00AD6429"/>
    <w:rsid w:val="00AD7A32"/>
    <w:rsid w:val="00AE3911"/>
    <w:rsid w:val="00AE4AA5"/>
    <w:rsid w:val="00AE69E8"/>
    <w:rsid w:val="00AF253B"/>
    <w:rsid w:val="00AF38F9"/>
    <w:rsid w:val="00AF46F3"/>
    <w:rsid w:val="00B00FCB"/>
    <w:rsid w:val="00B013C1"/>
    <w:rsid w:val="00B03327"/>
    <w:rsid w:val="00B04E6C"/>
    <w:rsid w:val="00B108BB"/>
    <w:rsid w:val="00B14EAC"/>
    <w:rsid w:val="00B2188D"/>
    <w:rsid w:val="00B22173"/>
    <w:rsid w:val="00B40B7A"/>
    <w:rsid w:val="00B40DD3"/>
    <w:rsid w:val="00B449E1"/>
    <w:rsid w:val="00B44B78"/>
    <w:rsid w:val="00B55CEF"/>
    <w:rsid w:val="00B55DC9"/>
    <w:rsid w:val="00B66353"/>
    <w:rsid w:val="00B67158"/>
    <w:rsid w:val="00B717D1"/>
    <w:rsid w:val="00B836B4"/>
    <w:rsid w:val="00B85E42"/>
    <w:rsid w:val="00B87A83"/>
    <w:rsid w:val="00B93488"/>
    <w:rsid w:val="00B9497F"/>
    <w:rsid w:val="00BA58DB"/>
    <w:rsid w:val="00BA790C"/>
    <w:rsid w:val="00BB1899"/>
    <w:rsid w:val="00BB3A83"/>
    <w:rsid w:val="00BC2524"/>
    <w:rsid w:val="00BC4935"/>
    <w:rsid w:val="00BC6A0A"/>
    <w:rsid w:val="00BC7830"/>
    <w:rsid w:val="00BD0E33"/>
    <w:rsid w:val="00BD15A0"/>
    <w:rsid w:val="00BD64EB"/>
    <w:rsid w:val="00BD7BE1"/>
    <w:rsid w:val="00BE1869"/>
    <w:rsid w:val="00BE24E1"/>
    <w:rsid w:val="00BE5008"/>
    <w:rsid w:val="00BE754B"/>
    <w:rsid w:val="00BF3783"/>
    <w:rsid w:val="00BF3C23"/>
    <w:rsid w:val="00BF6F97"/>
    <w:rsid w:val="00C01423"/>
    <w:rsid w:val="00C0320B"/>
    <w:rsid w:val="00C03297"/>
    <w:rsid w:val="00C053F5"/>
    <w:rsid w:val="00C06731"/>
    <w:rsid w:val="00C10FCA"/>
    <w:rsid w:val="00C1335A"/>
    <w:rsid w:val="00C237CE"/>
    <w:rsid w:val="00C25488"/>
    <w:rsid w:val="00C32AB8"/>
    <w:rsid w:val="00C4118B"/>
    <w:rsid w:val="00C54577"/>
    <w:rsid w:val="00C67694"/>
    <w:rsid w:val="00C864EE"/>
    <w:rsid w:val="00C9348C"/>
    <w:rsid w:val="00C93607"/>
    <w:rsid w:val="00C936A9"/>
    <w:rsid w:val="00C95979"/>
    <w:rsid w:val="00CA2418"/>
    <w:rsid w:val="00CA37C0"/>
    <w:rsid w:val="00CA6BD4"/>
    <w:rsid w:val="00CB6E82"/>
    <w:rsid w:val="00CC04B9"/>
    <w:rsid w:val="00CD35B1"/>
    <w:rsid w:val="00CE4C91"/>
    <w:rsid w:val="00CF7125"/>
    <w:rsid w:val="00CF7422"/>
    <w:rsid w:val="00D15E77"/>
    <w:rsid w:val="00D16476"/>
    <w:rsid w:val="00D20B1E"/>
    <w:rsid w:val="00D21679"/>
    <w:rsid w:val="00D2350E"/>
    <w:rsid w:val="00D242AA"/>
    <w:rsid w:val="00D257C4"/>
    <w:rsid w:val="00D257F6"/>
    <w:rsid w:val="00D26C8B"/>
    <w:rsid w:val="00D309F6"/>
    <w:rsid w:val="00D352C1"/>
    <w:rsid w:val="00D35C0E"/>
    <w:rsid w:val="00D36322"/>
    <w:rsid w:val="00D54CAA"/>
    <w:rsid w:val="00D56393"/>
    <w:rsid w:val="00D56DAA"/>
    <w:rsid w:val="00D656A4"/>
    <w:rsid w:val="00D665A0"/>
    <w:rsid w:val="00D73F27"/>
    <w:rsid w:val="00D74259"/>
    <w:rsid w:val="00D7477F"/>
    <w:rsid w:val="00D7785F"/>
    <w:rsid w:val="00D85955"/>
    <w:rsid w:val="00D916BC"/>
    <w:rsid w:val="00D94638"/>
    <w:rsid w:val="00DA0813"/>
    <w:rsid w:val="00DB19EB"/>
    <w:rsid w:val="00DB266B"/>
    <w:rsid w:val="00DB408B"/>
    <w:rsid w:val="00DC406B"/>
    <w:rsid w:val="00DC4076"/>
    <w:rsid w:val="00DC411F"/>
    <w:rsid w:val="00DD21C0"/>
    <w:rsid w:val="00DE2430"/>
    <w:rsid w:val="00DE5974"/>
    <w:rsid w:val="00DF126E"/>
    <w:rsid w:val="00DF2A42"/>
    <w:rsid w:val="00E05059"/>
    <w:rsid w:val="00E0554F"/>
    <w:rsid w:val="00E05909"/>
    <w:rsid w:val="00E05F7C"/>
    <w:rsid w:val="00E07021"/>
    <w:rsid w:val="00E1065F"/>
    <w:rsid w:val="00E1453F"/>
    <w:rsid w:val="00E160F3"/>
    <w:rsid w:val="00E17890"/>
    <w:rsid w:val="00E207BA"/>
    <w:rsid w:val="00E22B03"/>
    <w:rsid w:val="00E22FC8"/>
    <w:rsid w:val="00E236F2"/>
    <w:rsid w:val="00E24AB2"/>
    <w:rsid w:val="00E27800"/>
    <w:rsid w:val="00E31A3E"/>
    <w:rsid w:val="00E3230A"/>
    <w:rsid w:val="00E3709F"/>
    <w:rsid w:val="00E41E2F"/>
    <w:rsid w:val="00E448DE"/>
    <w:rsid w:val="00E468EC"/>
    <w:rsid w:val="00E5141C"/>
    <w:rsid w:val="00E54B24"/>
    <w:rsid w:val="00E550A5"/>
    <w:rsid w:val="00E57ADC"/>
    <w:rsid w:val="00E60AE6"/>
    <w:rsid w:val="00E63B72"/>
    <w:rsid w:val="00E63DD0"/>
    <w:rsid w:val="00E70601"/>
    <w:rsid w:val="00E728DB"/>
    <w:rsid w:val="00E730D7"/>
    <w:rsid w:val="00E737F5"/>
    <w:rsid w:val="00E73E17"/>
    <w:rsid w:val="00E7572C"/>
    <w:rsid w:val="00E75DCB"/>
    <w:rsid w:val="00E77E87"/>
    <w:rsid w:val="00E819C7"/>
    <w:rsid w:val="00E83785"/>
    <w:rsid w:val="00E85394"/>
    <w:rsid w:val="00E85589"/>
    <w:rsid w:val="00E85EDC"/>
    <w:rsid w:val="00E87A78"/>
    <w:rsid w:val="00EA355D"/>
    <w:rsid w:val="00EA6B12"/>
    <w:rsid w:val="00EA7AE3"/>
    <w:rsid w:val="00EC58C5"/>
    <w:rsid w:val="00ED008A"/>
    <w:rsid w:val="00EE0214"/>
    <w:rsid w:val="00EF2DD5"/>
    <w:rsid w:val="00F00D01"/>
    <w:rsid w:val="00F01BA4"/>
    <w:rsid w:val="00F02225"/>
    <w:rsid w:val="00F05D67"/>
    <w:rsid w:val="00F111A2"/>
    <w:rsid w:val="00F12F5E"/>
    <w:rsid w:val="00F14915"/>
    <w:rsid w:val="00F16858"/>
    <w:rsid w:val="00F2302B"/>
    <w:rsid w:val="00F23691"/>
    <w:rsid w:val="00F341B9"/>
    <w:rsid w:val="00F42712"/>
    <w:rsid w:val="00F42A52"/>
    <w:rsid w:val="00F42B0A"/>
    <w:rsid w:val="00F46BA3"/>
    <w:rsid w:val="00F57256"/>
    <w:rsid w:val="00F61F6F"/>
    <w:rsid w:val="00F6655B"/>
    <w:rsid w:val="00F74A68"/>
    <w:rsid w:val="00F74BD5"/>
    <w:rsid w:val="00F857CA"/>
    <w:rsid w:val="00F926C6"/>
    <w:rsid w:val="00F933EE"/>
    <w:rsid w:val="00F93EB9"/>
    <w:rsid w:val="00FA3A0A"/>
    <w:rsid w:val="00FA74EF"/>
    <w:rsid w:val="00FB2158"/>
    <w:rsid w:val="00FB2E0F"/>
    <w:rsid w:val="00FB3030"/>
    <w:rsid w:val="00FB4E25"/>
    <w:rsid w:val="00FC34D0"/>
    <w:rsid w:val="00FC4A1C"/>
    <w:rsid w:val="00FD3DAC"/>
    <w:rsid w:val="00FD4A02"/>
    <w:rsid w:val="00FE5B93"/>
    <w:rsid w:val="00FE6B26"/>
    <w:rsid w:val="00FE7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60C7A"/>
  <w15:chartTrackingRefBased/>
  <w15:docId w15:val="{F58B4E4C-2E9A-4CEF-A397-9B648E9CC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D83"/>
    <w:pPr>
      <w:spacing w:before="240" w:after="0" w:line="480" w:lineRule="auto"/>
      <w:jc w:val="both"/>
    </w:pPr>
    <w:rPr>
      <w:rFonts w:ascii="Times New Roman" w:eastAsia="Calibri" w:hAnsi="Times New Roman" w:cs="SimSun"/>
      <w:color w:val="000000"/>
      <w:kern w:val="0"/>
      <w:sz w:val="24"/>
    </w:rPr>
  </w:style>
  <w:style w:type="paragraph" w:styleId="Heading1">
    <w:name w:val="heading 1"/>
    <w:basedOn w:val="Normal"/>
    <w:next w:val="Normal"/>
    <w:link w:val="Heading1Char"/>
    <w:autoRedefine/>
    <w:uiPriority w:val="9"/>
    <w:qFormat/>
    <w:rsid w:val="00BF3783"/>
    <w:pPr>
      <w:keepNext/>
      <w:keepLines/>
      <w:spacing w:before="0" w:line="240" w:lineRule="auto"/>
      <w:outlineLvl w:val="0"/>
    </w:pPr>
    <w:rPr>
      <w:rFonts w:eastAsia="Times New Roman" w:cs="Times New Roman"/>
      <w:b/>
      <w:color w:val="000000" w:themeColor="text1"/>
      <w:kern w:val="2"/>
      <w:sz w:val="28"/>
      <w:szCs w:val="28"/>
    </w:rPr>
  </w:style>
  <w:style w:type="paragraph" w:styleId="Heading2">
    <w:name w:val="heading 2"/>
    <w:basedOn w:val="Normal"/>
    <w:next w:val="Normal"/>
    <w:link w:val="Heading2Char"/>
    <w:uiPriority w:val="9"/>
    <w:semiHidden/>
    <w:unhideWhenUsed/>
    <w:qFormat/>
    <w:rsid w:val="0060683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111A2"/>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3D719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55D83"/>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783"/>
    <w:rPr>
      <w:rFonts w:ascii="Times New Roman" w:eastAsia="Times New Roman" w:hAnsi="Times New Roman" w:cs="Times New Roman"/>
      <w:b/>
      <w:color w:val="000000" w:themeColor="text1"/>
      <w:sz w:val="28"/>
      <w:szCs w:val="28"/>
    </w:rPr>
  </w:style>
  <w:style w:type="character" w:customStyle="1" w:styleId="Heading5Char">
    <w:name w:val="Heading 5 Char"/>
    <w:basedOn w:val="DefaultParagraphFont"/>
    <w:link w:val="Heading5"/>
    <w:uiPriority w:val="9"/>
    <w:rsid w:val="00055D83"/>
    <w:rPr>
      <w:rFonts w:asciiTheme="majorHAnsi" w:eastAsiaTheme="majorEastAsia" w:hAnsiTheme="majorHAnsi" w:cstheme="majorBidi"/>
      <w:color w:val="2F5496" w:themeColor="accent1" w:themeShade="BF"/>
      <w:kern w:val="0"/>
      <w:sz w:val="24"/>
    </w:rPr>
  </w:style>
  <w:style w:type="character" w:customStyle="1" w:styleId="ListParagraphChar">
    <w:name w:val="List Paragraph Char"/>
    <w:link w:val="ListParagraph"/>
    <w:uiPriority w:val="34"/>
    <w:rsid w:val="00055D83"/>
    <w:rPr>
      <w:rFonts w:ascii="Calibri" w:eastAsia="Calibri" w:hAnsi="Calibri" w:cs="Times New Roman"/>
    </w:rPr>
  </w:style>
  <w:style w:type="paragraph" w:styleId="ListParagraph">
    <w:name w:val="List Paragraph"/>
    <w:basedOn w:val="Normal"/>
    <w:link w:val="ListParagraphChar"/>
    <w:uiPriority w:val="34"/>
    <w:qFormat/>
    <w:rsid w:val="00055D83"/>
    <w:pPr>
      <w:spacing w:before="120" w:after="200"/>
      <w:ind w:left="720"/>
      <w:contextualSpacing/>
    </w:pPr>
    <w:rPr>
      <w:rFonts w:ascii="Calibri" w:hAnsi="Calibri" w:cs="Times New Roman"/>
      <w:color w:val="auto"/>
      <w:kern w:val="2"/>
      <w:sz w:val="22"/>
    </w:rPr>
  </w:style>
  <w:style w:type="paragraph" w:styleId="Footer">
    <w:name w:val="footer"/>
    <w:basedOn w:val="Normal"/>
    <w:link w:val="FooterChar"/>
    <w:uiPriority w:val="99"/>
    <w:unhideWhenUsed/>
    <w:rsid w:val="00055D83"/>
    <w:pPr>
      <w:tabs>
        <w:tab w:val="center" w:pos="4680"/>
        <w:tab w:val="right" w:pos="9360"/>
      </w:tabs>
      <w:spacing w:before="0" w:line="240" w:lineRule="auto"/>
    </w:pPr>
  </w:style>
  <w:style w:type="character" w:customStyle="1" w:styleId="FooterChar">
    <w:name w:val="Footer Char"/>
    <w:basedOn w:val="DefaultParagraphFont"/>
    <w:link w:val="Footer"/>
    <w:uiPriority w:val="99"/>
    <w:rsid w:val="00055D83"/>
    <w:rPr>
      <w:rFonts w:ascii="Times New Roman" w:eastAsia="Calibri" w:hAnsi="Times New Roman" w:cs="SimSun"/>
      <w:color w:val="000000"/>
      <w:kern w:val="0"/>
      <w:sz w:val="24"/>
    </w:rPr>
  </w:style>
  <w:style w:type="paragraph" w:styleId="BodyText">
    <w:name w:val="Body Text"/>
    <w:basedOn w:val="Normal"/>
    <w:link w:val="BodyTextChar"/>
    <w:uiPriority w:val="1"/>
    <w:qFormat/>
    <w:rsid w:val="00055D83"/>
    <w:pPr>
      <w:widowControl w:val="0"/>
      <w:autoSpaceDE w:val="0"/>
      <w:autoSpaceDN w:val="0"/>
      <w:spacing w:before="0" w:line="240" w:lineRule="auto"/>
      <w:jc w:val="left"/>
    </w:pPr>
    <w:rPr>
      <w:rFonts w:eastAsia="Times New Roman" w:cs="Times New Roman"/>
      <w:color w:val="auto"/>
      <w:szCs w:val="24"/>
      <w:lang w:val="en-GB"/>
      <w14:ligatures w14:val="none"/>
    </w:rPr>
  </w:style>
  <w:style w:type="character" w:customStyle="1" w:styleId="BodyTextChar">
    <w:name w:val="Body Text Char"/>
    <w:basedOn w:val="DefaultParagraphFont"/>
    <w:link w:val="BodyText"/>
    <w:uiPriority w:val="1"/>
    <w:rsid w:val="00055D83"/>
    <w:rPr>
      <w:rFonts w:ascii="Times New Roman" w:eastAsia="Times New Roman" w:hAnsi="Times New Roman" w:cs="Times New Roman"/>
      <w:kern w:val="0"/>
      <w:sz w:val="24"/>
      <w:szCs w:val="24"/>
      <w:lang w:val="en-GB"/>
      <w14:ligatures w14:val="none"/>
    </w:rPr>
  </w:style>
  <w:style w:type="paragraph" w:customStyle="1" w:styleId="Default">
    <w:name w:val="Default"/>
    <w:rsid w:val="00055D83"/>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character" w:customStyle="1" w:styleId="apple-converted-space">
    <w:name w:val="apple-converted-space"/>
    <w:basedOn w:val="DefaultParagraphFont"/>
    <w:rsid w:val="007F1318"/>
  </w:style>
  <w:style w:type="paragraph" w:customStyle="1" w:styleId="TableParagraph">
    <w:name w:val="Table Paragraph"/>
    <w:basedOn w:val="Normal"/>
    <w:uiPriority w:val="1"/>
    <w:qFormat/>
    <w:rsid w:val="00A6679B"/>
    <w:pPr>
      <w:widowControl w:val="0"/>
      <w:autoSpaceDE w:val="0"/>
      <w:autoSpaceDN w:val="0"/>
      <w:spacing w:before="0" w:line="240" w:lineRule="auto"/>
      <w:jc w:val="left"/>
    </w:pPr>
    <w:rPr>
      <w:rFonts w:eastAsia="Times New Roman" w:cs="Times New Roman"/>
      <w:color w:val="auto"/>
      <w:sz w:val="22"/>
      <w14:ligatures w14:val="none"/>
    </w:rPr>
  </w:style>
  <w:style w:type="character" w:customStyle="1" w:styleId="Heading2Char">
    <w:name w:val="Heading 2 Char"/>
    <w:basedOn w:val="DefaultParagraphFont"/>
    <w:link w:val="Heading2"/>
    <w:uiPriority w:val="9"/>
    <w:semiHidden/>
    <w:rsid w:val="0060683F"/>
    <w:rPr>
      <w:rFonts w:asciiTheme="majorHAnsi" w:eastAsiaTheme="majorEastAsia" w:hAnsiTheme="majorHAnsi" w:cstheme="majorBidi"/>
      <w:color w:val="2F5496" w:themeColor="accent1" w:themeShade="BF"/>
      <w:kern w:val="0"/>
      <w:sz w:val="26"/>
      <w:szCs w:val="26"/>
    </w:rPr>
  </w:style>
  <w:style w:type="character" w:customStyle="1" w:styleId="Heading4Char">
    <w:name w:val="Heading 4 Char"/>
    <w:basedOn w:val="DefaultParagraphFont"/>
    <w:link w:val="Heading4"/>
    <w:uiPriority w:val="9"/>
    <w:rsid w:val="003D7198"/>
    <w:rPr>
      <w:rFonts w:asciiTheme="majorHAnsi" w:eastAsiaTheme="majorEastAsia" w:hAnsiTheme="majorHAnsi" w:cstheme="majorBidi"/>
      <w:i/>
      <w:iCs/>
      <w:color w:val="2F5496" w:themeColor="accent1" w:themeShade="BF"/>
      <w:kern w:val="0"/>
      <w:sz w:val="24"/>
    </w:rPr>
  </w:style>
  <w:style w:type="character" w:styleId="Emphasis">
    <w:name w:val="Emphasis"/>
    <w:uiPriority w:val="20"/>
    <w:qFormat/>
    <w:rsid w:val="00E1453F"/>
    <w:rPr>
      <w:i/>
      <w:iCs/>
    </w:rPr>
  </w:style>
  <w:style w:type="character" w:customStyle="1" w:styleId="Heading3Char">
    <w:name w:val="Heading 3 Char"/>
    <w:basedOn w:val="DefaultParagraphFont"/>
    <w:link w:val="Heading3"/>
    <w:uiPriority w:val="9"/>
    <w:qFormat/>
    <w:rsid w:val="00F111A2"/>
    <w:rPr>
      <w:rFonts w:asciiTheme="majorHAnsi" w:eastAsiaTheme="majorEastAsia" w:hAnsiTheme="majorHAnsi" w:cstheme="majorBidi"/>
      <w:color w:val="1F3763" w:themeColor="accent1" w:themeShade="7F"/>
      <w:kern w:val="0"/>
      <w:sz w:val="24"/>
      <w:szCs w:val="24"/>
    </w:rPr>
  </w:style>
  <w:style w:type="paragraph" w:styleId="NoSpacing">
    <w:name w:val="No Spacing"/>
    <w:uiPriority w:val="1"/>
    <w:qFormat/>
    <w:rsid w:val="00BB3A83"/>
    <w:pPr>
      <w:spacing w:after="0" w:line="240" w:lineRule="auto"/>
      <w:jc w:val="center"/>
    </w:pPr>
    <w:rPr>
      <w:rFonts w:ascii="Times New Roman" w:hAnsi="Times New Roman"/>
      <w:b/>
      <w:i/>
      <w:color w:val="000000" w:themeColor="text1"/>
      <w:kern w:val="0"/>
      <w:sz w:val="24"/>
      <w14:ligatures w14:val="none"/>
    </w:rPr>
  </w:style>
  <w:style w:type="table" w:styleId="TableGrid">
    <w:name w:val="Table Grid"/>
    <w:basedOn w:val="TableNormal"/>
    <w:uiPriority w:val="39"/>
    <w:qFormat/>
    <w:rsid w:val="00BB3A8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B3A83"/>
    <w:pPr>
      <w:spacing w:before="0" w:after="200" w:line="240" w:lineRule="auto"/>
    </w:pPr>
    <w:rPr>
      <w:rFonts w:eastAsia="Times New Roman" w:cs="Times New Roman"/>
      <w:b/>
      <w:bCs/>
      <w:color w:val="4472C4" w:themeColor="accent1"/>
      <w:sz w:val="18"/>
      <w:szCs w:val="18"/>
      <w14:ligatures w14:val="none"/>
    </w:rPr>
  </w:style>
  <w:style w:type="character" w:customStyle="1" w:styleId="markedcontent">
    <w:name w:val="markedcontent"/>
    <w:basedOn w:val="DefaultParagraphFont"/>
    <w:rsid w:val="002D7340"/>
  </w:style>
  <w:style w:type="paragraph" w:customStyle="1" w:styleId="Tables">
    <w:name w:val="Tables"/>
    <w:basedOn w:val="Normal"/>
    <w:link w:val="TablesChar"/>
    <w:qFormat/>
    <w:rsid w:val="00076BA5"/>
    <w:pPr>
      <w:spacing w:before="0" w:line="240" w:lineRule="auto"/>
      <w:jc w:val="left"/>
    </w:pPr>
    <w:rPr>
      <w:rFonts w:eastAsiaTheme="minorHAnsi" w:cs="Times New Roman"/>
      <w:b/>
      <w:color w:val="auto"/>
      <w:szCs w:val="24"/>
      <w14:ligatures w14:val="none"/>
    </w:rPr>
  </w:style>
  <w:style w:type="character" w:customStyle="1" w:styleId="TablesChar">
    <w:name w:val="Tables Char"/>
    <w:basedOn w:val="DefaultParagraphFont"/>
    <w:link w:val="Tables"/>
    <w:rsid w:val="00076BA5"/>
    <w:rPr>
      <w:rFonts w:ascii="Times New Roman" w:hAnsi="Times New Roman" w:cs="Times New Roman"/>
      <w:b/>
      <w:kern w:val="0"/>
      <w:sz w:val="24"/>
      <w:szCs w:val="24"/>
      <w14:ligatures w14:val="none"/>
    </w:rPr>
  </w:style>
  <w:style w:type="character" w:styleId="Hyperlink">
    <w:name w:val="Hyperlink"/>
    <w:basedOn w:val="DefaultParagraphFont"/>
    <w:uiPriority w:val="99"/>
    <w:unhideWhenUsed/>
    <w:rsid w:val="001E649F"/>
    <w:rPr>
      <w:color w:val="0563C1" w:themeColor="hyperlink"/>
      <w:u w:val="single"/>
    </w:rPr>
  </w:style>
  <w:style w:type="character" w:customStyle="1" w:styleId="UnresolvedMention1">
    <w:name w:val="Unresolved Mention1"/>
    <w:basedOn w:val="DefaultParagraphFont"/>
    <w:uiPriority w:val="99"/>
    <w:semiHidden/>
    <w:unhideWhenUsed/>
    <w:rsid w:val="001E649F"/>
    <w:rPr>
      <w:color w:val="605E5C"/>
      <w:shd w:val="clear" w:color="auto" w:fill="E1DFDD"/>
    </w:rPr>
  </w:style>
  <w:style w:type="paragraph" w:styleId="NormalWeb">
    <w:name w:val="Normal (Web)"/>
    <w:basedOn w:val="Normal"/>
    <w:uiPriority w:val="99"/>
    <w:unhideWhenUsed/>
    <w:rsid w:val="00D16476"/>
    <w:pPr>
      <w:spacing w:before="100" w:beforeAutospacing="1" w:after="100" w:afterAutospacing="1" w:line="240" w:lineRule="auto"/>
      <w:jc w:val="left"/>
    </w:pPr>
    <w:rPr>
      <w:rFonts w:eastAsia="Times New Roman" w:cs="Times New Roman"/>
      <w:color w:val="auto"/>
      <w:szCs w:val="24"/>
      <w14:ligatures w14:val="none"/>
    </w:rPr>
  </w:style>
  <w:style w:type="paragraph" w:customStyle="1" w:styleId="TABLES0">
    <w:name w:val="TABLES"/>
    <w:basedOn w:val="Normal"/>
    <w:qFormat/>
    <w:rsid w:val="00437393"/>
    <w:pPr>
      <w:spacing w:before="120" w:after="120"/>
    </w:pPr>
    <w:rPr>
      <w:rFonts w:cs="Times New Roman"/>
      <w:b/>
      <w:color w:val="auto"/>
      <w14:ligatures w14:val="none"/>
    </w:rPr>
  </w:style>
  <w:style w:type="table" w:styleId="PlainTable5">
    <w:name w:val="Plain Table 5"/>
    <w:basedOn w:val="TableNormal"/>
    <w:uiPriority w:val="45"/>
    <w:rsid w:val="00C053F5"/>
    <w:pPr>
      <w:spacing w:after="0" w:line="240" w:lineRule="auto"/>
      <w:jc w:val="both"/>
    </w:pPr>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ListofTables">
    <w:name w:val="List of Tables"/>
    <w:basedOn w:val="Caption"/>
    <w:next w:val="Caption"/>
    <w:qFormat/>
    <w:rsid w:val="00860F17"/>
    <w:pPr>
      <w:keepNext/>
      <w:jc w:val="left"/>
    </w:pPr>
    <w:rPr>
      <w:rFonts w:eastAsia="Calibri"/>
      <w:color w:val="auto"/>
      <w:kern w:val="2"/>
      <w:sz w:val="24"/>
      <w:szCs w:val="24"/>
      <w14:ligatures w14:val="standardContextual"/>
    </w:rPr>
  </w:style>
  <w:style w:type="character" w:customStyle="1" w:styleId="UnresolvedMention2">
    <w:name w:val="Unresolved Mention2"/>
    <w:basedOn w:val="DefaultParagraphFont"/>
    <w:uiPriority w:val="99"/>
    <w:semiHidden/>
    <w:unhideWhenUsed/>
    <w:rsid w:val="00790BF9"/>
    <w:rPr>
      <w:color w:val="605E5C"/>
      <w:shd w:val="clear" w:color="auto" w:fill="E1DFDD"/>
    </w:rPr>
  </w:style>
  <w:style w:type="character" w:styleId="Strong">
    <w:name w:val="Strong"/>
    <w:basedOn w:val="DefaultParagraphFont"/>
    <w:uiPriority w:val="22"/>
    <w:qFormat/>
    <w:rsid w:val="001F51C1"/>
    <w:rPr>
      <w:b/>
      <w:bCs/>
    </w:rPr>
  </w:style>
  <w:style w:type="table" w:customStyle="1" w:styleId="TableGrid1">
    <w:name w:val="Table Grid1"/>
    <w:basedOn w:val="TableNormal"/>
    <w:next w:val="TableGrid"/>
    <w:uiPriority w:val="39"/>
    <w:qFormat/>
    <w:rsid w:val="007E3458"/>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D916BC"/>
    <w:pPr>
      <w:widowControl w:val="0"/>
      <w:autoSpaceDE w:val="0"/>
      <w:autoSpaceDN w:val="0"/>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uiPriority w:val="42"/>
    <w:rsid w:val="00D916BC"/>
    <w:pPr>
      <w:spacing w:after="0" w:line="240" w:lineRule="auto"/>
    </w:pPr>
    <w:rPr>
      <w:rFonts w:ascii="Calibri" w:eastAsia="Calibri" w:hAnsi="Calibri" w:cs="SimSun"/>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pagerange">
    <w:name w:val="page_range"/>
    <w:basedOn w:val="DefaultParagraphFont"/>
    <w:rsid w:val="009E42B6"/>
  </w:style>
  <w:style w:type="character" w:styleId="UnresolvedMention">
    <w:name w:val="Unresolved Mention"/>
    <w:basedOn w:val="DefaultParagraphFont"/>
    <w:uiPriority w:val="99"/>
    <w:semiHidden/>
    <w:unhideWhenUsed/>
    <w:rsid w:val="00AD7A32"/>
    <w:rPr>
      <w:color w:val="605E5C"/>
      <w:shd w:val="clear" w:color="auto" w:fill="E1DFDD"/>
    </w:rPr>
  </w:style>
  <w:style w:type="paragraph" w:styleId="Header">
    <w:name w:val="header"/>
    <w:basedOn w:val="Normal"/>
    <w:link w:val="HeaderChar"/>
    <w:uiPriority w:val="99"/>
    <w:unhideWhenUsed/>
    <w:rsid w:val="00E8378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E83785"/>
    <w:rPr>
      <w:rFonts w:ascii="Times New Roman" w:eastAsia="Calibri" w:hAnsi="Times New Roman" w:cs="SimSun"/>
      <w:color w:val="00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9357">
      <w:bodyDiv w:val="1"/>
      <w:marLeft w:val="0"/>
      <w:marRight w:val="0"/>
      <w:marTop w:val="0"/>
      <w:marBottom w:val="0"/>
      <w:divBdr>
        <w:top w:val="none" w:sz="0" w:space="0" w:color="auto"/>
        <w:left w:val="none" w:sz="0" w:space="0" w:color="auto"/>
        <w:bottom w:val="none" w:sz="0" w:space="0" w:color="auto"/>
        <w:right w:val="none" w:sz="0" w:space="0" w:color="auto"/>
      </w:divBdr>
    </w:div>
    <w:div w:id="340470004">
      <w:bodyDiv w:val="1"/>
      <w:marLeft w:val="0"/>
      <w:marRight w:val="0"/>
      <w:marTop w:val="0"/>
      <w:marBottom w:val="0"/>
      <w:divBdr>
        <w:top w:val="none" w:sz="0" w:space="0" w:color="auto"/>
        <w:left w:val="none" w:sz="0" w:space="0" w:color="auto"/>
        <w:bottom w:val="none" w:sz="0" w:space="0" w:color="auto"/>
        <w:right w:val="none" w:sz="0" w:space="0" w:color="auto"/>
      </w:divBdr>
    </w:div>
    <w:div w:id="385884447">
      <w:bodyDiv w:val="1"/>
      <w:marLeft w:val="0"/>
      <w:marRight w:val="0"/>
      <w:marTop w:val="0"/>
      <w:marBottom w:val="0"/>
      <w:divBdr>
        <w:top w:val="none" w:sz="0" w:space="0" w:color="auto"/>
        <w:left w:val="none" w:sz="0" w:space="0" w:color="auto"/>
        <w:bottom w:val="none" w:sz="0" w:space="0" w:color="auto"/>
        <w:right w:val="none" w:sz="0" w:space="0" w:color="auto"/>
      </w:divBdr>
    </w:div>
    <w:div w:id="566765604">
      <w:bodyDiv w:val="1"/>
      <w:marLeft w:val="0"/>
      <w:marRight w:val="0"/>
      <w:marTop w:val="0"/>
      <w:marBottom w:val="0"/>
      <w:divBdr>
        <w:top w:val="none" w:sz="0" w:space="0" w:color="auto"/>
        <w:left w:val="none" w:sz="0" w:space="0" w:color="auto"/>
        <w:bottom w:val="none" w:sz="0" w:space="0" w:color="auto"/>
        <w:right w:val="none" w:sz="0" w:space="0" w:color="auto"/>
      </w:divBdr>
    </w:div>
    <w:div w:id="583222418">
      <w:bodyDiv w:val="1"/>
      <w:marLeft w:val="0"/>
      <w:marRight w:val="0"/>
      <w:marTop w:val="0"/>
      <w:marBottom w:val="0"/>
      <w:divBdr>
        <w:top w:val="none" w:sz="0" w:space="0" w:color="auto"/>
        <w:left w:val="none" w:sz="0" w:space="0" w:color="auto"/>
        <w:bottom w:val="none" w:sz="0" w:space="0" w:color="auto"/>
        <w:right w:val="none" w:sz="0" w:space="0" w:color="auto"/>
      </w:divBdr>
    </w:div>
    <w:div w:id="618725703">
      <w:bodyDiv w:val="1"/>
      <w:marLeft w:val="0"/>
      <w:marRight w:val="0"/>
      <w:marTop w:val="0"/>
      <w:marBottom w:val="0"/>
      <w:divBdr>
        <w:top w:val="none" w:sz="0" w:space="0" w:color="auto"/>
        <w:left w:val="none" w:sz="0" w:space="0" w:color="auto"/>
        <w:bottom w:val="none" w:sz="0" w:space="0" w:color="auto"/>
        <w:right w:val="none" w:sz="0" w:space="0" w:color="auto"/>
      </w:divBdr>
    </w:div>
    <w:div w:id="947202476">
      <w:bodyDiv w:val="1"/>
      <w:marLeft w:val="0"/>
      <w:marRight w:val="0"/>
      <w:marTop w:val="0"/>
      <w:marBottom w:val="0"/>
      <w:divBdr>
        <w:top w:val="none" w:sz="0" w:space="0" w:color="auto"/>
        <w:left w:val="none" w:sz="0" w:space="0" w:color="auto"/>
        <w:bottom w:val="none" w:sz="0" w:space="0" w:color="auto"/>
        <w:right w:val="none" w:sz="0" w:space="0" w:color="auto"/>
      </w:divBdr>
    </w:div>
    <w:div w:id="1041175574">
      <w:bodyDiv w:val="1"/>
      <w:marLeft w:val="0"/>
      <w:marRight w:val="0"/>
      <w:marTop w:val="0"/>
      <w:marBottom w:val="0"/>
      <w:divBdr>
        <w:top w:val="none" w:sz="0" w:space="0" w:color="auto"/>
        <w:left w:val="none" w:sz="0" w:space="0" w:color="auto"/>
        <w:bottom w:val="none" w:sz="0" w:space="0" w:color="auto"/>
        <w:right w:val="none" w:sz="0" w:space="0" w:color="auto"/>
      </w:divBdr>
    </w:div>
    <w:div w:id="1095251281">
      <w:bodyDiv w:val="1"/>
      <w:marLeft w:val="0"/>
      <w:marRight w:val="0"/>
      <w:marTop w:val="0"/>
      <w:marBottom w:val="0"/>
      <w:divBdr>
        <w:top w:val="none" w:sz="0" w:space="0" w:color="auto"/>
        <w:left w:val="none" w:sz="0" w:space="0" w:color="auto"/>
        <w:bottom w:val="none" w:sz="0" w:space="0" w:color="auto"/>
        <w:right w:val="none" w:sz="0" w:space="0" w:color="auto"/>
      </w:divBdr>
    </w:div>
    <w:div w:id="1208760504">
      <w:bodyDiv w:val="1"/>
      <w:marLeft w:val="0"/>
      <w:marRight w:val="0"/>
      <w:marTop w:val="0"/>
      <w:marBottom w:val="0"/>
      <w:divBdr>
        <w:top w:val="none" w:sz="0" w:space="0" w:color="auto"/>
        <w:left w:val="none" w:sz="0" w:space="0" w:color="auto"/>
        <w:bottom w:val="none" w:sz="0" w:space="0" w:color="auto"/>
        <w:right w:val="none" w:sz="0" w:space="0" w:color="auto"/>
      </w:divBdr>
    </w:div>
    <w:div w:id="1240483030">
      <w:bodyDiv w:val="1"/>
      <w:marLeft w:val="0"/>
      <w:marRight w:val="0"/>
      <w:marTop w:val="0"/>
      <w:marBottom w:val="0"/>
      <w:divBdr>
        <w:top w:val="none" w:sz="0" w:space="0" w:color="auto"/>
        <w:left w:val="none" w:sz="0" w:space="0" w:color="auto"/>
        <w:bottom w:val="none" w:sz="0" w:space="0" w:color="auto"/>
        <w:right w:val="none" w:sz="0" w:space="0" w:color="auto"/>
      </w:divBdr>
    </w:div>
    <w:div w:id="1380744296">
      <w:bodyDiv w:val="1"/>
      <w:marLeft w:val="0"/>
      <w:marRight w:val="0"/>
      <w:marTop w:val="0"/>
      <w:marBottom w:val="0"/>
      <w:divBdr>
        <w:top w:val="none" w:sz="0" w:space="0" w:color="auto"/>
        <w:left w:val="none" w:sz="0" w:space="0" w:color="auto"/>
        <w:bottom w:val="none" w:sz="0" w:space="0" w:color="auto"/>
        <w:right w:val="none" w:sz="0" w:space="0" w:color="auto"/>
      </w:divBdr>
    </w:div>
    <w:div w:id="1746954200">
      <w:bodyDiv w:val="1"/>
      <w:marLeft w:val="0"/>
      <w:marRight w:val="0"/>
      <w:marTop w:val="0"/>
      <w:marBottom w:val="0"/>
      <w:divBdr>
        <w:top w:val="none" w:sz="0" w:space="0" w:color="auto"/>
        <w:left w:val="none" w:sz="0" w:space="0" w:color="auto"/>
        <w:bottom w:val="none" w:sz="0" w:space="0" w:color="auto"/>
        <w:right w:val="none" w:sz="0" w:space="0" w:color="auto"/>
      </w:divBdr>
    </w:div>
    <w:div w:id="1806503340">
      <w:bodyDiv w:val="1"/>
      <w:marLeft w:val="0"/>
      <w:marRight w:val="0"/>
      <w:marTop w:val="0"/>
      <w:marBottom w:val="0"/>
      <w:divBdr>
        <w:top w:val="none" w:sz="0" w:space="0" w:color="auto"/>
        <w:left w:val="none" w:sz="0" w:space="0" w:color="auto"/>
        <w:bottom w:val="none" w:sz="0" w:space="0" w:color="auto"/>
        <w:right w:val="none" w:sz="0" w:space="0" w:color="auto"/>
      </w:divBdr>
    </w:div>
    <w:div w:id="183024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19</Pages>
  <Words>9642</Words>
  <Characters>54961</Characters>
  <Application>Microsoft Office Word</Application>
  <DocSecurity>0</DocSecurity>
  <Lines>458</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WUCHERERIA BANCROFTI</dc:creator>
  <cp:keywords/>
  <dc:description/>
  <cp:lastModifiedBy>SDI 1166</cp:lastModifiedBy>
  <cp:revision>9</cp:revision>
  <dcterms:created xsi:type="dcterms:W3CDTF">2026-08-25T19:41:00Z</dcterms:created>
  <dcterms:modified xsi:type="dcterms:W3CDTF">2026-08-27T11:36:00Z</dcterms:modified>
</cp:coreProperties>
</file>