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79F51" w14:textId="77777777" w:rsidR="009E0DBB" w:rsidRDefault="009E0DBB" w:rsidP="009E0DBB">
      <w:pPr>
        <w:spacing w:after="160"/>
        <w:rPr>
          <w:b/>
          <w:color w:val="000000" w:themeColor="text1"/>
          <w:sz w:val="32"/>
        </w:rPr>
      </w:pPr>
      <w:r w:rsidRPr="005B4BBA">
        <w:rPr>
          <w:b/>
          <w:color w:val="000000" w:themeColor="text1"/>
          <w:sz w:val="32"/>
        </w:rPr>
        <w:t xml:space="preserve">Case Report </w:t>
      </w:r>
    </w:p>
    <w:p w14:paraId="1C730490" w14:textId="77777777" w:rsidR="009E0DBB" w:rsidRDefault="009E0DBB">
      <w:pPr>
        <w:spacing w:after="160"/>
        <w:rPr>
          <w:b/>
          <w:color w:val="000000" w:themeColor="text1"/>
          <w:sz w:val="32"/>
        </w:rPr>
      </w:pPr>
    </w:p>
    <w:p w14:paraId="72144A2A" w14:textId="3FE70336" w:rsidR="004549F7" w:rsidRDefault="00F15AFD">
      <w:pPr>
        <w:spacing w:after="160"/>
        <w:rPr>
          <w:b/>
          <w:color w:val="000000" w:themeColor="text1"/>
          <w:sz w:val="32"/>
        </w:rPr>
      </w:pPr>
      <w:r w:rsidRPr="005B4BBA">
        <w:rPr>
          <w:b/>
          <w:color w:val="000000" w:themeColor="text1"/>
          <w:sz w:val="32"/>
        </w:rPr>
        <w:t xml:space="preserve">Severe Transfusion-Dependent Hereditary Spherocytosis Complicated by Acute Urinary Tract Infection, Gross Hematuria, and Hyperhemolytic Crisis in a 5-Year-Old Child: A Case Report </w:t>
      </w:r>
    </w:p>
    <w:p w14:paraId="655109D9" w14:textId="77777777" w:rsidR="001B4177" w:rsidRPr="005B4BBA" w:rsidRDefault="001B4177">
      <w:pPr>
        <w:spacing w:after="160"/>
        <w:rPr>
          <w:color w:val="000000" w:themeColor="text1"/>
        </w:rPr>
      </w:pPr>
    </w:p>
    <w:p w14:paraId="1DC2165B" w14:textId="77777777" w:rsidR="00BC621D" w:rsidRPr="005B4BBA" w:rsidRDefault="00BC621D">
      <w:pPr>
        <w:spacing w:after="240"/>
        <w:rPr>
          <w:color w:val="000000" w:themeColor="text1"/>
        </w:rPr>
      </w:pPr>
    </w:p>
    <w:p w14:paraId="35EDC821" w14:textId="77777777" w:rsidR="004549F7" w:rsidRPr="005B4BBA" w:rsidRDefault="00F15AFD">
      <w:pPr>
        <w:keepNext/>
        <w:spacing w:before="280" w:after="120"/>
        <w:rPr>
          <w:color w:val="000000" w:themeColor="text1"/>
        </w:rPr>
      </w:pPr>
      <w:r w:rsidRPr="005B4BBA">
        <w:rPr>
          <w:b/>
          <w:color w:val="000000" w:themeColor="text1"/>
          <w:sz w:val="26"/>
        </w:rPr>
        <w:t>ABSTRACT</w:t>
      </w:r>
    </w:p>
    <w:p w14:paraId="7E2367AF" w14:textId="321A5EB0" w:rsidR="004549F7" w:rsidRPr="005B4BBA" w:rsidRDefault="00F15AFD">
      <w:pPr>
        <w:spacing w:after="120"/>
        <w:rPr>
          <w:color w:val="000000" w:themeColor="text1"/>
          <w:lang w:val="en-IN"/>
        </w:rPr>
      </w:pPr>
      <w:r w:rsidRPr="005B4BBA">
        <w:rPr>
          <w:color w:val="000000" w:themeColor="text1"/>
        </w:rPr>
        <w:t xml:space="preserve">Background: </w:t>
      </w:r>
      <w:r w:rsidR="005B4BBA" w:rsidRPr="005B4BBA">
        <w:rPr>
          <w:color w:val="000000" w:themeColor="text1"/>
          <w:lang w:val="en-IN"/>
        </w:rPr>
        <w:t xml:space="preserve">Hereditary spherocytosis (HS) represents an inherited heterogeneous blood disorder, caused by defects in intrinsic red cell membrane cytoskeletal functions, that leads to the characteristic sphere shape and subsequent decrease of membrane mechanical surface area, resulting in increased fragility (osmotic sensitivity) and in rapid splenic sequestration of red blood cells. The previously compensated process occurring in children that presents with transfusion - dependent phenotype may break down upon any triggering infection: a life-threatening hyper haemolytic exacerbation with peripheral circulatory </w:t>
      </w:r>
      <w:r w:rsidR="00E12ED8" w:rsidRPr="005B4BBA">
        <w:rPr>
          <w:color w:val="000000" w:themeColor="text1"/>
          <w:lang w:val="en-IN"/>
        </w:rPr>
        <w:t>collapse,</w:t>
      </w:r>
      <w:r w:rsidR="005B4BBA" w:rsidRPr="005B4BBA">
        <w:rPr>
          <w:color w:val="000000" w:themeColor="text1"/>
          <w:lang w:val="en-IN"/>
        </w:rPr>
        <w:t xml:space="preserve"> resulting in end-organ damage (</w:t>
      </w:r>
      <w:proofErr w:type="spellStart"/>
      <w:r w:rsidR="005B4BBA" w:rsidRPr="005B4BBA">
        <w:rPr>
          <w:color w:val="000000" w:themeColor="text1"/>
          <w:lang w:val="en-IN"/>
        </w:rPr>
        <w:t>i</w:t>
      </w:r>
      <w:proofErr w:type="spellEnd"/>
      <w:r w:rsidR="005B4BBA" w:rsidRPr="005B4BBA">
        <w:rPr>
          <w:color w:val="000000" w:themeColor="text1"/>
          <w:lang w:val="en-IN"/>
        </w:rPr>
        <w:t xml:space="preserve">. E. Parenchymal stresses in the </w:t>
      </w:r>
      <w:r w:rsidR="00E12ED8" w:rsidRPr="005B4BBA">
        <w:rPr>
          <w:color w:val="000000" w:themeColor="text1"/>
          <w:lang w:val="en-IN"/>
        </w:rPr>
        <w:t>organs)</w:t>
      </w:r>
      <w:r w:rsidR="005B4BBA" w:rsidRPr="005B4BBA">
        <w:rPr>
          <w:color w:val="000000" w:themeColor="text1"/>
          <w:lang w:val="en-IN"/>
        </w:rPr>
        <w:t>.</w:t>
      </w:r>
    </w:p>
    <w:p w14:paraId="2F4DB2A4" w14:textId="08AC8AF4" w:rsidR="004549F7" w:rsidRPr="005B4BBA" w:rsidRDefault="00F15AFD">
      <w:pPr>
        <w:spacing w:after="120"/>
        <w:rPr>
          <w:color w:val="000000" w:themeColor="text1"/>
          <w:lang w:val="en-IN"/>
        </w:rPr>
      </w:pPr>
      <w:r w:rsidRPr="005B4BBA">
        <w:rPr>
          <w:color w:val="000000" w:themeColor="text1"/>
        </w:rPr>
        <w:t xml:space="preserve">Case Presentation: </w:t>
      </w:r>
      <w:r w:rsidR="00357D3B" w:rsidRPr="00357D3B">
        <w:rPr>
          <w:color w:val="000000" w:themeColor="text1"/>
          <w:lang w:val="en-IN"/>
        </w:rPr>
        <w:t>A case study on 5-year female child with established diagnosis of severe transfusion-dependent hereditary spherocytosis receiving regular alternate day on/ alternate 2-3 day packed red blood cell (PRBC) transfusions and admitted with 2 days of high-grade spiking fever (max 101.4F), URTI and severe symptoms as fatigue, dyspnoea, palpitations and diffuse mild discomfort in lower abdomen with grossly reddish coloured urine (Gross Haematuria). She was having Severe decompensated Anaemia ( Hb 5.3 g/dL, PCV 15.9%, RBC count 1.70 x 10^6/</w:t>
      </w:r>
      <w:proofErr w:type="spellStart"/>
      <w:r w:rsidR="00357D3B" w:rsidRPr="00357D3B">
        <w:rPr>
          <w:color w:val="000000" w:themeColor="text1"/>
          <w:lang w:val="en-IN"/>
        </w:rPr>
        <w:t>cumm</w:t>
      </w:r>
      <w:proofErr w:type="spellEnd"/>
      <w:r w:rsidR="00357D3B" w:rsidRPr="00357D3B">
        <w:rPr>
          <w:color w:val="000000" w:themeColor="text1"/>
          <w:lang w:val="en-IN"/>
        </w:rPr>
        <w:t xml:space="preserve">, MVC 104.6 </w:t>
      </w:r>
      <w:proofErr w:type="spellStart"/>
      <w:r w:rsidR="00357D3B" w:rsidRPr="00357D3B">
        <w:rPr>
          <w:color w:val="000000" w:themeColor="text1"/>
          <w:lang w:val="en-IN"/>
        </w:rPr>
        <w:t>fL</w:t>
      </w:r>
      <w:proofErr w:type="spellEnd"/>
      <w:r w:rsidR="00357D3B" w:rsidRPr="00357D3B">
        <w:rPr>
          <w:color w:val="000000" w:themeColor="text1"/>
          <w:lang w:val="en-IN"/>
        </w:rPr>
        <w:t xml:space="preserve">, RDW 23.0%) with active urinary sediment ( RBCs 18-20/HPF, Proteinuria 2+, alkaline pH8.5 and normal blood parameters as Blood Urea 24.1mg/dL, Serum Creatinine 0.60 mg/dL), the HR USC/HSMC study of abdomen/pelvis revealed hepatomegaly (liver span- 13cm, spleen length-12.7 cm), bilaterally grade1 renal parenchyma changes with intact corticomedullary differentiate and they were managed aggressive IV wide spectrum </w:t>
      </w:r>
      <w:r w:rsidR="00357D3B">
        <w:rPr>
          <w:color w:val="000000" w:themeColor="text1"/>
          <w:lang w:val="en-IN"/>
        </w:rPr>
        <w:t>antibiotics</w:t>
      </w:r>
      <w:r w:rsidR="00357D3B" w:rsidRPr="00357D3B">
        <w:rPr>
          <w:color w:val="000000" w:themeColor="text1"/>
          <w:lang w:val="en-IN"/>
        </w:rPr>
        <w:t xml:space="preserve"> with </w:t>
      </w:r>
      <w:proofErr w:type="spellStart"/>
      <w:r w:rsidR="00357D3B" w:rsidRPr="00357D3B">
        <w:rPr>
          <w:color w:val="000000" w:themeColor="text1"/>
          <w:lang w:val="en-IN"/>
        </w:rPr>
        <w:t>Inj</w:t>
      </w:r>
      <w:proofErr w:type="spellEnd"/>
      <w:r w:rsidR="00357D3B" w:rsidRPr="00357D3B">
        <w:rPr>
          <w:color w:val="000000" w:themeColor="text1"/>
          <w:lang w:val="en-IN"/>
        </w:rPr>
        <w:t xml:space="preserve"> Cefotaxime 150mg/kg/day &amp; </w:t>
      </w:r>
      <w:proofErr w:type="spellStart"/>
      <w:r w:rsidR="00357D3B" w:rsidRPr="00357D3B">
        <w:rPr>
          <w:color w:val="000000" w:themeColor="text1"/>
          <w:lang w:val="en-IN"/>
        </w:rPr>
        <w:t>Inj</w:t>
      </w:r>
      <w:proofErr w:type="spellEnd"/>
      <w:r w:rsidR="00357D3B" w:rsidRPr="00357D3B">
        <w:rPr>
          <w:color w:val="000000" w:themeColor="text1"/>
          <w:lang w:val="en-IN"/>
        </w:rPr>
        <w:t xml:space="preserve"> Amikacin15mg/kg/day along with Volume controlled Cross matched PRBC Transfusion (15 ml/kg) after IV </w:t>
      </w:r>
      <w:proofErr w:type="spellStart"/>
      <w:r w:rsidR="00357D3B" w:rsidRPr="00357D3B">
        <w:rPr>
          <w:color w:val="000000" w:themeColor="text1"/>
          <w:lang w:val="en-IN"/>
        </w:rPr>
        <w:t>Inj</w:t>
      </w:r>
      <w:proofErr w:type="spellEnd"/>
      <w:r w:rsidR="00357D3B" w:rsidRPr="00357D3B">
        <w:rPr>
          <w:color w:val="000000" w:themeColor="text1"/>
          <w:lang w:val="en-IN"/>
        </w:rPr>
        <w:t xml:space="preserve"> furosemide &amp; Paracetamol Support where patient resolved well, and complete defervescence and total clearance of haematuria and then discharged safely with satisfactory haemoglobin values.</w:t>
      </w:r>
    </w:p>
    <w:p w14:paraId="52CB000A" w14:textId="75C0E4EF" w:rsidR="004549F7" w:rsidRPr="005B4BBA" w:rsidRDefault="00F15AFD">
      <w:pPr>
        <w:spacing w:after="120"/>
        <w:rPr>
          <w:color w:val="000000" w:themeColor="text1"/>
          <w:lang w:val="en-IN"/>
        </w:rPr>
      </w:pPr>
      <w:r w:rsidRPr="005B4BBA">
        <w:rPr>
          <w:color w:val="000000" w:themeColor="text1"/>
        </w:rPr>
        <w:t xml:space="preserve">Conclusion: </w:t>
      </w:r>
      <w:r w:rsidR="005B4BBA" w:rsidRPr="005B4BBA">
        <w:rPr>
          <w:color w:val="000000" w:themeColor="text1"/>
          <w:lang w:val="en-IN"/>
        </w:rPr>
        <w:t>These clinical outcomes reinforce the need for increased clinical suspicion for the more common underlying infections in the Paediatric HS patient, notably U</w:t>
      </w:r>
      <w:r w:rsidR="00357D3B">
        <w:rPr>
          <w:color w:val="000000" w:themeColor="text1"/>
          <w:lang w:val="en-IN"/>
        </w:rPr>
        <w:t>TI</w:t>
      </w:r>
      <w:r w:rsidR="005B4BBA" w:rsidRPr="005B4BBA">
        <w:rPr>
          <w:color w:val="000000" w:themeColor="text1"/>
          <w:lang w:val="en-IN"/>
        </w:rPr>
        <w:t>’s that can be significant triggers of the hyperhaemolysis crises and the acute kidney parenchymal distress found in HS patients. Early and multidisciplinary Management with early IV antibiotics; protocol with safe packed red cell infusions supplemented by looping diuretics; and the provision of serial ultrasounds should be utilized to prevent the severe systemic hematologic, cardiovascular and renal morbidity that has been observed.</w:t>
      </w:r>
    </w:p>
    <w:p w14:paraId="50CD5DE4" w14:textId="376DCFD5" w:rsidR="004549F7" w:rsidRPr="005B4BBA" w:rsidRDefault="00F15AFD">
      <w:pPr>
        <w:spacing w:before="80" w:after="240"/>
        <w:rPr>
          <w:color w:val="000000" w:themeColor="text1"/>
        </w:rPr>
      </w:pPr>
      <w:r w:rsidRPr="005B4BBA">
        <w:rPr>
          <w:b/>
          <w:color w:val="000000" w:themeColor="text1"/>
          <w:sz w:val="21"/>
        </w:rPr>
        <w:t xml:space="preserve">Keywords: </w:t>
      </w:r>
      <w:r w:rsidRPr="005B4BBA">
        <w:rPr>
          <w:color w:val="000000" w:themeColor="text1"/>
          <w:sz w:val="21"/>
        </w:rPr>
        <w:t xml:space="preserve">Hereditary spherocytosis, Hemolytic crisis, Pediatric hematology, Urinary tract infection, Packed red blood cell transfusion, Hepatosplenomegaly, Grade I renal parenchymal changes, </w:t>
      </w:r>
      <w:r w:rsidR="00E12ED8" w:rsidRPr="005B4BBA">
        <w:rPr>
          <w:color w:val="000000" w:themeColor="text1"/>
          <w:sz w:val="21"/>
        </w:rPr>
        <w:t>microscopic</w:t>
      </w:r>
      <w:r w:rsidRPr="005B4BBA">
        <w:rPr>
          <w:color w:val="000000" w:themeColor="text1"/>
          <w:sz w:val="21"/>
        </w:rPr>
        <w:t xml:space="preserve"> hematuria.</w:t>
      </w:r>
    </w:p>
    <w:p w14:paraId="7197E0FF" w14:textId="77777777" w:rsidR="004549F7" w:rsidRPr="005B4BBA" w:rsidRDefault="00F15AFD">
      <w:pPr>
        <w:keepNext/>
        <w:spacing w:before="280" w:after="120"/>
        <w:rPr>
          <w:color w:val="000000" w:themeColor="text1"/>
        </w:rPr>
      </w:pPr>
      <w:r w:rsidRPr="005B4BBA">
        <w:rPr>
          <w:b/>
          <w:color w:val="000000" w:themeColor="text1"/>
          <w:sz w:val="26"/>
        </w:rPr>
        <w:lastRenderedPageBreak/>
        <w:t>INTRODUCTION</w:t>
      </w:r>
    </w:p>
    <w:p w14:paraId="76A22C62" w14:textId="77777777" w:rsidR="00DB49E0" w:rsidRDefault="005B4BBA" w:rsidP="00DB49E0">
      <w:pPr>
        <w:spacing w:after="120"/>
        <w:rPr>
          <w:color w:val="000000" w:themeColor="text1"/>
          <w:lang w:val="en-IN"/>
        </w:rPr>
      </w:pPr>
      <w:r w:rsidRPr="005B4BBA">
        <w:rPr>
          <w:color w:val="000000" w:themeColor="text1"/>
          <w:lang w:val="en-IN"/>
        </w:rPr>
        <w:t>Hereditary spherocytosis (HS) is the most common inherited red blood cell (RBC) membrane defect, occurring in approximately 1/2,000-5,000 Northern European individuals and is becoming increasingly recognized epidemiologically across Asian, Mediterranean, and Middle Eastern populations [1,2]. The clinical spectrum of HS is highly heterogeneous and spans an asymptomatic, fully compensated haemolytic state to severe, life-threatening transfusion-dependent anaemia, seen in early infancy [1,3]. The underlying pathophysiology stems from molecular genetic mutations in the vertical cytoskeletal membrane anchoring complexes of the red blood cell lipid bilayer [3,4]. Deficiencies or mutations in ANK1, SPTA1, SPTB, SLC4A1 (band 3) or EPB42 cause defective binding of the cytoskeleton to the bilayer, disrupting membrane integrity and leading to uncoupling of surface area to internal volume ratio and progressive loss of RBC deformability [4,5]. The principal anatomical filter and site of RBC destruction is the spleen [6,7]. Spherocytic RBCs are captured and cleared from circulation as they attempt to traverse the 1-to-2 micrometres wide inter-endothelial slits of the venous sinusoids; within the high oxygen and acidic microenvironment of the splenic cords of Billroth, additional membrane conditioning, shedding of surface area, and depletion of intracellular adenosine triphosphate (ATP), culminates in rapid phagocytosis by reticuloendothelial macrophages of the spleen and continuous extravascular haemolysis [7,8]. Patients with moderate to severe HS thus develop the classical clinical findings of chronic haemolytic anaemia with scleral icterus, and marked splenomegaly [9,10].</w:t>
      </w:r>
      <w:r w:rsidRPr="005B4BBA">
        <w:rPr>
          <w:color w:val="000000" w:themeColor="text1"/>
          <w:lang w:val="en-IN"/>
        </w:rPr>
        <w:br/>
        <w:t>In severe paediatric phenotypes, repeated intrav</w:t>
      </w:r>
      <w:r w:rsidR="00DB49E0">
        <w:rPr>
          <w:color w:val="000000" w:themeColor="text1"/>
          <w:lang w:val="en-IN"/>
        </w:rPr>
        <w:t xml:space="preserve">enous </w:t>
      </w:r>
      <w:r w:rsidRPr="005B4BBA">
        <w:rPr>
          <w:color w:val="000000" w:themeColor="text1"/>
          <w:lang w:val="en-IN"/>
        </w:rPr>
        <w:t>packed Red Blood Cell (</w:t>
      </w:r>
      <w:r w:rsidR="00DB49E0">
        <w:rPr>
          <w:color w:val="000000" w:themeColor="text1"/>
          <w:lang w:val="en-IN"/>
        </w:rPr>
        <w:t>P</w:t>
      </w:r>
      <w:r w:rsidRPr="005B4BBA">
        <w:rPr>
          <w:color w:val="000000" w:themeColor="text1"/>
          <w:lang w:val="en-IN"/>
        </w:rPr>
        <w:t>RBC)</w:t>
      </w:r>
      <w:r>
        <w:rPr>
          <w:color w:val="000000" w:themeColor="text1"/>
          <w:lang w:val="en-IN"/>
        </w:rPr>
        <w:t xml:space="preserve"> </w:t>
      </w:r>
      <w:r w:rsidRPr="005B4BBA">
        <w:rPr>
          <w:color w:val="000000" w:themeColor="text1"/>
          <w:lang w:val="en-IN"/>
        </w:rPr>
        <w:t>transfusions</w:t>
      </w:r>
      <w:r>
        <w:rPr>
          <w:color w:val="000000" w:themeColor="text1"/>
          <w:lang w:val="en-IN"/>
        </w:rPr>
        <w:t xml:space="preserve"> </w:t>
      </w:r>
      <w:r w:rsidRPr="005B4BBA">
        <w:rPr>
          <w:color w:val="000000" w:themeColor="text1"/>
          <w:lang w:val="en-IN"/>
        </w:rPr>
        <w:t>have traditionally been the only modality to preserve normal growth and cognitive development and maintain reasonable energy levels from an early age [9,10]. These children, even with regular transfusions, however, remained susceptible to devastating superimposed crises [1,10]. The precipitating trigger for these episodes is almost exclusively infectious [2,6]. Infectious agents provoke profound host-mediated inflammatory cascades which not only increase destruction but also accelerate elimination of deformed spherocytes [5,8]. Bacterial infections in particular-most commonly</w:t>
      </w:r>
      <w:r>
        <w:rPr>
          <w:color w:val="000000" w:themeColor="text1"/>
          <w:lang w:val="en-IN"/>
        </w:rPr>
        <w:t xml:space="preserve"> </w:t>
      </w:r>
      <w:r w:rsidRPr="005B4BBA">
        <w:rPr>
          <w:color w:val="000000" w:themeColor="text1"/>
          <w:lang w:val="en-IN"/>
        </w:rPr>
        <w:t>UTIs-induce hyperinflammatory status with augmentation of reticuloendothelial macrophage activity in the spleen and accelerated spherocyte elimination leading to profound drops in Hgb, critical tissue oxygen depletion and secondary visceral organ damage [5,8].</w:t>
      </w:r>
      <w:r w:rsidRPr="005B4BBA">
        <w:rPr>
          <w:color w:val="000000" w:themeColor="text1"/>
          <w:lang w:val="en-IN"/>
        </w:rPr>
        <w:br/>
        <w:t xml:space="preserve">Herein we describe a very detailed case report of a 5 year old child with severe transfusion-dependent HS, who presented with severe spike fevers, documented acute UTI and macroscopic haemoglobinuria resulting in massive </w:t>
      </w:r>
      <w:proofErr w:type="spellStart"/>
      <w:r w:rsidRPr="005B4BBA">
        <w:rPr>
          <w:color w:val="000000" w:themeColor="text1"/>
          <w:lang w:val="en-IN"/>
        </w:rPr>
        <w:t>hyperh</w:t>
      </w:r>
      <w:r w:rsidR="00DB49E0">
        <w:rPr>
          <w:color w:val="000000" w:themeColor="text1"/>
          <w:lang w:val="en-IN"/>
        </w:rPr>
        <w:t>a</w:t>
      </w:r>
      <w:r w:rsidRPr="005B4BBA">
        <w:rPr>
          <w:color w:val="000000" w:themeColor="text1"/>
          <w:lang w:val="en-IN"/>
        </w:rPr>
        <w:t>emolytic</w:t>
      </w:r>
      <w:proofErr w:type="spellEnd"/>
      <w:r w:rsidRPr="005B4BBA">
        <w:rPr>
          <w:color w:val="000000" w:themeColor="text1"/>
          <w:lang w:val="en-IN"/>
        </w:rPr>
        <w:t xml:space="preserve"> crisis. We detail her multi-system presentation including detailed clinical assessment, comprehensive investigations, multi-organ sonographic examination including Grade I kidney parenchymal changes and marked splenomegaly and our multi-faceted therapeutic approach, followed by a review of this complex entity and its challenges.</w:t>
      </w:r>
    </w:p>
    <w:p w14:paraId="4CDA1613" w14:textId="77777777" w:rsidR="00DB49E0" w:rsidRDefault="00F15AFD" w:rsidP="00DB49E0">
      <w:pPr>
        <w:spacing w:after="120"/>
        <w:rPr>
          <w:color w:val="000000" w:themeColor="text1"/>
          <w:lang w:val="en-IN"/>
        </w:rPr>
      </w:pPr>
      <w:r w:rsidRPr="005B4BBA">
        <w:rPr>
          <w:b/>
          <w:color w:val="000000" w:themeColor="text1"/>
          <w:sz w:val="26"/>
        </w:rPr>
        <w:t>CASE PRESENTATION</w:t>
      </w:r>
    </w:p>
    <w:p w14:paraId="3F6BB3FD" w14:textId="77777777" w:rsidR="00DB49E0" w:rsidRDefault="00F15AFD" w:rsidP="00DB49E0">
      <w:pPr>
        <w:spacing w:after="120"/>
        <w:rPr>
          <w:color w:val="000000" w:themeColor="text1"/>
          <w:lang w:val="en-IN"/>
        </w:rPr>
      </w:pPr>
      <w:r w:rsidRPr="005B4BBA">
        <w:rPr>
          <w:b/>
          <w:color w:val="000000" w:themeColor="text1"/>
          <w:sz w:val="23"/>
        </w:rPr>
        <w:t>Patient Demographics &amp; Admission Data</w:t>
      </w:r>
    </w:p>
    <w:p w14:paraId="1BEC5E56" w14:textId="421C9E8C" w:rsidR="00DB49E0" w:rsidRPr="00DB49E0" w:rsidRDefault="00DB49E0" w:rsidP="00DB49E0">
      <w:pPr>
        <w:spacing w:after="120"/>
        <w:rPr>
          <w:color w:val="000000" w:themeColor="text1"/>
          <w:lang w:val="en-IN"/>
        </w:rPr>
      </w:pPr>
      <w:r w:rsidRPr="00DB49E0">
        <w:rPr>
          <w:color w:val="000000" w:themeColor="text1"/>
          <w:lang w:val="en-IN"/>
        </w:rPr>
        <w:t xml:space="preserve">5 years old female child, hailing from </w:t>
      </w:r>
      <w:proofErr w:type="spellStart"/>
      <w:r w:rsidRPr="00DB49E0">
        <w:rPr>
          <w:color w:val="000000" w:themeColor="text1"/>
          <w:lang w:val="en-IN"/>
        </w:rPr>
        <w:t>Gangapura</w:t>
      </w:r>
      <w:proofErr w:type="spellEnd"/>
      <w:r w:rsidRPr="00DB49E0">
        <w:rPr>
          <w:color w:val="000000" w:themeColor="text1"/>
          <w:lang w:val="en-IN"/>
        </w:rPr>
        <w:t xml:space="preserve">, </w:t>
      </w:r>
      <w:proofErr w:type="spellStart"/>
      <w:r w:rsidRPr="00DB49E0">
        <w:rPr>
          <w:color w:val="000000" w:themeColor="text1"/>
          <w:lang w:val="en-IN"/>
        </w:rPr>
        <w:t>Ranebennuru</w:t>
      </w:r>
      <w:proofErr w:type="spellEnd"/>
      <w:r w:rsidRPr="00DB49E0">
        <w:rPr>
          <w:color w:val="000000" w:themeColor="text1"/>
          <w:lang w:val="en-IN"/>
        </w:rPr>
        <w:t xml:space="preserve"> Taluk, Haveri District, Karnataka, India, has been admitted in Paediatrics inpatient ward</w:t>
      </w:r>
      <w:r>
        <w:rPr>
          <w:color w:val="000000" w:themeColor="text1"/>
          <w:lang w:val="en-IN"/>
        </w:rPr>
        <w:t xml:space="preserve"> </w:t>
      </w:r>
      <w:r w:rsidRPr="00DB49E0">
        <w:rPr>
          <w:color w:val="000000" w:themeColor="text1"/>
          <w:lang w:val="en-IN"/>
        </w:rPr>
        <w:t>of S.S. Institute of Medical Sciences &amp; Research Centre (SSIMS &amp; RC), Davangere. Dated on :22/08/26 at 9.45 am. Paediatric Unit 1.</w:t>
      </w:r>
    </w:p>
    <w:p w14:paraId="5AC48023" w14:textId="77777777" w:rsidR="00DB49E0" w:rsidRPr="005B4BBA" w:rsidRDefault="00DB49E0">
      <w:pPr>
        <w:keepNext/>
        <w:spacing w:before="200" w:after="80"/>
        <w:rPr>
          <w:color w:val="000000" w:themeColor="text1"/>
        </w:rPr>
      </w:pPr>
    </w:p>
    <w:p w14:paraId="758EF93D" w14:textId="77777777" w:rsidR="004549F7" w:rsidRDefault="00F15AFD">
      <w:pPr>
        <w:keepNext/>
        <w:spacing w:before="200" w:after="80"/>
        <w:rPr>
          <w:b/>
          <w:color w:val="000000" w:themeColor="text1"/>
          <w:sz w:val="23"/>
        </w:rPr>
      </w:pPr>
      <w:r w:rsidRPr="005B4BBA">
        <w:rPr>
          <w:b/>
          <w:color w:val="000000" w:themeColor="text1"/>
          <w:sz w:val="23"/>
        </w:rPr>
        <w:t>Chief Complaints &amp; History of Present Illness</w:t>
      </w:r>
    </w:p>
    <w:p w14:paraId="2C6F3DAD" w14:textId="21DA04BB" w:rsidR="00DB49E0" w:rsidRPr="00DB49E0" w:rsidRDefault="00DB49E0">
      <w:pPr>
        <w:keepNext/>
        <w:spacing w:before="200" w:after="80"/>
        <w:rPr>
          <w:color w:val="000000" w:themeColor="text1"/>
          <w:lang w:val="en-IN"/>
        </w:rPr>
      </w:pPr>
      <w:r w:rsidRPr="00DB49E0">
        <w:rPr>
          <w:color w:val="000000" w:themeColor="text1"/>
          <w:lang w:val="en-IN"/>
        </w:rPr>
        <w:t xml:space="preserve">A case study of two day high grade fever with chills, mild nonproductive cough and coryza along with significant worsening of lethargy, early fatigability, exertional </w:t>
      </w:r>
      <w:proofErr w:type="spellStart"/>
      <w:r w:rsidRPr="00DB49E0">
        <w:rPr>
          <w:color w:val="000000" w:themeColor="text1"/>
          <w:lang w:val="en-IN"/>
        </w:rPr>
        <w:t>dyspnea</w:t>
      </w:r>
      <w:proofErr w:type="spellEnd"/>
      <w:r w:rsidRPr="00DB49E0">
        <w:rPr>
          <w:color w:val="000000" w:themeColor="text1"/>
          <w:lang w:val="en-IN"/>
        </w:rPr>
        <w:t>,</w:t>
      </w:r>
      <w:r>
        <w:rPr>
          <w:color w:val="000000" w:themeColor="text1"/>
          <w:lang w:val="en-IN"/>
        </w:rPr>
        <w:t xml:space="preserve"> </w:t>
      </w:r>
      <w:r w:rsidRPr="00DB49E0">
        <w:rPr>
          <w:color w:val="000000" w:themeColor="text1"/>
          <w:lang w:val="en-IN"/>
        </w:rPr>
        <w:t>palpitations on mild exertion and refusal to feed in 2 day old with marked worsening of pallor in last 3-4 days and a history of mild diffuse lower abdominal pain and reddish coloured, turbid urine on micturition for last 24 hours with crying during micturition without any history of spontaneous skin petechiae or ecchymoses, oral bleedings or epistaxis or bowel habit changes/loose stools or fits and without any change in sensorium.</w:t>
      </w:r>
    </w:p>
    <w:p w14:paraId="5B49F0EA" w14:textId="77777777" w:rsidR="004549F7" w:rsidRPr="005B4BBA" w:rsidRDefault="00F15AFD">
      <w:pPr>
        <w:keepNext/>
        <w:spacing w:before="200" w:after="80"/>
        <w:rPr>
          <w:color w:val="000000" w:themeColor="text1"/>
        </w:rPr>
      </w:pPr>
      <w:r w:rsidRPr="005B4BBA">
        <w:rPr>
          <w:b/>
          <w:color w:val="000000" w:themeColor="text1"/>
          <w:sz w:val="23"/>
        </w:rPr>
        <w:t>Past Medical, Birth, &amp; Transfusion History</w:t>
      </w:r>
    </w:p>
    <w:p w14:paraId="76C434F3" w14:textId="4279EB90" w:rsidR="00006AD4" w:rsidRPr="00006AD4" w:rsidRDefault="00006AD4" w:rsidP="00006AD4">
      <w:pPr>
        <w:spacing w:after="120"/>
        <w:rPr>
          <w:color w:val="000000" w:themeColor="text1"/>
          <w:lang w:val="en-IN"/>
        </w:rPr>
      </w:pPr>
      <w:r w:rsidRPr="00006AD4">
        <w:rPr>
          <w:color w:val="000000" w:themeColor="text1"/>
          <w:lang w:val="en-IN"/>
        </w:rPr>
        <w:t>The patient was born of a non-consanguin</w:t>
      </w:r>
      <w:r>
        <w:rPr>
          <w:color w:val="000000" w:themeColor="text1"/>
          <w:lang w:val="en-IN"/>
        </w:rPr>
        <w:t>e</w:t>
      </w:r>
      <w:r w:rsidRPr="00006AD4">
        <w:rPr>
          <w:color w:val="000000" w:themeColor="text1"/>
          <w:lang w:val="en-IN"/>
        </w:rPr>
        <w:t>ous marriage at full term with a normal vaginal delivery. Birth weight was 2.5 kg. Neonatal course complicated with significant neonatal unconjugated hyperbilirubinemia at day 3, which needed prolonged phototherapy. Psychomotor</w:t>
      </w:r>
      <w:r>
        <w:rPr>
          <w:color w:val="000000" w:themeColor="text1"/>
          <w:lang w:val="en-IN"/>
        </w:rPr>
        <w:t xml:space="preserve"> l</w:t>
      </w:r>
      <w:r w:rsidRPr="00006AD4">
        <w:rPr>
          <w:color w:val="000000" w:themeColor="text1"/>
          <w:lang w:val="en-IN"/>
        </w:rPr>
        <w:t>i</w:t>
      </w:r>
      <w:r>
        <w:rPr>
          <w:color w:val="000000" w:themeColor="text1"/>
          <w:lang w:val="en-IN"/>
        </w:rPr>
        <w:t>n</w:t>
      </w:r>
      <w:r w:rsidRPr="00006AD4">
        <w:rPr>
          <w:color w:val="000000" w:themeColor="text1"/>
          <w:lang w:val="en-IN"/>
        </w:rPr>
        <w:t>guistic</w:t>
      </w:r>
      <w:r>
        <w:rPr>
          <w:color w:val="000000" w:themeColor="text1"/>
          <w:lang w:val="en-IN"/>
        </w:rPr>
        <w:t xml:space="preserve"> </w:t>
      </w:r>
      <w:r w:rsidRPr="00006AD4">
        <w:rPr>
          <w:color w:val="000000" w:themeColor="text1"/>
          <w:lang w:val="en-IN"/>
        </w:rPr>
        <w:t>developmental milestones attained at per ages (presently a student in upper kindergarten. Immunisation status up to date as per the national</w:t>
      </w:r>
      <w:r>
        <w:rPr>
          <w:color w:val="000000" w:themeColor="text1"/>
          <w:lang w:val="en-IN"/>
        </w:rPr>
        <w:t xml:space="preserve"> </w:t>
      </w:r>
      <w:r w:rsidRPr="00006AD4">
        <w:rPr>
          <w:color w:val="000000" w:themeColor="text1"/>
          <w:lang w:val="en-IN"/>
        </w:rPr>
        <w:t>immunisation Schedule.)</w:t>
      </w:r>
    </w:p>
    <w:p w14:paraId="1D746FCA" w14:textId="413D1DFA" w:rsidR="00006AD4" w:rsidRPr="00006AD4" w:rsidRDefault="00006AD4">
      <w:pPr>
        <w:spacing w:after="120"/>
        <w:rPr>
          <w:color w:val="000000" w:themeColor="text1"/>
          <w:lang w:val="en-IN"/>
        </w:rPr>
      </w:pPr>
      <w:r w:rsidRPr="00006AD4">
        <w:rPr>
          <w:color w:val="000000" w:themeColor="text1"/>
          <w:lang w:val="en-IN"/>
        </w:rPr>
        <w:t>She presented with severe persistent pallor and failure to thrive with progressive splenomegaly at the age of 6 months and was diagnosed with hereditary spherocytosis with a haemoglobin electrophoresis, a peripheral blood smear, which revealed micro spherocytes, and a positive osmotic fragility test. She has had a severe transfusion-dependent phenotype since infancy, with serial packed red blood cell (PRBC) transfusions performed every 2 to 3 weeks and an attempt to keep the haemoglobin above 8-9 g/dL. There was no family history of hereditary haemolytic anaemia’s, hemoglobinopathies, or premature cholelithiasis.</w:t>
      </w:r>
    </w:p>
    <w:p w14:paraId="65829F8D" w14:textId="77777777" w:rsidR="004549F7" w:rsidRPr="005B4BBA" w:rsidRDefault="00F15AFD">
      <w:pPr>
        <w:keepNext/>
        <w:spacing w:before="200" w:after="80"/>
        <w:rPr>
          <w:color w:val="000000" w:themeColor="text1"/>
        </w:rPr>
      </w:pPr>
      <w:r w:rsidRPr="005B4BBA">
        <w:rPr>
          <w:b/>
          <w:color w:val="000000" w:themeColor="text1"/>
          <w:sz w:val="23"/>
        </w:rPr>
        <w:t>Physical Examination at Presentation</w:t>
      </w:r>
    </w:p>
    <w:p w14:paraId="138F058A" w14:textId="6936911D" w:rsidR="00006AD4" w:rsidRPr="00006AD4" w:rsidRDefault="00006AD4" w:rsidP="00006AD4">
      <w:pPr>
        <w:spacing w:after="40"/>
        <w:rPr>
          <w:color w:val="000000" w:themeColor="text1"/>
          <w:lang w:val="en-IN"/>
        </w:rPr>
      </w:pPr>
      <w:r w:rsidRPr="00006AD4">
        <w:rPr>
          <w:color w:val="000000" w:themeColor="text1"/>
          <w:lang w:val="en-IN"/>
        </w:rPr>
        <w:t>On examination, in the casualty itself the child was fully conscious, oriented, although still very irritable and with gross lethargy. The child appeared to have good linear growth although weight was below norm</w:t>
      </w:r>
      <w:r>
        <w:rPr>
          <w:color w:val="000000" w:themeColor="text1"/>
          <w:lang w:val="en-IN"/>
        </w:rPr>
        <w:t>al</w:t>
      </w:r>
      <w:r w:rsidRPr="00006AD4">
        <w:rPr>
          <w:color w:val="000000" w:themeColor="text1"/>
          <w:lang w:val="en-IN"/>
        </w:rPr>
        <w:t>: on examination the patient weighed 23kg (50th centile) and measured 115cm (50th centile).</w:t>
      </w:r>
    </w:p>
    <w:p w14:paraId="4647B5BA" w14:textId="77777777" w:rsidR="004549F7" w:rsidRPr="005B4BBA" w:rsidRDefault="00F15AFD">
      <w:pPr>
        <w:spacing w:after="40"/>
        <w:rPr>
          <w:color w:val="000000" w:themeColor="text1"/>
        </w:rPr>
      </w:pPr>
      <w:r w:rsidRPr="005B4BBA">
        <w:rPr>
          <w:color w:val="000000" w:themeColor="text1"/>
        </w:rPr>
        <w:t>Vital Signs:</w:t>
      </w:r>
    </w:p>
    <w:p w14:paraId="481368E0" w14:textId="77777777" w:rsidR="004549F7" w:rsidRPr="005B4BBA" w:rsidRDefault="00F15AFD">
      <w:pPr>
        <w:pStyle w:val="ListBullet"/>
        <w:spacing w:after="60"/>
        <w:rPr>
          <w:color w:val="000000" w:themeColor="text1"/>
        </w:rPr>
      </w:pPr>
      <w:r w:rsidRPr="005B4BBA">
        <w:rPr>
          <w:color w:val="000000" w:themeColor="text1"/>
          <w:sz w:val="21"/>
        </w:rPr>
        <w:t>Pulse Rate: 102 to 110 beats/minute (regular, bounding peripheral pulses)</w:t>
      </w:r>
    </w:p>
    <w:p w14:paraId="2BAB3E15" w14:textId="77777777" w:rsidR="004549F7" w:rsidRPr="005B4BBA" w:rsidRDefault="00F15AFD">
      <w:pPr>
        <w:pStyle w:val="ListBullet"/>
        <w:spacing w:after="60"/>
        <w:rPr>
          <w:color w:val="000000" w:themeColor="text1"/>
        </w:rPr>
      </w:pPr>
      <w:r w:rsidRPr="005B4BBA">
        <w:rPr>
          <w:color w:val="000000" w:themeColor="text1"/>
          <w:sz w:val="21"/>
        </w:rPr>
        <w:t>Respiratory Rate: 22 to 24 breaths/minute (unlabored, no subcostal retractions)</w:t>
      </w:r>
    </w:p>
    <w:p w14:paraId="637963E6" w14:textId="77777777" w:rsidR="004549F7" w:rsidRPr="005B4BBA" w:rsidRDefault="00F15AFD">
      <w:pPr>
        <w:pStyle w:val="ListBullet"/>
        <w:spacing w:after="60"/>
        <w:rPr>
          <w:color w:val="000000" w:themeColor="text1"/>
        </w:rPr>
      </w:pPr>
      <w:r w:rsidRPr="005B4BBA">
        <w:rPr>
          <w:color w:val="000000" w:themeColor="text1"/>
          <w:sz w:val="21"/>
        </w:rPr>
        <w:t>Blood Pressure: 100/60 mmHg (with recorded fluctuations between 88/56 mmHg and 96/60 mmHg on bedside automated monitoring)</w:t>
      </w:r>
    </w:p>
    <w:p w14:paraId="42FA5834" w14:textId="77777777" w:rsidR="004549F7" w:rsidRPr="005B4BBA" w:rsidRDefault="00F15AFD">
      <w:pPr>
        <w:pStyle w:val="ListBullet"/>
        <w:spacing w:after="60"/>
        <w:rPr>
          <w:color w:val="000000" w:themeColor="text1"/>
        </w:rPr>
      </w:pPr>
      <w:r w:rsidRPr="005B4BBA">
        <w:rPr>
          <w:color w:val="000000" w:themeColor="text1"/>
          <w:sz w:val="21"/>
        </w:rPr>
        <w:t>Axillary Temperature: 100.4°F (38.0°C) with documented fever spikes up to 101.4°F (38.6°C)</w:t>
      </w:r>
    </w:p>
    <w:p w14:paraId="1916A114" w14:textId="77777777" w:rsidR="004549F7" w:rsidRPr="005B4BBA" w:rsidRDefault="00F15AFD">
      <w:pPr>
        <w:pStyle w:val="ListBullet"/>
        <w:spacing w:after="60"/>
        <w:rPr>
          <w:color w:val="000000" w:themeColor="text1"/>
        </w:rPr>
      </w:pPr>
      <w:r w:rsidRPr="005B4BBA">
        <w:rPr>
          <w:color w:val="000000" w:themeColor="text1"/>
          <w:sz w:val="21"/>
        </w:rPr>
        <w:t>Oxygen Saturation (SpO2): 96% to 98% on room air</w:t>
      </w:r>
    </w:p>
    <w:p w14:paraId="142E3C1C" w14:textId="77777777" w:rsidR="004549F7" w:rsidRPr="005B4BBA" w:rsidRDefault="00F15AFD">
      <w:pPr>
        <w:spacing w:after="40"/>
        <w:rPr>
          <w:color w:val="000000" w:themeColor="text1"/>
        </w:rPr>
      </w:pPr>
      <w:r w:rsidRPr="005B4BBA">
        <w:rPr>
          <w:color w:val="000000" w:themeColor="text1"/>
        </w:rPr>
        <w:t>Systemic Examination:</w:t>
      </w:r>
    </w:p>
    <w:p w14:paraId="4CC4A85B" w14:textId="722753F6" w:rsidR="004549F7" w:rsidRPr="00006AD4" w:rsidRDefault="00F15AFD" w:rsidP="00006AD4">
      <w:pPr>
        <w:pStyle w:val="ListBullet"/>
        <w:spacing w:after="60"/>
        <w:rPr>
          <w:color w:val="000000" w:themeColor="text1"/>
          <w:sz w:val="21"/>
          <w:lang w:val="en-IN"/>
        </w:rPr>
      </w:pPr>
      <w:r w:rsidRPr="005B4BBA">
        <w:rPr>
          <w:color w:val="000000" w:themeColor="text1"/>
          <w:sz w:val="21"/>
        </w:rPr>
        <w:t xml:space="preserve">General Physical: </w:t>
      </w:r>
      <w:r w:rsidR="00006AD4" w:rsidRPr="00006AD4">
        <w:rPr>
          <w:color w:val="000000" w:themeColor="text1"/>
          <w:sz w:val="21"/>
          <w:lang w:val="en-IN"/>
        </w:rPr>
        <w:t>Marked palmar pallor of conjunctival mucosa: Slight icteric coloration on palpebral margin: No peripheral cyanosis, clubbing, enlarged cervical lymph nodes, facial puffiness, or pedal swelling.</w:t>
      </w:r>
    </w:p>
    <w:p w14:paraId="2F7B8F04" w14:textId="0F64E29B" w:rsidR="004549F7" w:rsidRPr="00006AD4" w:rsidRDefault="00F15AFD" w:rsidP="00006AD4">
      <w:pPr>
        <w:pStyle w:val="ListBullet"/>
        <w:spacing w:after="60"/>
        <w:rPr>
          <w:color w:val="000000" w:themeColor="text1"/>
          <w:sz w:val="21"/>
          <w:lang w:val="en-IN"/>
        </w:rPr>
      </w:pPr>
      <w:r w:rsidRPr="005B4BBA">
        <w:rPr>
          <w:color w:val="000000" w:themeColor="text1"/>
          <w:sz w:val="21"/>
        </w:rPr>
        <w:t xml:space="preserve">Abdomen: </w:t>
      </w:r>
      <w:r w:rsidR="00006AD4" w:rsidRPr="00006AD4">
        <w:rPr>
          <w:color w:val="000000" w:themeColor="text1"/>
          <w:sz w:val="21"/>
          <w:lang w:val="en-IN"/>
        </w:rPr>
        <w:t>Abdomen was soft, with mild tenderness present over both the suprapubic regions and the right hypochondriac region (R/L quadrants normal, all other areas of tenderness with similar pressures as noted before), no guarding or rigidity. Hepatomegaly present with the liver</w:t>
      </w:r>
      <w:r w:rsidR="00006AD4">
        <w:rPr>
          <w:color w:val="000000" w:themeColor="text1"/>
          <w:sz w:val="21"/>
          <w:lang w:val="en-IN"/>
        </w:rPr>
        <w:t xml:space="preserve"> </w:t>
      </w:r>
      <w:r w:rsidR="00006AD4" w:rsidRPr="00006AD4">
        <w:rPr>
          <w:color w:val="000000" w:themeColor="text1"/>
          <w:sz w:val="21"/>
          <w:lang w:val="en-IN"/>
        </w:rPr>
        <w:t xml:space="preserve">palpable 1 cm below the right costal margin (total liver span approximately 13 cm, soft and non-tender on palpation). Significant Splenomegaly </w:t>
      </w:r>
      <w:r w:rsidR="00006AD4" w:rsidRPr="00006AD4">
        <w:rPr>
          <w:color w:val="000000" w:themeColor="text1"/>
          <w:sz w:val="21"/>
          <w:lang w:val="en-IN"/>
        </w:rPr>
        <w:lastRenderedPageBreak/>
        <w:t>present with spleen palpated 2cm below the left costal margin</w:t>
      </w:r>
      <w:r w:rsidR="00006AD4">
        <w:rPr>
          <w:color w:val="000000" w:themeColor="text1"/>
          <w:sz w:val="21"/>
          <w:lang w:val="en-IN"/>
        </w:rPr>
        <w:t xml:space="preserve"> </w:t>
      </w:r>
      <w:r w:rsidR="00006AD4" w:rsidRPr="00006AD4">
        <w:rPr>
          <w:color w:val="000000" w:themeColor="text1"/>
          <w:sz w:val="21"/>
          <w:lang w:val="en-IN"/>
        </w:rPr>
        <w:t>(Splenic Length approximately 12.7 cm, the spleen is firm, with smooth border, and non-tender to palpation). No free fluid or ascites present.</w:t>
      </w:r>
    </w:p>
    <w:p w14:paraId="322A4BC5" w14:textId="77777777" w:rsidR="004549F7" w:rsidRPr="005B4BBA" w:rsidRDefault="00F15AFD">
      <w:pPr>
        <w:pStyle w:val="ListBullet"/>
        <w:spacing w:after="60"/>
        <w:rPr>
          <w:color w:val="000000" w:themeColor="text1"/>
        </w:rPr>
      </w:pPr>
      <w:r w:rsidRPr="005B4BBA">
        <w:rPr>
          <w:color w:val="000000" w:themeColor="text1"/>
          <w:sz w:val="21"/>
        </w:rPr>
        <w:t>Cardiovascular System: Normal S1 and S2 heart sounds with a faint Grade II/VI hemic ejection systolic flow murmur heard best over the left upper sternal border (pulmonary area), secondary to high-output hyperdynamic circulation.</w:t>
      </w:r>
    </w:p>
    <w:p w14:paraId="1BA98AB4" w14:textId="77777777" w:rsidR="004549F7" w:rsidRPr="005B4BBA" w:rsidRDefault="00F15AFD">
      <w:pPr>
        <w:pStyle w:val="ListBullet"/>
        <w:spacing w:after="60"/>
        <w:rPr>
          <w:color w:val="000000" w:themeColor="text1"/>
        </w:rPr>
      </w:pPr>
      <w:r w:rsidRPr="005B4BBA">
        <w:rPr>
          <w:color w:val="000000" w:themeColor="text1"/>
          <w:sz w:val="21"/>
        </w:rPr>
        <w:t>Respiratory &amp; Central Nervous System: Bilateral vesicular breath sounds were clear with no added adventitious sounds. Higher mental functions, cranial nerves, tone, and deep tendon reflexes were intact.</w:t>
      </w:r>
    </w:p>
    <w:p w14:paraId="523ACF77" w14:textId="77777777" w:rsidR="004549F7" w:rsidRDefault="00F15AFD">
      <w:pPr>
        <w:keepNext/>
        <w:spacing w:before="200" w:after="80"/>
        <w:rPr>
          <w:b/>
          <w:color w:val="000000" w:themeColor="text1"/>
          <w:sz w:val="23"/>
        </w:rPr>
      </w:pPr>
      <w:r w:rsidRPr="005B4BBA">
        <w:rPr>
          <w:b/>
          <w:color w:val="000000" w:themeColor="text1"/>
          <w:sz w:val="23"/>
        </w:rPr>
        <w:t>Comprehensive Laboratory Investigations</w:t>
      </w:r>
    </w:p>
    <w:p w14:paraId="0B6F9B42" w14:textId="15580676" w:rsidR="005E7672" w:rsidRPr="005E7672" w:rsidRDefault="005E7672">
      <w:pPr>
        <w:keepNext/>
        <w:spacing w:before="200" w:after="80"/>
        <w:rPr>
          <w:color w:val="000000" w:themeColor="text1"/>
          <w:lang w:val="en-IN"/>
        </w:rPr>
      </w:pPr>
      <w:r w:rsidRPr="005E7672">
        <w:rPr>
          <w:color w:val="000000" w:themeColor="text1"/>
          <w:lang w:val="en-IN"/>
        </w:rPr>
        <w:t>Haematological serial biochemical and microbiological examinations performed in the period of hospitalization showed a severe micro/macrocytic-mixed haemolysis with intense reticulocyte count. The examination of urine revealed an active urinary sediment. Basic renal and metabolic functions had been preserved.</w:t>
      </w:r>
    </w:p>
    <w:p w14:paraId="70902E4D" w14:textId="77777777" w:rsidR="004549F7" w:rsidRPr="005B4BBA" w:rsidRDefault="00F15AFD">
      <w:pPr>
        <w:spacing w:before="160" w:after="80"/>
        <w:rPr>
          <w:color w:val="000000" w:themeColor="text1"/>
        </w:rPr>
      </w:pPr>
      <w:r w:rsidRPr="005B4BBA">
        <w:rPr>
          <w:b/>
          <w:color w:val="000000" w:themeColor="text1"/>
          <w:sz w:val="21"/>
        </w:rPr>
        <w:t>Table 1: Complete Hematological and Biochemical Laboratory Profile at Admission (22/08/2026)</w:t>
      </w:r>
    </w:p>
    <w:tbl>
      <w:tblPr>
        <w:tblW w:w="0" w:type="auto"/>
        <w:jc w:val="center"/>
        <w:tblBorders>
          <w:top w:val="single" w:sz="4" w:space="0" w:color="B0BEC5"/>
          <w:bottom w:val="single" w:sz="4" w:space="0" w:color="B0BEC5"/>
          <w:insideH w:val="single" w:sz="4" w:space="0" w:color="B0BEC5"/>
        </w:tblBorders>
        <w:tblLook w:val="04A0" w:firstRow="1" w:lastRow="0" w:firstColumn="1" w:lastColumn="0" w:noHBand="0" w:noVBand="1"/>
      </w:tblPr>
      <w:tblGrid>
        <w:gridCol w:w="2160"/>
        <w:gridCol w:w="1872"/>
        <w:gridCol w:w="1296"/>
        <w:gridCol w:w="1728"/>
        <w:gridCol w:w="2304"/>
      </w:tblGrid>
      <w:tr w:rsidR="004549F7" w:rsidRPr="005B4BBA" w14:paraId="53A75C6C" w14:textId="77777777">
        <w:trPr>
          <w:jc w:val="center"/>
        </w:trPr>
        <w:tc>
          <w:tcPr>
            <w:tcW w:w="2160" w:type="dxa"/>
            <w:shd w:val="clear" w:color="auto" w:fill="102C57"/>
            <w:tcMar>
              <w:top w:w="60" w:type="dxa"/>
              <w:left w:w="100" w:type="dxa"/>
              <w:bottom w:w="60" w:type="dxa"/>
              <w:right w:w="100" w:type="dxa"/>
            </w:tcMar>
          </w:tcPr>
          <w:p w14:paraId="664D378E" w14:textId="77777777" w:rsidR="004549F7" w:rsidRPr="005E7672" w:rsidRDefault="00F15AFD">
            <w:pPr>
              <w:spacing w:after="0" w:line="252" w:lineRule="auto"/>
              <w:rPr>
                <w:color w:val="FFFFFF" w:themeColor="background1"/>
              </w:rPr>
            </w:pPr>
            <w:r w:rsidRPr="005E7672">
              <w:rPr>
                <w:b/>
                <w:color w:val="FFFFFF" w:themeColor="background1"/>
                <w:sz w:val="17"/>
              </w:rPr>
              <w:t>Investigation / Parameter</w:t>
            </w:r>
          </w:p>
        </w:tc>
        <w:tc>
          <w:tcPr>
            <w:tcW w:w="1872" w:type="dxa"/>
            <w:shd w:val="clear" w:color="auto" w:fill="102C57"/>
            <w:tcMar>
              <w:top w:w="60" w:type="dxa"/>
              <w:left w:w="100" w:type="dxa"/>
              <w:bottom w:w="60" w:type="dxa"/>
              <w:right w:w="100" w:type="dxa"/>
            </w:tcMar>
          </w:tcPr>
          <w:p w14:paraId="3B593EE5" w14:textId="77777777" w:rsidR="004549F7" w:rsidRPr="005E7672" w:rsidRDefault="00F15AFD">
            <w:pPr>
              <w:spacing w:after="0" w:line="252" w:lineRule="auto"/>
              <w:rPr>
                <w:color w:val="FFFFFF" w:themeColor="background1"/>
              </w:rPr>
            </w:pPr>
            <w:r w:rsidRPr="005E7672">
              <w:rPr>
                <w:b/>
                <w:color w:val="FFFFFF" w:themeColor="background1"/>
                <w:sz w:val="17"/>
              </w:rPr>
              <w:t>Testing Method / Platform</w:t>
            </w:r>
          </w:p>
        </w:tc>
        <w:tc>
          <w:tcPr>
            <w:tcW w:w="1296" w:type="dxa"/>
            <w:shd w:val="clear" w:color="auto" w:fill="102C57"/>
            <w:tcMar>
              <w:top w:w="60" w:type="dxa"/>
              <w:left w:w="100" w:type="dxa"/>
              <w:bottom w:w="60" w:type="dxa"/>
              <w:right w:w="100" w:type="dxa"/>
            </w:tcMar>
          </w:tcPr>
          <w:p w14:paraId="69CE97C7" w14:textId="77777777" w:rsidR="004549F7" w:rsidRPr="005E7672" w:rsidRDefault="00F15AFD">
            <w:pPr>
              <w:spacing w:after="0" w:line="252" w:lineRule="auto"/>
              <w:rPr>
                <w:color w:val="FFFFFF" w:themeColor="background1"/>
              </w:rPr>
            </w:pPr>
            <w:r w:rsidRPr="005E7672">
              <w:rPr>
                <w:b/>
                <w:color w:val="FFFFFF" w:themeColor="background1"/>
                <w:sz w:val="17"/>
              </w:rPr>
              <w:t>Observed Value</w:t>
            </w:r>
          </w:p>
        </w:tc>
        <w:tc>
          <w:tcPr>
            <w:tcW w:w="1728" w:type="dxa"/>
            <w:shd w:val="clear" w:color="auto" w:fill="102C57"/>
            <w:tcMar>
              <w:top w:w="60" w:type="dxa"/>
              <w:left w:w="100" w:type="dxa"/>
              <w:bottom w:w="60" w:type="dxa"/>
              <w:right w:w="100" w:type="dxa"/>
            </w:tcMar>
          </w:tcPr>
          <w:p w14:paraId="35A19D29" w14:textId="77777777" w:rsidR="004549F7" w:rsidRPr="005E7672" w:rsidRDefault="00F15AFD">
            <w:pPr>
              <w:spacing w:after="0" w:line="252" w:lineRule="auto"/>
              <w:rPr>
                <w:color w:val="FFFFFF" w:themeColor="background1"/>
              </w:rPr>
            </w:pPr>
            <w:r w:rsidRPr="005E7672">
              <w:rPr>
                <w:b/>
                <w:color w:val="FFFFFF" w:themeColor="background1"/>
                <w:sz w:val="17"/>
              </w:rPr>
              <w:t>Biological Reference Interval</w:t>
            </w:r>
          </w:p>
        </w:tc>
        <w:tc>
          <w:tcPr>
            <w:tcW w:w="2304" w:type="dxa"/>
            <w:shd w:val="clear" w:color="auto" w:fill="102C57"/>
            <w:tcMar>
              <w:top w:w="60" w:type="dxa"/>
              <w:left w:w="100" w:type="dxa"/>
              <w:bottom w:w="60" w:type="dxa"/>
              <w:right w:w="100" w:type="dxa"/>
            </w:tcMar>
          </w:tcPr>
          <w:p w14:paraId="14170F01" w14:textId="77777777" w:rsidR="004549F7" w:rsidRPr="005E7672" w:rsidRDefault="00F15AFD">
            <w:pPr>
              <w:spacing w:after="0" w:line="252" w:lineRule="auto"/>
              <w:rPr>
                <w:color w:val="FFFFFF" w:themeColor="background1"/>
              </w:rPr>
            </w:pPr>
            <w:r w:rsidRPr="005E7672">
              <w:rPr>
                <w:b/>
                <w:color w:val="FFFFFF" w:themeColor="background1"/>
                <w:sz w:val="17"/>
              </w:rPr>
              <w:t>Clinical Interpretation</w:t>
            </w:r>
          </w:p>
        </w:tc>
      </w:tr>
      <w:tr w:rsidR="004549F7" w:rsidRPr="005B4BBA" w14:paraId="0627595F" w14:textId="77777777">
        <w:trPr>
          <w:jc w:val="center"/>
        </w:trPr>
        <w:tc>
          <w:tcPr>
            <w:tcW w:w="2160" w:type="dxa"/>
            <w:shd w:val="clear" w:color="auto" w:fill="F8F9FA"/>
            <w:tcMar>
              <w:top w:w="60" w:type="dxa"/>
              <w:left w:w="100" w:type="dxa"/>
              <w:bottom w:w="60" w:type="dxa"/>
              <w:right w:w="100" w:type="dxa"/>
            </w:tcMar>
          </w:tcPr>
          <w:p w14:paraId="56918AE0" w14:textId="77777777" w:rsidR="004549F7" w:rsidRPr="005B4BBA" w:rsidRDefault="00F15AFD">
            <w:pPr>
              <w:spacing w:after="0" w:line="252" w:lineRule="auto"/>
              <w:rPr>
                <w:color w:val="000000" w:themeColor="text1"/>
              </w:rPr>
            </w:pPr>
            <w:r w:rsidRPr="005B4BBA">
              <w:rPr>
                <w:color w:val="000000" w:themeColor="text1"/>
                <w:sz w:val="17"/>
              </w:rPr>
              <w:t>Hemoglobin (Hb)</w:t>
            </w:r>
          </w:p>
        </w:tc>
        <w:tc>
          <w:tcPr>
            <w:tcW w:w="1872" w:type="dxa"/>
            <w:shd w:val="clear" w:color="auto" w:fill="F8F9FA"/>
            <w:tcMar>
              <w:top w:w="60" w:type="dxa"/>
              <w:left w:w="100" w:type="dxa"/>
              <w:bottom w:w="60" w:type="dxa"/>
              <w:right w:w="100" w:type="dxa"/>
            </w:tcMar>
          </w:tcPr>
          <w:p w14:paraId="2889A5F1" w14:textId="77777777" w:rsidR="004549F7" w:rsidRPr="005B4BBA" w:rsidRDefault="00F15AFD">
            <w:pPr>
              <w:spacing w:after="0" w:line="252" w:lineRule="auto"/>
              <w:rPr>
                <w:color w:val="000000" w:themeColor="text1"/>
              </w:rPr>
            </w:pPr>
            <w:r w:rsidRPr="005B4BBA">
              <w:rPr>
                <w:color w:val="000000" w:themeColor="text1"/>
                <w:sz w:val="17"/>
              </w:rPr>
              <w:t>Fluorescent Flow Cytometry</w:t>
            </w:r>
          </w:p>
        </w:tc>
        <w:tc>
          <w:tcPr>
            <w:tcW w:w="1296" w:type="dxa"/>
            <w:shd w:val="clear" w:color="auto" w:fill="F8F9FA"/>
            <w:tcMar>
              <w:top w:w="60" w:type="dxa"/>
              <w:left w:w="100" w:type="dxa"/>
              <w:bottom w:w="60" w:type="dxa"/>
              <w:right w:w="100" w:type="dxa"/>
            </w:tcMar>
          </w:tcPr>
          <w:p w14:paraId="43AFDDFA" w14:textId="77777777" w:rsidR="004549F7" w:rsidRPr="005B4BBA" w:rsidRDefault="00F15AFD">
            <w:pPr>
              <w:spacing w:after="0" w:line="252" w:lineRule="auto"/>
              <w:rPr>
                <w:color w:val="000000" w:themeColor="text1"/>
              </w:rPr>
            </w:pPr>
            <w:r w:rsidRPr="005B4BBA">
              <w:rPr>
                <w:color w:val="000000" w:themeColor="text1"/>
                <w:sz w:val="17"/>
              </w:rPr>
              <w:t>5.3 g/dL</w:t>
            </w:r>
          </w:p>
        </w:tc>
        <w:tc>
          <w:tcPr>
            <w:tcW w:w="1728" w:type="dxa"/>
            <w:shd w:val="clear" w:color="auto" w:fill="F8F9FA"/>
            <w:tcMar>
              <w:top w:w="60" w:type="dxa"/>
              <w:left w:w="100" w:type="dxa"/>
              <w:bottom w:w="60" w:type="dxa"/>
              <w:right w:w="100" w:type="dxa"/>
            </w:tcMar>
          </w:tcPr>
          <w:p w14:paraId="4CE387FA" w14:textId="77777777" w:rsidR="004549F7" w:rsidRPr="005B4BBA" w:rsidRDefault="00F15AFD">
            <w:pPr>
              <w:spacing w:after="0" w:line="252" w:lineRule="auto"/>
              <w:rPr>
                <w:color w:val="000000" w:themeColor="text1"/>
              </w:rPr>
            </w:pPr>
            <w:r w:rsidRPr="005B4BBA">
              <w:rPr>
                <w:color w:val="000000" w:themeColor="text1"/>
                <w:sz w:val="17"/>
              </w:rPr>
              <w:t>10.2 – 15.2 g/dL</w:t>
            </w:r>
          </w:p>
        </w:tc>
        <w:tc>
          <w:tcPr>
            <w:tcW w:w="2304" w:type="dxa"/>
            <w:shd w:val="clear" w:color="auto" w:fill="F8F9FA"/>
            <w:tcMar>
              <w:top w:w="60" w:type="dxa"/>
              <w:left w:w="100" w:type="dxa"/>
              <w:bottom w:w="60" w:type="dxa"/>
              <w:right w:w="100" w:type="dxa"/>
            </w:tcMar>
          </w:tcPr>
          <w:p w14:paraId="4FE45896" w14:textId="77777777" w:rsidR="004549F7" w:rsidRPr="005B4BBA" w:rsidRDefault="00F15AFD">
            <w:pPr>
              <w:spacing w:after="0" w:line="252" w:lineRule="auto"/>
              <w:rPr>
                <w:color w:val="000000" w:themeColor="text1"/>
              </w:rPr>
            </w:pPr>
            <w:r w:rsidRPr="005B4BBA">
              <w:rPr>
                <w:color w:val="000000" w:themeColor="text1"/>
                <w:sz w:val="17"/>
              </w:rPr>
              <w:t>Severe decompensated anemia (Hyperhemolytic crisis)</w:t>
            </w:r>
          </w:p>
        </w:tc>
      </w:tr>
      <w:tr w:rsidR="004549F7" w:rsidRPr="005B4BBA" w14:paraId="3FF2276C" w14:textId="77777777">
        <w:trPr>
          <w:jc w:val="center"/>
        </w:trPr>
        <w:tc>
          <w:tcPr>
            <w:tcW w:w="2160" w:type="dxa"/>
            <w:shd w:val="clear" w:color="auto" w:fill="FFFFFF"/>
            <w:tcMar>
              <w:top w:w="60" w:type="dxa"/>
              <w:left w:w="100" w:type="dxa"/>
              <w:bottom w:w="60" w:type="dxa"/>
              <w:right w:w="100" w:type="dxa"/>
            </w:tcMar>
          </w:tcPr>
          <w:p w14:paraId="2E9C540D" w14:textId="77777777" w:rsidR="004549F7" w:rsidRPr="005B4BBA" w:rsidRDefault="00F15AFD">
            <w:pPr>
              <w:spacing w:after="0" w:line="252" w:lineRule="auto"/>
              <w:rPr>
                <w:color w:val="000000" w:themeColor="text1"/>
              </w:rPr>
            </w:pPr>
            <w:r w:rsidRPr="005B4BBA">
              <w:rPr>
                <w:color w:val="000000" w:themeColor="text1"/>
                <w:sz w:val="17"/>
              </w:rPr>
              <w:t>RBC Count</w:t>
            </w:r>
          </w:p>
        </w:tc>
        <w:tc>
          <w:tcPr>
            <w:tcW w:w="1872" w:type="dxa"/>
            <w:shd w:val="clear" w:color="auto" w:fill="FFFFFF"/>
            <w:tcMar>
              <w:top w:w="60" w:type="dxa"/>
              <w:left w:w="100" w:type="dxa"/>
              <w:bottom w:w="60" w:type="dxa"/>
              <w:right w:w="100" w:type="dxa"/>
            </w:tcMar>
          </w:tcPr>
          <w:p w14:paraId="3E513597" w14:textId="77777777" w:rsidR="004549F7" w:rsidRPr="005B4BBA" w:rsidRDefault="00F15AFD">
            <w:pPr>
              <w:spacing w:after="0" w:line="252" w:lineRule="auto"/>
              <w:rPr>
                <w:color w:val="000000" w:themeColor="text1"/>
              </w:rPr>
            </w:pPr>
            <w:r w:rsidRPr="005B4BBA">
              <w:rPr>
                <w:color w:val="000000" w:themeColor="text1"/>
                <w:sz w:val="17"/>
              </w:rPr>
              <w:t>Electrical Impedance</w:t>
            </w:r>
          </w:p>
        </w:tc>
        <w:tc>
          <w:tcPr>
            <w:tcW w:w="1296" w:type="dxa"/>
            <w:shd w:val="clear" w:color="auto" w:fill="FFFFFF"/>
            <w:tcMar>
              <w:top w:w="60" w:type="dxa"/>
              <w:left w:w="100" w:type="dxa"/>
              <w:bottom w:w="60" w:type="dxa"/>
              <w:right w:w="100" w:type="dxa"/>
            </w:tcMar>
          </w:tcPr>
          <w:p w14:paraId="4C81A48B" w14:textId="77777777" w:rsidR="004549F7" w:rsidRPr="005B4BBA" w:rsidRDefault="00F15AFD">
            <w:pPr>
              <w:spacing w:after="0" w:line="252" w:lineRule="auto"/>
              <w:rPr>
                <w:color w:val="000000" w:themeColor="text1"/>
              </w:rPr>
            </w:pPr>
            <w:r w:rsidRPr="005B4BBA">
              <w:rPr>
                <w:color w:val="000000" w:themeColor="text1"/>
                <w:sz w:val="17"/>
              </w:rPr>
              <w:t>1.70 x 10^6 /cumm</w:t>
            </w:r>
          </w:p>
        </w:tc>
        <w:tc>
          <w:tcPr>
            <w:tcW w:w="1728" w:type="dxa"/>
            <w:shd w:val="clear" w:color="auto" w:fill="FFFFFF"/>
            <w:tcMar>
              <w:top w:w="60" w:type="dxa"/>
              <w:left w:w="100" w:type="dxa"/>
              <w:bottom w:w="60" w:type="dxa"/>
              <w:right w:w="100" w:type="dxa"/>
            </w:tcMar>
          </w:tcPr>
          <w:p w14:paraId="2492354D" w14:textId="77777777" w:rsidR="004549F7" w:rsidRPr="005B4BBA" w:rsidRDefault="00F15AFD">
            <w:pPr>
              <w:spacing w:after="0" w:line="252" w:lineRule="auto"/>
              <w:rPr>
                <w:color w:val="000000" w:themeColor="text1"/>
              </w:rPr>
            </w:pPr>
            <w:r w:rsidRPr="005B4BBA">
              <w:rPr>
                <w:color w:val="000000" w:themeColor="text1"/>
                <w:sz w:val="17"/>
              </w:rPr>
              <w:t>4.0 – 5.2 x 10^6 /cumm</w:t>
            </w:r>
          </w:p>
        </w:tc>
        <w:tc>
          <w:tcPr>
            <w:tcW w:w="2304" w:type="dxa"/>
            <w:shd w:val="clear" w:color="auto" w:fill="FFFFFF"/>
            <w:tcMar>
              <w:top w:w="60" w:type="dxa"/>
              <w:left w:w="100" w:type="dxa"/>
              <w:bottom w:w="60" w:type="dxa"/>
              <w:right w:w="100" w:type="dxa"/>
            </w:tcMar>
          </w:tcPr>
          <w:p w14:paraId="1813856B" w14:textId="77777777" w:rsidR="004549F7" w:rsidRPr="005B4BBA" w:rsidRDefault="00F15AFD">
            <w:pPr>
              <w:spacing w:after="0" w:line="252" w:lineRule="auto"/>
              <w:rPr>
                <w:color w:val="000000" w:themeColor="text1"/>
              </w:rPr>
            </w:pPr>
            <w:r w:rsidRPr="005B4BBA">
              <w:rPr>
                <w:color w:val="000000" w:themeColor="text1"/>
                <w:sz w:val="17"/>
              </w:rPr>
              <w:t>Profound erythrocytopenia</w:t>
            </w:r>
          </w:p>
        </w:tc>
      </w:tr>
      <w:tr w:rsidR="004549F7" w:rsidRPr="005B4BBA" w14:paraId="40C0DBB0" w14:textId="77777777">
        <w:trPr>
          <w:jc w:val="center"/>
        </w:trPr>
        <w:tc>
          <w:tcPr>
            <w:tcW w:w="2160" w:type="dxa"/>
            <w:shd w:val="clear" w:color="auto" w:fill="F8F9FA"/>
            <w:tcMar>
              <w:top w:w="60" w:type="dxa"/>
              <w:left w:w="100" w:type="dxa"/>
              <w:bottom w:w="60" w:type="dxa"/>
              <w:right w:w="100" w:type="dxa"/>
            </w:tcMar>
          </w:tcPr>
          <w:p w14:paraId="47DF3400" w14:textId="77777777" w:rsidR="004549F7" w:rsidRPr="005B4BBA" w:rsidRDefault="00F15AFD">
            <w:pPr>
              <w:spacing w:after="0" w:line="252" w:lineRule="auto"/>
              <w:rPr>
                <w:color w:val="000000" w:themeColor="text1"/>
              </w:rPr>
            </w:pPr>
            <w:r w:rsidRPr="005B4BBA">
              <w:rPr>
                <w:color w:val="000000" w:themeColor="text1"/>
                <w:sz w:val="17"/>
              </w:rPr>
              <w:t>Packed Cell Volume (PCV / Hct)</w:t>
            </w:r>
          </w:p>
        </w:tc>
        <w:tc>
          <w:tcPr>
            <w:tcW w:w="1872" w:type="dxa"/>
            <w:shd w:val="clear" w:color="auto" w:fill="F8F9FA"/>
            <w:tcMar>
              <w:top w:w="60" w:type="dxa"/>
              <w:left w:w="100" w:type="dxa"/>
              <w:bottom w:w="60" w:type="dxa"/>
              <w:right w:w="100" w:type="dxa"/>
            </w:tcMar>
          </w:tcPr>
          <w:p w14:paraId="58DAAEB4" w14:textId="77777777" w:rsidR="004549F7" w:rsidRPr="005B4BBA" w:rsidRDefault="00F15AFD">
            <w:pPr>
              <w:spacing w:after="0" w:line="252" w:lineRule="auto"/>
              <w:rPr>
                <w:color w:val="000000" w:themeColor="text1"/>
              </w:rPr>
            </w:pPr>
            <w:r w:rsidRPr="005B4BBA">
              <w:rPr>
                <w:color w:val="000000" w:themeColor="text1"/>
                <w:sz w:val="17"/>
              </w:rPr>
              <w:t>Derived / Automated</w:t>
            </w:r>
          </w:p>
        </w:tc>
        <w:tc>
          <w:tcPr>
            <w:tcW w:w="1296" w:type="dxa"/>
            <w:shd w:val="clear" w:color="auto" w:fill="F8F9FA"/>
            <w:tcMar>
              <w:top w:w="60" w:type="dxa"/>
              <w:left w:w="100" w:type="dxa"/>
              <w:bottom w:w="60" w:type="dxa"/>
              <w:right w:w="100" w:type="dxa"/>
            </w:tcMar>
          </w:tcPr>
          <w:p w14:paraId="586D0CE6" w14:textId="77777777" w:rsidR="004549F7" w:rsidRPr="005B4BBA" w:rsidRDefault="00F15AFD">
            <w:pPr>
              <w:spacing w:after="0" w:line="252" w:lineRule="auto"/>
              <w:rPr>
                <w:color w:val="000000" w:themeColor="text1"/>
              </w:rPr>
            </w:pPr>
            <w:r w:rsidRPr="005B4BBA">
              <w:rPr>
                <w:color w:val="000000" w:themeColor="text1"/>
                <w:sz w:val="17"/>
              </w:rPr>
              <w:t>15.9 %</w:t>
            </w:r>
          </w:p>
        </w:tc>
        <w:tc>
          <w:tcPr>
            <w:tcW w:w="1728" w:type="dxa"/>
            <w:shd w:val="clear" w:color="auto" w:fill="F8F9FA"/>
            <w:tcMar>
              <w:top w:w="60" w:type="dxa"/>
              <w:left w:w="100" w:type="dxa"/>
              <w:bottom w:w="60" w:type="dxa"/>
              <w:right w:w="100" w:type="dxa"/>
            </w:tcMar>
          </w:tcPr>
          <w:p w14:paraId="6A94C7C4" w14:textId="77777777" w:rsidR="004549F7" w:rsidRPr="005B4BBA" w:rsidRDefault="00F15AFD">
            <w:pPr>
              <w:spacing w:after="0" w:line="252" w:lineRule="auto"/>
              <w:rPr>
                <w:color w:val="000000" w:themeColor="text1"/>
              </w:rPr>
            </w:pPr>
            <w:r w:rsidRPr="005B4BBA">
              <w:rPr>
                <w:color w:val="000000" w:themeColor="text1"/>
                <w:sz w:val="17"/>
              </w:rPr>
              <w:t>40.0 – 54.0 %</w:t>
            </w:r>
          </w:p>
        </w:tc>
        <w:tc>
          <w:tcPr>
            <w:tcW w:w="2304" w:type="dxa"/>
            <w:shd w:val="clear" w:color="auto" w:fill="F8F9FA"/>
            <w:tcMar>
              <w:top w:w="60" w:type="dxa"/>
              <w:left w:w="100" w:type="dxa"/>
              <w:bottom w:w="60" w:type="dxa"/>
              <w:right w:w="100" w:type="dxa"/>
            </w:tcMar>
          </w:tcPr>
          <w:p w14:paraId="68C09FD7" w14:textId="77777777" w:rsidR="004549F7" w:rsidRPr="005B4BBA" w:rsidRDefault="00F15AFD">
            <w:pPr>
              <w:spacing w:after="0" w:line="252" w:lineRule="auto"/>
              <w:rPr>
                <w:color w:val="000000" w:themeColor="text1"/>
              </w:rPr>
            </w:pPr>
            <w:r w:rsidRPr="005B4BBA">
              <w:rPr>
                <w:color w:val="000000" w:themeColor="text1"/>
                <w:sz w:val="17"/>
              </w:rPr>
              <w:t>Markedly reduced hematocrit / red cell mass</w:t>
            </w:r>
          </w:p>
        </w:tc>
      </w:tr>
      <w:tr w:rsidR="004549F7" w:rsidRPr="005B4BBA" w14:paraId="6AB201C7" w14:textId="77777777">
        <w:trPr>
          <w:jc w:val="center"/>
        </w:trPr>
        <w:tc>
          <w:tcPr>
            <w:tcW w:w="2160" w:type="dxa"/>
            <w:shd w:val="clear" w:color="auto" w:fill="FFFFFF"/>
            <w:tcMar>
              <w:top w:w="60" w:type="dxa"/>
              <w:left w:w="100" w:type="dxa"/>
              <w:bottom w:w="60" w:type="dxa"/>
              <w:right w:w="100" w:type="dxa"/>
            </w:tcMar>
          </w:tcPr>
          <w:p w14:paraId="41B8CDF2" w14:textId="77777777" w:rsidR="004549F7" w:rsidRPr="005B4BBA" w:rsidRDefault="00F15AFD">
            <w:pPr>
              <w:spacing w:after="0" w:line="252" w:lineRule="auto"/>
              <w:rPr>
                <w:color w:val="000000" w:themeColor="text1"/>
              </w:rPr>
            </w:pPr>
            <w:r w:rsidRPr="005B4BBA">
              <w:rPr>
                <w:color w:val="000000" w:themeColor="text1"/>
                <w:sz w:val="17"/>
              </w:rPr>
              <w:t>Mean Corpuscular Volume (MCV)</w:t>
            </w:r>
          </w:p>
        </w:tc>
        <w:tc>
          <w:tcPr>
            <w:tcW w:w="1872" w:type="dxa"/>
            <w:shd w:val="clear" w:color="auto" w:fill="FFFFFF"/>
            <w:tcMar>
              <w:top w:w="60" w:type="dxa"/>
              <w:left w:w="100" w:type="dxa"/>
              <w:bottom w:w="60" w:type="dxa"/>
              <w:right w:w="100" w:type="dxa"/>
            </w:tcMar>
          </w:tcPr>
          <w:p w14:paraId="69C1A30A" w14:textId="77777777" w:rsidR="004549F7" w:rsidRPr="005B4BBA" w:rsidRDefault="00F15AFD">
            <w:pPr>
              <w:spacing w:after="0" w:line="252" w:lineRule="auto"/>
              <w:rPr>
                <w:color w:val="000000" w:themeColor="text1"/>
              </w:rPr>
            </w:pPr>
            <w:r w:rsidRPr="005B4BBA">
              <w:rPr>
                <w:color w:val="000000" w:themeColor="text1"/>
                <w:sz w:val="17"/>
              </w:rPr>
              <w:t>Derived</w:t>
            </w:r>
          </w:p>
        </w:tc>
        <w:tc>
          <w:tcPr>
            <w:tcW w:w="1296" w:type="dxa"/>
            <w:shd w:val="clear" w:color="auto" w:fill="FFFFFF"/>
            <w:tcMar>
              <w:top w:w="60" w:type="dxa"/>
              <w:left w:w="100" w:type="dxa"/>
              <w:bottom w:w="60" w:type="dxa"/>
              <w:right w:w="100" w:type="dxa"/>
            </w:tcMar>
          </w:tcPr>
          <w:p w14:paraId="4498A693" w14:textId="77777777" w:rsidR="004549F7" w:rsidRPr="005B4BBA" w:rsidRDefault="00F15AFD">
            <w:pPr>
              <w:spacing w:after="0" w:line="252" w:lineRule="auto"/>
              <w:rPr>
                <w:color w:val="000000" w:themeColor="text1"/>
              </w:rPr>
            </w:pPr>
            <w:r w:rsidRPr="005B4BBA">
              <w:rPr>
                <w:color w:val="000000" w:themeColor="text1"/>
                <w:sz w:val="17"/>
              </w:rPr>
              <w:t>104.6 fL</w:t>
            </w:r>
          </w:p>
        </w:tc>
        <w:tc>
          <w:tcPr>
            <w:tcW w:w="1728" w:type="dxa"/>
            <w:shd w:val="clear" w:color="auto" w:fill="FFFFFF"/>
            <w:tcMar>
              <w:top w:w="60" w:type="dxa"/>
              <w:left w:w="100" w:type="dxa"/>
              <w:bottom w:w="60" w:type="dxa"/>
              <w:right w:w="100" w:type="dxa"/>
            </w:tcMar>
          </w:tcPr>
          <w:p w14:paraId="2F3B3D7B" w14:textId="77777777" w:rsidR="004549F7" w:rsidRPr="005B4BBA" w:rsidRDefault="00F15AFD">
            <w:pPr>
              <w:spacing w:after="0" w:line="252" w:lineRule="auto"/>
              <w:rPr>
                <w:color w:val="000000" w:themeColor="text1"/>
              </w:rPr>
            </w:pPr>
            <w:r w:rsidRPr="005B4BBA">
              <w:rPr>
                <w:color w:val="000000" w:themeColor="text1"/>
                <w:sz w:val="17"/>
              </w:rPr>
              <w:t>78.0 – 94.0 fL</w:t>
            </w:r>
          </w:p>
        </w:tc>
        <w:tc>
          <w:tcPr>
            <w:tcW w:w="2304" w:type="dxa"/>
            <w:shd w:val="clear" w:color="auto" w:fill="FFFFFF"/>
            <w:tcMar>
              <w:top w:w="60" w:type="dxa"/>
              <w:left w:w="100" w:type="dxa"/>
              <w:bottom w:w="60" w:type="dxa"/>
              <w:right w:w="100" w:type="dxa"/>
            </w:tcMar>
          </w:tcPr>
          <w:p w14:paraId="0EB256A0" w14:textId="77777777" w:rsidR="004549F7" w:rsidRPr="005B4BBA" w:rsidRDefault="00F15AFD">
            <w:pPr>
              <w:spacing w:after="0" w:line="252" w:lineRule="auto"/>
              <w:rPr>
                <w:color w:val="000000" w:themeColor="text1"/>
              </w:rPr>
            </w:pPr>
            <w:r w:rsidRPr="005B4BBA">
              <w:rPr>
                <w:color w:val="000000" w:themeColor="text1"/>
                <w:sz w:val="17"/>
              </w:rPr>
              <w:t>Macrocytosis (Prominent reticulocytosis response)</w:t>
            </w:r>
          </w:p>
        </w:tc>
      </w:tr>
      <w:tr w:rsidR="004549F7" w:rsidRPr="005B4BBA" w14:paraId="15A05802" w14:textId="77777777">
        <w:trPr>
          <w:jc w:val="center"/>
        </w:trPr>
        <w:tc>
          <w:tcPr>
            <w:tcW w:w="2160" w:type="dxa"/>
            <w:shd w:val="clear" w:color="auto" w:fill="F8F9FA"/>
            <w:tcMar>
              <w:top w:w="60" w:type="dxa"/>
              <w:left w:w="100" w:type="dxa"/>
              <w:bottom w:w="60" w:type="dxa"/>
              <w:right w:w="100" w:type="dxa"/>
            </w:tcMar>
          </w:tcPr>
          <w:p w14:paraId="49FB1E56" w14:textId="77777777" w:rsidR="004549F7" w:rsidRPr="005B4BBA" w:rsidRDefault="00F15AFD">
            <w:pPr>
              <w:spacing w:after="0" w:line="252" w:lineRule="auto"/>
              <w:rPr>
                <w:color w:val="000000" w:themeColor="text1"/>
              </w:rPr>
            </w:pPr>
            <w:r w:rsidRPr="005B4BBA">
              <w:rPr>
                <w:color w:val="000000" w:themeColor="text1"/>
                <w:sz w:val="17"/>
              </w:rPr>
              <w:t>Mean Corpuscular Hemoglobin (MCH)</w:t>
            </w:r>
          </w:p>
        </w:tc>
        <w:tc>
          <w:tcPr>
            <w:tcW w:w="1872" w:type="dxa"/>
            <w:shd w:val="clear" w:color="auto" w:fill="F8F9FA"/>
            <w:tcMar>
              <w:top w:w="60" w:type="dxa"/>
              <w:left w:w="100" w:type="dxa"/>
              <w:bottom w:w="60" w:type="dxa"/>
              <w:right w:w="100" w:type="dxa"/>
            </w:tcMar>
          </w:tcPr>
          <w:p w14:paraId="41C7AA6D" w14:textId="77777777" w:rsidR="004549F7" w:rsidRPr="005B4BBA" w:rsidRDefault="00F15AFD">
            <w:pPr>
              <w:spacing w:after="0" w:line="252" w:lineRule="auto"/>
              <w:rPr>
                <w:color w:val="000000" w:themeColor="text1"/>
              </w:rPr>
            </w:pPr>
            <w:r w:rsidRPr="005B4BBA">
              <w:rPr>
                <w:color w:val="000000" w:themeColor="text1"/>
                <w:sz w:val="17"/>
              </w:rPr>
              <w:t>Derived</w:t>
            </w:r>
          </w:p>
        </w:tc>
        <w:tc>
          <w:tcPr>
            <w:tcW w:w="1296" w:type="dxa"/>
            <w:shd w:val="clear" w:color="auto" w:fill="F8F9FA"/>
            <w:tcMar>
              <w:top w:w="60" w:type="dxa"/>
              <w:left w:w="100" w:type="dxa"/>
              <w:bottom w:w="60" w:type="dxa"/>
              <w:right w:w="100" w:type="dxa"/>
            </w:tcMar>
          </w:tcPr>
          <w:p w14:paraId="23E1E1A1" w14:textId="77777777" w:rsidR="004549F7" w:rsidRPr="005B4BBA" w:rsidRDefault="00F15AFD">
            <w:pPr>
              <w:spacing w:after="0" w:line="252" w:lineRule="auto"/>
              <w:rPr>
                <w:color w:val="000000" w:themeColor="text1"/>
              </w:rPr>
            </w:pPr>
            <w:r w:rsidRPr="005B4BBA">
              <w:rPr>
                <w:color w:val="000000" w:themeColor="text1"/>
                <w:sz w:val="17"/>
              </w:rPr>
              <w:t>31.4 pg</w:t>
            </w:r>
          </w:p>
        </w:tc>
        <w:tc>
          <w:tcPr>
            <w:tcW w:w="1728" w:type="dxa"/>
            <w:shd w:val="clear" w:color="auto" w:fill="F8F9FA"/>
            <w:tcMar>
              <w:top w:w="60" w:type="dxa"/>
              <w:left w:w="100" w:type="dxa"/>
              <w:bottom w:w="60" w:type="dxa"/>
              <w:right w:w="100" w:type="dxa"/>
            </w:tcMar>
          </w:tcPr>
          <w:p w14:paraId="2B99A2A6" w14:textId="77777777" w:rsidR="004549F7" w:rsidRPr="005B4BBA" w:rsidRDefault="00F15AFD">
            <w:pPr>
              <w:spacing w:after="0" w:line="252" w:lineRule="auto"/>
              <w:rPr>
                <w:color w:val="000000" w:themeColor="text1"/>
              </w:rPr>
            </w:pPr>
            <w:r w:rsidRPr="005B4BBA">
              <w:rPr>
                <w:color w:val="000000" w:themeColor="text1"/>
                <w:sz w:val="17"/>
              </w:rPr>
              <w:t>23.0 – 31.0 pg</w:t>
            </w:r>
          </w:p>
        </w:tc>
        <w:tc>
          <w:tcPr>
            <w:tcW w:w="2304" w:type="dxa"/>
            <w:shd w:val="clear" w:color="auto" w:fill="F8F9FA"/>
            <w:tcMar>
              <w:top w:w="60" w:type="dxa"/>
              <w:left w:w="100" w:type="dxa"/>
              <w:bottom w:w="60" w:type="dxa"/>
              <w:right w:w="100" w:type="dxa"/>
            </w:tcMar>
          </w:tcPr>
          <w:p w14:paraId="400186E2" w14:textId="77777777" w:rsidR="004549F7" w:rsidRPr="005B4BBA" w:rsidRDefault="00F15AFD">
            <w:pPr>
              <w:spacing w:after="0" w:line="252" w:lineRule="auto"/>
              <w:rPr>
                <w:color w:val="000000" w:themeColor="text1"/>
              </w:rPr>
            </w:pPr>
            <w:r w:rsidRPr="005B4BBA">
              <w:rPr>
                <w:color w:val="000000" w:themeColor="text1"/>
                <w:sz w:val="17"/>
              </w:rPr>
              <w:t>Upper normal limit</w:t>
            </w:r>
          </w:p>
        </w:tc>
      </w:tr>
      <w:tr w:rsidR="004549F7" w:rsidRPr="005B4BBA" w14:paraId="30750FEC" w14:textId="77777777">
        <w:trPr>
          <w:jc w:val="center"/>
        </w:trPr>
        <w:tc>
          <w:tcPr>
            <w:tcW w:w="2160" w:type="dxa"/>
            <w:shd w:val="clear" w:color="auto" w:fill="FFFFFF"/>
            <w:tcMar>
              <w:top w:w="60" w:type="dxa"/>
              <w:left w:w="100" w:type="dxa"/>
              <w:bottom w:w="60" w:type="dxa"/>
              <w:right w:w="100" w:type="dxa"/>
            </w:tcMar>
          </w:tcPr>
          <w:p w14:paraId="435CF847" w14:textId="77777777" w:rsidR="004549F7" w:rsidRPr="005B4BBA" w:rsidRDefault="00F15AFD">
            <w:pPr>
              <w:spacing w:after="0" w:line="252" w:lineRule="auto"/>
              <w:rPr>
                <w:color w:val="000000" w:themeColor="text1"/>
              </w:rPr>
            </w:pPr>
            <w:r w:rsidRPr="005B4BBA">
              <w:rPr>
                <w:color w:val="000000" w:themeColor="text1"/>
                <w:sz w:val="17"/>
              </w:rPr>
              <w:t>Mean Corpuscular Hb Conc. (MCHC)</w:t>
            </w:r>
          </w:p>
        </w:tc>
        <w:tc>
          <w:tcPr>
            <w:tcW w:w="1872" w:type="dxa"/>
            <w:shd w:val="clear" w:color="auto" w:fill="FFFFFF"/>
            <w:tcMar>
              <w:top w:w="60" w:type="dxa"/>
              <w:left w:w="100" w:type="dxa"/>
              <w:bottom w:w="60" w:type="dxa"/>
              <w:right w:w="100" w:type="dxa"/>
            </w:tcMar>
          </w:tcPr>
          <w:p w14:paraId="60AD946E" w14:textId="77777777" w:rsidR="004549F7" w:rsidRPr="005B4BBA" w:rsidRDefault="00F15AFD">
            <w:pPr>
              <w:spacing w:after="0" w:line="252" w:lineRule="auto"/>
              <w:rPr>
                <w:color w:val="000000" w:themeColor="text1"/>
              </w:rPr>
            </w:pPr>
            <w:r w:rsidRPr="005B4BBA">
              <w:rPr>
                <w:color w:val="000000" w:themeColor="text1"/>
                <w:sz w:val="17"/>
              </w:rPr>
              <w:t>Derived</w:t>
            </w:r>
          </w:p>
        </w:tc>
        <w:tc>
          <w:tcPr>
            <w:tcW w:w="1296" w:type="dxa"/>
            <w:shd w:val="clear" w:color="auto" w:fill="FFFFFF"/>
            <w:tcMar>
              <w:top w:w="60" w:type="dxa"/>
              <w:left w:w="100" w:type="dxa"/>
              <w:bottom w:w="60" w:type="dxa"/>
              <w:right w:w="100" w:type="dxa"/>
            </w:tcMar>
          </w:tcPr>
          <w:p w14:paraId="7E243B97" w14:textId="77777777" w:rsidR="004549F7" w:rsidRPr="005B4BBA" w:rsidRDefault="00F15AFD">
            <w:pPr>
              <w:spacing w:after="0" w:line="252" w:lineRule="auto"/>
              <w:rPr>
                <w:color w:val="000000" w:themeColor="text1"/>
              </w:rPr>
            </w:pPr>
            <w:r w:rsidRPr="005B4BBA">
              <w:rPr>
                <w:color w:val="000000" w:themeColor="text1"/>
                <w:sz w:val="17"/>
              </w:rPr>
              <w:t>29.9 g/dL</w:t>
            </w:r>
          </w:p>
        </w:tc>
        <w:tc>
          <w:tcPr>
            <w:tcW w:w="1728" w:type="dxa"/>
            <w:shd w:val="clear" w:color="auto" w:fill="FFFFFF"/>
            <w:tcMar>
              <w:top w:w="60" w:type="dxa"/>
              <w:left w:w="100" w:type="dxa"/>
              <w:bottom w:w="60" w:type="dxa"/>
              <w:right w:w="100" w:type="dxa"/>
            </w:tcMar>
          </w:tcPr>
          <w:p w14:paraId="4F0F04D1" w14:textId="77777777" w:rsidR="004549F7" w:rsidRPr="005B4BBA" w:rsidRDefault="00F15AFD">
            <w:pPr>
              <w:spacing w:after="0" w:line="252" w:lineRule="auto"/>
              <w:rPr>
                <w:color w:val="000000" w:themeColor="text1"/>
              </w:rPr>
            </w:pPr>
            <w:r w:rsidRPr="005B4BBA">
              <w:rPr>
                <w:color w:val="000000" w:themeColor="text1"/>
                <w:sz w:val="17"/>
              </w:rPr>
              <w:t>32.0 – 36.0 g/dL</w:t>
            </w:r>
          </w:p>
        </w:tc>
        <w:tc>
          <w:tcPr>
            <w:tcW w:w="2304" w:type="dxa"/>
            <w:shd w:val="clear" w:color="auto" w:fill="FFFFFF"/>
            <w:tcMar>
              <w:top w:w="60" w:type="dxa"/>
              <w:left w:w="100" w:type="dxa"/>
              <w:bottom w:w="60" w:type="dxa"/>
              <w:right w:w="100" w:type="dxa"/>
            </w:tcMar>
          </w:tcPr>
          <w:p w14:paraId="0E38B499" w14:textId="77777777" w:rsidR="004549F7" w:rsidRPr="005B4BBA" w:rsidRDefault="00F15AFD">
            <w:pPr>
              <w:spacing w:after="0" w:line="252" w:lineRule="auto"/>
              <w:rPr>
                <w:color w:val="000000" w:themeColor="text1"/>
              </w:rPr>
            </w:pPr>
            <w:r w:rsidRPr="005B4BBA">
              <w:rPr>
                <w:color w:val="000000" w:themeColor="text1"/>
                <w:sz w:val="17"/>
              </w:rPr>
              <w:t>Low-normal cellular hydration index</w:t>
            </w:r>
          </w:p>
        </w:tc>
      </w:tr>
      <w:tr w:rsidR="004549F7" w:rsidRPr="005B4BBA" w14:paraId="46E88D1B" w14:textId="77777777">
        <w:trPr>
          <w:jc w:val="center"/>
        </w:trPr>
        <w:tc>
          <w:tcPr>
            <w:tcW w:w="2160" w:type="dxa"/>
            <w:shd w:val="clear" w:color="auto" w:fill="F8F9FA"/>
            <w:tcMar>
              <w:top w:w="60" w:type="dxa"/>
              <w:left w:w="100" w:type="dxa"/>
              <w:bottom w:w="60" w:type="dxa"/>
              <w:right w:w="100" w:type="dxa"/>
            </w:tcMar>
          </w:tcPr>
          <w:p w14:paraId="15F0AF5F" w14:textId="77777777" w:rsidR="004549F7" w:rsidRPr="005B4BBA" w:rsidRDefault="00F15AFD">
            <w:pPr>
              <w:spacing w:after="0" w:line="252" w:lineRule="auto"/>
              <w:rPr>
                <w:color w:val="000000" w:themeColor="text1"/>
              </w:rPr>
            </w:pPr>
            <w:r w:rsidRPr="005B4BBA">
              <w:rPr>
                <w:color w:val="000000" w:themeColor="text1"/>
                <w:sz w:val="17"/>
              </w:rPr>
              <w:t>Red Cell Distribution Width (RDW-CV)</w:t>
            </w:r>
          </w:p>
        </w:tc>
        <w:tc>
          <w:tcPr>
            <w:tcW w:w="1872" w:type="dxa"/>
            <w:shd w:val="clear" w:color="auto" w:fill="F8F9FA"/>
            <w:tcMar>
              <w:top w:w="60" w:type="dxa"/>
              <w:left w:w="100" w:type="dxa"/>
              <w:bottom w:w="60" w:type="dxa"/>
              <w:right w:w="100" w:type="dxa"/>
            </w:tcMar>
          </w:tcPr>
          <w:p w14:paraId="4D8492CC" w14:textId="77777777" w:rsidR="004549F7" w:rsidRPr="005B4BBA" w:rsidRDefault="00F15AFD">
            <w:pPr>
              <w:spacing w:after="0" w:line="252" w:lineRule="auto"/>
              <w:rPr>
                <w:color w:val="000000" w:themeColor="text1"/>
              </w:rPr>
            </w:pPr>
            <w:r w:rsidRPr="005B4BBA">
              <w:rPr>
                <w:color w:val="000000" w:themeColor="text1"/>
                <w:sz w:val="17"/>
              </w:rPr>
              <w:t>Fluorescent Flow Cytometry</w:t>
            </w:r>
          </w:p>
        </w:tc>
        <w:tc>
          <w:tcPr>
            <w:tcW w:w="1296" w:type="dxa"/>
            <w:shd w:val="clear" w:color="auto" w:fill="F8F9FA"/>
            <w:tcMar>
              <w:top w:w="60" w:type="dxa"/>
              <w:left w:w="100" w:type="dxa"/>
              <w:bottom w:w="60" w:type="dxa"/>
              <w:right w:w="100" w:type="dxa"/>
            </w:tcMar>
          </w:tcPr>
          <w:p w14:paraId="72007A4B" w14:textId="77777777" w:rsidR="004549F7" w:rsidRPr="005B4BBA" w:rsidRDefault="00F15AFD">
            <w:pPr>
              <w:spacing w:after="0" w:line="252" w:lineRule="auto"/>
              <w:rPr>
                <w:color w:val="000000" w:themeColor="text1"/>
              </w:rPr>
            </w:pPr>
            <w:r w:rsidRPr="005B4BBA">
              <w:rPr>
                <w:color w:val="000000" w:themeColor="text1"/>
                <w:sz w:val="17"/>
              </w:rPr>
              <w:t>23.0 %</w:t>
            </w:r>
          </w:p>
        </w:tc>
        <w:tc>
          <w:tcPr>
            <w:tcW w:w="1728" w:type="dxa"/>
            <w:shd w:val="clear" w:color="auto" w:fill="F8F9FA"/>
            <w:tcMar>
              <w:top w:w="60" w:type="dxa"/>
              <w:left w:w="100" w:type="dxa"/>
              <w:bottom w:w="60" w:type="dxa"/>
              <w:right w:w="100" w:type="dxa"/>
            </w:tcMar>
          </w:tcPr>
          <w:p w14:paraId="17607573" w14:textId="77777777" w:rsidR="004549F7" w:rsidRPr="005B4BBA" w:rsidRDefault="00F15AFD">
            <w:pPr>
              <w:spacing w:after="0" w:line="252" w:lineRule="auto"/>
              <w:rPr>
                <w:color w:val="000000" w:themeColor="text1"/>
              </w:rPr>
            </w:pPr>
            <w:r w:rsidRPr="005B4BBA">
              <w:rPr>
                <w:color w:val="000000" w:themeColor="text1"/>
                <w:sz w:val="17"/>
              </w:rPr>
              <w:t>11.0 – 15.0 %</w:t>
            </w:r>
          </w:p>
        </w:tc>
        <w:tc>
          <w:tcPr>
            <w:tcW w:w="2304" w:type="dxa"/>
            <w:shd w:val="clear" w:color="auto" w:fill="F8F9FA"/>
            <w:tcMar>
              <w:top w:w="60" w:type="dxa"/>
              <w:left w:w="100" w:type="dxa"/>
              <w:bottom w:w="60" w:type="dxa"/>
              <w:right w:w="100" w:type="dxa"/>
            </w:tcMar>
          </w:tcPr>
          <w:p w14:paraId="6A868D53" w14:textId="77777777" w:rsidR="004549F7" w:rsidRPr="005B4BBA" w:rsidRDefault="00F15AFD">
            <w:pPr>
              <w:spacing w:after="0" w:line="252" w:lineRule="auto"/>
              <w:rPr>
                <w:color w:val="000000" w:themeColor="text1"/>
              </w:rPr>
            </w:pPr>
            <w:r w:rsidRPr="005B4BBA">
              <w:rPr>
                <w:color w:val="000000" w:themeColor="text1"/>
                <w:sz w:val="17"/>
              </w:rPr>
              <w:t>Marked anisocytosis &amp; dimorphic red cell population</w:t>
            </w:r>
          </w:p>
        </w:tc>
      </w:tr>
      <w:tr w:rsidR="004549F7" w:rsidRPr="005B4BBA" w14:paraId="60E347A4" w14:textId="77777777">
        <w:trPr>
          <w:jc w:val="center"/>
        </w:trPr>
        <w:tc>
          <w:tcPr>
            <w:tcW w:w="2160" w:type="dxa"/>
            <w:shd w:val="clear" w:color="auto" w:fill="FFFFFF"/>
            <w:tcMar>
              <w:top w:w="60" w:type="dxa"/>
              <w:left w:w="100" w:type="dxa"/>
              <w:bottom w:w="60" w:type="dxa"/>
              <w:right w:w="100" w:type="dxa"/>
            </w:tcMar>
          </w:tcPr>
          <w:p w14:paraId="627A2A7C" w14:textId="77777777" w:rsidR="004549F7" w:rsidRPr="005B4BBA" w:rsidRDefault="00F15AFD">
            <w:pPr>
              <w:spacing w:after="0" w:line="252" w:lineRule="auto"/>
              <w:rPr>
                <w:color w:val="000000" w:themeColor="text1"/>
              </w:rPr>
            </w:pPr>
            <w:r w:rsidRPr="005B4BBA">
              <w:rPr>
                <w:color w:val="000000" w:themeColor="text1"/>
                <w:sz w:val="17"/>
              </w:rPr>
              <w:t>Total Leukocyte Count (TLC)</w:t>
            </w:r>
          </w:p>
        </w:tc>
        <w:tc>
          <w:tcPr>
            <w:tcW w:w="1872" w:type="dxa"/>
            <w:shd w:val="clear" w:color="auto" w:fill="FFFFFF"/>
            <w:tcMar>
              <w:top w:w="60" w:type="dxa"/>
              <w:left w:w="100" w:type="dxa"/>
              <w:bottom w:w="60" w:type="dxa"/>
              <w:right w:w="100" w:type="dxa"/>
            </w:tcMar>
          </w:tcPr>
          <w:p w14:paraId="03BCC38C" w14:textId="77777777" w:rsidR="004549F7" w:rsidRPr="005B4BBA" w:rsidRDefault="00F15AFD">
            <w:pPr>
              <w:spacing w:after="0" w:line="252" w:lineRule="auto"/>
              <w:rPr>
                <w:color w:val="000000" w:themeColor="text1"/>
              </w:rPr>
            </w:pPr>
            <w:r w:rsidRPr="005B4BBA">
              <w:rPr>
                <w:color w:val="000000" w:themeColor="text1"/>
                <w:sz w:val="17"/>
              </w:rPr>
              <w:t>Fluorescent Flow Cytometry</w:t>
            </w:r>
          </w:p>
        </w:tc>
        <w:tc>
          <w:tcPr>
            <w:tcW w:w="1296" w:type="dxa"/>
            <w:shd w:val="clear" w:color="auto" w:fill="FFFFFF"/>
            <w:tcMar>
              <w:top w:w="60" w:type="dxa"/>
              <w:left w:w="100" w:type="dxa"/>
              <w:bottom w:w="60" w:type="dxa"/>
              <w:right w:w="100" w:type="dxa"/>
            </w:tcMar>
          </w:tcPr>
          <w:p w14:paraId="7BA685EE" w14:textId="77777777" w:rsidR="004549F7" w:rsidRPr="005B4BBA" w:rsidRDefault="00F15AFD">
            <w:pPr>
              <w:spacing w:after="0" w:line="252" w:lineRule="auto"/>
              <w:rPr>
                <w:color w:val="000000" w:themeColor="text1"/>
              </w:rPr>
            </w:pPr>
            <w:r w:rsidRPr="005B4BBA">
              <w:rPr>
                <w:color w:val="000000" w:themeColor="text1"/>
                <w:sz w:val="17"/>
              </w:rPr>
              <w:t>8,530 cells/cumm</w:t>
            </w:r>
          </w:p>
        </w:tc>
        <w:tc>
          <w:tcPr>
            <w:tcW w:w="1728" w:type="dxa"/>
            <w:shd w:val="clear" w:color="auto" w:fill="FFFFFF"/>
            <w:tcMar>
              <w:top w:w="60" w:type="dxa"/>
              <w:left w:w="100" w:type="dxa"/>
              <w:bottom w:w="60" w:type="dxa"/>
              <w:right w:w="100" w:type="dxa"/>
            </w:tcMar>
          </w:tcPr>
          <w:p w14:paraId="3E6D04E1" w14:textId="77777777" w:rsidR="004549F7" w:rsidRPr="005B4BBA" w:rsidRDefault="00F15AFD">
            <w:pPr>
              <w:spacing w:after="0" w:line="252" w:lineRule="auto"/>
              <w:rPr>
                <w:color w:val="000000" w:themeColor="text1"/>
              </w:rPr>
            </w:pPr>
            <w:r w:rsidRPr="005B4BBA">
              <w:rPr>
                <w:color w:val="000000" w:themeColor="text1"/>
                <w:sz w:val="17"/>
              </w:rPr>
              <w:t>4,000 – 11,000 cells/cumm</w:t>
            </w:r>
          </w:p>
        </w:tc>
        <w:tc>
          <w:tcPr>
            <w:tcW w:w="2304" w:type="dxa"/>
            <w:shd w:val="clear" w:color="auto" w:fill="FFFFFF"/>
            <w:tcMar>
              <w:top w:w="60" w:type="dxa"/>
              <w:left w:w="100" w:type="dxa"/>
              <w:bottom w:w="60" w:type="dxa"/>
              <w:right w:w="100" w:type="dxa"/>
            </w:tcMar>
          </w:tcPr>
          <w:p w14:paraId="77610AAB" w14:textId="77777777" w:rsidR="004549F7" w:rsidRPr="005B4BBA" w:rsidRDefault="00F15AFD">
            <w:pPr>
              <w:spacing w:after="0" w:line="252" w:lineRule="auto"/>
              <w:rPr>
                <w:color w:val="000000" w:themeColor="text1"/>
              </w:rPr>
            </w:pPr>
            <w:r w:rsidRPr="005B4BBA">
              <w:rPr>
                <w:color w:val="000000" w:themeColor="text1"/>
                <w:sz w:val="17"/>
              </w:rPr>
              <w:t>Normal total white blood cell count</w:t>
            </w:r>
          </w:p>
        </w:tc>
      </w:tr>
      <w:tr w:rsidR="004549F7" w:rsidRPr="005B4BBA" w14:paraId="1494C322" w14:textId="77777777">
        <w:trPr>
          <w:jc w:val="center"/>
        </w:trPr>
        <w:tc>
          <w:tcPr>
            <w:tcW w:w="2160" w:type="dxa"/>
            <w:shd w:val="clear" w:color="auto" w:fill="F8F9FA"/>
            <w:tcMar>
              <w:top w:w="60" w:type="dxa"/>
              <w:left w:w="100" w:type="dxa"/>
              <w:bottom w:w="60" w:type="dxa"/>
              <w:right w:w="100" w:type="dxa"/>
            </w:tcMar>
          </w:tcPr>
          <w:p w14:paraId="0A4052CC" w14:textId="77777777" w:rsidR="004549F7" w:rsidRPr="005B4BBA" w:rsidRDefault="00F15AFD">
            <w:pPr>
              <w:spacing w:after="0" w:line="252" w:lineRule="auto"/>
              <w:rPr>
                <w:color w:val="000000" w:themeColor="text1"/>
              </w:rPr>
            </w:pPr>
            <w:r w:rsidRPr="005B4BBA">
              <w:rPr>
                <w:color w:val="000000" w:themeColor="text1"/>
                <w:sz w:val="17"/>
              </w:rPr>
              <w:t>Neutrophils</w:t>
            </w:r>
          </w:p>
        </w:tc>
        <w:tc>
          <w:tcPr>
            <w:tcW w:w="1872" w:type="dxa"/>
            <w:shd w:val="clear" w:color="auto" w:fill="F8F9FA"/>
            <w:tcMar>
              <w:top w:w="60" w:type="dxa"/>
              <w:left w:w="100" w:type="dxa"/>
              <w:bottom w:w="60" w:type="dxa"/>
              <w:right w:w="100" w:type="dxa"/>
            </w:tcMar>
          </w:tcPr>
          <w:p w14:paraId="60B50505" w14:textId="77777777" w:rsidR="004549F7" w:rsidRPr="005B4BBA" w:rsidRDefault="00F15AFD">
            <w:pPr>
              <w:spacing w:after="0" w:line="252" w:lineRule="auto"/>
              <w:rPr>
                <w:color w:val="000000" w:themeColor="text1"/>
              </w:rPr>
            </w:pPr>
            <w:r w:rsidRPr="005B4BBA">
              <w:rPr>
                <w:color w:val="000000" w:themeColor="text1"/>
                <w:sz w:val="17"/>
              </w:rPr>
              <w:t>Differential Count</w:t>
            </w:r>
          </w:p>
        </w:tc>
        <w:tc>
          <w:tcPr>
            <w:tcW w:w="1296" w:type="dxa"/>
            <w:shd w:val="clear" w:color="auto" w:fill="F8F9FA"/>
            <w:tcMar>
              <w:top w:w="60" w:type="dxa"/>
              <w:left w:w="100" w:type="dxa"/>
              <w:bottom w:w="60" w:type="dxa"/>
              <w:right w:w="100" w:type="dxa"/>
            </w:tcMar>
          </w:tcPr>
          <w:p w14:paraId="1B8E7167" w14:textId="77777777" w:rsidR="004549F7" w:rsidRPr="005B4BBA" w:rsidRDefault="00F15AFD">
            <w:pPr>
              <w:spacing w:after="0" w:line="252" w:lineRule="auto"/>
              <w:rPr>
                <w:color w:val="000000" w:themeColor="text1"/>
              </w:rPr>
            </w:pPr>
            <w:r w:rsidRPr="005B4BBA">
              <w:rPr>
                <w:color w:val="000000" w:themeColor="text1"/>
                <w:sz w:val="17"/>
              </w:rPr>
              <w:t>61 %</w:t>
            </w:r>
          </w:p>
        </w:tc>
        <w:tc>
          <w:tcPr>
            <w:tcW w:w="1728" w:type="dxa"/>
            <w:shd w:val="clear" w:color="auto" w:fill="F8F9FA"/>
            <w:tcMar>
              <w:top w:w="60" w:type="dxa"/>
              <w:left w:w="100" w:type="dxa"/>
              <w:bottom w:w="60" w:type="dxa"/>
              <w:right w:w="100" w:type="dxa"/>
            </w:tcMar>
          </w:tcPr>
          <w:p w14:paraId="42A13510" w14:textId="77777777" w:rsidR="004549F7" w:rsidRPr="005B4BBA" w:rsidRDefault="00F15AFD">
            <w:pPr>
              <w:spacing w:after="0" w:line="252" w:lineRule="auto"/>
              <w:rPr>
                <w:color w:val="000000" w:themeColor="text1"/>
              </w:rPr>
            </w:pPr>
            <w:r w:rsidRPr="005B4BBA">
              <w:rPr>
                <w:color w:val="000000" w:themeColor="text1"/>
                <w:sz w:val="17"/>
              </w:rPr>
              <w:t>23 – 56 %</w:t>
            </w:r>
          </w:p>
        </w:tc>
        <w:tc>
          <w:tcPr>
            <w:tcW w:w="2304" w:type="dxa"/>
            <w:shd w:val="clear" w:color="auto" w:fill="F8F9FA"/>
            <w:tcMar>
              <w:top w:w="60" w:type="dxa"/>
              <w:left w:w="100" w:type="dxa"/>
              <w:bottom w:w="60" w:type="dxa"/>
              <w:right w:w="100" w:type="dxa"/>
            </w:tcMar>
          </w:tcPr>
          <w:p w14:paraId="3D7D8CF1" w14:textId="77777777" w:rsidR="004549F7" w:rsidRPr="005B4BBA" w:rsidRDefault="00F15AFD">
            <w:pPr>
              <w:spacing w:after="0" w:line="252" w:lineRule="auto"/>
              <w:rPr>
                <w:color w:val="000000" w:themeColor="text1"/>
              </w:rPr>
            </w:pPr>
            <w:r w:rsidRPr="005B4BBA">
              <w:rPr>
                <w:color w:val="000000" w:themeColor="text1"/>
                <w:sz w:val="17"/>
              </w:rPr>
              <w:t>Mild neutrophilia / reactive inflammatory shift</w:t>
            </w:r>
          </w:p>
        </w:tc>
      </w:tr>
      <w:tr w:rsidR="004549F7" w:rsidRPr="005B4BBA" w14:paraId="487A0B7E" w14:textId="77777777">
        <w:trPr>
          <w:jc w:val="center"/>
        </w:trPr>
        <w:tc>
          <w:tcPr>
            <w:tcW w:w="2160" w:type="dxa"/>
            <w:shd w:val="clear" w:color="auto" w:fill="FFFFFF"/>
            <w:tcMar>
              <w:top w:w="60" w:type="dxa"/>
              <w:left w:w="100" w:type="dxa"/>
              <w:bottom w:w="60" w:type="dxa"/>
              <w:right w:w="100" w:type="dxa"/>
            </w:tcMar>
          </w:tcPr>
          <w:p w14:paraId="2A0EB111" w14:textId="77777777" w:rsidR="004549F7" w:rsidRPr="005B4BBA" w:rsidRDefault="00F15AFD">
            <w:pPr>
              <w:spacing w:after="0" w:line="252" w:lineRule="auto"/>
              <w:rPr>
                <w:color w:val="000000" w:themeColor="text1"/>
              </w:rPr>
            </w:pPr>
            <w:r w:rsidRPr="005B4BBA">
              <w:rPr>
                <w:color w:val="000000" w:themeColor="text1"/>
                <w:sz w:val="17"/>
              </w:rPr>
              <w:t>Lymphocytes</w:t>
            </w:r>
          </w:p>
        </w:tc>
        <w:tc>
          <w:tcPr>
            <w:tcW w:w="1872" w:type="dxa"/>
            <w:shd w:val="clear" w:color="auto" w:fill="FFFFFF"/>
            <w:tcMar>
              <w:top w:w="60" w:type="dxa"/>
              <w:left w:w="100" w:type="dxa"/>
              <w:bottom w:w="60" w:type="dxa"/>
              <w:right w:w="100" w:type="dxa"/>
            </w:tcMar>
          </w:tcPr>
          <w:p w14:paraId="10AB981E" w14:textId="77777777" w:rsidR="004549F7" w:rsidRPr="005B4BBA" w:rsidRDefault="00F15AFD">
            <w:pPr>
              <w:spacing w:after="0" w:line="252" w:lineRule="auto"/>
              <w:rPr>
                <w:color w:val="000000" w:themeColor="text1"/>
              </w:rPr>
            </w:pPr>
            <w:r w:rsidRPr="005B4BBA">
              <w:rPr>
                <w:color w:val="000000" w:themeColor="text1"/>
                <w:sz w:val="17"/>
              </w:rPr>
              <w:t>Differential Count</w:t>
            </w:r>
          </w:p>
        </w:tc>
        <w:tc>
          <w:tcPr>
            <w:tcW w:w="1296" w:type="dxa"/>
            <w:shd w:val="clear" w:color="auto" w:fill="FFFFFF"/>
            <w:tcMar>
              <w:top w:w="60" w:type="dxa"/>
              <w:left w:w="100" w:type="dxa"/>
              <w:bottom w:w="60" w:type="dxa"/>
              <w:right w:w="100" w:type="dxa"/>
            </w:tcMar>
          </w:tcPr>
          <w:p w14:paraId="21F7808E" w14:textId="77777777" w:rsidR="004549F7" w:rsidRPr="005B4BBA" w:rsidRDefault="00F15AFD">
            <w:pPr>
              <w:spacing w:after="0" w:line="252" w:lineRule="auto"/>
              <w:rPr>
                <w:color w:val="000000" w:themeColor="text1"/>
              </w:rPr>
            </w:pPr>
            <w:r w:rsidRPr="005B4BBA">
              <w:rPr>
                <w:color w:val="000000" w:themeColor="text1"/>
                <w:sz w:val="17"/>
              </w:rPr>
              <w:t>31 %</w:t>
            </w:r>
          </w:p>
        </w:tc>
        <w:tc>
          <w:tcPr>
            <w:tcW w:w="1728" w:type="dxa"/>
            <w:shd w:val="clear" w:color="auto" w:fill="FFFFFF"/>
            <w:tcMar>
              <w:top w:w="60" w:type="dxa"/>
              <w:left w:w="100" w:type="dxa"/>
              <w:bottom w:w="60" w:type="dxa"/>
              <w:right w:w="100" w:type="dxa"/>
            </w:tcMar>
          </w:tcPr>
          <w:p w14:paraId="2F0B9045" w14:textId="77777777" w:rsidR="004549F7" w:rsidRPr="005B4BBA" w:rsidRDefault="00F15AFD">
            <w:pPr>
              <w:spacing w:after="0" w:line="252" w:lineRule="auto"/>
              <w:rPr>
                <w:color w:val="000000" w:themeColor="text1"/>
              </w:rPr>
            </w:pPr>
            <w:r w:rsidRPr="005B4BBA">
              <w:rPr>
                <w:color w:val="000000" w:themeColor="text1"/>
                <w:sz w:val="17"/>
              </w:rPr>
              <w:t>20 – 45 %</w:t>
            </w:r>
          </w:p>
        </w:tc>
        <w:tc>
          <w:tcPr>
            <w:tcW w:w="2304" w:type="dxa"/>
            <w:shd w:val="clear" w:color="auto" w:fill="FFFFFF"/>
            <w:tcMar>
              <w:top w:w="60" w:type="dxa"/>
              <w:left w:w="100" w:type="dxa"/>
              <w:bottom w:w="60" w:type="dxa"/>
              <w:right w:w="100" w:type="dxa"/>
            </w:tcMar>
          </w:tcPr>
          <w:p w14:paraId="69AA61E2" w14:textId="77777777" w:rsidR="004549F7" w:rsidRPr="005B4BBA" w:rsidRDefault="00F15AFD">
            <w:pPr>
              <w:spacing w:after="0" w:line="252" w:lineRule="auto"/>
              <w:rPr>
                <w:color w:val="000000" w:themeColor="text1"/>
              </w:rPr>
            </w:pPr>
            <w:r w:rsidRPr="005B4BBA">
              <w:rPr>
                <w:color w:val="000000" w:themeColor="text1"/>
                <w:sz w:val="17"/>
              </w:rPr>
              <w:t>Within normal pediatric limits</w:t>
            </w:r>
          </w:p>
        </w:tc>
      </w:tr>
      <w:tr w:rsidR="004549F7" w:rsidRPr="005B4BBA" w14:paraId="5B5AB245" w14:textId="77777777">
        <w:trPr>
          <w:jc w:val="center"/>
        </w:trPr>
        <w:tc>
          <w:tcPr>
            <w:tcW w:w="2160" w:type="dxa"/>
            <w:shd w:val="clear" w:color="auto" w:fill="F8F9FA"/>
            <w:tcMar>
              <w:top w:w="60" w:type="dxa"/>
              <w:left w:w="100" w:type="dxa"/>
              <w:bottom w:w="60" w:type="dxa"/>
              <w:right w:w="100" w:type="dxa"/>
            </w:tcMar>
          </w:tcPr>
          <w:p w14:paraId="0D17CC4D" w14:textId="77777777" w:rsidR="004549F7" w:rsidRPr="005B4BBA" w:rsidRDefault="00F15AFD">
            <w:pPr>
              <w:spacing w:after="0" w:line="252" w:lineRule="auto"/>
              <w:rPr>
                <w:color w:val="000000" w:themeColor="text1"/>
              </w:rPr>
            </w:pPr>
            <w:r w:rsidRPr="005B4BBA">
              <w:rPr>
                <w:color w:val="000000" w:themeColor="text1"/>
                <w:sz w:val="17"/>
              </w:rPr>
              <w:t>Eosinophils</w:t>
            </w:r>
          </w:p>
        </w:tc>
        <w:tc>
          <w:tcPr>
            <w:tcW w:w="1872" w:type="dxa"/>
            <w:shd w:val="clear" w:color="auto" w:fill="F8F9FA"/>
            <w:tcMar>
              <w:top w:w="60" w:type="dxa"/>
              <w:left w:w="100" w:type="dxa"/>
              <w:bottom w:w="60" w:type="dxa"/>
              <w:right w:w="100" w:type="dxa"/>
            </w:tcMar>
          </w:tcPr>
          <w:p w14:paraId="65054C2F" w14:textId="77777777" w:rsidR="004549F7" w:rsidRPr="005B4BBA" w:rsidRDefault="00F15AFD">
            <w:pPr>
              <w:spacing w:after="0" w:line="252" w:lineRule="auto"/>
              <w:rPr>
                <w:color w:val="000000" w:themeColor="text1"/>
              </w:rPr>
            </w:pPr>
            <w:r w:rsidRPr="005B4BBA">
              <w:rPr>
                <w:color w:val="000000" w:themeColor="text1"/>
                <w:sz w:val="17"/>
              </w:rPr>
              <w:t>Differential Count</w:t>
            </w:r>
          </w:p>
        </w:tc>
        <w:tc>
          <w:tcPr>
            <w:tcW w:w="1296" w:type="dxa"/>
            <w:shd w:val="clear" w:color="auto" w:fill="F8F9FA"/>
            <w:tcMar>
              <w:top w:w="60" w:type="dxa"/>
              <w:left w:w="100" w:type="dxa"/>
              <w:bottom w:w="60" w:type="dxa"/>
              <w:right w:w="100" w:type="dxa"/>
            </w:tcMar>
          </w:tcPr>
          <w:p w14:paraId="17489958" w14:textId="77777777" w:rsidR="004549F7" w:rsidRPr="005B4BBA" w:rsidRDefault="00F15AFD">
            <w:pPr>
              <w:spacing w:after="0" w:line="252" w:lineRule="auto"/>
              <w:rPr>
                <w:color w:val="000000" w:themeColor="text1"/>
              </w:rPr>
            </w:pPr>
            <w:r w:rsidRPr="005B4BBA">
              <w:rPr>
                <w:color w:val="000000" w:themeColor="text1"/>
                <w:sz w:val="17"/>
              </w:rPr>
              <w:t>01 %</w:t>
            </w:r>
          </w:p>
        </w:tc>
        <w:tc>
          <w:tcPr>
            <w:tcW w:w="1728" w:type="dxa"/>
            <w:shd w:val="clear" w:color="auto" w:fill="F8F9FA"/>
            <w:tcMar>
              <w:top w:w="60" w:type="dxa"/>
              <w:left w:w="100" w:type="dxa"/>
              <w:bottom w:w="60" w:type="dxa"/>
              <w:right w:w="100" w:type="dxa"/>
            </w:tcMar>
          </w:tcPr>
          <w:p w14:paraId="572F7885" w14:textId="77777777" w:rsidR="004549F7" w:rsidRPr="005B4BBA" w:rsidRDefault="00F15AFD">
            <w:pPr>
              <w:spacing w:after="0" w:line="252" w:lineRule="auto"/>
              <w:rPr>
                <w:color w:val="000000" w:themeColor="text1"/>
              </w:rPr>
            </w:pPr>
            <w:r w:rsidRPr="005B4BBA">
              <w:rPr>
                <w:color w:val="000000" w:themeColor="text1"/>
                <w:sz w:val="17"/>
              </w:rPr>
              <w:t>01 – 06 %</w:t>
            </w:r>
          </w:p>
        </w:tc>
        <w:tc>
          <w:tcPr>
            <w:tcW w:w="2304" w:type="dxa"/>
            <w:shd w:val="clear" w:color="auto" w:fill="F8F9FA"/>
            <w:tcMar>
              <w:top w:w="60" w:type="dxa"/>
              <w:left w:w="100" w:type="dxa"/>
              <w:bottom w:w="60" w:type="dxa"/>
              <w:right w:w="100" w:type="dxa"/>
            </w:tcMar>
          </w:tcPr>
          <w:p w14:paraId="532F5EF5" w14:textId="77777777" w:rsidR="004549F7" w:rsidRPr="005B4BBA" w:rsidRDefault="00F15AFD">
            <w:pPr>
              <w:spacing w:after="0" w:line="252" w:lineRule="auto"/>
              <w:rPr>
                <w:color w:val="000000" w:themeColor="text1"/>
              </w:rPr>
            </w:pPr>
            <w:r w:rsidRPr="005B4BBA">
              <w:rPr>
                <w:color w:val="000000" w:themeColor="text1"/>
                <w:sz w:val="17"/>
              </w:rPr>
              <w:t>Within normal limits</w:t>
            </w:r>
          </w:p>
        </w:tc>
      </w:tr>
      <w:tr w:rsidR="004549F7" w:rsidRPr="005B4BBA" w14:paraId="168499EC" w14:textId="77777777">
        <w:trPr>
          <w:jc w:val="center"/>
        </w:trPr>
        <w:tc>
          <w:tcPr>
            <w:tcW w:w="2160" w:type="dxa"/>
            <w:shd w:val="clear" w:color="auto" w:fill="FFFFFF"/>
            <w:tcMar>
              <w:top w:w="60" w:type="dxa"/>
              <w:left w:w="100" w:type="dxa"/>
              <w:bottom w:w="60" w:type="dxa"/>
              <w:right w:w="100" w:type="dxa"/>
            </w:tcMar>
          </w:tcPr>
          <w:p w14:paraId="4175F608" w14:textId="77777777" w:rsidR="004549F7" w:rsidRPr="005B4BBA" w:rsidRDefault="00F15AFD">
            <w:pPr>
              <w:spacing w:after="0" w:line="252" w:lineRule="auto"/>
              <w:rPr>
                <w:color w:val="000000" w:themeColor="text1"/>
              </w:rPr>
            </w:pPr>
            <w:r w:rsidRPr="005B4BBA">
              <w:rPr>
                <w:color w:val="000000" w:themeColor="text1"/>
                <w:sz w:val="17"/>
              </w:rPr>
              <w:t>Monocytes</w:t>
            </w:r>
          </w:p>
        </w:tc>
        <w:tc>
          <w:tcPr>
            <w:tcW w:w="1872" w:type="dxa"/>
            <w:shd w:val="clear" w:color="auto" w:fill="FFFFFF"/>
            <w:tcMar>
              <w:top w:w="60" w:type="dxa"/>
              <w:left w:w="100" w:type="dxa"/>
              <w:bottom w:w="60" w:type="dxa"/>
              <w:right w:w="100" w:type="dxa"/>
            </w:tcMar>
          </w:tcPr>
          <w:p w14:paraId="656C5923" w14:textId="77777777" w:rsidR="004549F7" w:rsidRPr="005B4BBA" w:rsidRDefault="00F15AFD">
            <w:pPr>
              <w:spacing w:after="0" w:line="252" w:lineRule="auto"/>
              <w:rPr>
                <w:color w:val="000000" w:themeColor="text1"/>
              </w:rPr>
            </w:pPr>
            <w:r w:rsidRPr="005B4BBA">
              <w:rPr>
                <w:color w:val="000000" w:themeColor="text1"/>
                <w:sz w:val="17"/>
              </w:rPr>
              <w:t>Differential Count</w:t>
            </w:r>
          </w:p>
        </w:tc>
        <w:tc>
          <w:tcPr>
            <w:tcW w:w="1296" w:type="dxa"/>
            <w:shd w:val="clear" w:color="auto" w:fill="FFFFFF"/>
            <w:tcMar>
              <w:top w:w="60" w:type="dxa"/>
              <w:left w:w="100" w:type="dxa"/>
              <w:bottom w:w="60" w:type="dxa"/>
              <w:right w:w="100" w:type="dxa"/>
            </w:tcMar>
          </w:tcPr>
          <w:p w14:paraId="08A47174" w14:textId="77777777" w:rsidR="004549F7" w:rsidRPr="005B4BBA" w:rsidRDefault="00F15AFD">
            <w:pPr>
              <w:spacing w:after="0" w:line="252" w:lineRule="auto"/>
              <w:rPr>
                <w:color w:val="000000" w:themeColor="text1"/>
              </w:rPr>
            </w:pPr>
            <w:r w:rsidRPr="005B4BBA">
              <w:rPr>
                <w:color w:val="000000" w:themeColor="text1"/>
                <w:sz w:val="17"/>
              </w:rPr>
              <w:t>07 %</w:t>
            </w:r>
          </w:p>
        </w:tc>
        <w:tc>
          <w:tcPr>
            <w:tcW w:w="1728" w:type="dxa"/>
            <w:shd w:val="clear" w:color="auto" w:fill="FFFFFF"/>
            <w:tcMar>
              <w:top w:w="60" w:type="dxa"/>
              <w:left w:w="100" w:type="dxa"/>
              <w:bottom w:w="60" w:type="dxa"/>
              <w:right w:w="100" w:type="dxa"/>
            </w:tcMar>
          </w:tcPr>
          <w:p w14:paraId="27A12B89" w14:textId="77777777" w:rsidR="004549F7" w:rsidRPr="005B4BBA" w:rsidRDefault="00F15AFD">
            <w:pPr>
              <w:spacing w:after="0" w:line="252" w:lineRule="auto"/>
              <w:rPr>
                <w:color w:val="000000" w:themeColor="text1"/>
              </w:rPr>
            </w:pPr>
            <w:r w:rsidRPr="005B4BBA">
              <w:rPr>
                <w:color w:val="000000" w:themeColor="text1"/>
                <w:sz w:val="17"/>
              </w:rPr>
              <w:t>02 – 11 %</w:t>
            </w:r>
          </w:p>
        </w:tc>
        <w:tc>
          <w:tcPr>
            <w:tcW w:w="2304" w:type="dxa"/>
            <w:shd w:val="clear" w:color="auto" w:fill="FFFFFF"/>
            <w:tcMar>
              <w:top w:w="60" w:type="dxa"/>
              <w:left w:w="100" w:type="dxa"/>
              <w:bottom w:w="60" w:type="dxa"/>
              <w:right w:w="100" w:type="dxa"/>
            </w:tcMar>
          </w:tcPr>
          <w:p w14:paraId="6D0FE9AE" w14:textId="77777777" w:rsidR="004549F7" w:rsidRPr="005B4BBA" w:rsidRDefault="00F15AFD">
            <w:pPr>
              <w:spacing w:after="0" w:line="252" w:lineRule="auto"/>
              <w:rPr>
                <w:color w:val="000000" w:themeColor="text1"/>
              </w:rPr>
            </w:pPr>
            <w:r w:rsidRPr="005B4BBA">
              <w:rPr>
                <w:color w:val="000000" w:themeColor="text1"/>
                <w:sz w:val="17"/>
              </w:rPr>
              <w:t>Within normal limits</w:t>
            </w:r>
          </w:p>
        </w:tc>
      </w:tr>
      <w:tr w:rsidR="004549F7" w:rsidRPr="005B4BBA" w14:paraId="544C4C23" w14:textId="77777777">
        <w:trPr>
          <w:jc w:val="center"/>
        </w:trPr>
        <w:tc>
          <w:tcPr>
            <w:tcW w:w="2160" w:type="dxa"/>
            <w:shd w:val="clear" w:color="auto" w:fill="F8F9FA"/>
            <w:tcMar>
              <w:top w:w="60" w:type="dxa"/>
              <w:left w:w="100" w:type="dxa"/>
              <w:bottom w:w="60" w:type="dxa"/>
              <w:right w:w="100" w:type="dxa"/>
            </w:tcMar>
          </w:tcPr>
          <w:p w14:paraId="7811A0D0" w14:textId="77777777" w:rsidR="004549F7" w:rsidRPr="005B4BBA" w:rsidRDefault="00F15AFD">
            <w:pPr>
              <w:spacing w:after="0" w:line="252" w:lineRule="auto"/>
              <w:rPr>
                <w:color w:val="000000" w:themeColor="text1"/>
              </w:rPr>
            </w:pPr>
            <w:r w:rsidRPr="005B4BBA">
              <w:rPr>
                <w:color w:val="000000" w:themeColor="text1"/>
                <w:sz w:val="17"/>
              </w:rPr>
              <w:t>Platelet Count</w:t>
            </w:r>
          </w:p>
        </w:tc>
        <w:tc>
          <w:tcPr>
            <w:tcW w:w="1872" w:type="dxa"/>
            <w:shd w:val="clear" w:color="auto" w:fill="F8F9FA"/>
            <w:tcMar>
              <w:top w:w="60" w:type="dxa"/>
              <w:left w:w="100" w:type="dxa"/>
              <w:bottom w:w="60" w:type="dxa"/>
              <w:right w:w="100" w:type="dxa"/>
            </w:tcMar>
          </w:tcPr>
          <w:p w14:paraId="57534099" w14:textId="77777777" w:rsidR="004549F7" w:rsidRPr="005B4BBA" w:rsidRDefault="00F15AFD">
            <w:pPr>
              <w:spacing w:after="0" w:line="252" w:lineRule="auto"/>
              <w:rPr>
                <w:color w:val="000000" w:themeColor="text1"/>
              </w:rPr>
            </w:pPr>
            <w:r w:rsidRPr="005B4BBA">
              <w:rPr>
                <w:color w:val="000000" w:themeColor="text1"/>
                <w:sz w:val="17"/>
              </w:rPr>
              <w:t>Fluorescent Flow Cytometry</w:t>
            </w:r>
          </w:p>
        </w:tc>
        <w:tc>
          <w:tcPr>
            <w:tcW w:w="1296" w:type="dxa"/>
            <w:shd w:val="clear" w:color="auto" w:fill="F8F9FA"/>
            <w:tcMar>
              <w:top w:w="60" w:type="dxa"/>
              <w:left w:w="100" w:type="dxa"/>
              <w:bottom w:w="60" w:type="dxa"/>
              <w:right w:w="100" w:type="dxa"/>
            </w:tcMar>
          </w:tcPr>
          <w:p w14:paraId="2FE2234C" w14:textId="77777777" w:rsidR="004549F7" w:rsidRPr="005B4BBA" w:rsidRDefault="00F15AFD">
            <w:pPr>
              <w:spacing w:after="0" w:line="252" w:lineRule="auto"/>
              <w:rPr>
                <w:color w:val="000000" w:themeColor="text1"/>
              </w:rPr>
            </w:pPr>
            <w:r w:rsidRPr="005B4BBA">
              <w:rPr>
                <w:color w:val="000000" w:themeColor="text1"/>
                <w:sz w:val="17"/>
              </w:rPr>
              <w:t>1.67 Lakhs/cumm</w:t>
            </w:r>
          </w:p>
        </w:tc>
        <w:tc>
          <w:tcPr>
            <w:tcW w:w="1728" w:type="dxa"/>
            <w:shd w:val="clear" w:color="auto" w:fill="F8F9FA"/>
            <w:tcMar>
              <w:top w:w="60" w:type="dxa"/>
              <w:left w:w="100" w:type="dxa"/>
              <w:bottom w:w="60" w:type="dxa"/>
              <w:right w:w="100" w:type="dxa"/>
            </w:tcMar>
          </w:tcPr>
          <w:p w14:paraId="1170DBCD" w14:textId="77777777" w:rsidR="004549F7" w:rsidRPr="005B4BBA" w:rsidRDefault="00F15AFD">
            <w:pPr>
              <w:spacing w:after="0" w:line="252" w:lineRule="auto"/>
              <w:rPr>
                <w:color w:val="000000" w:themeColor="text1"/>
              </w:rPr>
            </w:pPr>
            <w:r w:rsidRPr="005B4BBA">
              <w:rPr>
                <w:color w:val="000000" w:themeColor="text1"/>
                <w:sz w:val="17"/>
              </w:rPr>
              <w:t>1.50 – 4.50 Lakhs/cumm</w:t>
            </w:r>
          </w:p>
        </w:tc>
        <w:tc>
          <w:tcPr>
            <w:tcW w:w="2304" w:type="dxa"/>
            <w:shd w:val="clear" w:color="auto" w:fill="F8F9FA"/>
            <w:tcMar>
              <w:top w:w="60" w:type="dxa"/>
              <w:left w:w="100" w:type="dxa"/>
              <w:bottom w:w="60" w:type="dxa"/>
              <w:right w:w="100" w:type="dxa"/>
            </w:tcMar>
          </w:tcPr>
          <w:p w14:paraId="31ACFC00" w14:textId="77777777" w:rsidR="004549F7" w:rsidRPr="005B4BBA" w:rsidRDefault="00F15AFD">
            <w:pPr>
              <w:spacing w:after="0" w:line="252" w:lineRule="auto"/>
              <w:rPr>
                <w:color w:val="000000" w:themeColor="text1"/>
              </w:rPr>
            </w:pPr>
            <w:r w:rsidRPr="005B4BBA">
              <w:rPr>
                <w:color w:val="000000" w:themeColor="text1"/>
                <w:sz w:val="17"/>
              </w:rPr>
              <w:t>Preserved quantitative thrombocyte count</w:t>
            </w:r>
          </w:p>
        </w:tc>
      </w:tr>
      <w:tr w:rsidR="004549F7" w:rsidRPr="005B4BBA" w14:paraId="4DED3543" w14:textId="77777777">
        <w:trPr>
          <w:jc w:val="center"/>
        </w:trPr>
        <w:tc>
          <w:tcPr>
            <w:tcW w:w="2160" w:type="dxa"/>
            <w:shd w:val="clear" w:color="auto" w:fill="FFFFFF"/>
            <w:tcMar>
              <w:top w:w="60" w:type="dxa"/>
              <w:left w:w="100" w:type="dxa"/>
              <w:bottom w:w="60" w:type="dxa"/>
              <w:right w:w="100" w:type="dxa"/>
            </w:tcMar>
          </w:tcPr>
          <w:p w14:paraId="0E11C724" w14:textId="77777777" w:rsidR="004549F7" w:rsidRPr="005B4BBA" w:rsidRDefault="00F15AFD">
            <w:pPr>
              <w:spacing w:after="0" w:line="252" w:lineRule="auto"/>
              <w:rPr>
                <w:color w:val="000000" w:themeColor="text1"/>
              </w:rPr>
            </w:pPr>
            <w:r w:rsidRPr="005B4BBA">
              <w:rPr>
                <w:color w:val="000000" w:themeColor="text1"/>
                <w:sz w:val="17"/>
              </w:rPr>
              <w:t>Mean Platelet Volume (MPV)</w:t>
            </w:r>
          </w:p>
        </w:tc>
        <w:tc>
          <w:tcPr>
            <w:tcW w:w="1872" w:type="dxa"/>
            <w:shd w:val="clear" w:color="auto" w:fill="FFFFFF"/>
            <w:tcMar>
              <w:top w:w="60" w:type="dxa"/>
              <w:left w:w="100" w:type="dxa"/>
              <w:bottom w:w="60" w:type="dxa"/>
              <w:right w:w="100" w:type="dxa"/>
            </w:tcMar>
          </w:tcPr>
          <w:p w14:paraId="5B115D2F" w14:textId="77777777" w:rsidR="004549F7" w:rsidRPr="005B4BBA" w:rsidRDefault="00F15AFD">
            <w:pPr>
              <w:spacing w:after="0" w:line="252" w:lineRule="auto"/>
              <w:rPr>
                <w:color w:val="000000" w:themeColor="text1"/>
              </w:rPr>
            </w:pPr>
            <w:r w:rsidRPr="005B4BBA">
              <w:rPr>
                <w:color w:val="000000" w:themeColor="text1"/>
                <w:sz w:val="17"/>
              </w:rPr>
              <w:t>Derived</w:t>
            </w:r>
          </w:p>
        </w:tc>
        <w:tc>
          <w:tcPr>
            <w:tcW w:w="1296" w:type="dxa"/>
            <w:shd w:val="clear" w:color="auto" w:fill="FFFFFF"/>
            <w:tcMar>
              <w:top w:w="60" w:type="dxa"/>
              <w:left w:w="100" w:type="dxa"/>
              <w:bottom w:w="60" w:type="dxa"/>
              <w:right w:w="100" w:type="dxa"/>
            </w:tcMar>
          </w:tcPr>
          <w:p w14:paraId="4430BB40" w14:textId="77777777" w:rsidR="004549F7" w:rsidRPr="005B4BBA" w:rsidRDefault="00F15AFD">
            <w:pPr>
              <w:spacing w:after="0" w:line="252" w:lineRule="auto"/>
              <w:rPr>
                <w:color w:val="000000" w:themeColor="text1"/>
              </w:rPr>
            </w:pPr>
            <w:r w:rsidRPr="005B4BBA">
              <w:rPr>
                <w:color w:val="000000" w:themeColor="text1"/>
                <w:sz w:val="17"/>
              </w:rPr>
              <w:t>10.40 fL</w:t>
            </w:r>
          </w:p>
        </w:tc>
        <w:tc>
          <w:tcPr>
            <w:tcW w:w="1728" w:type="dxa"/>
            <w:shd w:val="clear" w:color="auto" w:fill="FFFFFF"/>
            <w:tcMar>
              <w:top w:w="60" w:type="dxa"/>
              <w:left w:w="100" w:type="dxa"/>
              <w:bottom w:w="60" w:type="dxa"/>
              <w:right w:w="100" w:type="dxa"/>
            </w:tcMar>
          </w:tcPr>
          <w:p w14:paraId="1C8C64AA" w14:textId="77777777" w:rsidR="004549F7" w:rsidRPr="005B4BBA" w:rsidRDefault="00F15AFD">
            <w:pPr>
              <w:spacing w:after="0" w:line="252" w:lineRule="auto"/>
              <w:rPr>
                <w:color w:val="000000" w:themeColor="text1"/>
              </w:rPr>
            </w:pPr>
            <w:r w:rsidRPr="005B4BBA">
              <w:rPr>
                <w:color w:val="000000" w:themeColor="text1"/>
                <w:sz w:val="17"/>
              </w:rPr>
              <w:t>6.5 – 12.0 fL</w:t>
            </w:r>
          </w:p>
        </w:tc>
        <w:tc>
          <w:tcPr>
            <w:tcW w:w="2304" w:type="dxa"/>
            <w:shd w:val="clear" w:color="auto" w:fill="FFFFFF"/>
            <w:tcMar>
              <w:top w:w="60" w:type="dxa"/>
              <w:left w:w="100" w:type="dxa"/>
              <w:bottom w:w="60" w:type="dxa"/>
              <w:right w:w="100" w:type="dxa"/>
            </w:tcMar>
          </w:tcPr>
          <w:p w14:paraId="50FE7C23" w14:textId="77777777" w:rsidR="004549F7" w:rsidRPr="005B4BBA" w:rsidRDefault="00F15AFD">
            <w:pPr>
              <w:spacing w:after="0" w:line="252" w:lineRule="auto"/>
              <w:rPr>
                <w:color w:val="000000" w:themeColor="text1"/>
              </w:rPr>
            </w:pPr>
            <w:r w:rsidRPr="005B4BBA">
              <w:rPr>
                <w:color w:val="000000" w:themeColor="text1"/>
                <w:sz w:val="17"/>
              </w:rPr>
              <w:t>Normal platelet morphology &amp; turnover</w:t>
            </w:r>
          </w:p>
        </w:tc>
      </w:tr>
      <w:tr w:rsidR="004549F7" w:rsidRPr="005B4BBA" w14:paraId="52885C8E" w14:textId="77777777">
        <w:trPr>
          <w:jc w:val="center"/>
        </w:trPr>
        <w:tc>
          <w:tcPr>
            <w:tcW w:w="2160" w:type="dxa"/>
            <w:shd w:val="clear" w:color="auto" w:fill="F8F9FA"/>
            <w:tcMar>
              <w:top w:w="60" w:type="dxa"/>
              <w:left w:w="100" w:type="dxa"/>
              <w:bottom w:w="60" w:type="dxa"/>
              <w:right w:w="100" w:type="dxa"/>
            </w:tcMar>
          </w:tcPr>
          <w:p w14:paraId="2021306C" w14:textId="77777777" w:rsidR="004549F7" w:rsidRPr="005B4BBA" w:rsidRDefault="00F15AFD">
            <w:pPr>
              <w:spacing w:after="0" w:line="252" w:lineRule="auto"/>
              <w:rPr>
                <w:color w:val="000000" w:themeColor="text1"/>
              </w:rPr>
            </w:pPr>
            <w:r w:rsidRPr="005B4BBA">
              <w:rPr>
                <w:color w:val="000000" w:themeColor="text1"/>
                <w:sz w:val="17"/>
              </w:rPr>
              <w:t>C-Reactive Protein (CRP) - Quant.</w:t>
            </w:r>
          </w:p>
        </w:tc>
        <w:tc>
          <w:tcPr>
            <w:tcW w:w="1872" w:type="dxa"/>
            <w:shd w:val="clear" w:color="auto" w:fill="F8F9FA"/>
            <w:tcMar>
              <w:top w:w="60" w:type="dxa"/>
              <w:left w:w="100" w:type="dxa"/>
              <w:bottom w:w="60" w:type="dxa"/>
              <w:right w:w="100" w:type="dxa"/>
            </w:tcMar>
          </w:tcPr>
          <w:p w14:paraId="344B53FC" w14:textId="77777777" w:rsidR="004549F7" w:rsidRPr="005B4BBA" w:rsidRDefault="00F15AFD">
            <w:pPr>
              <w:spacing w:after="0" w:line="252" w:lineRule="auto"/>
              <w:rPr>
                <w:color w:val="000000" w:themeColor="text1"/>
              </w:rPr>
            </w:pPr>
            <w:r w:rsidRPr="005B4BBA">
              <w:rPr>
                <w:color w:val="000000" w:themeColor="text1"/>
                <w:sz w:val="17"/>
              </w:rPr>
              <w:t>Immuno-turbidimetric</w:t>
            </w:r>
          </w:p>
        </w:tc>
        <w:tc>
          <w:tcPr>
            <w:tcW w:w="1296" w:type="dxa"/>
            <w:shd w:val="clear" w:color="auto" w:fill="F8F9FA"/>
            <w:tcMar>
              <w:top w:w="60" w:type="dxa"/>
              <w:left w:w="100" w:type="dxa"/>
              <w:bottom w:w="60" w:type="dxa"/>
              <w:right w:w="100" w:type="dxa"/>
            </w:tcMar>
          </w:tcPr>
          <w:p w14:paraId="48E1BF97" w14:textId="77777777" w:rsidR="004549F7" w:rsidRPr="005B4BBA" w:rsidRDefault="00F15AFD">
            <w:pPr>
              <w:spacing w:after="0" w:line="252" w:lineRule="auto"/>
              <w:rPr>
                <w:color w:val="000000" w:themeColor="text1"/>
              </w:rPr>
            </w:pPr>
            <w:r w:rsidRPr="005B4BBA">
              <w:rPr>
                <w:color w:val="000000" w:themeColor="text1"/>
                <w:sz w:val="17"/>
              </w:rPr>
              <w:t>0.88 mg/L</w:t>
            </w:r>
          </w:p>
        </w:tc>
        <w:tc>
          <w:tcPr>
            <w:tcW w:w="1728" w:type="dxa"/>
            <w:shd w:val="clear" w:color="auto" w:fill="F8F9FA"/>
            <w:tcMar>
              <w:top w:w="60" w:type="dxa"/>
              <w:left w:w="100" w:type="dxa"/>
              <w:bottom w:w="60" w:type="dxa"/>
              <w:right w:w="100" w:type="dxa"/>
            </w:tcMar>
          </w:tcPr>
          <w:p w14:paraId="177FE3EB" w14:textId="77777777" w:rsidR="004549F7" w:rsidRPr="005B4BBA" w:rsidRDefault="00F15AFD">
            <w:pPr>
              <w:spacing w:after="0" w:line="252" w:lineRule="auto"/>
              <w:rPr>
                <w:color w:val="000000" w:themeColor="text1"/>
              </w:rPr>
            </w:pPr>
            <w:r w:rsidRPr="005B4BBA">
              <w:rPr>
                <w:color w:val="000000" w:themeColor="text1"/>
                <w:sz w:val="17"/>
              </w:rPr>
              <w:t>&lt; 5.0 mg/L</w:t>
            </w:r>
          </w:p>
        </w:tc>
        <w:tc>
          <w:tcPr>
            <w:tcW w:w="2304" w:type="dxa"/>
            <w:shd w:val="clear" w:color="auto" w:fill="F8F9FA"/>
            <w:tcMar>
              <w:top w:w="60" w:type="dxa"/>
              <w:left w:w="100" w:type="dxa"/>
              <w:bottom w:w="60" w:type="dxa"/>
              <w:right w:w="100" w:type="dxa"/>
            </w:tcMar>
          </w:tcPr>
          <w:p w14:paraId="20575C9B" w14:textId="77777777" w:rsidR="004549F7" w:rsidRPr="005B4BBA" w:rsidRDefault="00F15AFD">
            <w:pPr>
              <w:spacing w:after="0" w:line="252" w:lineRule="auto"/>
              <w:rPr>
                <w:color w:val="000000" w:themeColor="text1"/>
              </w:rPr>
            </w:pPr>
            <w:r w:rsidRPr="005B4BBA">
              <w:rPr>
                <w:color w:val="000000" w:themeColor="text1"/>
                <w:sz w:val="17"/>
              </w:rPr>
              <w:t>Normal systemic acute phase reactant</w:t>
            </w:r>
          </w:p>
        </w:tc>
      </w:tr>
      <w:tr w:rsidR="004549F7" w:rsidRPr="005B4BBA" w14:paraId="1F83E297" w14:textId="77777777">
        <w:trPr>
          <w:jc w:val="center"/>
        </w:trPr>
        <w:tc>
          <w:tcPr>
            <w:tcW w:w="2160" w:type="dxa"/>
            <w:shd w:val="clear" w:color="auto" w:fill="FFFFFF"/>
            <w:tcMar>
              <w:top w:w="60" w:type="dxa"/>
              <w:left w:w="100" w:type="dxa"/>
              <w:bottom w:w="60" w:type="dxa"/>
              <w:right w:w="100" w:type="dxa"/>
            </w:tcMar>
          </w:tcPr>
          <w:p w14:paraId="5453A0E8" w14:textId="77777777" w:rsidR="004549F7" w:rsidRPr="005B4BBA" w:rsidRDefault="00F15AFD">
            <w:pPr>
              <w:spacing w:after="0" w:line="252" w:lineRule="auto"/>
              <w:rPr>
                <w:color w:val="000000" w:themeColor="text1"/>
              </w:rPr>
            </w:pPr>
            <w:r w:rsidRPr="005B4BBA">
              <w:rPr>
                <w:color w:val="000000" w:themeColor="text1"/>
                <w:sz w:val="17"/>
              </w:rPr>
              <w:t>Blood Urea</w:t>
            </w:r>
          </w:p>
        </w:tc>
        <w:tc>
          <w:tcPr>
            <w:tcW w:w="1872" w:type="dxa"/>
            <w:shd w:val="clear" w:color="auto" w:fill="FFFFFF"/>
            <w:tcMar>
              <w:top w:w="60" w:type="dxa"/>
              <w:left w:w="100" w:type="dxa"/>
              <w:bottom w:w="60" w:type="dxa"/>
              <w:right w:w="100" w:type="dxa"/>
            </w:tcMar>
          </w:tcPr>
          <w:p w14:paraId="2750BEA6" w14:textId="77777777" w:rsidR="004549F7" w:rsidRPr="005B4BBA" w:rsidRDefault="00F15AFD">
            <w:pPr>
              <w:spacing w:after="0" w:line="252" w:lineRule="auto"/>
              <w:rPr>
                <w:color w:val="000000" w:themeColor="text1"/>
              </w:rPr>
            </w:pPr>
            <w:r w:rsidRPr="005B4BBA">
              <w:rPr>
                <w:color w:val="000000" w:themeColor="text1"/>
                <w:sz w:val="17"/>
              </w:rPr>
              <w:t>Urease-GLDH</w:t>
            </w:r>
          </w:p>
        </w:tc>
        <w:tc>
          <w:tcPr>
            <w:tcW w:w="1296" w:type="dxa"/>
            <w:shd w:val="clear" w:color="auto" w:fill="FFFFFF"/>
            <w:tcMar>
              <w:top w:w="60" w:type="dxa"/>
              <w:left w:w="100" w:type="dxa"/>
              <w:bottom w:w="60" w:type="dxa"/>
              <w:right w:w="100" w:type="dxa"/>
            </w:tcMar>
          </w:tcPr>
          <w:p w14:paraId="5FAE9C07" w14:textId="77777777" w:rsidR="004549F7" w:rsidRPr="005B4BBA" w:rsidRDefault="00F15AFD">
            <w:pPr>
              <w:spacing w:after="0" w:line="252" w:lineRule="auto"/>
              <w:rPr>
                <w:color w:val="000000" w:themeColor="text1"/>
              </w:rPr>
            </w:pPr>
            <w:r w:rsidRPr="005B4BBA">
              <w:rPr>
                <w:color w:val="000000" w:themeColor="text1"/>
                <w:sz w:val="17"/>
              </w:rPr>
              <w:t>24.1 mg/dL</w:t>
            </w:r>
          </w:p>
        </w:tc>
        <w:tc>
          <w:tcPr>
            <w:tcW w:w="1728" w:type="dxa"/>
            <w:shd w:val="clear" w:color="auto" w:fill="FFFFFF"/>
            <w:tcMar>
              <w:top w:w="60" w:type="dxa"/>
              <w:left w:w="100" w:type="dxa"/>
              <w:bottom w:w="60" w:type="dxa"/>
              <w:right w:w="100" w:type="dxa"/>
            </w:tcMar>
          </w:tcPr>
          <w:p w14:paraId="48A49B73" w14:textId="77777777" w:rsidR="004549F7" w:rsidRPr="005B4BBA" w:rsidRDefault="00F15AFD">
            <w:pPr>
              <w:spacing w:after="0" w:line="252" w:lineRule="auto"/>
              <w:rPr>
                <w:color w:val="000000" w:themeColor="text1"/>
              </w:rPr>
            </w:pPr>
            <w:r w:rsidRPr="005B4BBA">
              <w:rPr>
                <w:color w:val="000000" w:themeColor="text1"/>
                <w:sz w:val="17"/>
              </w:rPr>
              <w:t>10.8 – 38.4 mg/dL</w:t>
            </w:r>
          </w:p>
        </w:tc>
        <w:tc>
          <w:tcPr>
            <w:tcW w:w="2304" w:type="dxa"/>
            <w:shd w:val="clear" w:color="auto" w:fill="FFFFFF"/>
            <w:tcMar>
              <w:top w:w="60" w:type="dxa"/>
              <w:left w:w="100" w:type="dxa"/>
              <w:bottom w:w="60" w:type="dxa"/>
              <w:right w:w="100" w:type="dxa"/>
            </w:tcMar>
          </w:tcPr>
          <w:p w14:paraId="6DEC5B9F" w14:textId="77777777" w:rsidR="004549F7" w:rsidRPr="005B4BBA" w:rsidRDefault="00F15AFD">
            <w:pPr>
              <w:spacing w:after="0" w:line="252" w:lineRule="auto"/>
              <w:rPr>
                <w:color w:val="000000" w:themeColor="text1"/>
              </w:rPr>
            </w:pPr>
            <w:r w:rsidRPr="005B4BBA">
              <w:rPr>
                <w:color w:val="000000" w:themeColor="text1"/>
                <w:sz w:val="17"/>
              </w:rPr>
              <w:t xml:space="preserve">Normal baseline nitrogenous </w:t>
            </w:r>
            <w:r w:rsidRPr="005B4BBA">
              <w:rPr>
                <w:color w:val="000000" w:themeColor="text1"/>
                <w:sz w:val="17"/>
              </w:rPr>
              <w:lastRenderedPageBreak/>
              <w:t>waste clearance</w:t>
            </w:r>
          </w:p>
        </w:tc>
      </w:tr>
      <w:tr w:rsidR="004549F7" w:rsidRPr="005B4BBA" w14:paraId="3E1DF12B" w14:textId="77777777">
        <w:trPr>
          <w:jc w:val="center"/>
        </w:trPr>
        <w:tc>
          <w:tcPr>
            <w:tcW w:w="2160" w:type="dxa"/>
            <w:shd w:val="clear" w:color="auto" w:fill="F8F9FA"/>
            <w:tcMar>
              <w:top w:w="60" w:type="dxa"/>
              <w:left w:w="100" w:type="dxa"/>
              <w:bottom w:w="60" w:type="dxa"/>
              <w:right w:w="100" w:type="dxa"/>
            </w:tcMar>
          </w:tcPr>
          <w:p w14:paraId="21989033" w14:textId="77777777" w:rsidR="004549F7" w:rsidRPr="005B4BBA" w:rsidRDefault="00F15AFD">
            <w:pPr>
              <w:spacing w:after="0" w:line="252" w:lineRule="auto"/>
              <w:rPr>
                <w:color w:val="000000" w:themeColor="text1"/>
              </w:rPr>
            </w:pPr>
            <w:r w:rsidRPr="005B4BBA">
              <w:rPr>
                <w:color w:val="000000" w:themeColor="text1"/>
                <w:sz w:val="17"/>
              </w:rPr>
              <w:lastRenderedPageBreak/>
              <w:t>Serum Creatinine</w:t>
            </w:r>
          </w:p>
        </w:tc>
        <w:tc>
          <w:tcPr>
            <w:tcW w:w="1872" w:type="dxa"/>
            <w:shd w:val="clear" w:color="auto" w:fill="F8F9FA"/>
            <w:tcMar>
              <w:top w:w="60" w:type="dxa"/>
              <w:left w:w="100" w:type="dxa"/>
              <w:bottom w:w="60" w:type="dxa"/>
              <w:right w:w="100" w:type="dxa"/>
            </w:tcMar>
          </w:tcPr>
          <w:p w14:paraId="74E0CA18" w14:textId="77777777" w:rsidR="004549F7" w:rsidRPr="005B4BBA" w:rsidRDefault="00F15AFD">
            <w:pPr>
              <w:spacing w:after="0" w:line="252" w:lineRule="auto"/>
              <w:rPr>
                <w:color w:val="000000" w:themeColor="text1"/>
              </w:rPr>
            </w:pPr>
            <w:r w:rsidRPr="005B4BBA">
              <w:rPr>
                <w:color w:val="000000" w:themeColor="text1"/>
                <w:sz w:val="17"/>
              </w:rPr>
              <w:t>Modified Jaffe's Method</w:t>
            </w:r>
          </w:p>
        </w:tc>
        <w:tc>
          <w:tcPr>
            <w:tcW w:w="1296" w:type="dxa"/>
            <w:shd w:val="clear" w:color="auto" w:fill="F8F9FA"/>
            <w:tcMar>
              <w:top w:w="60" w:type="dxa"/>
              <w:left w:w="100" w:type="dxa"/>
              <w:bottom w:w="60" w:type="dxa"/>
              <w:right w:w="100" w:type="dxa"/>
            </w:tcMar>
          </w:tcPr>
          <w:p w14:paraId="6EB5E530" w14:textId="77777777" w:rsidR="004549F7" w:rsidRPr="005B4BBA" w:rsidRDefault="00F15AFD">
            <w:pPr>
              <w:spacing w:after="0" w:line="252" w:lineRule="auto"/>
              <w:rPr>
                <w:color w:val="000000" w:themeColor="text1"/>
              </w:rPr>
            </w:pPr>
            <w:r w:rsidRPr="005B4BBA">
              <w:rPr>
                <w:color w:val="000000" w:themeColor="text1"/>
                <w:sz w:val="17"/>
              </w:rPr>
              <w:t>0.60 mg/dL</w:t>
            </w:r>
          </w:p>
        </w:tc>
        <w:tc>
          <w:tcPr>
            <w:tcW w:w="1728" w:type="dxa"/>
            <w:shd w:val="clear" w:color="auto" w:fill="F8F9FA"/>
            <w:tcMar>
              <w:top w:w="60" w:type="dxa"/>
              <w:left w:w="100" w:type="dxa"/>
              <w:bottom w:w="60" w:type="dxa"/>
              <w:right w:w="100" w:type="dxa"/>
            </w:tcMar>
          </w:tcPr>
          <w:p w14:paraId="532666FC" w14:textId="77777777" w:rsidR="004549F7" w:rsidRPr="005B4BBA" w:rsidRDefault="00F15AFD">
            <w:pPr>
              <w:spacing w:after="0" w:line="252" w:lineRule="auto"/>
              <w:rPr>
                <w:color w:val="000000" w:themeColor="text1"/>
              </w:rPr>
            </w:pPr>
            <w:r w:rsidRPr="005B4BBA">
              <w:rPr>
                <w:color w:val="000000" w:themeColor="text1"/>
                <w:sz w:val="17"/>
              </w:rPr>
              <w:t>0.24 – 0.73 mg/dL</w:t>
            </w:r>
          </w:p>
        </w:tc>
        <w:tc>
          <w:tcPr>
            <w:tcW w:w="2304" w:type="dxa"/>
            <w:shd w:val="clear" w:color="auto" w:fill="F8F9FA"/>
            <w:tcMar>
              <w:top w:w="60" w:type="dxa"/>
              <w:left w:w="100" w:type="dxa"/>
              <w:bottom w:w="60" w:type="dxa"/>
              <w:right w:w="100" w:type="dxa"/>
            </w:tcMar>
          </w:tcPr>
          <w:p w14:paraId="0349B7D4" w14:textId="77777777" w:rsidR="004549F7" w:rsidRPr="005B4BBA" w:rsidRDefault="00F15AFD">
            <w:pPr>
              <w:spacing w:after="0" w:line="252" w:lineRule="auto"/>
              <w:rPr>
                <w:color w:val="000000" w:themeColor="text1"/>
              </w:rPr>
            </w:pPr>
            <w:r w:rsidRPr="005B4BBA">
              <w:rPr>
                <w:color w:val="000000" w:themeColor="text1"/>
                <w:sz w:val="17"/>
              </w:rPr>
              <w:t>Preserved glomerular filtration rate</w:t>
            </w:r>
          </w:p>
        </w:tc>
      </w:tr>
    </w:tbl>
    <w:p w14:paraId="1DB9DE76" w14:textId="77777777" w:rsidR="004549F7" w:rsidRPr="005B4BBA" w:rsidRDefault="00F15AFD">
      <w:pPr>
        <w:spacing w:before="240" w:after="80"/>
        <w:rPr>
          <w:color w:val="000000" w:themeColor="text1"/>
        </w:rPr>
      </w:pPr>
      <w:r w:rsidRPr="005B4BBA">
        <w:rPr>
          <w:b/>
          <w:color w:val="000000" w:themeColor="text1"/>
          <w:sz w:val="21"/>
        </w:rPr>
        <w:t>Table 2: Serial Urinalysis, Dipstick Chemical Examination, and Sediment Microscopy Profile</w:t>
      </w:r>
    </w:p>
    <w:tbl>
      <w:tblPr>
        <w:tblW w:w="0" w:type="auto"/>
        <w:jc w:val="center"/>
        <w:tblBorders>
          <w:top w:val="single" w:sz="4" w:space="0" w:color="B0BEC5"/>
          <w:bottom w:val="single" w:sz="4" w:space="0" w:color="B0BEC5"/>
          <w:insideH w:val="single" w:sz="4" w:space="0" w:color="B0BEC5"/>
        </w:tblBorders>
        <w:tblLook w:val="04A0" w:firstRow="1" w:lastRow="0" w:firstColumn="1" w:lastColumn="0" w:noHBand="0" w:noVBand="1"/>
      </w:tblPr>
      <w:tblGrid>
        <w:gridCol w:w="1728"/>
        <w:gridCol w:w="1584"/>
        <w:gridCol w:w="1296"/>
        <w:gridCol w:w="1296"/>
        <w:gridCol w:w="1296"/>
        <w:gridCol w:w="2160"/>
      </w:tblGrid>
      <w:tr w:rsidR="004549F7" w:rsidRPr="005B4BBA" w14:paraId="53C3D25A" w14:textId="77777777">
        <w:trPr>
          <w:jc w:val="center"/>
        </w:trPr>
        <w:tc>
          <w:tcPr>
            <w:tcW w:w="1728" w:type="dxa"/>
            <w:shd w:val="clear" w:color="auto" w:fill="102C57"/>
            <w:tcMar>
              <w:top w:w="60" w:type="dxa"/>
              <w:left w:w="80" w:type="dxa"/>
              <w:bottom w:w="60" w:type="dxa"/>
              <w:right w:w="80" w:type="dxa"/>
            </w:tcMar>
          </w:tcPr>
          <w:p w14:paraId="7E980531" w14:textId="77777777" w:rsidR="004549F7" w:rsidRPr="005E7672" w:rsidRDefault="00F15AFD">
            <w:pPr>
              <w:spacing w:after="0" w:line="252" w:lineRule="auto"/>
              <w:rPr>
                <w:color w:val="FFFFFF" w:themeColor="background1"/>
              </w:rPr>
            </w:pPr>
            <w:r w:rsidRPr="005E7672">
              <w:rPr>
                <w:b/>
                <w:color w:val="FFFFFF" w:themeColor="background1"/>
                <w:sz w:val="16"/>
              </w:rPr>
              <w:t>Parameter / Metric</w:t>
            </w:r>
          </w:p>
        </w:tc>
        <w:tc>
          <w:tcPr>
            <w:tcW w:w="1584" w:type="dxa"/>
            <w:shd w:val="clear" w:color="auto" w:fill="102C57"/>
            <w:tcMar>
              <w:top w:w="60" w:type="dxa"/>
              <w:left w:w="80" w:type="dxa"/>
              <w:bottom w:w="60" w:type="dxa"/>
              <w:right w:w="80" w:type="dxa"/>
            </w:tcMar>
          </w:tcPr>
          <w:p w14:paraId="290C2F13" w14:textId="77777777" w:rsidR="004549F7" w:rsidRPr="005E7672" w:rsidRDefault="00F15AFD">
            <w:pPr>
              <w:spacing w:after="0" w:line="252" w:lineRule="auto"/>
              <w:rPr>
                <w:color w:val="FFFFFF" w:themeColor="background1"/>
              </w:rPr>
            </w:pPr>
            <w:r w:rsidRPr="005E7672">
              <w:rPr>
                <w:b/>
                <w:color w:val="FFFFFF" w:themeColor="background1"/>
                <w:sz w:val="16"/>
              </w:rPr>
              <w:t>Testing Technique / Method</w:t>
            </w:r>
          </w:p>
        </w:tc>
        <w:tc>
          <w:tcPr>
            <w:tcW w:w="1296" w:type="dxa"/>
            <w:shd w:val="clear" w:color="auto" w:fill="102C57"/>
            <w:tcMar>
              <w:top w:w="60" w:type="dxa"/>
              <w:left w:w="80" w:type="dxa"/>
              <w:bottom w:w="60" w:type="dxa"/>
              <w:right w:w="80" w:type="dxa"/>
            </w:tcMar>
          </w:tcPr>
          <w:p w14:paraId="5376B28F" w14:textId="77777777" w:rsidR="004549F7" w:rsidRPr="005E7672" w:rsidRDefault="00F15AFD">
            <w:pPr>
              <w:spacing w:after="0" w:line="252" w:lineRule="auto"/>
              <w:rPr>
                <w:color w:val="FFFFFF" w:themeColor="background1"/>
              </w:rPr>
            </w:pPr>
            <w:r w:rsidRPr="005E7672">
              <w:rPr>
                <w:b/>
                <w:color w:val="FFFFFF" w:themeColor="background1"/>
                <w:sz w:val="16"/>
              </w:rPr>
              <w:t>Initial Value (22/08/2026)</w:t>
            </w:r>
          </w:p>
        </w:tc>
        <w:tc>
          <w:tcPr>
            <w:tcW w:w="1296" w:type="dxa"/>
            <w:shd w:val="clear" w:color="auto" w:fill="102C57"/>
            <w:tcMar>
              <w:top w:w="60" w:type="dxa"/>
              <w:left w:w="80" w:type="dxa"/>
              <w:bottom w:w="60" w:type="dxa"/>
              <w:right w:w="80" w:type="dxa"/>
            </w:tcMar>
          </w:tcPr>
          <w:p w14:paraId="0BACFCCE" w14:textId="77777777" w:rsidR="004549F7" w:rsidRPr="005E7672" w:rsidRDefault="00F15AFD">
            <w:pPr>
              <w:spacing w:after="0" w:line="252" w:lineRule="auto"/>
              <w:rPr>
                <w:color w:val="FFFFFF" w:themeColor="background1"/>
              </w:rPr>
            </w:pPr>
            <w:r w:rsidRPr="005E7672">
              <w:rPr>
                <w:b/>
                <w:color w:val="FFFFFF" w:themeColor="background1"/>
                <w:sz w:val="16"/>
              </w:rPr>
              <w:t>Follow-up (26/08/2026)</w:t>
            </w:r>
          </w:p>
        </w:tc>
        <w:tc>
          <w:tcPr>
            <w:tcW w:w="1296" w:type="dxa"/>
            <w:shd w:val="clear" w:color="auto" w:fill="102C57"/>
            <w:tcMar>
              <w:top w:w="60" w:type="dxa"/>
              <w:left w:w="80" w:type="dxa"/>
              <w:bottom w:w="60" w:type="dxa"/>
              <w:right w:w="80" w:type="dxa"/>
            </w:tcMar>
          </w:tcPr>
          <w:p w14:paraId="066B310C" w14:textId="77777777" w:rsidR="004549F7" w:rsidRPr="005E7672" w:rsidRDefault="00F15AFD">
            <w:pPr>
              <w:spacing w:after="0" w:line="252" w:lineRule="auto"/>
              <w:rPr>
                <w:color w:val="FFFFFF" w:themeColor="background1"/>
              </w:rPr>
            </w:pPr>
            <w:r w:rsidRPr="005E7672">
              <w:rPr>
                <w:b/>
                <w:color w:val="FFFFFF" w:themeColor="background1"/>
                <w:sz w:val="16"/>
              </w:rPr>
              <w:t>Reference Interval</w:t>
            </w:r>
          </w:p>
        </w:tc>
        <w:tc>
          <w:tcPr>
            <w:tcW w:w="2160" w:type="dxa"/>
            <w:shd w:val="clear" w:color="auto" w:fill="102C57"/>
            <w:tcMar>
              <w:top w:w="60" w:type="dxa"/>
              <w:left w:w="80" w:type="dxa"/>
              <w:bottom w:w="60" w:type="dxa"/>
              <w:right w:w="80" w:type="dxa"/>
            </w:tcMar>
          </w:tcPr>
          <w:p w14:paraId="59455467" w14:textId="77777777" w:rsidR="004549F7" w:rsidRPr="005E7672" w:rsidRDefault="00F15AFD">
            <w:pPr>
              <w:spacing w:after="0" w:line="252" w:lineRule="auto"/>
              <w:rPr>
                <w:color w:val="FFFFFF" w:themeColor="background1"/>
              </w:rPr>
            </w:pPr>
            <w:r w:rsidRPr="005E7672">
              <w:rPr>
                <w:b/>
                <w:color w:val="FFFFFF" w:themeColor="background1"/>
                <w:sz w:val="16"/>
              </w:rPr>
              <w:t>Clinical Significance</w:t>
            </w:r>
          </w:p>
        </w:tc>
      </w:tr>
      <w:tr w:rsidR="004549F7" w:rsidRPr="005B4BBA" w14:paraId="48815097" w14:textId="77777777">
        <w:trPr>
          <w:jc w:val="center"/>
        </w:trPr>
        <w:tc>
          <w:tcPr>
            <w:tcW w:w="1728" w:type="dxa"/>
            <w:shd w:val="clear" w:color="auto" w:fill="F8F9FA"/>
            <w:tcMar>
              <w:top w:w="60" w:type="dxa"/>
              <w:left w:w="80" w:type="dxa"/>
              <w:bottom w:w="60" w:type="dxa"/>
              <w:right w:w="80" w:type="dxa"/>
            </w:tcMar>
          </w:tcPr>
          <w:p w14:paraId="1A69A5DB" w14:textId="77777777" w:rsidR="004549F7" w:rsidRPr="005B4BBA" w:rsidRDefault="00F15AFD">
            <w:pPr>
              <w:spacing w:after="0" w:line="252" w:lineRule="auto"/>
              <w:rPr>
                <w:color w:val="000000" w:themeColor="text1"/>
              </w:rPr>
            </w:pPr>
            <w:r w:rsidRPr="005B4BBA">
              <w:rPr>
                <w:color w:val="000000" w:themeColor="text1"/>
                <w:sz w:val="16"/>
              </w:rPr>
              <w:t>Physical Appearance</w:t>
            </w:r>
          </w:p>
        </w:tc>
        <w:tc>
          <w:tcPr>
            <w:tcW w:w="1584" w:type="dxa"/>
            <w:shd w:val="clear" w:color="auto" w:fill="F8F9FA"/>
            <w:tcMar>
              <w:top w:w="60" w:type="dxa"/>
              <w:left w:w="80" w:type="dxa"/>
              <w:bottom w:w="60" w:type="dxa"/>
              <w:right w:w="80" w:type="dxa"/>
            </w:tcMar>
          </w:tcPr>
          <w:p w14:paraId="620C9042" w14:textId="77777777" w:rsidR="004549F7" w:rsidRPr="005B4BBA" w:rsidRDefault="00F15AFD">
            <w:pPr>
              <w:spacing w:after="0" w:line="252" w:lineRule="auto"/>
              <w:rPr>
                <w:color w:val="000000" w:themeColor="text1"/>
              </w:rPr>
            </w:pPr>
            <w:r w:rsidRPr="005B4BBA">
              <w:rPr>
                <w:color w:val="000000" w:themeColor="text1"/>
                <w:sz w:val="16"/>
              </w:rPr>
              <w:t>Visual Inspection</w:t>
            </w:r>
          </w:p>
        </w:tc>
        <w:tc>
          <w:tcPr>
            <w:tcW w:w="1296" w:type="dxa"/>
            <w:shd w:val="clear" w:color="auto" w:fill="F8F9FA"/>
            <w:tcMar>
              <w:top w:w="60" w:type="dxa"/>
              <w:left w:w="80" w:type="dxa"/>
              <w:bottom w:w="60" w:type="dxa"/>
              <w:right w:w="80" w:type="dxa"/>
            </w:tcMar>
          </w:tcPr>
          <w:p w14:paraId="17071BAE" w14:textId="77777777" w:rsidR="004549F7" w:rsidRPr="005B4BBA" w:rsidRDefault="00F15AFD">
            <w:pPr>
              <w:spacing w:after="0" w:line="252" w:lineRule="auto"/>
              <w:rPr>
                <w:color w:val="000000" w:themeColor="text1"/>
              </w:rPr>
            </w:pPr>
            <w:r w:rsidRPr="005B4BBA">
              <w:rPr>
                <w:color w:val="000000" w:themeColor="text1"/>
                <w:sz w:val="16"/>
              </w:rPr>
              <w:t>Red / Turbid</w:t>
            </w:r>
          </w:p>
        </w:tc>
        <w:tc>
          <w:tcPr>
            <w:tcW w:w="1296" w:type="dxa"/>
            <w:shd w:val="clear" w:color="auto" w:fill="F8F9FA"/>
            <w:tcMar>
              <w:top w:w="60" w:type="dxa"/>
              <w:left w:w="80" w:type="dxa"/>
              <w:bottom w:w="60" w:type="dxa"/>
              <w:right w:w="80" w:type="dxa"/>
            </w:tcMar>
          </w:tcPr>
          <w:p w14:paraId="06BDA4AD" w14:textId="77777777" w:rsidR="004549F7" w:rsidRPr="005B4BBA" w:rsidRDefault="00F15AFD">
            <w:pPr>
              <w:spacing w:after="0" w:line="252" w:lineRule="auto"/>
              <w:rPr>
                <w:color w:val="000000" w:themeColor="text1"/>
              </w:rPr>
            </w:pPr>
            <w:r w:rsidRPr="005B4BBA">
              <w:rPr>
                <w:color w:val="000000" w:themeColor="text1"/>
                <w:sz w:val="16"/>
              </w:rPr>
              <w:t>Pale Yellow / Clear</w:t>
            </w:r>
          </w:p>
        </w:tc>
        <w:tc>
          <w:tcPr>
            <w:tcW w:w="1296" w:type="dxa"/>
            <w:shd w:val="clear" w:color="auto" w:fill="F8F9FA"/>
            <w:tcMar>
              <w:top w:w="60" w:type="dxa"/>
              <w:left w:w="80" w:type="dxa"/>
              <w:bottom w:w="60" w:type="dxa"/>
              <w:right w:w="80" w:type="dxa"/>
            </w:tcMar>
          </w:tcPr>
          <w:p w14:paraId="346338BF" w14:textId="77777777" w:rsidR="004549F7" w:rsidRPr="005B4BBA" w:rsidRDefault="00F15AFD">
            <w:pPr>
              <w:spacing w:after="0" w:line="252" w:lineRule="auto"/>
              <w:rPr>
                <w:color w:val="000000" w:themeColor="text1"/>
              </w:rPr>
            </w:pPr>
            <w:r w:rsidRPr="005B4BBA">
              <w:rPr>
                <w:color w:val="000000" w:themeColor="text1"/>
                <w:sz w:val="16"/>
              </w:rPr>
              <w:t>Pale yellow / Clear</w:t>
            </w:r>
          </w:p>
        </w:tc>
        <w:tc>
          <w:tcPr>
            <w:tcW w:w="2160" w:type="dxa"/>
            <w:shd w:val="clear" w:color="auto" w:fill="F8F9FA"/>
            <w:tcMar>
              <w:top w:w="60" w:type="dxa"/>
              <w:left w:w="80" w:type="dxa"/>
              <w:bottom w:w="60" w:type="dxa"/>
              <w:right w:w="80" w:type="dxa"/>
            </w:tcMar>
          </w:tcPr>
          <w:p w14:paraId="5D84BE31" w14:textId="77777777" w:rsidR="004549F7" w:rsidRPr="005B4BBA" w:rsidRDefault="00F15AFD">
            <w:pPr>
              <w:spacing w:after="0" w:line="252" w:lineRule="auto"/>
              <w:rPr>
                <w:color w:val="000000" w:themeColor="text1"/>
              </w:rPr>
            </w:pPr>
            <w:r w:rsidRPr="005B4BBA">
              <w:rPr>
                <w:color w:val="000000" w:themeColor="text1"/>
                <w:sz w:val="16"/>
              </w:rPr>
              <w:t>Resolution of gross macroscopic hematuria</w:t>
            </w:r>
          </w:p>
        </w:tc>
      </w:tr>
      <w:tr w:rsidR="004549F7" w:rsidRPr="005B4BBA" w14:paraId="66194940" w14:textId="77777777">
        <w:trPr>
          <w:jc w:val="center"/>
        </w:trPr>
        <w:tc>
          <w:tcPr>
            <w:tcW w:w="1728" w:type="dxa"/>
            <w:shd w:val="clear" w:color="auto" w:fill="FFFFFF"/>
            <w:tcMar>
              <w:top w:w="60" w:type="dxa"/>
              <w:left w:w="80" w:type="dxa"/>
              <w:bottom w:w="60" w:type="dxa"/>
              <w:right w:w="80" w:type="dxa"/>
            </w:tcMar>
          </w:tcPr>
          <w:p w14:paraId="23FD9530" w14:textId="77777777" w:rsidR="004549F7" w:rsidRPr="005B4BBA" w:rsidRDefault="00F15AFD">
            <w:pPr>
              <w:spacing w:after="0" w:line="252" w:lineRule="auto"/>
              <w:rPr>
                <w:color w:val="000000" w:themeColor="text1"/>
              </w:rPr>
            </w:pPr>
            <w:r w:rsidRPr="005B4BBA">
              <w:rPr>
                <w:color w:val="000000" w:themeColor="text1"/>
                <w:sz w:val="16"/>
              </w:rPr>
              <w:t>Sample Volume</w:t>
            </w:r>
          </w:p>
        </w:tc>
        <w:tc>
          <w:tcPr>
            <w:tcW w:w="1584" w:type="dxa"/>
            <w:shd w:val="clear" w:color="auto" w:fill="FFFFFF"/>
            <w:tcMar>
              <w:top w:w="60" w:type="dxa"/>
              <w:left w:w="80" w:type="dxa"/>
              <w:bottom w:w="60" w:type="dxa"/>
              <w:right w:w="80" w:type="dxa"/>
            </w:tcMar>
          </w:tcPr>
          <w:p w14:paraId="52510E3B" w14:textId="77777777" w:rsidR="004549F7" w:rsidRPr="005B4BBA" w:rsidRDefault="00F15AFD">
            <w:pPr>
              <w:spacing w:after="0" w:line="252" w:lineRule="auto"/>
              <w:rPr>
                <w:color w:val="000000" w:themeColor="text1"/>
              </w:rPr>
            </w:pPr>
            <w:r w:rsidRPr="005B4BBA">
              <w:rPr>
                <w:color w:val="000000" w:themeColor="text1"/>
                <w:sz w:val="16"/>
              </w:rPr>
              <w:t>Volumetric</w:t>
            </w:r>
          </w:p>
        </w:tc>
        <w:tc>
          <w:tcPr>
            <w:tcW w:w="1296" w:type="dxa"/>
            <w:shd w:val="clear" w:color="auto" w:fill="FFFFFF"/>
            <w:tcMar>
              <w:top w:w="60" w:type="dxa"/>
              <w:left w:w="80" w:type="dxa"/>
              <w:bottom w:w="60" w:type="dxa"/>
              <w:right w:w="80" w:type="dxa"/>
            </w:tcMar>
          </w:tcPr>
          <w:p w14:paraId="0A9BC554" w14:textId="77777777" w:rsidR="004549F7" w:rsidRPr="005B4BBA" w:rsidRDefault="00F15AFD">
            <w:pPr>
              <w:spacing w:after="0" w:line="252" w:lineRule="auto"/>
              <w:rPr>
                <w:color w:val="000000" w:themeColor="text1"/>
              </w:rPr>
            </w:pPr>
            <w:r w:rsidRPr="005B4BBA">
              <w:rPr>
                <w:color w:val="000000" w:themeColor="text1"/>
                <w:sz w:val="16"/>
              </w:rPr>
              <w:t>15 mL</w:t>
            </w:r>
          </w:p>
        </w:tc>
        <w:tc>
          <w:tcPr>
            <w:tcW w:w="1296" w:type="dxa"/>
            <w:shd w:val="clear" w:color="auto" w:fill="FFFFFF"/>
            <w:tcMar>
              <w:top w:w="60" w:type="dxa"/>
              <w:left w:w="80" w:type="dxa"/>
              <w:bottom w:w="60" w:type="dxa"/>
              <w:right w:w="80" w:type="dxa"/>
            </w:tcMar>
          </w:tcPr>
          <w:p w14:paraId="14EDDD78" w14:textId="77777777" w:rsidR="004549F7" w:rsidRPr="005B4BBA" w:rsidRDefault="00F15AFD">
            <w:pPr>
              <w:spacing w:after="0" w:line="252" w:lineRule="auto"/>
              <w:rPr>
                <w:color w:val="000000" w:themeColor="text1"/>
              </w:rPr>
            </w:pPr>
            <w:r w:rsidRPr="005B4BBA">
              <w:rPr>
                <w:color w:val="000000" w:themeColor="text1"/>
                <w:sz w:val="16"/>
              </w:rPr>
              <w:t>25 mL</w:t>
            </w:r>
          </w:p>
        </w:tc>
        <w:tc>
          <w:tcPr>
            <w:tcW w:w="1296" w:type="dxa"/>
            <w:shd w:val="clear" w:color="auto" w:fill="FFFFFF"/>
            <w:tcMar>
              <w:top w:w="60" w:type="dxa"/>
              <w:left w:w="80" w:type="dxa"/>
              <w:bottom w:w="60" w:type="dxa"/>
              <w:right w:w="80" w:type="dxa"/>
            </w:tcMar>
          </w:tcPr>
          <w:p w14:paraId="0455EFAE" w14:textId="77777777" w:rsidR="004549F7" w:rsidRPr="005B4BBA" w:rsidRDefault="00F15AFD">
            <w:pPr>
              <w:spacing w:after="0" w:line="252" w:lineRule="auto"/>
              <w:rPr>
                <w:color w:val="000000" w:themeColor="text1"/>
              </w:rPr>
            </w:pPr>
            <w:r w:rsidRPr="005B4BBA">
              <w:rPr>
                <w:color w:val="000000" w:themeColor="text1"/>
                <w:sz w:val="16"/>
              </w:rPr>
              <w:t>Adequate</w:t>
            </w:r>
          </w:p>
        </w:tc>
        <w:tc>
          <w:tcPr>
            <w:tcW w:w="2160" w:type="dxa"/>
            <w:shd w:val="clear" w:color="auto" w:fill="FFFFFF"/>
            <w:tcMar>
              <w:top w:w="60" w:type="dxa"/>
              <w:left w:w="80" w:type="dxa"/>
              <w:bottom w:w="60" w:type="dxa"/>
              <w:right w:w="80" w:type="dxa"/>
            </w:tcMar>
          </w:tcPr>
          <w:p w14:paraId="6FD8AAB1" w14:textId="77777777" w:rsidR="004549F7" w:rsidRPr="005B4BBA" w:rsidRDefault="00F15AFD">
            <w:pPr>
              <w:spacing w:after="0" w:line="252" w:lineRule="auto"/>
              <w:rPr>
                <w:color w:val="000000" w:themeColor="text1"/>
              </w:rPr>
            </w:pPr>
            <w:r w:rsidRPr="005B4BBA">
              <w:rPr>
                <w:color w:val="000000" w:themeColor="text1"/>
                <w:sz w:val="16"/>
              </w:rPr>
              <w:t>Sufficient urinary volume</w:t>
            </w:r>
          </w:p>
        </w:tc>
      </w:tr>
      <w:tr w:rsidR="004549F7" w:rsidRPr="005B4BBA" w14:paraId="37214428" w14:textId="77777777">
        <w:trPr>
          <w:jc w:val="center"/>
        </w:trPr>
        <w:tc>
          <w:tcPr>
            <w:tcW w:w="1728" w:type="dxa"/>
            <w:shd w:val="clear" w:color="auto" w:fill="F8F9FA"/>
            <w:tcMar>
              <w:top w:w="60" w:type="dxa"/>
              <w:left w:w="80" w:type="dxa"/>
              <w:bottom w:w="60" w:type="dxa"/>
              <w:right w:w="80" w:type="dxa"/>
            </w:tcMar>
          </w:tcPr>
          <w:p w14:paraId="731C0D50" w14:textId="77777777" w:rsidR="004549F7" w:rsidRPr="005B4BBA" w:rsidRDefault="00F15AFD">
            <w:pPr>
              <w:spacing w:after="0" w:line="252" w:lineRule="auto"/>
              <w:rPr>
                <w:color w:val="000000" w:themeColor="text1"/>
              </w:rPr>
            </w:pPr>
            <w:r w:rsidRPr="005B4BBA">
              <w:rPr>
                <w:color w:val="000000" w:themeColor="text1"/>
                <w:sz w:val="16"/>
              </w:rPr>
              <w:t>Urine pH</w:t>
            </w:r>
          </w:p>
        </w:tc>
        <w:tc>
          <w:tcPr>
            <w:tcW w:w="1584" w:type="dxa"/>
            <w:shd w:val="clear" w:color="auto" w:fill="F8F9FA"/>
            <w:tcMar>
              <w:top w:w="60" w:type="dxa"/>
              <w:left w:w="80" w:type="dxa"/>
              <w:bottom w:w="60" w:type="dxa"/>
              <w:right w:w="80" w:type="dxa"/>
            </w:tcMar>
          </w:tcPr>
          <w:p w14:paraId="1637B9F0" w14:textId="77777777" w:rsidR="004549F7" w:rsidRPr="005B4BBA" w:rsidRDefault="00F15AFD">
            <w:pPr>
              <w:spacing w:after="0" w:line="252" w:lineRule="auto"/>
              <w:rPr>
                <w:color w:val="000000" w:themeColor="text1"/>
              </w:rPr>
            </w:pPr>
            <w:r w:rsidRPr="005B4BBA">
              <w:rPr>
                <w:color w:val="000000" w:themeColor="text1"/>
                <w:sz w:val="16"/>
              </w:rPr>
              <w:t>Colour Indicator Strip</w:t>
            </w:r>
          </w:p>
        </w:tc>
        <w:tc>
          <w:tcPr>
            <w:tcW w:w="1296" w:type="dxa"/>
            <w:shd w:val="clear" w:color="auto" w:fill="F8F9FA"/>
            <w:tcMar>
              <w:top w:w="60" w:type="dxa"/>
              <w:left w:w="80" w:type="dxa"/>
              <w:bottom w:w="60" w:type="dxa"/>
              <w:right w:w="80" w:type="dxa"/>
            </w:tcMar>
          </w:tcPr>
          <w:p w14:paraId="72E4FA09" w14:textId="77777777" w:rsidR="004549F7" w:rsidRPr="005B4BBA" w:rsidRDefault="00F15AFD">
            <w:pPr>
              <w:spacing w:after="0" w:line="252" w:lineRule="auto"/>
              <w:rPr>
                <w:color w:val="000000" w:themeColor="text1"/>
              </w:rPr>
            </w:pPr>
            <w:r w:rsidRPr="005B4BBA">
              <w:rPr>
                <w:color w:val="000000" w:themeColor="text1"/>
                <w:sz w:val="16"/>
              </w:rPr>
              <w:t>8.5</w:t>
            </w:r>
          </w:p>
        </w:tc>
        <w:tc>
          <w:tcPr>
            <w:tcW w:w="1296" w:type="dxa"/>
            <w:shd w:val="clear" w:color="auto" w:fill="F8F9FA"/>
            <w:tcMar>
              <w:top w:w="60" w:type="dxa"/>
              <w:left w:w="80" w:type="dxa"/>
              <w:bottom w:w="60" w:type="dxa"/>
              <w:right w:w="80" w:type="dxa"/>
            </w:tcMar>
          </w:tcPr>
          <w:p w14:paraId="555920E8" w14:textId="77777777" w:rsidR="004549F7" w:rsidRPr="005B4BBA" w:rsidRDefault="00F15AFD">
            <w:pPr>
              <w:spacing w:after="0" w:line="252" w:lineRule="auto"/>
              <w:rPr>
                <w:color w:val="000000" w:themeColor="text1"/>
              </w:rPr>
            </w:pPr>
            <w:r w:rsidRPr="005B4BBA">
              <w:rPr>
                <w:color w:val="000000" w:themeColor="text1"/>
                <w:sz w:val="16"/>
              </w:rPr>
              <w:t>6.5</w:t>
            </w:r>
          </w:p>
        </w:tc>
        <w:tc>
          <w:tcPr>
            <w:tcW w:w="1296" w:type="dxa"/>
            <w:shd w:val="clear" w:color="auto" w:fill="F8F9FA"/>
            <w:tcMar>
              <w:top w:w="60" w:type="dxa"/>
              <w:left w:w="80" w:type="dxa"/>
              <w:bottom w:w="60" w:type="dxa"/>
              <w:right w:w="80" w:type="dxa"/>
            </w:tcMar>
          </w:tcPr>
          <w:p w14:paraId="57504503" w14:textId="77777777" w:rsidR="004549F7" w:rsidRPr="005B4BBA" w:rsidRDefault="00F15AFD">
            <w:pPr>
              <w:spacing w:after="0" w:line="252" w:lineRule="auto"/>
              <w:rPr>
                <w:color w:val="000000" w:themeColor="text1"/>
              </w:rPr>
            </w:pPr>
            <w:r w:rsidRPr="005B4BBA">
              <w:rPr>
                <w:color w:val="000000" w:themeColor="text1"/>
                <w:sz w:val="16"/>
              </w:rPr>
              <w:t>4.6 – 8.0</w:t>
            </w:r>
          </w:p>
        </w:tc>
        <w:tc>
          <w:tcPr>
            <w:tcW w:w="2160" w:type="dxa"/>
            <w:shd w:val="clear" w:color="auto" w:fill="F8F9FA"/>
            <w:tcMar>
              <w:top w:w="60" w:type="dxa"/>
              <w:left w:w="80" w:type="dxa"/>
              <w:bottom w:w="60" w:type="dxa"/>
              <w:right w:w="80" w:type="dxa"/>
            </w:tcMar>
          </w:tcPr>
          <w:p w14:paraId="3D747109" w14:textId="77777777" w:rsidR="004549F7" w:rsidRPr="005B4BBA" w:rsidRDefault="00F15AFD">
            <w:pPr>
              <w:spacing w:after="0" w:line="252" w:lineRule="auto"/>
              <w:rPr>
                <w:color w:val="000000" w:themeColor="text1"/>
              </w:rPr>
            </w:pPr>
            <w:r w:rsidRPr="005B4BBA">
              <w:rPr>
                <w:color w:val="000000" w:themeColor="text1"/>
                <w:sz w:val="16"/>
              </w:rPr>
              <w:t>Initial alkaline urine indicating urea-splitting UTI; normalized</w:t>
            </w:r>
          </w:p>
        </w:tc>
      </w:tr>
      <w:tr w:rsidR="004549F7" w:rsidRPr="005B4BBA" w14:paraId="01C18D8E" w14:textId="77777777">
        <w:trPr>
          <w:jc w:val="center"/>
        </w:trPr>
        <w:tc>
          <w:tcPr>
            <w:tcW w:w="1728" w:type="dxa"/>
            <w:shd w:val="clear" w:color="auto" w:fill="FFFFFF"/>
            <w:tcMar>
              <w:top w:w="60" w:type="dxa"/>
              <w:left w:w="80" w:type="dxa"/>
              <w:bottom w:w="60" w:type="dxa"/>
              <w:right w:w="80" w:type="dxa"/>
            </w:tcMar>
          </w:tcPr>
          <w:p w14:paraId="12407CDD" w14:textId="77777777" w:rsidR="004549F7" w:rsidRPr="005B4BBA" w:rsidRDefault="00F15AFD">
            <w:pPr>
              <w:spacing w:after="0" w:line="252" w:lineRule="auto"/>
              <w:rPr>
                <w:color w:val="000000" w:themeColor="text1"/>
              </w:rPr>
            </w:pPr>
            <w:r w:rsidRPr="005B4BBA">
              <w:rPr>
                <w:color w:val="000000" w:themeColor="text1"/>
                <w:sz w:val="16"/>
              </w:rPr>
              <w:t>Specific Gravity</w:t>
            </w:r>
          </w:p>
        </w:tc>
        <w:tc>
          <w:tcPr>
            <w:tcW w:w="1584" w:type="dxa"/>
            <w:shd w:val="clear" w:color="auto" w:fill="FFFFFF"/>
            <w:tcMar>
              <w:top w:w="60" w:type="dxa"/>
              <w:left w:w="80" w:type="dxa"/>
              <w:bottom w:w="60" w:type="dxa"/>
              <w:right w:w="80" w:type="dxa"/>
            </w:tcMar>
          </w:tcPr>
          <w:p w14:paraId="4F02E4F4" w14:textId="77777777" w:rsidR="004549F7" w:rsidRPr="005B4BBA" w:rsidRDefault="00F15AFD">
            <w:pPr>
              <w:spacing w:after="0" w:line="252" w:lineRule="auto"/>
              <w:rPr>
                <w:color w:val="000000" w:themeColor="text1"/>
              </w:rPr>
            </w:pPr>
            <w:r w:rsidRPr="005B4BBA">
              <w:rPr>
                <w:color w:val="000000" w:themeColor="text1"/>
                <w:sz w:val="16"/>
              </w:rPr>
              <w:t>Refractometry</w:t>
            </w:r>
          </w:p>
        </w:tc>
        <w:tc>
          <w:tcPr>
            <w:tcW w:w="1296" w:type="dxa"/>
            <w:shd w:val="clear" w:color="auto" w:fill="FFFFFF"/>
            <w:tcMar>
              <w:top w:w="60" w:type="dxa"/>
              <w:left w:w="80" w:type="dxa"/>
              <w:bottom w:w="60" w:type="dxa"/>
              <w:right w:w="80" w:type="dxa"/>
            </w:tcMar>
          </w:tcPr>
          <w:p w14:paraId="3D164719" w14:textId="77777777" w:rsidR="004549F7" w:rsidRPr="005B4BBA" w:rsidRDefault="00F15AFD">
            <w:pPr>
              <w:spacing w:after="0" w:line="252" w:lineRule="auto"/>
              <w:rPr>
                <w:color w:val="000000" w:themeColor="text1"/>
              </w:rPr>
            </w:pPr>
            <w:r w:rsidRPr="005B4BBA">
              <w:rPr>
                <w:color w:val="000000" w:themeColor="text1"/>
                <w:sz w:val="16"/>
              </w:rPr>
              <w:t>1.010</w:t>
            </w:r>
          </w:p>
        </w:tc>
        <w:tc>
          <w:tcPr>
            <w:tcW w:w="1296" w:type="dxa"/>
            <w:shd w:val="clear" w:color="auto" w:fill="FFFFFF"/>
            <w:tcMar>
              <w:top w:w="60" w:type="dxa"/>
              <w:left w:w="80" w:type="dxa"/>
              <w:bottom w:w="60" w:type="dxa"/>
              <w:right w:w="80" w:type="dxa"/>
            </w:tcMar>
          </w:tcPr>
          <w:p w14:paraId="1AB2577C" w14:textId="77777777" w:rsidR="004549F7" w:rsidRPr="005B4BBA" w:rsidRDefault="00F15AFD">
            <w:pPr>
              <w:spacing w:after="0" w:line="252" w:lineRule="auto"/>
              <w:rPr>
                <w:color w:val="000000" w:themeColor="text1"/>
              </w:rPr>
            </w:pPr>
            <w:r w:rsidRPr="005B4BBA">
              <w:rPr>
                <w:color w:val="000000" w:themeColor="text1"/>
                <w:sz w:val="16"/>
              </w:rPr>
              <w:t>1.015</w:t>
            </w:r>
          </w:p>
        </w:tc>
        <w:tc>
          <w:tcPr>
            <w:tcW w:w="1296" w:type="dxa"/>
            <w:shd w:val="clear" w:color="auto" w:fill="FFFFFF"/>
            <w:tcMar>
              <w:top w:w="60" w:type="dxa"/>
              <w:left w:w="80" w:type="dxa"/>
              <w:bottom w:w="60" w:type="dxa"/>
              <w:right w:w="80" w:type="dxa"/>
            </w:tcMar>
          </w:tcPr>
          <w:p w14:paraId="46D2FBE0" w14:textId="77777777" w:rsidR="004549F7" w:rsidRPr="005B4BBA" w:rsidRDefault="00F15AFD">
            <w:pPr>
              <w:spacing w:after="0" w:line="252" w:lineRule="auto"/>
              <w:rPr>
                <w:color w:val="000000" w:themeColor="text1"/>
              </w:rPr>
            </w:pPr>
            <w:r w:rsidRPr="005B4BBA">
              <w:rPr>
                <w:color w:val="000000" w:themeColor="text1"/>
                <w:sz w:val="16"/>
              </w:rPr>
              <w:t>1.003 – 1.030</w:t>
            </w:r>
          </w:p>
        </w:tc>
        <w:tc>
          <w:tcPr>
            <w:tcW w:w="2160" w:type="dxa"/>
            <w:shd w:val="clear" w:color="auto" w:fill="FFFFFF"/>
            <w:tcMar>
              <w:top w:w="60" w:type="dxa"/>
              <w:left w:w="80" w:type="dxa"/>
              <w:bottom w:w="60" w:type="dxa"/>
              <w:right w:w="80" w:type="dxa"/>
            </w:tcMar>
          </w:tcPr>
          <w:p w14:paraId="27159353" w14:textId="77777777" w:rsidR="004549F7" w:rsidRPr="005B4BBA" w:rsidRDefault="00F15AFD">
            <w:pPr>
              <w:spacing w:after="0" w:line="252" w:lineRule="auto"/>
              <w:rPr>
                <w:color w:val="000000" w:themeColor="text1"/>
              </w:rPr>
            </w:pPr>
            <w:r w:rsidRPr="005B4BBA">
              <w:rPr>
                <w:color w:val="000000" w:themeColor="text1"/>
                <w:sz w:val="16"/>
              </w:rPr>
              <w:t>Adequate renal tubular concentrating ability</w:t>
            </w:r>
          </w:p>
        </w:tc>
      </w:tr>
      <w:tr w:rsidR="004549F7" w:rsidRPr="005B4BBA" w14:paraId="3E4B018B" w14:textId="77777777">
        <w:trPr>
          <w:jc w:val="center"/>
        </w:trPr>
        <w:tc>
          <w:tcPr>
            <w:tcW w:w="1728" w:type="dxa"/>
            <w:shd w:val="clear" w:color="auto" w:fill="F8F9FA"/>
            <w:tcMar>
              <w:top w:w="60" w:type="dxa"/>
              <w:left w:w="80" w:type="dxa"/>
              <w:bottom w:w="60" w:type="dxa"/>
              <w:right w:w="80" w:type="dxa"/>
            </w:tcMar>
          </w:tcPr>
          <w:p w14:paraId="79602F1D" w14:textId="77777777" w:rsidR="004549F7" w:rsidRPr="005B4BBA" w:rsidRDefault="00F15AFD">
            <w:pPr>
              <w:spacing w:after="0" w:line="252" w:lineRule="auto"/>
              <w:rPr>
                <w:color w:val="000000" w:themeColor="text1"/>
              </w:rPr>
            </w:pPr>
            <w:r w:rsidRPr="005B4BBA">
              <w:rPr>
                <w:color w:val="000000" w:themeColor="text1"/>
                <w:sz w:val="16"/>
              </w:rPr>
              <w:t>Urine Sugar</w:t>
            </w:r>
          </w:p>
        </w:tc>
        <w:tc>
          <w:tcPr>
            <w:tcW w:w="1584" w:type="dxa"/>
            <w:shd w:val="clear" w:color="auto" w:fill="F8F9FA"/>
            <w:tcMar>
              <w:top w:w="60" w:type="dxa"/>
              <w:left w:w="80" w:type="dxa"/>
              <w:bottom w:w="60" w:type="dxa"/>
              <w:right w:w="80" w:type="dxa"/>
            </w:tcMar>
          </w:tcPr>
          <w:p w14:paraId="79FC6405" w14:textId="77777777" w:rsidR="004549F7" w:rsidRPr="005B4BBA" w:rsidRDefault="00F15AFD">
            <w:pPr>
              <w:spacing w:after="0" w:line="252" w:lineRule="auto"/>
              <w:rPr>
                <w:color w:val="000000" w:themeColor="text1"/>
              </w:rPr>
            </w:pPr>
            <w:r w:rsidRPr="005B4BBA">
              <w:rPr>
                <w:color w:val="000000" w:themeColor="text1"/>
                <w:sz w:val="16"/>
              </w:rPr>
              <w:t>Enzymatic UV / Hexokinase</w:t>
            </w:r>
          </w:p>
        </w:tc>
        <w:tc>
          <w:tcPr>
            <w:tcW w:w="1296" w:type="dxa"/>
            <w:shd w:val="clear" w:color="auto" w:fill="F8F9FA"/>
            <w:tcMar>
              <w:top w:w="60" w:type="dxa"/>
              <w:left w:w="80" w:type="dxa"/>
              <w:bottom w:w="60" w:type="dxa"/>
              <w:right w:w="80" w:type="dxa"/>
            </w:tcMar>
          </w:tcPr>
          <w:p w14:paraId="629607BB"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8F9FA"/>
            <w:tcMar>
              <w:top w:w="60" w:type="dxa"/>
              <w:left w:w="80" w:type="dxa"/>
              <w:bottom w:w="60" w:type="dxa"/>
              <w:right w:w="80" w:type="dxa"/>
            </w:tcMar>
          </w:tcPr>
          <w:p w14:paraId="30B36AC6"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8F9FA"/>
            <w:tcMar>
              <w:top w:w="60" w:type="dxa"/>
              <w:left w:w="80" w:type="dxa"/>
              <w:bottom w:w="60" w:type="dxa"/>
              <w:right w:w="80" w:type="dxa"/>
            </w:tcMar>
          </w:tcPr>
          <w:p w14:paraId="6E13FF99"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8F9FA"/>
            <w:tcMar>
              <w:top w:w="60" w:type="dxa"/>
              <w:left w:w="80" w:type="dxa"/>
              <w:bottom w:w="60" w:type="dxa"/>
              <w:right w:w="80" w:type="dxa"/>
            </w:tcMar>
          </w:tcPr>
          <w:p w14:paraId="10419057" w14:textId="77777777" w:rsidR="004549F7" w:rsidRPr="005B4BBA" w:rsidRDefault="00F15AFD">
            <w:pPr>
              <w:spacing w:after="0" w:line="252" w:lineRule="auto"/>
              <w:rPr>
                <w:color w:val="000000" w:themeColor="text1"/>
              </w:rPr>
            </w:pPr>
            <w:r w:rsidRPr="005B4BBA">
              <w:rPr>
                <w:color w:val="000000" w:themeColor="text1"/>
                <w:sz w:val="16"/>
              </w:rPr>
              <w:t>Normal glucose homeostasis; absence of glycosuria</w:t>
            </w:r>
          </w:p>
        </w:tc>
      </w:tr>
      <w:tr w:rsidR="004549F7" w:rsidRPr="005B4BBA" w14:paraId="5412BF44" w14:textId="77777777">
        <w:trPr>
          <w:jc w:val="center"/>
        </w:trPr>
        <w:tc>
          <w:tcPr>
            <w:tcW w:w="1728" w:type="dxa"/>
            <w:shd w:val="clear" w:color="auto" w:fill="FFFFFF"/>
            <w:tcMar>
              <w:top w:w="60" w:type="dxa"/>
              <w:left w:w="80" w:type="dxa"/>
              <w:bottom w:w="60" w:type="dxa"/>
              <w:right w:w="80" w:type="dxa"/>
            </w:tcMar>
          </w:tcPr>
          <w:p w14:paraId="5E870437" w14:textId="77777777" w:rsidR="004549F7" w:rsidRPr="005B4BBA" w:rsidRDefault="00F15AFD">
            <w:pPr>
              <w:spacing w:after="0" w:line="252" w:lineRule="auto"/>
              <w:rPr>
                <w:color w:val="000000" w:themeColor="text1"/>
              </w:rPr>
            </w:pPr>
            <w:r w:rsidRPr="005B4BBA">
              <w:rPr>
                <w:color w:val="000000" w:themeColor="text1"/>
                <w:sz w:val="16"/>
              </w:rPr>
              <w:t>Urine Protein</w:t>
            </w:r>
          </w:p>
        </w:tc>
        <w:tc>
          <w:tcPr>
            <w:tcW w:w="1584" w:type="dxa"/>
            <w:shd w:val="clear" w:color="auto" w:fill="FFFFFF"/>
            <w:tcMar>
              <w:top w:w="60" w:type="dxa"/>
              <w:left w:w="80" w:type="dxa"/>
              <w:bottom w:w="60" w:type="dxa"/>
              <w:right w:w="80" w:type="dxa"/>
            </w:tcMar>
          </w:tcPr>
          <w:p w14:paraId="7CB9A032" w14:textId="77777777" w:rsidR="004549F7" w:rsidRPr="005B4BBA" w:rsidRDefault="00F15AFD">
            <w:pPr>
              <w:spacing w:after="0" w:line="252" w:lineRule="auto"/>
              <w:rPr>
                <w:color w:val="000000" w:themeColor="text1"/>
              </w:rPr>
            </w:pPr>
            <w:r w:rsidRPr="005B4BBA">
              <w:rPr>
                <w:color w:val="000000" w:themeColor="text1"/>
                <w:sz w:val="16"/>
              </w:rPr>
              <w:t>pH Protein Error Method</w:t>
            </w:r>
          </w:p>
        </w:tc>
        <w:tc>
          <w:tcPr>
            <w:tcW w:w="1296" w:type="dxa"/>
            <w:shd w:val="clear" w:color="auto" w:fill="FFFFFF"/>
            <w:tcMar>
              <w:top w:w="60" w:type="dxa"/>
              <w:left w:w="80" w:type="dxa"/>
              <w:bottom w:w="60" w:type="dxa"/>
              <w:right w:w="80" w:type="dxa"/>
            </w:tcMar>
          </w:tcPr>
          <w:p w14:paraId="7843A5C8" w14:textId="77777777" w:rsidR="004549F7" w:rsidRPr="005B4BBA" w:rsidRDefault="00F15AFD">
            <w:pPr>
              <w:spacing w:after="0" w:line="252" w:lineRule="auto"/>
              <w:rPr>
                <w:color w:val="000000" w:themeColor="text1"/>
              </w:rPr>
            </w:pPr>
            <w:r w:rsidRPr="005B4BBA">
              <w:rPr>
                <w:color w:val="000000" w:themeColor="text1"/>
                <w:sz w:val="16"/>
              </w:rPr>
              <w:t>2+ (Positive)</w:t>
            </w:r>
          </w:p>
        </w:tc>
        <w:tc>
          <w:tcPr>
            <w:tcW w:w="1296" w:type="dxa"/>
            <w:shd w:val="clear" w:color="auto" w:fill="FFFFFF"/>
            <w:tcMar>
              <w:top w:w="60" w:type="dxa"/>
              <w:left w:w="80" w:type="dxa"/>
              <w:bottom w:w="60" w:type="dxa"/>
              <w:right w:w="80" w:type="dxa"/>
            </w:tcMar>
          </w:tcPr>
          <w:p w14:paraId="563BE12A" w14:textId="77777777" w:rsidR="004549F7" w:rsidRPr="005B4BBA" w:rsidRDefault="00F15AFD">
            <w:pPr>
              <w:spacing w:after="0" w:line="252" w:lineRule="auto"/>
              <w:rPr>
                <w:color w:val="000000" w:themeColor="text1"/>
              </w:rPr>
            </w:pPr>
            <w:r w:rsidRPr="005B4BBA">
              <w:rPr>
                <w:color w:val="000000" w:themeColor="text1"/>
                <w:sz w:val="16"/>
              </w:rPr>
              <w:t>Negative / Trace</w:t>
            </w:r>
          </w:p>
        </w:tc>
        <w:tc>
          <w:tcPr>
            <w:tcW w:w="1296" w:type="dxa"/>
            <w:shd w:val="clear" w:color="auto" w:fill="FFFFFF"/>
            <w:tcMar>
              <w:top w:w="60" w:type="dxa"/>
              <w:left w:w="80" w:type="dxa"/>
              <w:bottom w:w="60" w:type="dxa"/>
              <w:right w:w="80" w:type="dxa"/>
            </w:tcMar>
          </w:tcPr>
          <w:p w14:paraId="5239FDAB"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FFFFF"/>
            <w:tcMar>
              <w:top w:w="60" w:type="dxa"/>
              <w:left w:w="80" w:type="dxa"/>
              <w:bottom w:w="60" w:type="dxa"/>
              <w:right w:w="80" w:type="dxa"/>
            </w:tcMar>
          </w:tcPr>
          <w:p w14:paraId="15C57B2A" w14:textId="77777777" w:rsidR="004549F7" w:rsidRPr="005B4BBA" w:rsidRDefault="00F15AFD">
            <w:pPr>
              <w:spacing w:after="0" w:line="252" w:lineRule="auto"/>
              <w:rPr>
                <w:color w:val="000000" w:themeColor="text1"/>
              </w:rPr>
            </w:pPr>
            <w:r w:rsidRPr="005B4BBA">
              <w:rPr>
                <w:color w:val="000000" w:themeColor="text1"/>
                <w:sz w:val="16"/>
              </w:rPr>
              <w:t>Initial significant proteinuria resolved with treatment</w:t>
            </w:r>
          </w:p>
        </w:tc>
      </w:tr>
      <w:tr w:rsidR="004549F7" w:rsidRPr="005B4BBA" w14:paraId="200A5935" w14:textId="77777777">
        <w:trPr>
          <w:jc w:val="center"/>
        </w:trPr>
        <w:tc>
          <w:tcPr>
            <w:tcW w:w="1728" w:type="dxa"/>
            <w:shd w:val="clear" w:color="auto" w:fill="F8F9FA"/>
            <w:tcMar>
              <w:top w:w="60" w:type="dxa"/>
              <w:left w:w="80" w:type="dxa"/>
              <w:bottom w:w="60" w:type="dxa"/>
              <w:right w:w="80" w:type="dxa"/>
            </w:tcMar>
          </w:tcPr>
          <w:p w14:paraId="6E4078B4" w14:textId="77777777" w:rsidR="004549F7" w:rsidRPr="005B4BBA" w:rsidRDefault="00F15AFD">
            <w:pPr>
              <w:spacing w:after="0" w:line="252" w:lineRule="auto"/>
              <w:rPr>
                <w:color w:val="000000" w:themeColor="text1"/>
              </w:rPr>
            </w:pPr>
            <w:r w:rsidRPr="005B4BBA">
              <w:rPr>
                <w:color w:val="000000" w:themeColor="text1"/>
                <w:sz w:val="16"/>
              </w:rPr>
              <w:t>Ketone Bodies</w:t>
            </w:r>
          </w:p>
        </w:tc>
        <w:tc>
          <w:tcPr>
            <w:tcW w:w="1584" w:type="dxa"/>
            <w:shd w:val="clear" w:color="auto" w:fill="F8F9FA"/>
            <w:tcMar>
              <w:top w:w="60" w:type="dxa"/>
              <w:left w:w="80" w:type="dxa"/>
              <w:bottom w:w="60" w:type="dxa"/>
              <w:right w:w="80" w:type="dxa"/>
            </w:tcMar>
          </w:tcPr>
          <w:p w14:paraId="3A638BE6" w14:textId="77777777" w:rsidR="004549F7" w:rsidRPr="005B4BBA" w:rsidRDefault="00F15AFD">
            <w:pPr>
              <w:spacing w:after="0" w:line="252" w:lineRule="auto"/>
              <w:rPr>
                <w:color w:val="000000" w:themeColor="text1"/>
              </w:rPr>
            </w:pPr>
            <w:r w:rsidRPr="005B4BBA">
              <w:rPr>
                <w:color w:val="000000" w:themeColor="text1"/>
                <w:sz w:val="16"/>
              </w:rPr>
              <w:t>Nitroprusside Reaction</w:t>
            </w:r>
          </w:p>
        </w:tc>
        <w:tc>
          <w:tcPr>
            <w:tcW w:w="1296" w:type="dxa"/>
            <w:shd w:val="clear" w:color="auto" w:fill="F8F9FA"/>
            <w:tcMar>
              <w:top w:w="60" w:type="dxa"/>
              <w:left w:w="80" w:type="dxa"/>
              <w:bottom w:w="60" w:type="dxa"/>
              <w:right w:w="80" w:type="dxa"/>
            </w:tcMar>
          </w:tcPr>
          <w:p w14:paraId="17FACFCC"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8F9FA"/>
            <w:tcMar>
              <w:top w:w="60" w:type="dxa"/>
              <w:left w:w="80" w:type="dxa"/>
              <w:bottom w:w="60" w:type="dxa"/>
              <w:right w:w="80" w:type="dxa"/>
            </w:tcMar>
          </w:tcPr>
          <w:p w14:paraId="0C028567"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8F9FA"/>
            <w:tcMar>
              <w:top w:w="60" w:type="dxa"/>
              <w:left w:w="80" w:type="dxa"/>
              <w:bottom w:w="60" w:type="dxa"/>
              <w:right w:w="80" w:type="dxa"/>
            </w:tcMar>
          </w:tcPr>
          <w:p w14:paraId="57C46E0C"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8F9FA"/>
            <w:tcMar>
              <w:top w:w="60" w:type="dxa"/>
              <w:left w:w="80" w:type="dxa"/>
              <w:bottom w:w="60" w:type="dxa"/>
              <w:right w:w="80" w:type="dxa"/>
            </w:tcMar>
          </w:tcPr>
          <w:p w14:paraId="25BEB3F4" w14:textId="77777777" w:rsidR="004549F7" w:rsidRPr="005B4BBA" w:rsidRDefault="00F15AFD">
            <w:pPr>
              <w:spacing w:after="0" w:line="252" w:lineRule="auto"/>
              <w:rPr>
                <w:color w:val="000000" w:themeColor="text1"/>
              </w:rPr>
            </w:pPr>
            <w:r w:rsidRPr="005B4BBA">
              <w:rPr>
                <w:color w:val="000000" w:themeColor="text1"/>
                <w:sz w:val="16"/>
              </w:rPr>
              <w:t>Absence of starvation ketosis or diabetic ketoacidosis</w:t>
            </w:r>
          </w:p>
        </w:tc>
      </w:tr>
      <w:tr w:rsidR="004549F7" w:rsidRPr="005B4BBA" w14:paraId="2479967D" w14:textId="77777777">
        <w:trPr>
          <w:jc w:val="center"/>
        </w:trPr>
        <w:tc>
          <w:tcPr>
            <w:tcW w:w="1728" w:type="dxa"/>
            <w:shd w:val="clear" w:color="auto" w:fill="FFFFFF"/>
            <w:tcMar>
              <w:top w:w="60" w:type="dxa"/>
              <w:left w:w="80" w:type="dxa"/>
              <w:bottom w:w="60" w:type="dxa"/>
              <w:right w:w="80" w:type="dxa"/>
            </w:tcMar>
          </w:tcPr>
          <w:p w14:paraId="480CF742" w14:textId="77777777" w:rsidR="004549F7" w:rsidRPr="005B4BBA" w:rsidRDefault="00F15AFD">
            <w:pPr>
              <w:spacing w:after="0" w:line="252" w:lineRule="auto"/>
              <w:rPr>
                <w:color w:val="000000" w:themeColor="text1"/>
              </w:rPr>
            </w:pPr>
            <w:r w:rsidRPr="005B4BBA">
              <w:rPr>
                <w:color w:val="000000" w:themeColor="text1"/>
                <w:sz w:val="16"/>
              </w:rPr>
              <w:t>Bilirubin</w:t>
            </w:r>
          </w:p>
        </w:tc>
        <w:tc>
          <w:tcPr>
            <w:tcW w:w="1584" w:type="dxa"/>
            <w:shd w:val="clear" w:color="auto" w:fill="FFFFFF"/>
            <w:tcMar>
              <w:top w:w="60" w:type="dxa"/>
              <w:left w:w="80" w:type="dxa"/>
              <w:bottom w:w="60" w:type="dxa"/>
              <w:right w:w="80" w:type="dxa"/>
            </w:tcMar>
          </w:tcPr>
          <w:p w14:paraId="347670E0" w14:textId="77777777" w:rsidR="004549F7" w:rsidRPr="005B4BBA" w:rsidRDefault="00F15AFD">
            <w:pPr>
              <w:spacing w:after="0" w:line="252" w:lineRule="auto"/>
              <w:rPr>
                <w:color w:val="000000" w:themeColor="text1"/>
              </w:rPr>
            </w:pPr>
            <w:r w:rsidRPr="005B4BBA">
              <w:rPr>
                <w:color w:val="000000" w:themeColor="text1"/>
                <w:sz w:val="16"/>
              </w:rPr>
              <w:t>Azo Coupling</w:t>
            </w:r>
          </w:p>
        </w:tc>
        <w:tc>
          <w:tcPr>
            <w:tcW w:w="1296" w:type="dxa"/>
            <w:shd w:val="clear" w:color="auto" w:fill="FFFFFF"/>
            <w:tcMar>
              <w:top w:w="60" w:type="dxa"/>
              <w:left w:w="80" w:type="dxa"/>
              <w:bottom w:w="60" w:type="dxa"/>
              <w:right w:w="80" w:type="dxa"/>
            </w:tcMar>
          </w:tcPr>
          <w:p w14:paraId="3ED5094E"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FFFFF"/>
            <w:tcMar>
              <w:top w:w="60" w:type="dxa"/>
              <w:left w:w="80" w:type="dxa"/>
              <w:bottom w:w="60" w:type="dxa"/>
              <w:right w:w="80" w:type="dxa"/>
            </w:tcMar>
          </w:tcPr>
          <w:p w14:paraId="0DD2DD91"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FFFFF"/>
            <w:tcMar>
              <w:top w:w="60" w:type="dxa"/>
              <w:left w:w="80" w:type="dxa"/>
              <w:bottom w:w="60" w:type="dxa"/>
              <w:right w:w="80" w:type="dxa"/>
            </w:tcMar>
          </w:tcPr>
          <w:p w14:paraId="6D8AAA30"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FFFFF"/>
            <w:tcMar>
              <w:top w:w="60" w:type="dxa"/>
              <w:left w:w="80" w:type="dxa"/>
              <w:bottom w:w="60" w:type="dxa"/>
              <w:right w:w="80" w:type="dxa"/>
            </w:tcMar>
          </w:tcPr>
          <w:p w14:paraId="7BAFDB36" w14:textId="77777777" w:rsidR="004549F7" w:rsidRPr="005B4BBA" w:rsidRDefault="00F15AFD">
            <w:pPr>
              <w:spacing w:after="0" w:line="252" w:lineRule="auto"/>
              <w:rPr>
                <w:color w:val="000000" w:themeColor="text1"/>
              </w:rPr>
            </w:pPr>
            <w:r w:rsidRPr="005B4BBA">
              <w:rPr>
                <w:color w:val="000000" w:themeColor="text1"/>
                <w:sz w:val="16"/>
              </w:rPr>
              <w:t>Absence of conjugated hyperbilirubinuria</w:t>
            </w:r>
          </w:p>
        </w:tc>
      </w:tr>
      <w:tr w:rsidR="004549F7" w:rsidRPr="005B4BBA" w14:paraId="006D79C2" w14:textId="77777777">
        <w:trPr>
          <w:jc w:val="center"/>
        </w:trPr>
        <w:tc>
          <w:tcPr>
            <w:tcW w:w="1728" w:type="dxa"/>
            <w:shd w:val="clear" w:color="auto" w:fill="F8F9FA"/>
            <w:tcMar>
              <w:top w:w="60" w:type="dxa"/>
              <w:left w:w="80" w:type="dxa"/>
              <w:bottom w:w="60" w:type="dxa"/>
              <w:right w:w="80" w:type="dxa"/>
            </w:tcMar>
          </w:tcPr>
          <w:p w14:paraId="678EF43A" w14:textId="77777777" w:rsidR="004549F7" w:rsidRPr="005B4BBA" w:rsidRDefault="00F15AFD">
            <w:pPr>
              <w:spacing w:after="0" w:line="252" w:lineRule="auto"/>
              <w:rPr>
                <w:color w:val="000000" w:themeColor="text1"/>
              </w:rPr>
            </w:pPr>
            <w:r w:rsidRPr="005B4BBA">
              <w:rPr>
                <w:color w:val="000000" w:themeColor="text1"/>
                <w:sz w:val="16"/>
              </w:rPr>
              <w:t>Urobilinogen</w:t>
            </w:r>
          </w:p>
        </w:tc>
        <w:tc>
          <w:tcPr>
            <w:tcW w:w="1584" w:type="dxa"/>
            <w:shd w:val="clear" w:color="auto" w:fill="F8F9FA"/>
            <w:tcMar>
              <w:top w:w="60" w:type="dxa"/>
              <w:left w:w="80" w:type="dxa"/>
              <w:bottom w:w="60" w:type="dxa"/>
              <w:right w:w="80" w:type="dxa"/>
            </w:tcMar>
          </w:tcPr>
          <w:p w14:paraId="723C4576" w14:textId="77777777" w:rsidR="004549F7" w:rsidRPr="005B4BBA" w:rsidRDefault="00F15AFD">
            <w:pPr>
              <w:spacing w:after="0" w:line="252" w:lineRule="auto"/>
              <w:rPr>
                <w:color w:val="000000" w:themeColor="text1"/>
              </w:rPr>
            </w:pPr>
            <w:r w:rsidRPr="005B4BBA">
              <w:rPr>
                <w:color w:val="000000" w:themeColor="text1"/>
                <w:sz w:val="16"/>
              </w:rPr>
              <w:t>Azo Coupling</w:t>
            </w:r>
          </w:p>
        </w:tc>
        <w:tc>
          <w:tcPr>
            <w:tcW w:w="1296" w:type="dxa"/>
            <w:shd w:val="clear" w:color="auto" w:fill="F8F9FA"/>
            <w:tcMar>
              <w:top w:w="60" w:type="dxa"/>
              <w:left w:w="80" w:type="dxa"/>
              <w:bottom w:w="60" w:type="dxa"/>
              <w:right w:w="80" w:type="dxa"/>
            </w:tcMar>
          </w:tcPr>
          <w:p w14:paraId="0D41AB65" w14:textId="77777777" w:rsidR="004549F7" w:rsidRPr="005B4BBA" w:rsidRDefault="00F15AFD">
            <w:pPr>
              <w:spacing w:after="0" w:line="252" w:lineRule="auto"/>
              <w:rPr>
                <w:color w:val="000000" w:themeColor="text1"/>
              </w:rPr>
            </w:pPr>
            <w:r w:rsidRPr="005B4BBA">
              <w:rPr>
                <w:color w:val="000000" w:themeColor="text1"/>
                <w:sz w:val="16"/>
              </w:rPr>
              <w:t>Normal (0.2–1 mg/dL)</w:t>
            </w:r>
          </w:p>
        </w:tc>
        <w:tc>
          <w:tcPr>
            <w:tcW w:w="1296" w:type="dxa"/>
            <w:shd w:val="clear" w:color="auto" w:fill="F8F9FA"/>
            <w:tcMar>
              <w:top w:w="60" w:type="dxa"/>
              <w:left w:w="80" w:type="dxa"/>
              <w:bottom w:w="60" w:type="dxa"/>
              <w:right w:w="80" w:type="dxa"/>
            </w:tcMar>
          </w:tcPr>
          <w:p w14:paraId="2B58E7FB" w14:textId="77777777" w:rsidR="004549F7" w:rsidRPr="005B4BBA" w:rsidRDefault="00F15AFD">
            <w:pPr>
              <w:spacing w:after="0" w:line="252" w:lineRule="auto"/>
              <w:rPr>
                <w:color w:val="000000" w:themeColor="text1"/>
              </w:rPr>
            </w:pPr>
            <w:r w:rsidRPr="005B4BBA">
              <w:rPr>
                <w:color w:val="000000" w:themeColor="text1"/>
                <w:sz w:val="16"/>
              </w:rPr>
              <w:t>Normal</w:t>
            </w:r>
          </w:p>
        </w:tc>
        <w:tc>
          <w:tcPr>
            <w:tcW w:w="1296" w:type="dxa"/>
            <w:shd w:val="clear" w:color="auto" w:fill="F8F9FA"/>
            <w:tcMar>
              <w:top w:w="60" w:type="dxa"/>
              <w:left w:w="80" w:type="dxa"/>
              <w:bottom w:w="60" w:type="dxa"/>
              <w:right w:w="80" w:type="dxa"/>
            </w:tcMar>
          </w:tcPr>
          <w:p w14:paraId="0CC85B0F" w14:textId="77777777" w:rsidR="004549F7" w:rsidRPr="005B4BBA" w:rsidRDefault="00F15AFD">
            <w:pPr>
              <w:spacing w:after="0" w:line="252" w:lineRule="auto"/>
              <w:rPr>
                <w:color w:val="000000" w:themeColor="text1"/>
              </w:rPr>
            </w:pPr>
            <w:r w:rsidRPr="005B4BBA">
              <w:rPr>
                <w:color w:val="000000" w:themeColor="text1"/>
                <w:sz w:val="16"/>
              </w:rPr>
              <w:t>0.2 – 1.0 mg/dL</w:t>
            </w:r>
          </w:p>
        </w:tc>
        <w:tc>
          <w:tcPr>
            <w:tcW w:w="2160" w:type="dxa"/>
            <w:shd w:val="clear" w:color="auto" w:fill="F8F9FA"/>
            <w:tcMar>
              <w:top w:w="60" w:type="dxa"/>
              <w:left w:w="80" w:type="dxa"/>
              <w:bottom w:w="60" w:type="dxa"/>
              <w:right w:w="80" w:type="dxa"/>
            </w:tcMar>
          </w:tcPr>
          <w:p w14:paraId="7D59FDE0" w14:textId="77777777" w:rsidR="004549F7" w:rsidRPr="005B4BBA" w:rsidRDefault="00F15AFD">
            <w:pPr>
              <w:spacing w:after="0" w:line="252" w:lineRule="auto"/>
              <w:rPr>
                <w:color w:val="000000" w:themeColor="text1"/>
              </w:rPr>
            </w:pPr>
            <w:r w:rsidRPr="005B4BBA">
              <w:rPr>
                <w:color w:val="000000" w:themeColor="text1"/>
                <w:sz w:val="16"/>
              </w:rPr>
              <w:t>Normal excretion profile</w:t>
            </w:r>
          </w:p>
        </w:tc>
      </w:tr>
      <w:tr w:rsidR="004549F7" w:rsidRPr="005B4BBA" w14:paraId="74FDFE58" w14:textId="77777777">
        <w:trPr>
          <w:jc w:val="center"/>
        </w:trPr>
        <w:tc>
          <w:tcPr>
            <w:tcW w:w="1728" w:type="dxa"/>
            <w:shd w:val="clear" w:color="auto" w:fill="FFFFFF"/>
            <w:tcMar>
              <w:top w:w="60" w:type="dxa"/>
              <w:left w:w="80" w:type="dxa"/>
              <w:bottom w:w="60" w:type="dxa"/>
              <w:right w:w="80" w:type="dxa"/>
            </w:tcMar>
          </w:tcPr>
          <w:p w14:paraId="02E4B2DD" w14:textId="77777777" w:rsidR="004549F7" w:rsidRPr="005B4BBA" w:rsidRDefault="00F15AFD">
            <w:pPr>
              <w:spacing w:after="0" w:line="252" w:lineRule="auto"/>
              <w:rPr>
                <w:color w:val="000000" w:themeColor="text1"/>
              </w:rPr>
            </w:pPr>
            <w:r w:rsidRPr="005B4BBA">
              <w:rPr>
                <w:color w:val="000000" w:themeColor="text1"/>
                <w:sz w:val="16"/>
              </w:rPr>
              <w:t>Nitrites</w:t>
            </w:r>
          </w:p>
        </w:tc>
        <w:tc>
          <w:tcPr>
            <w:tcW w:w="1584" w:type="dxa"/>
            <w:shd w:val="clear" w:color="auto" w:fill="FFFFFF"/>
            <w:tcMar>
              <w:top w:w="60" w:type="dxa"/>
              <w:left w:w="80" w:type="dxa"/>
              <w:bottom w:w="60" w:type="dxa"/>
              <w:right w:w="80" w:type="dxa"/>
            </w:tcMar>
          </w:tcPr>
          <w:p w14:paraId="1AAE8249" w14:textId="77777777" w:rsidR="004549F7" w:rsidRPr="005B4BBA" w:rsidRDefault="00F15AFD">
            <w:pPr>
              <w:spacing w:after="0" w:line="252" w:lineRule="auto"/>
              <w:rPr>
                <w:color w:val="000000" w:themeColor="text1"/>
              </w:rPr>
            </w:pPr>
            <w:r w:rsidRPr="005B4BBA">
              <w:rPr>
                <w:color w:val="000000" w:themeColor="text1"/>
                <w:sz w:val="16"/>
              </w:rPr>
              <w:t>Griess Reagent</w:t>
            </w:r>
          </w:p>
        </w:tc>
        <w:tc>
          <w:tcPr>
            <w:tcW w:w="1296" w:type="dxa"/>
            <w:shd w:val="clear" w:color="auto" w:fill="FFFFFF"/>
            <w:tcMar>
              <w:top w:w="60" w:type="dxa"/>
              <w:left w:w="80" w:type="dxa"/>
              <w:bottom w:w="60" w:type="dxa"/>
              <w:right w:w="80" w:type="dxa"/>
            </w:tcMar>
          </w:tcPr>
          <w:p w14:paraId="33C8D9C3"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FFFFF"/>
            <w:tcMar>
              <w:top w:w="60" w:type="dxa"/>
              <w:left w:w="80" w:type="dxa"/>
              <w:bottom w:w="60" w:type="dxa"/>
              <w:right w:w="80" w:type="dxa"/>
            </w:tcMar>
          </w:tcPr>
          <w:p w14:paraId="3B56D19D"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FFFFF"/>
            <w:tcMar>
              <w:top w:w="60" w:type="dxa"/>
              <w:left w:w="80" w:type="dxa"/>
              <w:bottom w:w="60" w:type="dxa"/>
              <w:right w:w="80" w:type="dxa"/>
            </w:tcMar>
          </w:tcPr>
          <w:p w14:paraId="0CB445F9"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FFFFF"/>
            <w:tcMar>
              <w:top w:w="60" w:type="dxa"/>
              <w:left w:w="80" w:type="dxa"/>
              <w:bottom w:w="60" w:type="dxa"/>
              <w:right w:w="80" w:type="dxa"/>
            </w:tcMar>
          </w:tcPr>
          <w:p w14:paraId="7AED19A6" w14:textId="77777777" w:rsidR="004549F7" w:rsidRPr="005B4BBA" w:rsidRDefault="00F15AFD">
            <w:pPr>
              <w:spacing w:after="0" w:line="252" w:lineRule="auto"/>
              <w:rPr>
                <w:color w:val="000000" w:themeColor="text1"/>
              </w:rPr>
            </w:pPr>
            <w:r w:rsidRPr="005B4BBA">
              <w:rPr>
                <w:color w:val="000000" w:themeColor="text1"/>
                <w:sz w:val="16"/>
              </w:rPr>
              <w:t>Initial nitrite false-negative due to high urinary turnover</w:t>
            </w:r>
          </w:p>
        </w:tc>
      </w:tr>
      <w:tr w:rsidR="004549F7" w:rsidRPr="005B4BBA" w14:paraId="2F8670E5" w14:textId="77777777">
        <w:trPr>
          <w:jc w:val="center"/>
        </w:trPr>
        <w:tc>
          <w:tcPr>
            <w:tcW w:w="1728" w:type="dxa"/>
            <w:shd w:val="clear" w:color="auto" w:fill="F8F9FA"/>
            <w:tcMar>
              <w:top w:w="60" w:type="dxa"/>
              <w:left w:w="80" w:type="dxa"/>
              <w:bottom w:w="60" w:type="dxa"/>
              <w:right w:w="80" w:type="dxa"/>
            </w:tcMar>
          </w:tcPr>
          <w:p w14:paraId="4F137EB6" w14:textId="77777777" w:rsidR="004549F7" w:rsidRPr="005B4BBA" w:rsidRDefault="00F15AFD">
            <w:pPr>
              <w:spacing w:after="0" w:line="252" w:lineRule="auto"/>
              <w:rPr>
                <w:color w:val="000000" w:themeColor="text1"/>
              </w:rPr>
            </w:pPr>
            <w:r w:rsidRPr="005B4BBA">
              <w:rPr>
                <w:color w:val="000000" w:themeColor="text1"/>
                <w:sz w:val="16"/>
              </w:rPr>
              <w:t>Occult Blood / Hb</w:t>
            </w:r>
          </w:p>
        </w:tc>
        <w:tc>
          <w:tcPr>
            <w:tcW w:w="1584" w:type="dxa"/>
            <w:shd w:val="clear" w:color="auto" w:fill="F8F9FA"/>
            <w:tcMar>
              <w:top w:w="60" w:type="dxa"/>
              <w:left w:w="80" w:type="dxa"/>
              <w:bottom w:w="60" w:type="dxa"/>
              <w:right w:w="80" w:type="dxa"/>
            </w:tcMar>
          </w:tcPr>
          <w:p w14:paraId="39F0F8FD" w14:textId="77777777" w:rsidR="004549F7" w:rsidRPr="005B4BBA" w:rsidRDefault="00F15AFD">
            <w:pPr>
              <w:spacing w:after="0" w:line="252" w:lineRule="auto"/>
              <w:rPr>
                <w:color w:val="000000" w:themeColor="text1"/>
              </w:rPr>
            </w:pPr>
            <w:r w:rsidRPr="005B4BBA">
              <w:rPr>
                <w:color w:val="000000" w:themeColor="text1"/>
                <w:sz w:val="16"/>
              </w:rPr>
              <w:t>Peroxidase-like Reaction</w:t>
            </w:r>
          </w:p>
        </w:tc>
        <w:tc>
          <w:tcPr>
            <w:tcW w:w="1296" w:type="dxa"/>
            <w:shd w:val="clear" w:color="auto" w:fill="F8F9FA"/>
            <w:tcMar>
              <w:top w:w="60" w:type="dxa"/>
              <w:left w:w="80" w:type="dxa"/>
              <w:bottom w:w="60" w:type="dxa"/>
              <w:right w:w="80" w:type="dxa"/>
            </w:tcMar>
          </w:tcPr>
          <w:p w14:paraId="6C8CD8D3" w14:textId="77777777" w:rsidR="004549F7" w:rsidRPr="005B4BBA" w:rsidRDefault="00F15AFD">
            <w:pPr>
              <w:spacing w:after="0" w:line="252" w:lineRule="auto"/>
              <w:rPr>
                <w:color w:val="000000" w:themeColor="text1"/>
              </w:rPr>
            </w:pPr>
            <w:r w:rsidRPr="005B4BBA">
              <w:rPr>
                <w:color w:val="000000" w:themeColor="text1"/>
                <w:sz w:val="16"/>
              </w:rPr>
              <w:t>3+ (Positive)</w:t>
            </w:r>
          </w:p>
        </w:tc>
        <w:tc>
          <w:tcPr>
            <w:tcW w:w="1296" w:type="dxa"/>
            <w:shd w:val="clear" w:color="auto" w:fill="F8F9FA"/>
            <w:tcMar>
              <w:top w:w="60" w:type="dxa"/>
              <w:left w:w="80" w:type="dxa"/>
              <w:bottom w:w="60" w:type="dxa"/>
              <w:right w:w="80" w:type="dxa"/>
            </w:tcMar>
          </w:tcPr>
          <w:p w14:paraId="72670B76" w14:textId="77777777" w:rsidR="004549F7" w:rsidRPr="005B4BBA" w:rsidRDefault="00F15AFD">
            <w:pPr>
              <w:spacing w:after="0" w:line="252" w:lineRule="auto"/>
              <w:rPr>
                <w:color w:val="000000" w:themeColor="text1"/>
              </w:rPr>
            </w:pPr>
            <w:r w:rsidRPr="005B4BBA">
              <w:rPr>
                <w:color w:val="000000" w:themeColor="text1"/>
                <w:sz w:val="16"/>
              </w:rPr>
              <w:t>1+ (Trace)</w:t>
            </w:r>
          </w:p>
        </w:tc>
        <w:tc>
          <w:tcPr>
            <w:tcW w:w="1296" w:type="dxa"/>
            <w:shd w:val="clear" w:color="auto" w:fill="F8F9FA"/>
            <w:tcMar>
              <w:top w:w="60" w:type="dxa"/>
              <w:left w:w="80" w:type="dxa"/>
              <w:bottom w:w="60" w:type="dxa"/>
              <w:right w:w="80" w:type="dxa"/>
            </w:tcMar>
          </w:tcPr>
          <w:p w14:paraId="762FB4F6"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8F9FA"/>
            <w:tcMar>
              <w:top w:w="60" w:type="dxa"/>
              <w:left w:w="80" w:type="dxa"/>
              <w:bottom w:w="60" w:type="dxa"/>
              <w:right w:w="80" w:type="dxa"/>
            </w:tcMar>
          </w:tcPr>
          <w:p w14:paraId="1F3E2E64" w14:textId="77777777" w:rsidR="004549F7" w:rsidRPr="005B4BBA" w:rsidRDefault="00F15AFD">
            <w:pPr>
              <w:spacing w:after="0" w:line="252" w:lineRule="auto"/>
              <w:rPr>
                <w:color w:val="000000" w:themeColor="text1"/>
              </w:rPr>
            </w:pPr>
            <w:r w:rsidRPr="005B4BBA">
              <w:rPr>
                <w:color w:val="000000" w:themeColor="text1"/>
                <w:sz w:val="16"/>
              </w:rPr>
              <w:t>Marked reduction in free heme / urinary blood</w:t>
            </w:r>
          </w:p>
        </w:tc>
      </w:tr>
      <w:tr w:rsidR="004549F7" w:rsidRPr="005B4BBA" w14:paraId="037111ED" w14:textId="77777777">
        <w:trPr>
          <w:jc w:val="center"/>
        </w:trPr>
        <w:tc>
          <w:tcPr>
            <w:tcW w:w="1728" w:type="dxa"/>
            <w:shd w:val="clear" w:color="auto" w:fill="FFFFFF"/>
            <w:tcMar>
              <w:top w:w="60" w:type="dxa"/>
              <w:left w:w="80" w:type="dxa"/>
              <w:bottom w:w="60" w:type="dxa"/>
              <w:right w:w="80" w:type="dxa"/>
            </w:tcMar>
          </w:tcPr>
          <w:p w14:paraId="53A5CE5E" w14:textId="77777777" w:rsidR="004549F7" w:rsidRPr="005B4BBA" w:rsidRDefault="00F15AFD">
            <w:pPr>
              <w:spacing w:after="0" w:line="252" w:lineRule="auto"/>
              <w:rPr>
                <w:color w:val="000000" w:themeColor="text1"/>
              </w:rPr>
            </w:pPr>
            <w:r w:rsidRPr="005B4BBA">
              <w:rPr>
                <w:color w:val="000000" w:themeColor="text1"/>
                <w:sz w:val="16"/>
              </w:rPr>
              <w:t>Pus Cells / Leuk. Esterase</w:t>
            </w:r>
          </w:p>
        </w:tc>
        <w:tc>
          <w:tcPr>
            <w:tcW w:w="1584" w:type="dxa"/>
            <w:shd w:val="clear" w:color="auto" w:fill="FFFFFF"/>
            <w:tcMar>
              <w:top w:w="60" w:type="dxa"/>
              <w:left w:w="80" w:type="dxa"/>
              <w:bottom w:w="60" w:type="dxa"/>
              <w:right w:w="80" w:type="dxa"/>
            </w:tcMar>
          </w:tcPr>
          <w:p w14:paraId="1AEAC970" w14:textId="77777777" w:rsidR="004549F7" w:rsidRPr="005B4BBA" w:rsidRDefault="00F15AFD">
            <w:pPr>
              <w:spacing w:after="0" w:line="252" w:lineRule="auto"/>
              <w:rPr>
                <w:color w:val="000000" w:themeColor="text1"/>
              </w:rPr>
            </w:pPr>
            <w:r w:rsidRPr="005B4BBA">
              <w:rPr>
                <w:color w:val="000000" w:themeColor="text1"/>
                <w:sz w:val="16"/>
              </w:rPr>
              <w:t>Leukocyte Esterase Strip</w:t>
            </w:r>
          </w:p>
        </w:tc>
        <w:tc>
          <w:tcPr>
            <w:tcW w:w="1296" w:type="dxa"/>
            <w:shd w:val="clear" w:color="auto" w:fill="FFFFFF"/>
            <w:tcMar>
              <w:top w:w="60" w:type="dxa"/>
              <w:left w:w="80" w:type="dxa"/>
              <w:bottom w:w="60" w:type="dxa"/>
              <w:right w:w="80" w:type="dxa"/>
            </w:tcMar>
          </w:tcPr>
          <w:p w14:paraId="3C3E86A2"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FFFFF"/>
            <w:tcMar>
              <w:top w:w="60" w:type="dxa"/>
              <w:left w:w="80" w:type="dxa"/>
              <w:bottom w:w="60" w:type="dxa"/>
              <w:right w:w="80" w:type="dxa"/>
            </w:tcMar>
          </w:tcPr>
          <w:p w14:paraId="45BFD07D"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1296" w:type="dxa"/>
            <w:shd w:val="clear" w:color="auto" w:fill="FFFFFF"/>
            <w:tcMar>
              <w:top w:w="60" w:type="dxa"/>
              <w:left w:w="80" w:type="dxa"/>
              <w:bottom w:w="60" w:type="dxa"/>
              <w:right w:w="80" w:type="dxa"/>
            </w:tcMar>
          </w:tcPr>
          <w:p w14:paraId="6AAE2ADE" w14:textId="77777777" w:rsidR="004549F7" w:rsidRPr="005B4BBA" w:rsidRDefault="00F15AFD">
            <w:pPr>
              <w:spacing w:after="0" w:line="252" w:lineRule="auto"/>
              <w:rPr>
                <w:color w:val="000000" w:themeColor="text1"/>
              </w:rPr>
            </w:pPr>
            <w:r w:rsidRPr="005B4BBA">
              <w:rPr>
                <w:color w:val="000000" w:themeColor="text1"/>
                <w:sz w:val="16"/>
              </w:rPr>
              <w:t>Negative</w:t>
            </w:r>
          </w:p>
        </w:tc>
        <w:tc>
          <w:tcPr>
            <w:tcW w:w="2160" w:type="dxa"/>
            <w:shd w:val="clear" w:color="auto" w:fill="FFFFFF"/>
            <w:tcMar>
              <w:top w:w="60" w:type="dxa"/>
              <w:left w:w="80" w:type="dxa"/>
              <w:bottom w:w="60" w:type="dxa"/>
              <w:right w:w="80" w:type="dxa"/>
            </w:tcMar>
          </w:tcPr>
          <w:p w14:paraId="36AF7039" w14:textId="77777777" w:rsidR="004549F7" w:rsidRPr="005B4BBA" w:rsidRDefault="00F15AFD">
            <w:pPr>
              <w:spacing w:after="0" w:line="252" w:lineRule="auto"/>
              <w:rPr>
                <w:color w:val="000000" w:themeColor="text1"/>
              </w:rPr>
            </w:pPr>
            <w:r w:rsidRPr="005B4BBA">
              <w:rPr>
                <w:color w:val="000000" w:themeColor="text1"/>
                <w:sz w:val="16"/>
              </w:rPr>
              <w:t>Subacute pyuria without massive neutrophilic lysis</w:t>
            </w:r>
          </w:p>
        </w:tc>
      </w:tr>
      <w:tr w:rsidR="004549F7" w:rsidRPr="005B4BBA" w14:paraId="34E028C2" w14:textId="77777777">
        <w:trPr>
          <w:jc w:val="center"/>
        </w:trPr>
        <w:tc>
          <w:tcPr>
            <w:tcW w:w="1728" w:type="dxa"/>
            <w:shd w:val="clear" w:color="auto" w:fill="F8F9FA"/>
            <w:tcMar>
              <w:top w:w="60" w:type="dxa"/>
              <w:left w:w="80" w:type="dxa"/>
              <w:bottom w:w="60" w:type="dxa"/>
              <w:right w:w="80" w:type="dxa"/>
            </w:tcMar>
          </w:tcPr>
          <w:p w14:paraId="23C9750F" w14:textId="77777777" w:rsidR="004549F7" w:rsidRPr="005B4BBA" w:rsidRDefault="00F15AFD">
            <w:pPr>
              <w:spacing w:after="0" w:line="252" w:lineRule="auto"/>
              <w:rPr>
                <w:color w:val="000000" w:themeColor="text1"/>
              </w:rPr>
            </w:pPr>
            <w:r w:rsidRPr="005B4BBA">
              <w:rPr>
                <w:color w:val="000000" w:themeColor="text1"/>
                <w:sz w:val="16"/>
              </w:rPr>
              <w:t>Microscopic RBCs</w:t>
            </w:r>
          </w:p>
        </w:tc>
        <w:tc>
          <w:tcPr>
            <w:tcW w:w="1584" w:type="dxa"/>
            <w:shd w:val="clear" w:color="auto" w:fill="F8F9FA"/>
            <w:tcMar>
              <w:top w:w="60" w:type="dxa"/>
              <w:left w:w="80" w:type="dxa"/>
              <w:bottom w:w="60" w:type="dxa"/>
              <w:right w:w="80" w:type="dxa"/>
            </w:tcMar>
          </w:tcPr>
          <w:p w14:paraId="029C90A0" w14:textId="77777777" w:rsidR="004549F7" w:rsidRPr="005B4BBA" w:rsidRDefault="00F15AFD">
            <w:pPr>
              <w:spacing w:after="0" w:line="252" w:lineRule="auto"/>
              <w:rPr>
                <w:color w:val="000000" w:themeColor="text1"/>
              </w:rPr>
            </w:pPr>
            <w:r w:rsidRPr="005B4BBA">
              <w:rPr>
                <w:color w:val="000000" w:themeColor="text1"/>
                <w:sz w:val="16"/>
              </w:rPr>
              <w:t>Sediment Microscopy</w:t>
            </w:r>
          </w:p>
        </w:tc>
        <w:tc>
          <w:tcPr>
            <w:tcW w:w="1296" w:type="dxa"/>
            <w:shd w:val="clear" w:color="auto" w:fill="F8F9FA"/>
            <w:tcMar>
              <w:top w:w="60" w:type="dxa"/>
              <w:left w:w="80" w:type="dxa"/>
              <w:bottom w:w="60" w:type="dxa"/>
              <w:right w:w="80" w:type="dxa"/>
            </w:tcMar>
          </w:tcPr>
          <w:p w14:paraId="4B650B3D" w14:textId="77777777" w:rsidR="004549F7" w:rsidRPr="005B4BBA" w:rsidRDefault="00F15AFD">
            <w:pPr>
              <w:spacing w:after="0" w:line="252" w:lineRule="auto"/>
              <w:rPr>
                <w:color w:val="000000" w:themeColor="text1"/>
              </w:rPr>
            </w:pPr>
            <w:r w:rsidRPr="005B4BBA">
              <w:rPr>
                <w:color w:val="000000" w:themeColor="text1"/>
                <w:sz w:val="16"/>
              </w:rPr>
              <w:t>18 – 20 cells/HPF</w:t>
            </w:r>
          </w:p>
        </w:tc>
        <w:tc>
          <w:tcPr>
            <w:tcW w:w="1296" w:type="dxa"/>
            <w:shd w:val="clear" w:color="auto" w:fill="F8F9FA"/>
            <w:tcMar>
              <w:top w:w="60" w:type="dxa"/>
              <w:left w:w="80" w:type="dxa"/>
              <w:bottom w:w="60" w:type="dxa"/>
              <w:right w:w="80" w:type="dxa"/>
            </w:tcMar>
          </w:tcPr>
          <w:p w14:paraId="7E6CF714" w14:textId="77777777" w:rsidR="004549F7" w:rsidRPr="005B4BBA" w:rsidRDefault="00F15AFD">
            <w:pPr>
              <w:spacing w:after="0" w:line="252" w:lineRule="auto"/>
              <w:rPr>
                <w:color w:val="000000" w:themeColor="text1"/>
              </w:rPr>
            </w:pPr>
            <w:r w:rsidRPr="005B4BBA">
              <w:rPr>
                <w:color w:val="000000" w:themeColor="text1"/>
                <w:sz w:val="16"/>
              </w:rPr>
              <w:t>5 – 8 cells/HPF</w:t>
            </w:r>
          </w:p>
        </w:tc>
        <w:tc>
          <w:tcPr>
            <w:tcW w:w="1296" w:type="dxa"/>
            <w:shd w:val="clear" w:color="auto" w:fill="F8F9FA"/>
            <w:tcMar>
              <w:top w:w="60" w:type="dxa"/>
              <w:left w:w="80" w:type="dxa"/>
              <w:bottom w:w="60" w:type="dxa"/>
              <w:right w:w="80" w:type="dxa"/>
            </w:tcMar>
          </w:tcPr>
          <w:p w14:paraId="354FBBE4" w14:textId="77777777" w:rsidR="004549F7" w:rsidRPr="005B4BBA" w:rsidRDefault="00F15AFD">
            <w:pPr>
              <w:spacing w:after="0" w:line="252" w:lineRule="auto"/>
              <w:rPr>
                <w:color w:val="000000" w:themeColor="text1"/>
              </w:rPr>
            </w:pPr>
            <w:r w:rsidRPr="005B4BBA">
              <w:rPr>
                <w:color w:val="000000" w:themeColor="text1"/>
                <w:sz w:val="16"/>
              </w:rPr>
              <w:t>0 – 2 cells/HPF</w:t>
            </w:r>
          </w:p>
        </w:tc>
        <w:tc>
          <w:tcPr>
            <w:tcW w:w="2160" w:type="dxa"/>
            <w:shd w:val="clear" w:color="auto" w:fill="F8F9FA"/>
            <w:tcMar>
              <w:top w:w="60" w:type="dxa"/>
              <w:left w:w="80" w:type="dxa"/>
              <w:bottom w:w="60" w:type="dxa"/>
              <w:right w:w="80" w:type="dxa"/>
            </w:tcMar>
          </w:tcPr>
          <w:p w14:paraId="4EE7FCF5" w14:textId="77777777" w:rsidR="004549F7" w:rsidRPr="005B4BBA" w:rsidRDefault="00F15AFD">
            <w:pPr>
              <w:spacing w:after="0" w:line="252" w:lineRule="auto"/>
              <w:rPr>
                <w:color w:val="000000" w:themeColor="text1"/>
              </w:rPr>
            </w:pPr>
            <w:r w:rsidRPr="005B4BBA">
              <w:rPr>
                <w:color w:val="000000" w:themeColor="text1"/>
                <w:sz w:val="16"/>
              </w:rPr>
              <w:t>Confirmed true microscopic hematuria improving with therapy</w:t>
            </w:r>
          </w:p>
        </w:tc>
      </w:tr>
      <w:tr w:rsidR="004549F7" w:rsidRPr="005B4BBA" w14:paraId="7BF599E5" w14:textId="77777777">
        <w:trPr>
          <w:jc w:val="center"/>
        </w:trPr>
        <w:tc>
          <w:tcPr>
            <w:tcW w:w="1728" w:type="dxa"/>
            <w:shd w:val="clear" w:color="auto" w:fill="FFFFFF"/>
            <w:tcMar>
              <w:top w:w="60" w:type="dxa"/>
              <w:left w:w="80" w:type="dxa"/>
              <w:bottom w:w="60" w:type="dxa"/>
              <w:right w:w="80" w:type="dxa"/>
            </w:tcMar>
          </w:tcPr>
          <w:p w14:paraId="16886795" w14:textId="77777777" w:rsidR="004549F7" w:rsidRPr="005B4BBA" w:rsidRDefault="00F15AFD">
            <w:pPr>
              <w:spacing w:after="0" w:line="252" w:lineRule="auto"/>
              <w:rPr>
                <w:color w:val="000000" w:themeColor="text1"/>
              </w:rPr>
            </w:pPr>
            <w:r w:rsidRPr="005B4BBA">
              <w:rPr>
                <w:color w:val="000000" w:themeColor="text1"/>
                <w:sz w:val="16"/>
              </w:rPr>
              <w:t>Microscopic Pus Cells</w:t>
            </w:r>
          </w:p>
        </w:tc>
        <w:tc>
          <w:tcPr>
            <w:tcW w:w="1584" w:type="dxa"/>
            <w:shd w:val="clear" w:color="auto" w:fill="FFFFFF"/>
            <w:tcMar>
              <w:top w:w="60" w:type="dxa"/>
              <w:left w:w="80" w:type="dxa"/>
              <w:bottom w:w="60" w:type="dxa"/>
              <w:right w:w="80" w:type="dxa"/>
            </w:tcMar>
          </w:tcPr>
          <w:p w14:paraId="09FA6F16" w14:textId="77777777" w:rsidR="004549F7" w:rsidRPr="005B4BBA" w:rsidRDefault="00F15AFD">
            <w:pPr>
              <w:spacing w:after="0" w:line="252" w:lineRule="auto"/>
              <w:rPr>
                <w:color w:val="000000" w:themeColor="text1"/>
              </w:rPr>
            </w:pPr>
            <w:r w:rsidRPr="005B4BBA">
              <w:rPr>
                <w:color w:val="000000" w:themeColor="text1"/>
                <w:sz w:val="16"/>
              </w:rPr>
              <w:t>Sediment Microscopy</w:t>
            </w:r>
          </w:p>
        </w:tc>
        <w:tc>
          <w:tcPr>
            <w:tcW w:w="1296" w:type="dxa"/>
            <w:shd w:val="clear" w:color="auto" w:fill="FFFFFF"/>
            <w:tcMar>
              <w:top w:w="60" w:type="dxa"/>
              <w:left w:w="80" w:type="dxa"/>
              <w:bottom w:w="60" w:type="dxa"/>
              <w:right w:w="80" w:type="dxa"/>
            </w:tcMar>
          </w:tcPr>
          <w:p w14:paraId="67845C0F" w14:textId="77777777" w:rsidR="004549F7" w:rsidRPr="005B4BBA" w:rsidRDefault="00F15AFD">
            <w:pPr>
              <w:spacing w:after="0" w:line="252" w:lineRule="auto"/>
              <w:rPr>
                <w:color w:val="000000" w:themeColor="text1"/>
              </w:rPr>
            </w:pPr>
            <w:r w:rsidRPr="005B4BBA">
              <w:rPr>
                <w:color w:val="000000" w:themeColor="text1"/>
                <w:sz w:val="16"/>
              </w:rPr>
              <w:t>2 – 3 cells/HPF</w:t>
            </w:r>
          </w:p>
        </w:tc>
        <w:tc>
          <w:tcPr>
            <w:tcW w:w="1296" w:type="dxa"/>
            <w:shd w:val="clear" w:color="auto" w:fill="FFFFFF"/>
            <w:tcMar>
              <w:top w:w="60" w:type="dxa"/>
              <w:left w:w="80" w:type="dxa"/>
              <w:bottom w:w="60" w:type="dxa"/>
              <w:right w:w="80" w:type="dxa"/>
            </w:tcMar>
          </w:tcPr>
          <w:p w14:paraId="5BCC86B6" w14:textId="77777777" w:rsidR="004549F7" w:rsidRPr="005B4BBA" w:rsidRDefault="00F15AFD">
            <w:pPr>
              <w:spacing w:after="0" w:line="252" w:lineRule="auto"/>
              <w:rPr>
                <w:color w:val="000000" w:themeColor="text1"/>
              </w:rPr>
            </w:pPr>
            <w:r w:rsidRPr="005B4BBA">
              <w:rPr>
                <w:color w:val="000000" w:themeColor="text1"/>
                <w:sz w:val="16"/>
              </w:rPr>
              <w:t>1 – 2 cells/HPF</w:t>
            </w:r>
          </w:p>
        </w:tc>
        <w:tc>
          <w:tcPr>
            <w:tcW w:w="1296" w:type="dxa"/>
            <w:shd w:val="clear" w:color="auto" w:fill="FFFFFF"/>
            <w:tcMar>
              <w:top w:w="60" w:type="dxa"/>
              <w:left w:w="80" w:type="dxa"/>
              <w:bottom w:w="60" w:type="dxa"/>
              <w:right w:w="80" w:type="dxa"/>
            </w:tcMar>
          </w:tcPr>
          <w:p w14:paraId="5058D719" w14:textId="77777777" w:rsidR="004549F7" w:rsidRPr="005B4BBA" w:rsidRDefault="00F15AFD">
            <w:pPr>
              <w:spacing w:after="0" w:line="252" w:lineRule="auto"/>
              <w:rPr>
                <w:color w:val="000000" w:themeColor="text1"/>
              </w:rPr>
            </w:pPr>
            <w:r w:rsidRPr="005B4BBA">
              <w:rPr>
                <w:color w:val="000000" w:themeColor="text1"/>
                <w:sz w:val="16"/>
              </w:rPr>
              <w:t>0 – 5 cells/HPF</w:t>
            </w:r>
          </w:p>
        </w:tc>
        <w:tc>
          <w:tcPr>
            <w:tcW w:w="2160" w:type="dxa"/>
            <w:shd w:val="clear" w:color="auto" w:fill="FFFFFF"/>
            <w:tcMar>
              <w:top w:w="60" w:type="dxa"/>
              <w:left w:w="80" w:type="dxa"/>
              <w:bottom w:w="60" w:type="dxa"/>
              <w:right w:w="80" w:type="dxa"/>
            </w:tcMar>
          </w:tcPr>
          <w:p w14:paraId="7B40B1E5" w14:textId="77777777" w:rsidR="004549F7" w:rsidRPr="005B4BBA" w:rsidRDefault="00F15AFD">
            <w:pPr>
              <w:spacing w:after="0" w:line="252" w:lineRule="auto"/>
              <w:rPr>
                <w:color w:val="000000" w:themeColor="text1"/>
              </w:rPr>
            </w:pPr>
            <w:r w:rsidRPr="005B4BBA">
              <w:rPr>
                <w:color w:val="000000" w:themeColor="text1"/>
                <w:sz w:val="16"/>
              </w:rPr>
              <w:t>Low-grade active urinary leukocyte shedding</w:t>
            </w:r>
          </w:p>
        </w:tc>
      </w:tr>
      <w:tr w:rsidR="004549F7" w:rsidRPr="005B4BBA" w14:paraId="5C45DDD4" w14:textId="77777777">
        <w:trPr>
          <w:jc w:val="center"/>
        </w:trPr>
        <w:tc>
          <w:tcPr>
            <w:tcW w:w="1728" w:type="dxa"/>
            <w:shd w:val="clear" w:color="auto" w:fill="F8F9FA"/>
            <w:tcMar>
              <w:top w:w="60" w:type="dxa"/>
              <w:left w:w="80" w:type="dxa"/>
              <w:bottom w:w="60" w:type="dxa"/>
              <w:right w:w="80" w:type="dxa"/>
            </w:tcMar>
          </w:tcPr>
          <w:p w14:paraId="181DE233" w14:textId="77777777" w:rsidR="004549F7" w:rsidRPr="005B4BBA" w:rsidRDefault="00F15AFD">
            <w:pPr>
              <w:spacing w:after="0" w:line="252" w:lineRule="auto"/>
              <w:rPr>
                <w:color w:val="000000" w:themeColor="text1"/>
              </w:rPr>
            </w:pPr>
            <w:r w:rsidRPr="005B4BBA">
              <w:rPr>
                <w:color w:val="000000" w:themeColor="text1"/>
                <w:sz w:val="16"/>
              </w:rPr>
              <w:t>Epithelial Cells</w:t>
            </w:r>
          </w:p>
        </w:tc>
        <w:tc>
          <w:tcPr>
            <w:tcW w:w="1584" w:type="dxa"/>
            <w:shd w:val="clear" w:color="auto" w:fill="F8F9FA"/>
            <w:tcMar>
              <w:top w:w="60" w:type="dxa"/>
              <w:left w:w="80" w:type="dxa"/>
              <w:bottom w:w="60" w:type="dxa"/>
              <w:right w:w="80" w:type="dxa"/>
            </w:tcMar>
          </w:tcPr>
          <w:p w14:paraId="4D7B89AE" w14:textId="77777777" w:rsidR="004549F7" w:rsidRPr="005B4BBA" w:rsidRDefault="00F15AFD">
            <w:pPr>
              <w:spacing w:after="0" w:line="252" w:lineRule="auto"/>
              <w:rPr>
                <w:color w:val="000000" w:themeColor="text1"/>
              </w:rPr>
            </w:pPr>
            <w:r w:rsidRPr="005B4BBA">
              <w:rPr>
                <w:color w:val="000000" w:themeColor="text1"/>
                <w:sz w:val="16"/>
              </w:rPr>
              <w:t>Sediment Microscopy</w:t>
            </w:r>
          </w:p>
        </w:tc>
        <w:tc>
          <w:tcPr>
            <w:tcW w:w="1296" w:type="dxa"/>
            <w:shd w:val="clear" w:color="auto" w:fill="F8F9FA"/>
            <w:tcMar>
              <w:top w:w="60" w:type="dxa"/>
              <w:left w:w="80" w:type="dxa"/>
              <w:bottom w:w="60" w:type="dxa"/>
              <w:right w:w="80" w:type="dxa"/>
            </w:tcMar>
          </w:tcPr>
          <w:p w14:paraId="175DB92C" w14:textId="77777777" w:rsidR="004549F7" w:rsidRPr="005B4BBA" w:rsidRDefault="00F15AFD">
            <w:pPr>
              <w:spacing w:after="0" w:line="252" w:lineRule="auto"/>
              <w:rPr>
                <w:color w:val="000000" w:themeColor="text1"/>
              </w:rPr>
            </w:pPr>
            <w:r w:rsidRPr="005B4BBA">
              <w:rPr>
                <w:color w:val="000000" w:themeColor="text1"/>
                <w:sz w:val="16"/>
              </w:rPr>
              <w:t>1 – 2 cells/HPF</w:t>
            </w:r>
          </w:p>
        </w:tc>
        <w:tc>
          <w:tcPr>
            <w:tcW w:w="1296" w:type="dxa"/>
            <w:shd w:val="clear" w:color="auto" w:fill="F8F9FA"/>
            <w:tcMar>
              <w:top w:w="60" w:type="dxa"/>
              <w:left w:w="80" w:type="dxa"/>
              <w:bottom w:w="60" w:type="dxa"/>
              <w:right w:w="80" w:type="dxa"/>
            </w:tcMar>
          </w:tcPr>
          <w:p w14:paraId="0195821D" w14:textId="77777777" w:rsidR="004549F7" w:rsidRPr="005B4BBA" w:rsidRDefault="00F15AFD">
            <w:pPr>
              <w:spacing w:after="0" w:line="252" w:lineRule="auto"/>
              <w:rPr>
                <w:color w:val="000000" w:themeColor="text1"/>
              </w:rPr>
            </w:pPr>
            <w:r w:rsidRPr="005B4BBA">
              <w:rPr>
                <w:color w:val="000000" w:themeColor="text1"/>
                <w:sz w:val="16"/>
              </w:rPr>
              <w:t>Occasional</w:t>
            </w:r>
          </w:p>
        </w:tc>
        <w:tc>
          <w:tcPr>
            <w:tcW w:w="1296" w:type="dxa"/>
            <w:shd w:val="clear" w:color="auto" w:fill="F8F9FA"/>
            <w:tcMar>
              <w:top w:w="60" w:type="dxa"/>
              <w:left w:w="80" w:type="dxa"/>
              <w:bottom w:w="60" w:type="dxa"/>
              <w:right w:w="80" w:type="dxa"/>
            </w:tcMar>
          </w:tcPr>
          <w:p w14:paraId="5FAD3DB1" w14:textId="77777777" w:rsidR="004549F7" w:rsidRPr="005B4BBA" w:rsidRDefault="00F15AFD">
            <w:pPr>
              <w:spacing w:after="0" w:line="252" w:lineRule="auto"/>
              <w:rPr>
                <w:color w:val="000000" w:themeColor="text1"/>
              </w:rPr>
            </w:pPr>
            <w:r w:rsidRPr="005B4BBA">
              <w:rPr>
                <w:color w:val="000000" w:themeColor="text1"/>
                <w:sz w:val="16"/>
              </w:rPr>
              <w:t>Occasional / HPF</w:t>
            </w:r>
          </w:p>
        </w:tc>
        <w:tc>
          <w:tcPr>
            <w:tcW w:w="2160" w:type="dxa"/>
            <w:shd w:val="clear" w:color="auto" w:fill="F8F9FA"/>
            <w:tcMar>
              <w:top w:w="60" w:type="dxa"/>
              <w:left w:w="80" w:type="dxa"/>
              <w:bottom w:w="60" w:type="dxa"/>
              <w:right w:w="80" w:type="dxa"/>
            </w:tcMar>
          </w:tcPr>
          <w:p w14:paraId="1424A11F" w14:textId="77777777" w:rsidR="004549F7" w:rsidRPr="005B4BBA" w:rsidRDefault="00F15AFD">
            <w:pPr>
              <w:spacing w:after="0" w:line="252" w:lineRule="auto"/>
              <w:rPr>
                <w:color w:val="000000" w:themeColor="text1"/>
              </w:rPr>
            </w:pPr>
            <w:r w:rsidRPr="005B4BBA">
              <w:rPr>
                <w:color w:val="000000" w:themeColor="text1"/>
                <w:sz w:val="16"/>
              </w:rPr>
              <w:t>Normal shedding from lower urinary tract urothelium</w:t>
            </w:r>
          </w:p>
        </w:tc>
      </w:tr>
      <w:tr w:rsidR="004549F7" w:rsidRPr="005B4BBA" w14:paraId="4D5DD3F9" w14:textId="77777777">
        <w:trPr>
          <w:jc w:val="center"/>
        </w:trPr>
        <w:tc>
          <w:tcPr>
            <w:tcW w:w="1728" w:type="dxa"/>
            <w:shd w:val="clear" w:color="auto" w:fill="FFFFFF"/>
            <w:tcMar>
              <w:top w:w="60" w:type="dxa"/>
              <w:left w:w="80" w:type="dxa"/>
              <w:bottom w:w="60" w:type="dxa"/>
              <w:right w:w="80" w:type="dxa"/>
            </w:tcMar>
          </w:tcPr>
          <w:p w14:paraId="7F5BF75C" w14:textId="77777777" w:rsidR="004549F7" w:rsidRPr="005B4BBA" w:rsidRDefault="00F15AFD">
            <w:pPr>
              <w:spacing w:after="0" w:line="252" w:lineRule="auto"/>
              <w:rPr>
                <w:color w:val="000000" w:themeColor="text1"/>
              </w:rPr>
            </w:pPr>
            <w:r w:rsidRPr="005B4BBA">
              <w:rPr>
                <w:color w:val="000000" w:themeColor="text1"/>
                <w:sz w:val="16"/>
              </w:rPr>
              <w:t>Casts &amp; Crystals</w:t>
            </w:r>
          </w:p>
        </w:tc>
        <w:tc>
          <w:tcPr>
            <w:tcW w:w="1584" w:type="dxa"/>
            <w:shd w:val="clear" w:color="auto" w:fill="FFFFFF"/>
            <w:tcMar>
              <w:top w:w="60" w:type="dxa"/>
              <w:left w:w="80" w:type="dxa"/>
              <w:bottom w:w="60" w:type="dxa"/>
              <w:right w:w="80" w:type="dxa"/>
            </w:tcMar>
          </w:tcPr>
          <w:p w14:paraId="062D9377" w14:textId="77777777" w:rsidR="004549F7" w:rsidRPr="005B4BBA" w:rsidRDefault="00F15AFD">
            <w:pPr>
              <w:spacing w:after="0" w:line="252" w:lineRule="auto"/>
              <w:rPr>
                <w:color w:val="000000" w:themeColor="text1"/>
              </w:rPr>
            </w:pPr>
            <w:r w:rsidRPr="005B4BBA">
              <w:rPr>
                <w:color w:val="000000" w:themeColor="text1"/>
                <w:sz w:val="16"/>
              </w:rPr>
              <w:t>Sediment Microscopy</w:t>
            </w:r>
          </w:p>
        </w:tc>
        <w:tc>
          <w:tcPr>
            <w:tcW w:w="1296" w:type="dxa"/>
            <w:shd w:val="clear" w:color="auto" w:fill="FFFFFF"/>
            <w:tcMar>
              <w:top w:w="60" w:type="dxa"/>
              <w:left w:w="80" w:type="dxa"/>
              <w:bottom w:w="60" w:type="dxa"/>
              <w:right w:w="80" w:type="dxa"/>
            </w:tcMar>
          </w:tcPr>
          <w:p w14:paraId="1D7EE645" w14:textId="77777777" w:rsidR="004549F7" w:rsidRPr="005B4BBA" w:rsidRDefault="00F15AFD">
            <w:pPr>
              <w:spacing w:after="0" w:line="252" w:lineRule="auto"/>
              <w:rPr>
                <w:color w:val="000000" w:themeColor="text1"/>
              </w:rPr>
            </w:pPr>
            <w:r w:rsidRPr="005B4BBA">
              <w:rPr>
                <w:color w:val="000000" w:themeColor="text1"/>
                <w:sz w:val="16"/>
              </w:rPr>
              <w:t>Nil</w:t>
            </w:r>
          </w:p>
        </w:tc>
        <w:tc>
          <w:tcPr>
            <w:tcW w:w="1296" w:type="dxa"/>
            <w:shd w:val="clear" w:color="auto" w:fill="FFFFFF"/>
            <w:tcMar>
              <w:top w:w="60" w:type="dxa"/>
              <w:left w:w="80" w:type="dxa"/>
              <w:bottom w:w="60" w:type="dxa"/>
              <w:right w:w="80" w:type="dxa"/>
            </w:tcMar>
          </w:tcPr>
          <w:p w14:paraId="285494B9" w14:textId="77777777" w:rsidR="004549F7" w:rsidRPr="005B4BBA" w:rsidRDefault="00F15AFD">
            <w:pPr>
              <w:spacing w:after="0" w:line="252" w:lineRule="auto"/>
              <w:rPr>
                <w:color w:val="000000" w:themeColor="text1"/>
              </w:rPr>
            </w:pPr>
            <w:r w:rsidRPr="005B4BBA">
              <w:rPr>
                <w:color w:val="000000" w:themeColor="text1"/>
                <w:sz w:val="16"/>
              </w:rPr>
              <w:t>1–2 Granular / HPF</w:t>
            </w:r>
          </w:p>
        </w:tc>
        <w:tc>
          <w:tcPr>
            <w:tcW w:w="1296" w:type="dxa"/>
            <w:shd w:val="clear" w:color="auto" w:fill="FFFFFF"/>
            <w:tcMar>
              <w:top w:w="60" w:type="dxa"/>
              <w:left w:w="80" w:type="dxa"/>
              <w:bottom w:w="60" w:type="dxa"/>
              <w:right w:w="80" w:type="dxa"/>
            </w:tcMar>
          </w:tcPr>
          <w:p w14:paraId="4FDA44C3" w14:textId="77777777" w:rsidR="004549F7" w:rsidRPr="005B4BBA" w:rsidRDefault="00F15AFD">
            <w:pPr>
              <w:spacing w:after="0" w:line="252" w:lineRule="auto"/>
              <w:rPr>
                <w:color w:val="000000" w:themeColor="text1"/>
              </w:rPr>
            </w:pPr>
            <w:r w:rsidRPr="005B4BBA">
              <w:rPr>
                <w:color w:val="000000" w:themeColor="text1"/>
                <w:sz w:val="16"/>
              </w:rPr>
              <w:t>Nil</w:t>
            </w:r>
          </w:p>
        </w:tc>
        <w:tc>
          <w:tcPr>
            <w:tcW w:w="2160" w:type="dxa"/>
            <w:shd w:val="clear" w:color="auto" w:fill="FFFFFF"/>
            <w:tcMar>
              <w:top w:w="60" w:type="dxa"/>
              <w:left w:w="80" w:type="dxa"/>
              <w:bottom w:w="60" w:type="dxa"/>
              <w:right w:w="80" w:type="dxa"/>
            </w:tcMar>
          </w:tcPr>
          <w:p w14:paraId="038CD897" w14:textId="77777777" w:rsidR="004549F7" w:rsidRPr="005B4BBA" w:rsidRDefault="00F15AFD">
            <w:pPr>
              <w:spacing w:after="0" w:line="252" w:lineRule="auto"/>
              <w:rPr>
                <w:color w:val="000000" w:themeColor="text1"/>
              </w:rPr>
            </w:pPr>
            <w:r w:rsidRPr="005B4BBA">
              <w:rPr>
                <w:color w:val="000000" w:themeColor="text1"/>
                <w:sz w:val="16"/>
              </w:rPr>
              <w:t>Transient granular casts reflecting resolving tubular stress</w:t>
            </w:r>
          </w:p>
        </w:tc>
      </w:tr>
      <w:tr w:rsidR="004549F7" w:rsidRPr="005B4BBA" w14:paraId="546F1189" w14:textId="77777777">
        <w:trPr>
          <w:jc w:val="center"/>
        </w:trPr>
        <w:tc>
          <w:tcPr>
            <w:tcW w:w="1728" w:type="dxa"/>
            <w:shd w:val="clear" w:color="auto" w:fill="F8F9FA"/>
            <w:tcMar>
              <w:top w:w="60" w:type="dxa"/>
              <w:left w:w="80" w:type="dxa"/>
              <w:bottom w:w="60" w:type="dxa"/>
              <w:right w:w="80" w:type="dxa"/>
            </w:tcMar>
          </w:tcPr>
          <w:p w14:paraId="2399DD5D" w14:textId="77777777" w:rsidR="004549F7" w:rsidRPr="005B4BBA" w:rsidRDefault="00F15AFD">
            <w:pPr>
              <w:spacing w:after="0" w:line="252" w:lineRule="auto"/>
              <w:rPr>
                <w:color w:val="000000" w:themeColor="text1"/>
              </w:rPr>
            </w:pPr>
            <w:r w:rsidRPr="005B4BBA">
              <w:rPr>
                <w:color w:val="000000" w:themeColor="text1"/>
                <w:sz w:val="16"/>
              </w:rPr>
              <w:t>Urine Culture</w:t>
            </w:r>
          </w:p>
        </w:tc>
        <w:tc>
          <w:tcPr>
            <w:tcW w:w="1584" w:type="dxa"/>
            <w:shd w:val="clear" w:color="auto" w:fill="F8F9FA"/>
            <w:tcMar>
              <w:top w:w="60" w:type="dxa"/>
              <w:left w:w="80" w:type="dxa"/>
              <w:bottom w:w="60" w:type="dxa"/>
              <w:right w:w="80" w:type="dxa"/>
            </w:tcMar>
          </w:tcPr>
          <w:p w14:paraId="60CDED75" w14:textId="77777777" w:rsidR="004549F7" w:rsidRPr="005B4BBA" w:rsidRDefault="00F15AFD">
            <w:pPr>
              <w:spacing w:after="0" w:line="252" w:lineRule="auto"/>
              <w:rPr>
                <w:color w:val="000000" w:themeColor="text1"/>
              </w:rPr>
            </w:pPr>
            <w:r w:rsidRPr="005B4BBA">
              <w:rPr>
                <w:color w:val="000000" w:themeColor="text1"/>
                <w:sz w:val="16"/>
              </w:rPr>
              <w:t>Standard Microbial Plating</w:t>
            </w:r>
          </w:p>
        </w:tc>
        <w:tc>
          <w:tcPr>
            <w:tcW w:w="1296" w:type="dxa"/>
            <w:shd w:val="clear" w:color="auto" w:fill="F8F9FA"/>
            <w:tcMar>
              <w:top w:w="60" w:type="dxa"/>
              <w:left w:w="80" w:type="dxa"/>
              <w:bottom w:w="60" w:type="dxa"/>
              <w:right w:w="80" w:type="dxa"/>
            </w:tcMar>
          </w:tcPr>
          <w:p w14:paraId="571B95F1" w14:textId="77777777" w:rsidR="004549F7" w:rsidRPr="005B4BBA" w:rsidRDefault="00F15AFD">
            <w:pPr>
              <w:spacing w:after="0" w:line="252" w:lineRule="auto"/>
              <w:rPr>
                <w:color w:val="000000" w:themeColor="text1"/>
              </w:rPr>
            </w:pPr>
            <w:r w:rsidRPr="005B4BBA">
              <w:rPr>
                <w:color w:val="000000" w:themeColor="text1"/>
                <w:sz w:val="16"/>
              </w:rPr>
              <w:t>No Growth (Post-ABx)</w:t>
            </w:r>
          </w:p>
        </w:tc>
        <w:tc>
          <w:tcPr>
            <w:tcW w:w="1296" w:type="dxa"/>
            <w:shd w:val="clear" w:color="auto" w:fill="F8F9FA"/>
            <w:tcMar>
              <w:top w:w="60" w:type="dxa"/>
              <w:left w:w="80" w:type="dxa"/>
              <w:bottom w:w="60" w:type="dxa"/>
              <w:right w:w="80" w:type="dxa"/>
            </w:tcMar>
          </w:tcPr>
          <w:p w14:paraId="585422BB" w14:textId="77777777" w:rsidR="004549F7" w:rsidRPr="005B4BBA" w:rsidRDefault="00F15AFD">
            <w:pPr>
              <w:spacing w:after="0" w:line="252" w:lineRule="auto"/>
              <w:rPr>
                <w:color w:val="000000" w:themeColor="text1"/>
              </w:rPr>
            </w:pPr>
            <w:r w:rsidRPr="005B4BBA">
              <w:rPr>
                <w:color w:val="000000" w:themeColor="text1"/>
                <w:sz w:val="16"/>
              </w:rPr>
              <w:t>No Growth</w:t>
            </w:r>
          </w:p>
        </w:tc>
        <w:tc>
          <w:tcPr>
            <w:tcW w:w="1296" w:type="dxa"/>
            <w:shd w:val="clear" w:color="auto" w:fill="F8F9FA"/>
            <w:tcMar>
              <w:top w:w="60" w:type="dxa"/>
              <w:left w:w="80" w:type="dxa"/>
              <w:bottom w:w="60" w:type="dxa"/>
              <w:right w:w="80" w:type="dxa"/>
            </w:tcMar>
          </w:tcPr>
          <w:p w14:paraId="2EC53428" w14:textId="77777777" w:rsidR="004549F7" w:rsidRPr="005B4BBA" w:rsidRDefault="00F15AFD">
            <w:pPr>
              <w:spacing w:after="0" w:line="252" w:lineRule="auto"/>
              <w:rPr>
                <w:color w:val="000000" w:themeColor="text1"/>
              </w:rPr>
            </w:pPr>
            <w:r w:rsidRPr="005B4BBA">
              <w:rPr>
                <w:color w:val="000000" w:themeColor="text1"/>
                <w:sz w:val="16"/>
              </w:rPr>
              <w:t>Sterile</w:t>
            </w:r>
          </w:p>
        </w:tc>
        <w:tc>
          <w:tcPr>
            <w:tcW w:w="2160" w:type="dxa"/>
            <w:shd w:val="clear" w:color="auto" w:fill="F8F9FA"/>
            <w:tcMar>
              <w:top w:w="60" w:type="dxa"/>
              <w:left w:w="80" w:type="dxa"/>
              <w:bottom w:w="60" w:type="dxa"/>
              <w:right w:w="80" w:type="dxa"/>
            </w:tcMar>
          </w:tcPr>
          <w:p w14:paraId="5E6E9C4D" w14:textId="77777777" w:rsidR="004549F7" w:rsidRPr="005B4BBA" w:rsidRDefault="00F15AFD">
            <w:pPr>
              <w:spacing w:after="0" w:line="252" w:lineRule="auto"/>
              <w:rPr>
                <w:color w:val="000000" w:themeColor="text1"/>
              </w:rPr>
            </w:pPr>
            <w:r w:rsidRPr="005B4BBA">
              <w:rPr>
                <w:color w:val="000000" w:themeColor="text1"/>
                <w:sz w:val="16"/>
              </w:rPr>
              <w:t>Effective sterilization following dual IV antibiotic therapy</w:t>
            </w:r>
          </w:p>
        </w:tc>
      </w:tr>
    </w:tbl>
    <w:p w14:paraId="44008D43" w14:textId="77777777" w:rsidR="004549F7" w:rsidRPr="005B4BBA" w:rsidRDefault="00F15AFD">
      <w:pPr>
        <w:keepNext/>
        <w:spacing w:before="200" w:after="80"/>
        <w:rPr>
          <w:color w:val="000000" w:themeColor="text1"/>
        </w:rPr>
      </w:pPr>
      <w:r w:rsidRPr="005B4BBA">
        <w:rPr>
          <w:b/>
          <w:color w:val="000000" w:themeColor="text1"/>
          <w:sz w:val="23"/>
        </w:rPr>
        <w:t>Radiological Evaluation (High-Resolution Ultrasonography of Abdomen and Pelvis)</w:t>
      </w:r>
    </w:p>
    <w:p w14:paraId="296A1020" w14:textId="04A640EB" w:rsidR="005E7672" w:rsidRPr="005E7672" w:rsidRDefault="005E7672" w:rsidP="005E7672">
      <w:pPr>
        <w:spacing w:after="120"/>
        <w:rPr>
          <w:color w:val="000000" w:themeColor="text1"/>
          <w:lang w:val="en-IN"/>
        </w:rPr>
      </w:pPr>
      <w:r w:rsidRPr="005E7672">
        <w:rPr>
          <w:color w:val="000000" w:themeColor="text1"/>
          <w:lang w:val="en-IN"/>
        </w:rPr>
        <w:t>Aug</w:t>
      </w:r>
      <w:r>
        <w:rPr>
          <w:color w:val="000000" w:themeColor="text1"/>
          <w:lang w:val="en-IN"/>
        </w:rPr>
        <w:t xml:space="preserve">ust </w:t>
      </w:r>
      <w:r w:rsidRPr="005E7672">
        <w:rPr>
          <w:color w:val="000000" w:themeColor="text1"/>
          <w:lang w:val="en-IN"/>
        </w:rPr>
        <w:t>25, 2026: Real time high-resolution B- mode and Colour Doppler ultrasound examination of the abdomen &amp;pelvis (Radiology Ref: IP2608220032, Consultant Radiologist. Thorough real time sonography evaluation of the abdominal and pelvic organs reveals the following findings related to the morphology &amp; structure of the contents.</w:t>
      </w:r>
    </w:p>
    <w:p w14:paraId="64380AAB" w14:textId="64F96521" w:rsidR="004549F7" w:rsidRPr="005B4BBA" w:rsidRDefault="004549F7">
      <w:pPr>
        <w:spacing w:after="120"/>
        <w:rPr>
          <w:color w:val="000000" w:themeColor="text1"/>
        </w:rPr>
      </w:pPr>
    </w:p>
    <w:p w14:paraId="54FE3F53" w14:textId="77777777" w:rsidR="004549F7" w:rsidRPr="005B4BBA" w:rsidRDefault="00F15AFD">
      <w:pPr>
        <w:pStyle w:val="ListBullet"/>
        <w:spacing w:after="60"/>
        <w:rPr>
          <w:color w:val="000000" w:themeColor="text1"/>
        </w:rPr>
      </w:pPr>
      <w:r w:rsidRPr="005B4BBA">
        <w:rPr>
          <w:color w:val="000000" w:themeColor="text1"/>
          <w:sz w:val="21"/>
        </w:rPr>
        <w:t>Liver: Mildly enlarged in craniocaudal dimension measuring 13.0 cm (normal pediatric reference for 5 years: &lt; 10.5–11.0 cm) with preserved homogeneous parenchymal echotexture and smooth contours. No focal parenchymal lesions, intrahepatic biliary radical dilatation (IHBRD), or vascular thrombosis.</w:t>
      </w:r>
    </w:p>
    <w:p w14:paraId="38D040FF" w14:textId="67F5CED1" w:rsidR="004549F7" w:rsidRPr="005E7672" w:rsidRDefault="00F15AFD" w:rsidP="005E7672">
      <w:pPr>
        <w:pStyle w:val="ListBullet"/>
        <w:spacing w:after="60"/>
        <w:rPr>
          <w:color w:val="000000" w:themeColor="text1"/>
          <w:sz w:val="21"/>
          <w:lang w:val="en-IN"/>
        </w:rPr>
      </w:pPr>
      <w:r w:rsidRPr="005B4BBA">
        <w:rPr>
          <w:color w:val="000000" w:themeColor="text1"/>
          <w:sz w:val="21"/>
        </w:rPr>
        <w:t xml:space="preserve">Biliary Tree &amp; Portal Vein: </w:t>
      </w:r>
      <w:r w:rsidR="005E7672" w:rsidRPr="005E7672">
        <w:rPr>
          <w:color w:val="000000" w:themeColor="text1"/>
          <w:sz w:val="21"/>
          <w:lang w:val="en-IN"/>
        </w:rPr>
        <w:t xml:space="preserve">Gallbladder appeared to be partially distended with normal wall thickness. It was largely free of intra-luminal calculi or biliary sludge. No peri-gallbladder fluid was identified. Portal vein was open and showed normal </w:t>
      </w:r>
      <w:proofErr w:type="spellStart"/>
      <w:r w:rsidR="005E7672" w:rsidRPr="005E7672">
        <w:rPr>
          <w:color w:val="000000" w:themeColor="text1"/>
          <w:sz w:val="21"/>
          <w:lang w:val="en-IN"/>
        </w:rPr>
        <w:t>hepatope</w:t>
      </w:r>
      <w:r w:rsidR="005E7672">
        <w:rPr>
          <w:color w:val="000000" w:themeColor="text1"/>
          <w:sz w:val="21"/>
          <w:lang w:val="en-IN"/>
        </w:rPr>
        <w:t>t</w:t>
      </w:r>
      <w:r w:rsidR="005E7672" w:rsidRPr="005E7672">
        <w:rPr>
          <w:color w:val="000000" w:themeColor="text1"/>
          <w:sz w:val="21"/>
          <w:lang w:val="en-IN"/>
        </w:rPr>
        <w:t>al</w:t>
      </w:r>
      <w:proofErr w:type="spellEnd"/>
      <w:r w:rsidR="005E7672" w:rsidRPr="005E7672">
        <w:rPr>
          <w:color w:val="000000" w:themeColor="text1"/>
          <w:sz w:val="21"/>
          <w:lang w:val="en-IN"/>
        </w:rPr>
        <w:t xml:space="preserve"> flow by colour Doppler evaluation.</w:t>
      </w:r>
    </w:p>
    <w:p w14:paraId="285A5B6B" w14:textId="1C6E6CE5" w:rsidR="004549F7" w:rsidRPr="005E7672" w:rsidRDefault="00F15AFD" w:rsidP="005E7672">
      <w:pPr>
        <w:pStyle w:val="ListBullet"/>
        <w:spacing w:after="60"/>
        <w:rPr>
          <w:color w:val="000000" w:themeColor="text1"/>
          <w:sz w:val="21"/>
          <w:lang w:val="en-IN"/>
        </w:rPr>
      </w:pPr>
      <w:r w:rsidRPr="005B4BBA">
        <w:rPr>
          <w:color w:val="000000" w:themeColor="text1"/>
          <w:sz w:val="21"/>
        </w:rPr>
        <w:t xml:space="preserve">Spleen: </w:t>
      </w:r>
      <w:r w:rsidR="005E7672" w:rsidRPr="005E7672">
        <w:rPr>
          <w:color w:val="000000" w:themeColor="text1"/>
          <w:sz w:val="21"/>
          <w:lang w:val="en-IN"/>
        </w:rPr>
        <w:t xml:space="preserve">Slightly increased bipolar length: 12.7 cm (normal paediatric reference size for 5 years &lt; 8.5-9.0 cm) no Focal splenic infarcts, cysts, calcifications and normal appearance of the </w:t>
      </w:r>
      <w:proofErr w:type="spellStart"/>
      <w:r w:rsidR="005E7672" w:rsidRPr="005E7672">
        <w:rPr>
          <w:color w:val="000000" w:themeColor="text1"/>
          <w:sz w:val="21"/>
          <w:lang w:val="en-IN"/>
        </w:rPr>
        <w:t>echostructure</w:t>
      </w:r>
      <w:proofErr w:type="spellEnd"/>
      <w:r w:rsidR="005E7672" w:rsidRPr="005E7672">
        <w:rPr>
          <w:color w:val="000000" w:themeColor="text1"/>
          <w:sz w:val="21"/>
          <w:lang w:val="en-IN"/>
        </w:rPr>
        <w:t xml:space="preserve"> of the spleen.</w:t>
      </w:r>
    </w:p>
    <w:p w14:paraId="2D71D71D" w14:textId="77777777" w:rsidR="004549F7" w:rsidRPr="005B4BBA" w:rsidRDefault="00F15AFD">
      <w:pPr>
        <w:pStyle w:val="ListBullet"/>
        <w:spacing w:after="60"/>
        <w:rPr>
          <w:color w:val="000000" w:themeColor="text1"/>
        </w:rPr>
      </w:pPr>
      <w:r w:rsidRPr="005B4BBA">
        <w:rPr>
          <w:color w:val="000000" w:themeColor="text1"/>
          <w:sz w:val="21"/>
        </w:rPr>
        <w:t>Pancreas: Head and body visualized with normal parenchymal caliber and echogenicity; tail obscured by overlying bowel gas.</w:t>
      </w:r>
    </w:p>
    <w:p w14:paraId="035632B4" w14:textId="64C5C55D" w:rsidR="004549F7" w:rsidRPr="005E7672" w:rsidRDefault="00F15AFD" w:rsidP="005E7672">
      <w:pPr>
        <w:pStyle w:val="ListBullet"/>
        <w:spacing w:after="60"/>
        <w:rPr>
          <w:color w:val="000000" w:themeColor="text1"/>
          <w:sz w:val="21"/>
          <w:lang w:val="en-IN"/>
        </w:rPr>
      </w:pPr>
      <w:r w:rsidRPr="005B4BBA">
        <w:rPr>
          <w:color w:val="000000" w:themeColor="text1"/>
          <w:sz w:val="21"/>
        </w:rPr>
        <w:t xml:space="preserve">Kidneys &amp; Urinary Tract: </w:t>
      </w:r>
      <w:r w:rsidR="005E7672" w:rsidRPr="005E7672">
        <w:rPr>
          <w:color w:val="000000" w:themeColor="text1"/>
          <w:sz w:val="21"/>
          <w:lang w:val="en-IN"/>
        </w:rPr>
        <w:t>Right kidney noted to be 8.6cm x 3.2cm. Left kidney noted to be 9.1cm x 4.1cm. Both kidneys appeared normal in size, anatomy, position. Bilateral diffuse increased cortical parenchymal echogenicity appeared to be at or slightly greater than that of the surrounding liver parenchyma suggestive of Bilateral Grade I Renal Parenchymal Changes. Corticomedullary differentiation was sharply preserved bilaterally. No apparent pelvicalyceal dilation, hydroureteronephrosis, nephrocalcinosis, or renal calculus was evident. There was no apparent perinephric collection.</w:t>
      </w:r>
    </w:p>
    <w:p w14:paraId="1CE3DB97" w14:textId="77777777" w:rsidR="004549F7" w:rsidRPr="005B4BBA" w:rsidRDefault="00F15AFD">
      <w:pPr>
        <w:pStyle w:val="ListBullet"/>
        <w:spacing w:after="60"/>
        <w:rPr>
          <w:color w:val="000000" w:themeColor="text1"/>
        </w:rPr>
      </w:pPr>
      <w:r w:rsidRPr="005B4BBA">
        <w:rPr>
          <w:color w:val="000000" w:themeColor="text1"/>
          <w:sz w:val="21"/>
        </w:rPr>
        <w:t>Urinary Bladder &amp; Pelvic Organs: Urinary bladder was well-distended with thin, smooth, uniform wall architecture. No luminal masses, intravesical blood clots, or calculi were present. Uterus and bilateral ovaries were visualized and appeared anatomically normal for the patient's age. No free fluid or ascites was identified in the peritoneal cavity or pelvis.</w:t>
      </w:r>
    </w:p>
    <w:p w14:paraId="6C6BEC2C" w14:textId="77777777" w:rsidR="004549F7" w:rsidRPr="005B4BBA" w:rsidRDefault="00F15AFD">
      <w:pPr>
        <w:spacing w:before="200" w:after="80"/>
        <w:jc w:val="center"/>
        <w:rPr>
          <w:color w:val="000000" w:themeColor="text1"/>
        </w:rPr>
      </w:pPr>
      <w:r w:rsidRPr="005B4BBA">
        <w:rPr>
          <w:noProof/>
          <w:color w:val="000000" w:themeColor="text1"/>
        </w:rPr>
        <w:lastRenderedPageBreak/>
        <w:drawing>
          <wp:inline distT="0" distB="0" distL="0" distR="0" wp14:anchorId="63662457" wp14:editId="608D0AC6">
            <wp:extent cx="5029200" cy="57280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0.png"/>
                    <pic:cNvPicPr/>
                  </pic:nvPicPr>
                  <pic:blipFill>
                    <a:blip r:embed="rId8"/>
                    <a:stretch>
                      <a:fillRect/>
                    </a:stretch>
                  </pic:blipFill>
                  <pic:spPr>
                    <a:xfrm>
                      <a:off x="0" y="0"/>
                      <a:ext cx="5029200" cy="5728018"/>
                    </a:xfrm>
                    <a:prstGeom prst="rect">
                      <a:avLst/>
                    </a:prstGeom>
                  </pic:spPr>
                </pic:pic>
              </a:graphicData>
            </a:graphic>
          </wp:inline>
        </w:drawing>
      </w:r>
    </w:p>
    <w:p w14:paraId="0350364B" w14:textId="77777777" w:rsidR="004549F7" w:rsidRPr="005B4BBA" w:rsidRDefault="00F15AFD">
      <w:pPr>
        <w:spacing w:before="40" w:after="240"/>
        <w:jc w:val="center"/>
        <w:rPr>
          <w:color w:val="000000" w:themeColor="text1"/>
        </w:rPr>
      </w:pPr>
      <w:r w:rsidRPr="005B4BBA">
        <w:rPr>
          <w:b/>
          <w:color w:val="000000" w:themeColor="text1"/>
          <w:sz w:val="19"/>
        </w:rPr>
        <w:t xml:space="preserve">Figure 1: High-Resolution Real-Time Abdominopelvic Ultrasonography with Color Doppler Imaging. </w:t>
      </w:r>
      <w:r w:rsidRPr="005B4BBA">
        <w:rPr>
          <w:i/>
          <w:color w:val="000000" w:themeColor="text1"/>
          <w:sz w:val="19"/>
        </w:rPr>
        <w:t>Multi-panel sonographic assessment demonstrating mild hepatomegaly (liver span 13.0 cm), splenomegaly (bipolar splenic length 12.7 cm), bilateral Grade I renal parenchymal changes with preserved corticomedullary differentiation (right kidney 8.6 × 3.2 cm, left kidney 9.1 × 4.1 cm), patent portal vein flow on color Doppler interrogation, and an adequately distended urinary bladder with thin, uniform wall architecture.</w:t>
      </w:r>
    </w:p>
    <w:p w14:paraId="373F9AB6" w14:textId="77777777" w:rsidR="004549F7" w:rsidRPr="005B4BBA" w:rsidRDefault="00F15AFD">
      <w:pPr>
        <w:keepNext/>
        <w:spacing w:before="200" w:after="80"/>
        <w:rPr>
          <w:color w:val="000000" w:themeColor="text1"/>
        </w:rPr>
      </w:pPr>
      <w:r w:rsidRPr="005B4BBA">
        <w:rPr>
          <w:b/>
          <w:color w:val="000000" w:themeColor="text1"/>
          <w:sz w:val="23"/>
        </w:rPr>
        <w:t>Inpatient Clinical Course, Therapeutic Interventions, and Outcome</w:t>
      </w:r>
    </w:p>
    <w:p w14:paraId="1E1F0C31" w14:textId="77777777" w:rsidR="004549F7" w:rsidRPr="005B4BBA" w:rsidRDefault="00F15AFD">
      <w:pPr>
        <w:spacing w:after="40"/>
        <w:rPr>
          <w:color w:val="000000" w:themeColor="text1"/>
        </w:rPr>
      </w:pPr>
      <w:r w:rsidRPr="005B4BBA">
        <w:rPr>
          <w:color w:val="000000" w:themeColor="text1"/>
        </w:rPr>
        <w:t>1. Immediate Empirical Antimicrobial &amp; Supportive Therapy:</w:t>
      </w:r>
    </w:p>
    <w:p w14:paraId="654987CE" w14:textId="42A7D41C" w:rsidR="005E7672" w:rsidRPr="005E7672" w:rsidRDefault="005E7672" w:rsidP="005E7672">
      <w:pPr>
        <w:pStyle w:val="ListBullet"/>
        <w:numPr>
          <w:ilvl w:val="0"/>
          <w:numId w:val="0"/>
        </w:numPr>
        <w:rPr>
          <w:lang w:val="en-IN" w:eastAsia="en-IN"/>
        </w:rPr>
      </w:pPr>
      <w:r w:rsidRPr="005E7672">
        <w:rPr>
          <w:lang w:val="en-IN" w:eastAsia="en-IN"/>
        </w:rPr>
        <w:t>High temperatures with marked spiking, reaching 101.4</w:t>
      </w:r>
      <w:r w:rsidR="002C0BCB" w:rsidRPr="005B4BBA">
        <w:rPr>
          <w:color w:val="000000" w:themeColor="text1"/>
          <w:sz w:val="21"/>
        </w:rPr>
        <w:t>°F</w:t>
      </w:r>
      <w:r w:rsidRPr="005E7672">
        <w:rPr>
          <w:lang w:val="en-IN" w:eastAsia="en-IN"/>
        </w:rPr>
        <w:t>, and a microscopic urinalysis demonstrating abundant active urinary sediment were documented on 22 Aug, 20</w:t>
      </w:r>
      <w:r>
        <w:rPr>
          <w:lang w:val="en-IN" w:eastAsia="en-IN"/>
        </w:rPr>
        <w:t>2</w:t>
      </w:r>
      <w:r w:rsidRPr="005E7672">
        <w:rPr>
          <w:lang w:val="en-IN" w:eastAsia="en-IN"/>
        </w:rPr>
        <w:t>6, at which time dual intravenous broad-spectrum empiric antibiotic therapy was initiated to aggressively treat acute UT</w:t>
      </w:r>
      <w:r w:rsidR="002C0BCB">
        <w:rPr>
          <w:lang w:val="en-IN" w:eastAsia="en-IN"/>
        </w:rPr>
        <w:t>I</w:t>
      </w:r>
      <w:r w:rsidRPr="005E7672">
        <w:rPr>
          <w:lang w:val="en-IN" w:eastAsia="en-IN"/>
        </w:rPr>
        <w:t xml:space="preserve"> and to prevent systemic bacteraemia. This included:</w:t>
      </w:r>
    </w:p>
    <w:p w14:paraId="738B25F3" w14:textId="77777777" w:rsidR="004549F7" w:rsidRPr="005B4BBA" w:rsidRDefault="00F15AFD">
      <w:pPr>
        <w:pStyle w:val="ListBullet"/>
        <w:spacing w:after="60"/>
        <w:rPr>
          <w:color w:val="000000" w:themeColor="text1"/>
        </w:rPr>
      </w:pPr>
      <w:r w:rsidRPr="005B4BBA">
        <w:rPr>
          <w:color w:val="000000" w:themeColor="text1"/>
          <w:sz w:val="21"/>
        </w:rPr>
        <w:t>Inj. Cefotaxime: 150 mg/kg/day IV divided into 8-hourly doses (1.15 g IV TID, total daily dose 3.45 g)</w:t>
      </w:r>
    </w:p>
    <w:p w14:paraId="3C3BDA35" w14:textId="77777777" w:rsidR="004549F7" w:rsidRPr="005B4BBA" w:rsidRDefault="00F15AFD">
      <w:pPr>
        <w:pStyle w:val="ListBullet"/>
        <w:spacing w:after="60"/>
        <w:rPr>
          <w:color w:val="000000" w:themeColor="text1"/>
        </w:rPr>
      </w:pPr>
      <w:r w:rsidRPr="005B4BBA">
        <w:rPr>
          <w:color w:val="000000" w:themeColor="text1"/>
          <w:sz w:val="21"/>
        </w:rPr>
        <w:lastRenderedPageBreak/>
        <w:t>Inj. Amikacin: 15 mg/kg/day IV administered as a single daily infusion (340 mg IV OD in 40 mL normal saline over 30–45 minutes)</w:t>
      </w:r>
    </w:p>
    <w:p w14:paraId="5F2EF1B4" w14:textId="77777777" w:rsidR="004549F7" w:rsidRPr="005B4BBA" w:rsidRDefault="00F15AFD">
      <w:pPr>
        <w:pStyle w:val="ListBullet"/>
        <w:spacing w:after="60"/>
        <w:rPr>
          <w:color w:val="000000" w:themeColor="text1"/>
        </w:rPr>
      </w:pPr>
      <w:r w:rsidRPr="005B4BBA">
        <w:rPr>
          <w:color w:val="000000" w:themeColor="text1"/>
          <w:sz w:val="21"/>
        </w:rPr>
        <w:t>Tab. Paracetamol: 500 mg orally as indicated (15 mg/kg/dose) for antipyresis and pain relief.</w:t>
      </w:r>
    </w:p>
    <w:p w14:paraId="26FB670D" w14:textId="77777777" w:rsidR="004549F7" w:rsidRPr="005B4BBA" w:rsidRDefault="00F15AFD">
      <w:pPr>
        <w:spacing w:after="40"/>
        <w:rPr>
          <w:color w:val="000000" w:themeColor="text1"/>
        </w:rPr>
      </w:pPr>
      <w:r w:rsidRPr="005B4BBA">
        <w:rPr>
          <w:color w:val="000000" w:themeColor="text1"/>
        </w:rPr>
        <w:t>2. Blood Transfusion Protocol &amp; Hemodynamic Monitoring:</w:t>
      </w:r>
    </w:p>
    <w:p w14:paraId="15AD1D57" w14:textId="77777777" w:rsidR="004549F7" w:rsidRPr="005B4BBA" w:rsidRDefault="00F15AFD">
      <w:pPr>
        <w:spacing w:after="120"/>
        <w:rPr>
          <w:color w:val="000000" w:themeColor="text1"/>
        </w:rPr>
      </w:pPr>
      <w:r w:rsidRPr="005B4BBA">
        <w:rPr>
          <w:color w:val="000000" w:themeColor="text1"/>
        </w:rPr>
        <w:t>In view of profound symptomatic anemia (Hb 5.3 g/dL) accompanied by exertional tachycardia and flow murmurs, packed red blood cell transfusion was arranged. Crossmatching was completed on August 24, 2026 (Day 3):</w:t>
      </w:r>
    </w:p>
    <w:p w14:paraId="2D4B4E40" w14:textId="77777777" w:rsidR="004549F7" w:rsidRPr="005B4BBA" w:rsidRDefault="00F15AFD">
      <w:pPr>
        <w:pStyle w:val="ListBullet"/>
        <w:spacing w:after="60"/>
        <w:rPr>
          <w:color w:val="000000" w:themeColor="text1"/>
        </w:rPr>
      </w:pPr>
      <w:r w:rsidRPr="005B4BBA">
        <w:rPr>
          <w:color w:val="000000" w:themeColor="text1"/>
          <w:sz w:val="21"/>
        </w:rPr>
        <w:t>Donor Blood Unit: B Rh-Positive Packed Red Blood Cells (Bag No: 2752; Date of Collection: 20/08/2026; Expiry: 24/09/2026; screened non-reactive for HIV, HBsAg, HCV, and VDRL/syphilis).</w:t>
      </w:r>
    </w:p>
    <w:p w14:paraId="3D05B734" w14:textId="77777777" w:rsidR="004549F7" w:rsidRPr="005B4BBA" w:rsidRDefault="00F15AFD">
      <w:pPr>
        <w:pStyle w:val="ListBullet"/>
        <w:spacing w:after="60"/>
        <w:rPr>
          <w:color w:val="000000" w:themeColor="text1"/>
        </w:rPr>
      </w:pPr>
      <w:r w:rsidRPr="005B4BBA">
        <w:rPr>
          <w:color w:val="000000" w:themeColor="text1"/>
          <w:sz w:val="21"/>
        </w:rPr>
        <w:t>Transfusion Protocol: PRBCs (15 mL/kg, ~345 mL) were transfused at a controlled infusion rate of 60 mL/hour over 3.5 hours.</w:t>
      </w:r>
    </w:p>
    <w:p w14:paraId="1F522A72" w14:textId="77777777" w:rsidR="004549F7" w:rsidRPr="005B4BBA" w:rsidRDefault="00F15AFD">
      <w:pPr>
        <w:pStyle w:val="ListBullet"/>
        <w:spacing w:after="60"/>
        <w:rPr>
          <w:color w:val="000000" w:themeColor="text1"/>
        </w:rPr>
      </w:pPr>
      <w:r w:rsidRPr="005B4BBA">
        <w:rPr>
          <w:color w:val="000000" w:themeColor="text1"/>
          <w:sz w:val="21"/>
        </w:rPr>
        <w:t>Prevention of Transfusion-Associated Circulatory Overload (TACO): To prevent acute hypervolemic strain on the chronically anemic myocardium, Inj. Furosemide (Lasix) 20 mg IV was administered at the midpoint of transfusion.</w:t>
      </w:r>
    </w:p>
    <w:p w14:paraId="2E33281D" w14:textId="77777777" w:rsidR="004549F7" w:rsidRPr="005B4BBA" w:rsidRDefault="00F15AFD">
      <w:pPr>
        <w:pStyle w:val="ListBullet"/>
        <w:spacing w:after="60"/>
        <w:rPr>
          <w:color w:val="000000" w:themeColor="text1"/>
        </w:rPr>
      </w:pPr>
      <w:r w:rsidRPr="005B4BBA">
        <w:rPr>
          <w:color w:val="000000" w:themeColor="text1"/>
          <w:sz w:val="21"/>
        </w:rPr>
        <w:t>Serial Transfusion Vital Signs: Pre-transfusion vitals (PR 110 bpm, RR 30 cpm, BP 96/60 mmHg, SpO2 99%), mid-transfusion vitals at 21:00 (PR 100 bpm, RR 28 cpm, BP 94/62 mmHg, SpO2 99%), and post-transfusion vitals at 23:20 (PR 108 bpm, RR 24 cpm, BP 104/60 mmHg, SpO2 99%) remained completely stable with zero febrile, allergic, or acute hemolytic transfusion reactions.</w:t>
      </w:r>
    </w:p>
    <w:p w14:paraId="7B96AC0F" w14:textId="77777777" w:rsidR="004549F7" w:rsidRPr="005B4BBA" w:rsidRDefault="00F15AFD">
      <w:pPr>
        <w:spacing w:after="40"/>
        <w:rPr>
          <w:color w:val="000000" w:themeColor="text1"/>
        </w:rPr>
      </w:pPr>
      <w:r w:rsidRPr="005B4BBA">
        <w:rPr>
          <w:color w:val="000000" w:themeColor="text1"/>
        </w:rPr>
        <w:t>3. Day-by-Day Clinical Progress &amp; Discharge:</w:t>
      </w:r>
    </w:p>
    <w:p w14:paraId="5E53BF3F" w14:textId="77777777" w:rsidR="004549F7" w:rsidRPr="005B4BBA" w:rsidRDefault="00F15AFD">
      <w:pPr>
        <w:pStyle w:val="ListBullet"/>
        <w:spacing w:after="60"/>
        <w:rPr>
          <w:color w:val="000000" w:themeColor="text1"/>
        </w:rPr>
      </w:pPr>
      <w:r w:rsidRPr="005B4BBA">
        <w:rPr>
          <w:color w:val="000000" w:themeColor="text1"/>
          <w:sz w:val="21"/>
        </w:rPr>
        <w:t>Day 1–2 (22/08 – 23/08/2026): The patient experienced intermittent fever spikes (100.2°F to 101.4°F), which responded well to paracetamol. Respiratory symptoms (cough and cold) diminished significantly under supportive care.</w:t>
      </w:r>
    </w:p>
    <w:p w14:paraId="4DDCC135" w14:textId="77777777" w:rsidR="004549F7" w:rsidRPr="005B4BBA" w:rsidRDefault="00F15AFD">
      <w:pPr>
        <w:pStyle w:val="ListBullet"/>
        <w:spacing w:after="60"/>
        <w:rPr>
          <w:color w:val="000000" w:themeColor="text1"/>
        </w:rPr>
      </w:pPr>
      <w:r w:rsidRPr="005B4BBA">
        <w:rPr>
          <w:color w:val="000000" w:themeColor="text1"/>
          <w:sz w:val="21"/>
        </w:rPr>
        <w:t>Day 3–4 (24/08 – 25/08/2026): Following PRBC transfusion, the patient showed marked improvement in energy levels and resolution of dyspnea. Hematuria showed substantial clearing on gross visual inspection. No further fever spikes occurred after Day 3.</w:t>
      </w:r>
    </w:p>
    <w:p w14:paraId="28ECE89F" w14:textId="77777777" w:rsidR="004549F7" w:rsidRPr="005B4BBA" w:rsidRDefault="00F15AFD">
      <w:pPr>
        <w:pStyle w:val="ListBullet"/>
        <w:spacing w:after="60"/>
        <w:rPr>
          <w:color w:val="000000" w:themeColor="text1"/>
        </w:rPr>
      </w:pPr>
      <w:r w:rsidRPr="005B4BBA">
        <w:rPr>
          <w:color w:val="000000" w:themeColor="text1"/>
          <w:sz w:val="21"/>
        </w:rPr>
        <w:t>Day 5 (26/08/2026): Repeat urinalysis confirmed clearing of macroscopic hematuria, with microscopic RBCs decreasing from 18–20/HPF to 5–8/HPF, and urine protein returning to negative/trace levels. Urine culture yielded no microbial growth, demonstrating effective sterilization.</w:t>
      </w:r>
    </w:p>
    <w:p w14:paraId="23A4D17D" w14:textId="77777777" w:rsidR="004549F7" w:rsidRPr="005B4BBA" w:rsidRDefault="00F15AFD">
      <w:pPr>
        <w:pStyle w:val="ListBullet"/>
        <w:spacing w:after="60"/>
        <w:rPr>
          <w:color w:val="000000" w:themeColor="text1"/>
        </w:rPr>
      </w:pPr>
      <w:r w:rsidRPr="005B4BBA">
        <w:rPr>
          <w:color w:val="000000" w:themeColor="text1"/>
          <w:sz w:val="21"/>
        </w:rPr>
        <w:t>Day 6 (27/08/2026 - Discharge): Patient was alert, active, afebrile for &gt;72 hours, comfortably taking oral feeds, and passing clear, straw-colored urine. Post-transfusion hemoglobin stabilized at &gt;9.5 g/dL. She was discharged in a satisfactory clinical condition on daily oral folic acid supplementation (5 mg/day) and scheduled for outpatient pediatric follow-up after 1 week.</w:t>
      </w:r>
    </w:p>
    <w:p w14:paraId="050564F5" w14:textId="77777777" w:rsidR="004549F7" w:rsidRDefault="00F15AFD">
      <w:pPr>
        <w:keepNext/>
        <w:spacing w:before="280" w:after="120"/>
        <w:rPr>
          <w:b/>
          <w:color w:val="000000" w:themeColor="text1"/>
          <w:sz w:val="26"/>
        </w:rPr>
      </w:pPr>
      <w:r w:rsidRPr="005B4BBA">
        <w:rPr>
          <w:b/>
          <w:color w:val="000000" w:themeColor="text1"/>
          <w:sz w:val="26"/>
        </w:rPr>
        <w:t>DISCUSSION</w:t>
      </w:r>
    </w:p>
    <w:p w14:paraId="5827B078" w14:textId="3724281E" w:rsidR="002C0BCB" w:rsidRPr="002C0BCB" w:rsidRDefault="002C0BCB">
      <w:pPr>
        <w:keepNext/>
        <w:spacing w:before="280" w:after="120"/>
        <w:rPr>
          <w:color w:val="000000" w:themeColor="text1"/>
          <w:lang w:val="en-IN"/>
        </w:rPr>
      </w:pPr>
      <w:r w:rsidRPr="002C0BCB">
        <w:rPr>
          <w:color w:val="000000" w:themeColor="text1"/>
          <w:lang w:val="en-IN"/>
        </w:rPr>
        <w:t>Hereditary spherocytosis is a classic prototype of non-immune congenital haemolytic an</w:t>
      </w:r>
      <w:r>
        <w:rPr>
          <w:color w:val="000000" w:themeColor="text1"/>
          <w:lang w:val="en-IN"/>
        </w:rPr>
        <w:t>a</w:t>
      </w:r>
      <w:r w:rsidRPr="002C0BCB">
        <w:rPr>
          <w:color w:val="000000" w:themeColor="text1"/>
          <w:lang w:val="en-IN"/>
        </w:rPr>
        <w:t>emia with various genetic defects that impairs RBC membrane mechanic</w:t>
      </w:r>
      <w:r>
        <w:rPr>
          <w:color w:val="000000" w:themeColor="text1"/>
          <w:lang w:val="en-IN"/>
        </w:rPr>
        <w:t xml:space="preserve">s </w:t>
      </w:r>
      <w:r w:rsidRPr="002C0BCB">
        <w:rPr>
          <w:color w:val="000000" w:themeColor="text1"/>
          <w:lang w:val="en-IN"/>
        </w:rPr>
        <w:t>and deformability [11,17]. Primary pathophysiologic marker of</w:t>
      </w:r>
      <w:r>
        <w:rPr>
          <w:color w:val="000000" w:themeColor="text1"/>
          <w:lang w:val="en-IN"/>
        </w:rPr>
        <w:t xml:space="preserve"> </w:t>
      </w:r>
      <w:r w:rsidRPr="002C0BCB">
        <w:rPr>
          <w:color w:val="000000" w:themeColor="text1"/>
          <w:lang w:val="en-IN"/>
        </w:rPr>
        <w:t xml:space="preserve">HS is malfunction of vertical linkage complexes which anchor the </w:t>
      </w:r>
      <w:proofErr w:type="spellStart"/>
      <w:r w:rsidRPr="002C0BCB">
        <w:rPr>
          <w:color w:val="000000" w:themeColor="text1"/>
          <w:lang w:val="en-IN"/>
        </w:rPr>
        <w:t>spectrin</w:t>
      </w:r>
      <w:proofErr w:type="spellEnd"/>
      <w:r>
        <w:rPr>
          <w:color w:val="000000" w:themeColor="text1"/>
          <w:lang w:val="en-IN"/>
        </w:rPr>
        <w:t>-</w:t>
      </w:r>
      <w:r w:rsidRPr="002C0BCB">
        <w:rPr>
          <w:color w:val="000000" w:themeColor="text1"/>
          <w:lang w:val="en-IN"/>
        </w:rPr>
        <w:t>actin cytoskeletal network to integral transmembrane proteins-the macro</w:t>
      </w:r>
      <w:r>
        <w:rPr>
          <w:color w:val="000000" w:themeColor="text1"/>
          <w:lang w:val="en-IN"/>
        </w:rPr>
        <w:t xml:space="preserve"> </w:t>
      </w:r>
      <w:r w:rsidRPr="002C0BCB">
        <w:rPr>
          <w:color w:val="000000" w:themeColor="text1"/>
          <w:lang w:val="en-IN"/>
        </w:rPr>
        <w:t>complex including the ankyrin 1/band 3/protein 4 2 [17,18]. Inadequate vertical anchoring makes the lipid bilayer to los</w:t>
      </w:r>
      <w:r>
        <w:rPr>
          <w:color w:val="000000" w:themeColor="text1"/>
          <w:lang w:val="en-IN"/>
        </w:rPr>
        <w:t>e</w:t>
      </w:r>
      <w:r w:rsidRPr="002C0BCB">
        <w:rPr>
          <w:color w:val="000000" w:themeColor="text1"/>
          <w:lang w:val="en-IN"/>
        </w:rPr>
        <w:t xml:space="preserve"> continuity spontaneously and produce </w:t>
      </w:r>
      <w:proofErr w:type="spellStart"/>
      <w:r w:rsidRPr="002C0BCB">
        <w:rPr>
          <w:color w:val="000000" w:themeColor="text1"/>
          <w:lang w:val="en-IN"/>
        </w:rPr>
        <w:t>microvesicles</w:t>
      </w:r>
      <w:proofErr w:type="spellEnd"/>
      <w:r w:rsidRPr="002C0BCB">
        <w:rPr>
          <w:color w:val="000000" w:themeColor="text1"/>
          <w:lang w:val="en-IN"/>
        </w:rPr>
        <w:t xml:space="preserve"> [18,19] without losing their intracellular cytoplasmic contents proportionally. As a result, the RBC turns to a sphere with much smaller surface area relative to the cell volume. In HS patients the RBC has greatly reduced surface area-to-volume ratio with higher MCHC and </w:t>
      </w:r>
      <w:r w:rsidRPr="002C0BCB">
        <w:rPr>
          <w:color w:val="000000" w:themeColor="text1"/>
          <w:lang w:val="en-IN"/>
        </w:rPr>
        <w:lastRenderedPageBreak/>
        <w:t xml:space="preserve">pronounced osmotic fragility [20, 21]. During passage the biconcave RBC can undergo rapid and reversible shape deformation when traversing microcapillary and sinuses less than its own diameter [20,21], while stiff spherocytes are arrested in spleen narrow and spleen cord blood spaces [21,22]. While trapped in this acidic, oxygen-starved and glucose depleted microenvironment, red blood cells consume its energy resource. This metabolic exhaustion causes further loss of membrane, ATP depletion and then phagocytosis by activated splenic macrophage (extravascular haemolysis) [22,23]. Severity of HS clinically related to </w:t>
      </w:r>
      <w:proofErr w:type="spellStart"/>
      <w:r w:rsidRPr="002C0BCB">
        <w:rPr>
          <w:color w:val="000000" w:themeColor="text1"/>
          <w:lang w:val="en-IN"/>
        </w:rPr>
        <w:t>spectrin</w:t>
      </w:r>
      <w:proofErr w:type="spellEnd"/>
      <w:r w:rsidRPr="002C0BCB">
        <w:rPr>
          <w:color w:val="000000" w:themeColor="text1"/>
          <w:lang w:val="en-IN"/>
        </w:rPr>
        <w:t xml:space="preserve"> amount decreased and clearance rate by spleen [23,24]. Patients with mild HS achieve their normal or near normal haemoglobin levels in association with marked erythropoiesis compensation, while with severe phenotype (the 5-year-old child presented) with catastrophic haemolytic rates without any compensatory measures that requires frequent whole PRBC replacement every 2-3 weeks throughout his childhood [24,25]. One cardinal finding this patient presented is a hyper haemolytic crisis induced by acute UTI. Acute exaggerations of severely chronically anaemic children have three subtypes: haemolytic crisis, aplastic crisis (which is frequently secondary to B19 viral infection of primitive erythroid precursors), and megaloblastic crisis (secondary to B12 / folate deficiency secondary to rapid turnover in hyperplasia) [11,13,26]. Infection with virulent pathogens e.g., ascending bacterial UTI causes systemic cytokine released</w:t>
      </w:r>
      <w:r>
        <w:rPr>
          <w:color w:val="000000" w:themeColor="text1"/>
          <w:lang w:val="en-IN"/>
        </w:rPr>
        <w:t xml:space="preserve"> </w:t>
      </w:r>
      <w:r w:rsidRPr="002C0BCB">
        <w:rPr>
          <w:color w:val="000000" w:themeColor="text1"/>
          <w:lang w:val="en-IN"/>
        </w:rPr>
        <w:t xml:space="preserve">(TNF-, IL-1, IL-6 and IFN-), increases stimulation of RE system macrophages in spleen and liver [26,27]. This intensified macrophage stimulation promotes clearance of spherocytes and leads rapid drop of haemoglobin value (which became 5.3g/dL associated with lethargic and </w:t>
      </w:r>
      <w:proofErr w:type="spellStart"/>
      <w:r w:rsidRPr="002C0BCB">
        <w:rPr>
          <w:color w:val="000000" w:themeColor="text1"/>
          <w:lang w:val="en-IN"/>
        </w:rPr>
        <w:t>dyspnea</w:t>
      </w:r>
      <w:proofErr w:type="spellEnd"/>
      <w:r w:rsidRPr="002C0BCB">
        <w:rPr>
          <w:color w:val="000000" w:themeColor="text1"/>
          <w:lang w:val="en-IN"/>
        </w:rPr>
        <w:t xml:space="preserve"> upon exertion in this patient) [27,28].Gross red urination in severely HS patients: it should not be readily identified as solely pure renal/ureteral damage but instead as complicated picture for us to make clinical diagnosis, the differentiation between</w:t>
      </w:r>
      <w:r>
        <w:rPr>
          <w:color w:val="000000" w:themeColor="text1"/>
          <w:lang w:val="en-IN"/>
        </w:rPr>
        <w:t xml:space="preserve"> </w:t>
      </w:r>
      <w:r w:rsidRPr="002C0BCB">
        <w:rPr>
          <w:color w:val="000000" w:themeColor="text1"/>
          <w:lang w:val="en-IN"/>
        </w:rPr>
        <w:t xml:space="preserve">infectious haematuria, acute glomerulonephritis and gross intravascular haemoglobinuria is crucial [28,29]. It should also remember the chronic </w:t>
      </w:r>
      <w:proofErr w:type="spellStart"/>
      <w:r w:rsidRPr="002C0BCB">
        <w:rPr>
          <w:color w:val="000000" w:themeColor="text1"/>
          <w:lang w:val="en-IN"/>
        </w:rPr>
        <w:t>urobilin</w:t>
      </w:r>
      <w:r w:rsidR="003B7AED">
        <w:rPr>
          <w:color w:val="000000" w:themeColor="text1"/>
          <w:lang w:val="en-IN"/>
        </w:rPr>
        <w:t>ogen</w:t>
      </w:r>
      <w:r w:rsidRPr="002C0BCB">
        <w:rPr>
          <w:color w:val="000000" w:themeColor="text1"/>
          <w:lang w:val="en-IN"/>
        </w:rPr>
        <w:t>uria</w:t>
      </w:r>
      <w:proofErr w:type="spellEnd"/>
      <w:r w:rsidRPr="002C0BCB">
        <w:rPr>
          <w:color w:val="000000" w:themeColor="text1"/>
          <w:lang w:val="en-IN"/>
        </w:rPr>
        <w:t xml:space="preserve"> excretion in every severe chronic anaemia patient; in this patient, dip stick chemical analysis reveals 3 + blood and 2 + protein in urine while microscope showed 18-20 RBC/HPF and 2-3 WBC/HPF with lacking of dysmorphic RBC/haemoglobin casts. It indicated active lower urinary tract muc</w:t>
      </w:r>
      <w:r w:rsidR="003B7AED">
        <w:rPr>
          <w:color w:val="000000" w:themeColor="text1"/>
          <w:lang w:val="en-IN"/>
        </w:rPr>
        <w:t>os</w:t>
      </w:r>
      <w:r w:rsidRPr="002C0BCB">
        <w:rPr>
          <w:color w:val="000000" w:themeColor="text1"/>
          <w:lang w:val="en-IN"/>
        </w:rPr>
        <w:t>al inflammation (real microscopic haematuria). The pH of the urine at admission is as high as 8.5 which is typical with urine culture with alkaliphil</w:t>
      </w:r>
      <w:r w:rsidR="003B7AED">
        <w:rPr>
          <w:color w:val="000000" w:themeColor="text1"/>
          <w:lang w:val="en-IN"/>
        </w:rPr>
        <w:t xml:space="preserve">ic </w:t>
      </w:r>
      <w:proofErr w:type="spellStart"/>
      <w:r w:rsidR="003B7AED">
        <w:rPr>
          <w:color w:val="000000" w:themeColor="text1"/>
          <w:lang w:val="en-IN"/>
        </w:rPr>
        <w:t>u</w:t>
      </w:r>
      <w:r w:rsidRPr="002C0BCB">
        <w:rPr>
          <w:color w:val="000000" w:themeColor="text1"/>
          <w:lang w:val="en-IN"/>
        </w:rPr>
        <w:t>ropathogen</w:t>
      </w:r>
      <w:proofErr w:type="spellEnd"/>
      <w:r w:rsidRPr="002C0BCB">
        <w:rPr>
          <w:color w:val="000000" w:themeColor="text1"/>
          <w:lang w:val="en-IN"/>
        </w:rPr>
        <w:t xml:space="preserve"> e.g., urease producing strains. We did the culture 12 hours later after IV drip administration. After treated with oral antibiotic for 24 hours urine pH dropped to 6.5 [31]</w:t>
      </w:r>
      <w:r w:rsidR="003B7AED">
        <w:rPr>
          <w:color w:val="000000" w:themeColor="text1"/>
          <w:lang w:val="en-IN"/>
        </w:rPr>
        <w:t xml:space="preserve">. </w:t>
      </w:r>
      <w:r w:rsidRPr="002C0BCB">
        <w:rPr>
          <w:color w:val="000000" w:themeColor="text1"/>
          <w:lang w:val="en-IN"/>
        </w:rPr>
        <w:t xml:space="preserve">The finding of Bilateral grade I renal parenchymal changes upon ultrasound is of great implication [32,33]. In normal state of severe chronic </w:t>
      </w:r>
      <w:r w:rsidR="003B7AED" w:rsidRPr="002C0BCB">
        <w:rPr>
          <w:color w:val="000000" w:themeColor="text1"/>
          <w:lang w:val="en-IN"/>
        </w:rPr>
        <w:t>anaemia</w:t>
      </w:r>
      <w:r w:rsidRPr="002C0BCB">
        <w:rPr>
          <w:color w:val="000000" w:themeColor="text1"/>
          <w:lang w:val="en-IN"/>
        </w:rPr>
        <w:t xml:space="preserve"> patient requiring transfusions all time, massive amount of free </w:t>
      </w:r>
      <w:r w:rsidR="003B7AED" w:rsidRPr="002C0BCB">
        <w:rPr>
          <w:color w:val="000000" w:themeColor="text1"/>
          <w:lang w:val="en-IN"/>
        </w:rPr>
        <w:t>haemoglobin</w:t>
      </w:r>
      <w:r w:rsidRPr="002C0BCB">
        <w:rPr>
          <w:color w:val="000000" w:themeColor="text1"/>
          <w:lang w:val="en-IN"/>
        </w:rPr>
        <w:t xml:space="preserve"> and </w:t>
      </w:r>
      <w:proofErr w:type="spellStart"/>
      <w:r w:rsidRPr="002C0BCB">
        <w:rPr>
          <w:color w:val="000000" w:themeColor="text1"/>
          <w:lang w:val="en-IN"/>
        </w:rPr>
        <w:t>h</w:t>
      </w:r>
      <w:r w:rsidR="003B7AED">
        <w:rPr>
          <w:color w:val="000000" w:themeColor="text1"/>
          <w:lang w:val="en-IN"/>
        </w:rPr>
        <w:t>a</w:t>
      </w:r>
      <w:r w:rsidRPr="002C0BCB">
        <w:rPr>
          <w:color w:val="000000" w:themeColor="text1"/>
          <w:lang w:val="en-IN"/>
        </w:rPr>
        <w:t>eme</w:t>
      </w:r>
      <w:proofErr w:type="spellEnd"/>
      <w:r w:rsidRPr="002C0BCB">
        <w:rPr>
          <w:color w:val="000000" w:themeColor="text1"/>
          <w:lang w:val="en-IN"/>
        </w:rPr>
        <w:t xml:space="preserve"> will flow through circulation causing deficiency in endogenous scavenges haptoglobin/hemopexin. Free </w:t>
      </w:r>
      <w:proofErr w:type="spellStart"/>
      <w:r w:rsidRPr="002C0BCB">
        <w:rPr>
          <w:color w:val="000000" w:themeColor="text1"/>
          <w:lang w:val="en-IN"/>
        </w:rPr>
        <w:t>h</w:t>
      </w:r>
      <w:r w:rsidR="003B7AED">
        <w:rPr>
          <w:color w:val="000000" w:themeColor="text1"/>
          <w:lang w:val="en-IN"/>
        </w:rPr>
        <w:t>a</w:t>
      </w:r>
      <w:r w:rsidRPr="002C0BCB">
        <w:rPr>
          <w:color w:val="000000" w:themeColor="text1"/>
          <w:lang w:val="en-IN"/>
        </w:rPr>
        <w:t>eme</w:t>
      </w:r>
      <w:proofErr w:type="spellEnd"/>
      <w:r w:rsidRPr="002C0BCB">
        <w:rPr>
          <w:color w:val="000000" w:themeColor="text1"/>
          <w:lang w:val="en-IN"/>
        </w:rPr>
        <w:t xml:space="preserve"> will be captured by the renal tubular cells (reabsorption by proximal tubule cells) causing iron overload (hemosiderin accumulation in renal tubular cells) and low level of chronic toxic effect on renal tubules causing hyperplasia. Over many years there accumulate hemosiderin in the interstitial of renal parenchyma causing renal cortex echo is higher than renal medulla [34,35]. An acute assault like ascending infection will further stimulate the tubular cells inflammation and worsen the sonar finding [36,37]. Normal BUN/Cr=24.1mg/dL/0.60mg/dL confirmed the normal renal perfusion of glomer</w:t>
      </w:r>
      <w:r w:rsidR="003B7AED">
        <w:rPr>
          <w:color w:val="000000" w:themeColor="text1"/>
          <w:lang w:val="en-IN"/>
        </w:rPr>
        <w:t>ul</w:t>
      </w:r>
      <w:r w:rsidRPr="002C0BCB">
        <w:rPr>
          <w:color w:val="000000" w:themeColor="text1"/>
          <w:lang w:val="en-IN"/>
        </w:rPr>
        <w:t>a</w:t>
      </w:r>
      <w:r w:rsidR="003B7AED">
        <w:rPr>
          <w:color w:val="000000" w:themeColor="text1"/>
          <w:lang w:val="en-IN"/>
        </w:rPr>
        <w:t>r</w:t>
      </w:r>
      <w:r w:rsidRPr="002C0BCB">
        <w:rPr>
          <w:color w:val="000000" w:themeColor="text1"/>
          <w:lang w:val="en-IN"/>
        </w:rPr>
        <w:t xml:space="preserve"> filtration, the dual therapy prevents ascending pyelonephritis and renal scars [36,37].</w:t>
      </w:r>
      <w:r>
        <w:rPr>
          <w:color w:val="000000" w:themeColor="text1"/>
          <w:lang w:val="en-IN"/>
        </w:rPr>
        <w:t xml:space="preserve"> </w:t>
      </w:r>
      <w:r w:rsidRPr="002C0BCB">
        <w:rPr>
          <w:color w:val="000000" w:themeColor="text1"/>
          <w:lang w:val="en-IN"/>
        </w:rPr>
        <w:t xml:space="preserve">The crucial steps to take in management of acute infection in chronic anaemic paediatric patients require concerted and coordinated multiple effort [38,39]. IV administration of empirical broad spectrum antibiotic coverage against Enterococcus and all </w:t>
      </w:r>
      <w:r w:rsidR="003B7AED" w:rsidRPr="002C0BCB">
        <w:rPr>
          <w:color w:val="000000" w:themeColor="text1"/>
          <w:lang w:val="en-IN"/>
        </w:rPr>
        <w:t>gram-negative</w:t>
      </w:r>
      <w:r w:rsidRPr="002C0BCB">
        <w:rPr>
          <w:color w:val="000000" w:themeColor="text1"/>
          <w:lang w:val="en-IN"/>
        </w:rPr>
        <w:t xml:space="preserve"> bacteria</w:t>
      </w:r>
      <w:r w:rsidR="003B7AED">
        <w:rPr>
          <w:color w:val="000000" w:themeColor="text1"/>
          <w:lang w:val="en-IN"/>
        </w:rPr>
        <w:t xml:space="preserve"> </w:t>
      </w:r>
      <w:r w:rsidRPr="002C0BCB">
        <w:rPr>
          <w:color w:val="000000" w:themeColor="text1"/>
          <w:lang w:val="en-IN"/>
        </w:rPr>
        <w:t xml:space="preserve">(e.g. E. Coli, Klebsiella </w:t>
      </w:r>
      <w:r w:rsidR="003B7AED" w:rsidRPr="002C0BCB">
        <w:rPr>
          <w:color w:val="000000" w:themeColor="text1"/>
          <w:lang w:val="en-IN"/>
        </w:rPr>
        <w:t>pneumoni</w:t>
      </w:r>
      <w:r w:rsidR="003B7AED">
        <w:rPr>
          <w:color w:val="000000" w:themeColor="text1"/>
          <w:lang w:val="en-IN"/>
        </w:rPr>
        <w:t xml:space="preserve">ae, Proteus </w:t>
      </w:r>
      <w:r w:rsidRPr="002C0BCB">
        <w:rPr>
          <w:color w:val="000000" w:themeColor="text1"/>
          <w:lang w:val="en-IN"/>
        </w:rPr>
        <w:t>mirabilis,</w:t>
      </w:r>
      <w:r w:rsidR="003B7AED">
        <w:rPr>
          <w:color w:val="000000" w:themeColor="text1"/>
          <w:lang w:val="en-IN"/>
        </w:rPr>
        <w:t xml:space="preserve"> </w:t>
      </w:r>
      <w:r w:rsidRPr="002C0BCB">
        <w:rPr>
          <w:color w:val="000000" w:themeColor="text1"/>
          <w:lang w:val="en-IN"/>
        </w:rPr>
        <w:t xml:space="preserve">Enterobacter spp.) are crucial [38,39]. Combination of cefotaxime at 150 mg/Kg/day and amikacin at 15mg/Kg/day offers maximal bactericidal power to achieve sterilization within 48-72 hours [39,40]. Prompt restoration of lost circulating red cell mass is </w:t>
      </w:r>
      <w:r w:rsidRPr="002C0BCB">
        <w:rPr>
          <w:color w:val="000000" w:themeColor="text1"/>
          <w:lang w:val="en-IN"/>
        </w:rPr>
        <w:lastRenderedPageBreak/>
        <w:t>equally necessary [40,41]. Children requiring rapid correction of chronic anaemia have an impaired cardiac function/volume expansion capacity and increased risk of cardiovascular overload and pulmonary oedema if transfusion rate is high [40,41]. We gave IV Furosemide 20mg IV midway through PRBC transfusion, PRBCs was given at 15mL/Kg at a moderate infusion rate (60mL/hr), there was no symptom of circulatory overload. The long-term issues in this child will have 3 major areas: lifelong supplementation with oral folic acid 5mg OD is mandatory given the increased needs from hyperplastic marrow [42]. Routine annual abdominal ultrasound of gall bladder for cholesterol or pigment gall stones formation which happened in 50% of severe childhood HS patient by adolescences [42,43]. In transfusion dependent children, partial or subtotal splenectomy is required to alleviate the symptoms by removing the major sight of RBC destruction, essentially restoring normalized RBC survival rate [10,42]. Nevertheless, for the safety concern about OPSI</w:t>
      </w:r>
      <w:r>
        <w:rPr>
          <w:color w:val="000000" w:themeColor="text1"/>
          <w:lang w:val="en-IN"/>
        </w:rPr>
        <w:t xml:space="preserve"> </w:t>
      </w:r>
      <w:r w:rsidRPr="002C0BCB">
        <w:rPr>
          <w:color w:val="000000" w:themeColor="text1"/>
          <w:lang w:val="en-IN"/>
        </w:rPr>
        <w:t>(Overwhelming Post-Splenectomy Infection)</w:t>
      </w:r>
      <w:r>
        <w:rPr>
          <w:color w:val="000000" w:themeColor="text1"/>
          <w:lang w:val="en-IN"/>
        </w:rPr>
        <w:t xml:space="preserve"> </w:t>
      </w:r>
      <w:r w:rsidRPr="002C0BCB">
        <w:rPr>
          <w:color w:val="000000" w:themeColor="text1"/>
          <w:lang w:val="en-IN"/>
        </w:rPr>
        <w:t>caused by encapsulated organisms such as Str. Pneumonia, N. Meningitidis, and H. Influenzae b, splenectomy should be delayed until at least 5 to 6 years of age [10,43]. For this 5-year-old boy, active combined approach for surgery team and Haematology dept including full course of vaccination and lifelong oral Prophylactic Penicillin regimen must be taken into consideration [10,42,43].</w:t>
      </w:r>
    </w:p>
    <w:p w14:paraId="0EC4B3BA" w14:textId="77777777" w:rsidR="004549F7" w:rsidRDefault="00F15AFD">
      <w:pPr>
        <w:keepNext/>
        <w:spacing w:before="280" w:after="120"/>
        <w:rPr>
          <w:b/>
          <w:color w:val="000000" w:themeColor="text1"/>
          <w:sz w:val="26"/>
        </w:rPr>
      </w:pPr>
      <w:r w:rsidRPr="005B4BBA">
        <w:rPr>
          <w:b/>
          <w:color w:val="000000" w:themeColor="text1"/>
          <w:sz w:val="26"/>
        </w:rPr>
        <w:t>CONCLUSION</w:t>
      </w:r>
    </w:p>
    <w:p w14:paraId="7C1CEF79" w14:textId="5FBA9CA2" w:rsidR="003B7AED" w:rsidRDefault="003B7AED">
      <w:pPr>
        <w:keepNext/>
        <w:spacing w:before="280" w:after="120"/>
        <w:rPr>
          <w:color w:val="000000" w:themeColor="text1"/>
          <w:lang w:val="en-IN"/>
        </w:rPr>
      </w:pPr>
      <w:r w:rsidRPr="003B7AED">
        <w:rPr>
          <w:color w:val="000000" w:themeColor="text1"/>
          <w:lang w:val="en-IN"/>
        </w:rPr>
        <w:t xml:space="preserve">The above is an expanded vignette illustrating the nuances in the clinical and physiologic interactions between a severe genetic erythrocyte membrane defect and a common paediatric infectious process. Young patients with a history of severe, transfused-dependent hereditary spherocytosis are susceptible to the devastating hyperhaemolysis episode precipitated by the introduction of an acute urinary infection leading to a rapidly falling haemoglobin, a sudden severe gross haematuria, and transient injury to the renal parenchyma. Clinical, the use of urine microscopy to separate the blood in the urine from anuria or haemoglobinuria, immediate parenteral, cultures directed antibiotics and controlled transfusion of PRBC, together with protection of the renal parenchyma by administration of a loop diuretic are prerequisites to optimal outcome and prevent serious multi-organ injury. Follow-up in adolescence with, on </w:t>
      </w:r>
      <w:proofErr w:type="gramStart"/>
      <w:r w:rsidRPr="003B7AED">
        <w:rPr>
          <w:color w:val="000000" w:themeColor="text1"/>
          <w:lang w:val="en-IN"/>
        </w:rPr>
        <w:t>an</w:t>
      </w:r>
      <w:proofErr w:type="gramEnd"/>
      <w:r w:rsidRPr="003B7AED">
        <w:rPr>
          <w:color w:val="000000" w:themeColor="text1"/>
          <w:lang w:val="en-IN"/>
        </w:rPr>
        <w:t xml:space="preserve"> yearly abdominal Ultrasound for stones/haematuria, iron overload studies, and preparation for an early surgical removal (after age 5yrs) by Paediatric Surgery and Haematology remains ideal care for these young patients.</w:t>
      </w:r>
    </w:p>
    <w:p w14:paraId="1517CE1E" w14:textId="4D4B1184" w:rsidR="00F60B19" w:rsidRDefault="00F60B19">
      <w:pPr>
        <w:keepNext/>
        <w:spacing w:before="280" w:after="120"/>
        <w:rPr>
          <w:color w:val="000000" w:themeColor="text1"/>
          <w:lang w:val="en-IN"/>
        </w:rPr>
      </w:pPr>
    </w:p>
    <w:p w14:paraId="1C6C4FCB" w14:textId="77777777" w:rsidR="00F60B19" w:rsidRDefault="00F60B19" w:rsidP="00F60B19">
      <w:pPr>
        <w:spacing w:after="120"/>
        <w:jc w:val="center"/>
      </w:pPr>
      <w:bookmarkStart w:id="0" w:name="_Hlk239063811"/>
    </w:p>
    <w:p w14:paraId="023DDC57" w14:textId="77777777" w:rsidR="00F60B19" w:rsidRDefault="00F60B19" w:rsidP="00F60B19">
      <w:pPr>
        <w:shd w:val="clear" w:color="auto" w:fill="FFFFFF"/>
        <w:spacing w:after="0" w:line="240" w:lineRule="auto"/>
        <w:rPr>
          <w:rFonts w:ascii="Arial" w:eastAsia="Times New Roman" w:hAnsi="Arial" w:cs="Arial"/>
          <w:sz w:val="24"/>
          <w:szCs w:val="24"/>
          <w:lang w:val="en-IN" w:eastAsia="en-IN"/>
        </w:rPr>
      </w:pPr>
      <w:bookmarkStart w:id="1" w:name="_Hlk232854992"/>
      <w:bookmarkStart w:id="2" w:name="_Hlk238909442"/>
      <w:bookmarkStart w:id="3" w:name="_Hlk237857116"/>
    </w:p>
    <w:p w14:paraId="1A3AB4EC" w14:textId="77777777" w:rsidR="00F60B19" w:rsidRPr="002D08AC" w:rsidRDefault="00F60B19" w:rsidP="00F60B19">
      <w:pPr>
        <w:spacing w:after="0" w:line="240" w:lineRule="auto"/>
        <w:rPr>
          <w:rFonts w:ascii="Arial" w:hAnsi="Arial" w:cs="Arial"/>
          <w:b/>
          <w:sz w:val="20"/>
          <w:szCs w:val="20"/>
        </w:rPr>
      </w:pPr>
      <w:bookmarkStart w:id="4" w:name="_Hlk238550938"/>
      <w:bookmarkStart w:id="5" w:name="_Hlk237856463"/>
      <w:bookmarkEnd w:id="1"/>
      <w:r w:rsidRPr="002D08AC">
        <w:rPr>
          <w:rFonts w:ascii="Arial" w:hAnsi="Arial" w:cs="Arial"/>
          <w:b/>
          <w:sz w:val="20"/>
          <w:szCs w:val="20"/>
        </w:rPr>
        <w:t>Declaration of AI Use</w:t>
      </w:r>
    </w:p>
    <w:p w14:paraId="593B87DE" w14:textId="77777777" w:rsidR="00F60B19" w:rsidRPr="002D08AC" w:rsidRDefault="00F60B19" w:rsidP="00F60B19">
      <w:pPr>
        <w:spacing w:after="0" w:line="240" w:lineRule="auto"/>
        <w:rPr>
          <w:rFonts w:ascii="Arial" w:hAnsi="Arial" w:cs="Arial"/>
          <w:sz w:val="20"/>
          <w:szCs w:val="20"/>
        </w:rPr>
      </w:pPr>
      <w:bookmarkStart w:id="6" w:name="_Hlk239068730"/>
    </w:p>
    <w:p w14:paraId="5BD84117" w14:textId="77777777" w:rsidR="00F60B19" w:rsidRPr="002D08AC" w:rsidRDefault="00F60B19" w:rsidP="00F60B19">
      <w:pPr>
        <w:spacing w:after="0" w:line="240" w:lineRule="auto"/>
        <w:rPr>
          <w:rFonts w:ascii="Arial" w:hAnsi="Arial" w:cs="Arial"/>
          <w:sz w:val="20"/>
          <w:szCs w:val="20"/>
        </w:rPr>
      </w:pPr>
      <w:bookmarkStart w:id="7"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bookmarkEnd w:id="4"/>
      <w:r w:rsidRPr="002D08AC">
        <w:rPr>
          <w:rFonts w:ascii="Arial" w:hAnsi="Arial" w:cs="Arial"/>
          <w:sz w:val="20"/>
          <w:szCs w:val="20"/>
        </w:rPr>
        <w:t>.</w:t>
      </w:r>
    </w:p>
    <w:bookmarkEnd w:id="0"/>
    <w:bookmarkEnd w:id="3"/>
    <w:bookmarkEnd w:id="5"/>
    <w:bookmarkEnd w:id="6"/>
    <w:bookmarkEnd w:id="7"/>
    <w:p w14:paraId="53EBCCC5" w14:textId="77777777" w:rsidR="00F60B19" w:rsidRPr="003B7AED" w:rsidRDefault="00F60B19">
      <w:pPr>
        <w:keepNext/>
        <w:spacing w:before="280" w:after="120"/>
        <w:rPr>
          <w:color w:val="000000" w:themeColor="text1"/>
          <w:lang w:val="en-IN"/>
        </w:rPr>
      </w:pPr>
    </w:p>
    <w:p w14:paraId="5D1B85AF" w14:textId="77777777" w:rsidR="004549F7" w:rsidRPr="005B4BBA" w:rsidRDefault="00F15AFD">
      <w:pPr>
        <w:keepNext/>
        <w:spacing w:before="280" w:after="120"/>
        <w:rPr>
          <w:color w:val="000000" w:themeColor="text1"/>
        </w:rPr>
      </w:pPr>
      <w:r w:rsidRPr="005B4BBA">
        <w:rPr>
          <w:b/>
          <w:color w:val="000000" w:themeColor="text1"/>
          <w:sz w:val="26"/>
        </w:rPr>
        <w:t>REFERENCES</w:t>
      </w:r>
    </w:p>
    <w:p w14:paraId="03E4738E" w14:textId="77777777" w:rsidR="004549F7" w:rsidRPr="005B4BBA" w:rsidRDefault="00F15AFD">
      <w:pPr>
        <w:spacing w:after="60"/>
        <w:rPr>
          <w:color w:val="000000" w:themeColor="text1"/>
        </w:rPr>
      </w:pPr>
      <w:r w:rsidRPr="005B4BBA">
        <w:rPr>
          <w:color w:val="000000" w:themeColor="text1"/>
          <w:sz w:val="19"/>
        </w:rPr>
        <w:t>1. Bolton-Maggs PH, Stevens RF, Dodd NJ, Lamont G, Tchernia G, King MJ. Guidelines for the diagnosis and management of hereditary spherocytosis. Br J Haematol. 2004;126(4):455-474.</w:t>
      </w:r>
    </w:p>
    <w:p w14:paraId="6E31AE0E" w14:textId="77777777" w:rsidR="004549F7" w:rsidRPr="005B4BBA" w:rsidRDefault="00F15AFD">
      <w:pPr>
        <w:spacing w:after="60"/>
        <w:rPr>
          <w:color w:val="000000" w:themeColor="text1"/>
        </w:rPr>
      </w:pPr>
      <w:r w:rsidRPr="005B4BBA">
        <w:rPr>
          <w:color w:val="000000" w:themeColor="text1"/>
          <w:sz w:val="19"/>
        </w:rPr>
        <w:t>2. Perrotta S, Gallagher PG, Mohandas N. Hereditary spherocytosis. Lancet. 2008;372(9647):1411-1426.</w:t>
      </w:r>
    </w:p>
    <w:p w14:paraId="02EF3405" w14:textId="77777777" w:rsidR="004549F7" w:rsidRPr="005B4BBA" w:rsidRDefault="00F15AFD">
      <w:pPr>
        <w:spacing w:after="60"/>
        <w:rPr>
          <w:color w:val="000000" w:themeColor="text1"/>
        </w:rPr>
      </w:pPr>
      <w:r w:rsidRPr="005B4BBA">
        <w:rPr>
          <w:color w:val="000000" w:themeColor="text1"/>
          <w:sz w:val="19"/>
        </w:rPr>
        <w:t>3. Delaunay J. The molecular basis of hereditary red cell membrane disorders. Blood Rev. 2007;21(1):1-20.</w:t>
      </w:r>
    </w:p>
    <w:p w14:paraId="2DAB4AB5" w14:textId="77777777" w:rsidR="004549F7" w:rsidRPr="005B4BBA" w:rsidRDefault="00F15AFD">
      <w:pPr>
        <w:spacing w:after="60"/>
        <w:rPr>
          <w:color w:val="000000" w:themeColor="text1"/>
        </w:rPr>
      </w:pPr>
      <w:r w:rsidRPr="005B4BBA">
        <w:rPr>
          <w:color w:val="000000" w:themeColor="text1"/>
          <w:sz w:val="19"/>
        </w:rPr>
        <w:t>4. Gallagher PG. Abnormalities of the erythrocyte membrane. Pediatr Clin North Am. 2013;60(6):1349-1362.</w:t>
      </w:r>
    </w:p>
    <w:p w14:paraId="1F5DBFA6" w14:textId="77777777" w:rsidR="004549F7" w:rsidRPr="005B4BBA" w:rsidRDefault="00F15AFD">
      <w:pPr>
        <w:spacing w:after="60"/>
        <w:rPr>
          <w:color w:val="000000" w:themeColor="text1"/>
        </w:rPr>
      </w:pPr>
      <w:r w:rsidRPr="005B4BBA">
        <w:rPr>
          <w:color w:val="000000" w:themeColor="text1"/>
          <w:sz w:val="19"/>
        </w:rPr>
        <w:t>5. Mohandas N, Gallagher PG. Red cell membrane: past, present, and future. Blood. 2008;112(10):3939-3948.</w:t>
      </w:r>
    </w:p>
    <w:p w14:paraId="6A8E0F21" w14:textId="77777777" w:rsidR="004549F7" w:rsidRPr="005B4BBA" w:rsidRDefault="00F15AFD">
      <w:pPr>
        <w:spacing w:after="60"/>
        <w:rPr>
          <w:color w:val="000000" w:themeColor="text1"/>
        </w:rPr>
      </w:pPr>
      <w:r w:rsidRPr="005B4BBA">
        <w:rPr>
          <w:color w:val="000000" w:themeColor="text1"/>
          <w:sz w:val="19"/>
        </w:rPr>
        <w:t>6. King MJ, Garçon L, Hoyer JD, Iolascon A, Picard V, Stewart G, et al. ICSH guidelines for the laboratory diagnosis of nonimmune hereditary red cell membrane disorders. Int J Lab Hematol. 2015;37(3):304-325.</w:t>
      </w:r>
    </w:p>
    <w:p w14:paraId="66E75E4C" w14:textId="77777777" w:rsidR="004549F7" w:rsidRPr="005B4BBA" w:rsidRDefault="00F15AFD">
      <w:pPr>
        <w:spacing w:after="60"/>
        <w:rPr>
          <w:color w:val="000000" w:themeColor="text1"/>
        </w:rPr>
      </w:pPr>
      <w:r w:rsidRPr="005B4BBA">
        <w:rPr>
          <w:color w:val="000000" w:themeColor="text1"/>
          <w:sz w:val="19"/>
        </w:rPr>
        <w:t>7. Iolascon A, Avvisati RA. Genotype/phenotype correlation in hereditary spherocytosis. Haematologica. 2008;93(9):1283-1288.</w:t>
      </w:r>
    </w:p>
    <w:p w14:paraId="5519665F" w14:textId="77777777" w:rsidR="004549F7" w:rsidRPr="005B4BBA" w:rsidRDefault="00F15AFD">
      <w:pPr>
        <w:spacing w:after="60"/>
        <w:rPr>
          <w:color w:val="000000" w:themeColor="text1"/>
        </w:rPr>
      </w:pPr>
      <w:r w:rsidRPr="005B4BBA">
        <w:rPr>
          <w:color w:val="000000" w:themeColor="text1"/>
          <w:sz w:val="19"/>
        </w:rPr>
        <w:t>8. Eber SW, Armbrust R, Schröter W. Variable clinical severity of hereditary spherocytosis: relation to erythrocytic spectrin concentration, osmotic fragility, and autohemolysis. J Pediatr. 1990;117(3):409-416.</w:t>
      </w:r>
    </w:p>
    <w:p w14:paraId="4A791F68" w14:textId="77777777" w:rsidR="004549F7" w:rsidRPr="005B4BBA" w:rsidRDefault="00F15AFD">
      <w:pPr>
        <w:spacing w:after="60"/>
        <w:rPr>
          <w:color w:val="000000" w:themeColor="text1"/>
        </w:rPr>
      </w:pPr>
      <w:r w:rsidRPr="005B4BBA">
        <w:rPr>
          <w:color w:val="000000" w:themeColor="text1"/>
          <w:sz w:val="19"/>
        </w:rPr>
        <w:t>9. Christensen RD, Yaish HM, Gallagher PG. A pediatrician's practical guide to diagnosing and managing hereditary spherocytosis in neonates. Pediatrics. 2015;135(6):1107-1114.</w:t>
      </w:r>
    </w:p>
    <w:p w14:paraId="23B6AAE8" w14:textId="77777777" w:rsidR="004549F7" w:rsidRPr="005B4BBA" w:rsidRDefault="00F15AFD">
      <w:pPr>
        <w:spacing w:after="60"/>
        <w:rPr>
          <w:color w:val="000000" w:themeColor="text1"/>
        </w:rPr>
      </w:pPr>
      <w:r w:rsidRPr="005B4BBA">
        <w:rPr>
          <w:color w:val="000000" w:themeColor="text1"/>
          <w:sz w:val="19"/>
        </w:rPr>
        <w:t>10. Iolascon A, Andolfo I, Barcellini W, Corcione F, Garçon L, De Franceschi L, et al. Recommendations regarding splenectomy in hereditary hemolytic anemias. Haematologica. 2017;102(8):1304-1313.</w:t>
      </w:r>
    </w:p>
    <w:p w14:paraId="31C73CC1" w14:textId="77777777" w:rsidR="004549F7" w:rsidRPr="005B4BBA" w:rsidRDefault="00F15AFD">
      <w:pPr>
        <w:spacing w:after="60"/>
        <w:rPr>
          <w:color w:val="000000" w:themeColor="text1"/>
        </w:rPr>
      </w:pPr>
      <w:r w:rsidRPr="005B4BBA">
        <w:rPr>
          <w:color w:val="000000" w:themeColor="text1"/>
          <w:sz w:val="19"/>
        </w:rPr>
        <w:t>11. Da Costa L, Galimand J, Fenneteau O, Mohandas N. Hereditary spherocytosis, elliptocytosis, and other red cell membrane disorders. Blood Rev. 2013;27(4):167-178.</w:t>
      </w:r>
    </w:p>
    <w:p w14:paraId="437293FA" w14:textId="77777777" w:rsidR="004549F7" w:rsidRPr="005B4BBA" w:rsidRDefault="00F15AFD">
      <w:pPr>
        <w:spacing w:after="60"/>
        <w:rPr>
          <w:color w:val="000000" w:themeColor="text1"/>
        </w:rPr>
      </w:pPr>
      <w:r w:rsidRPr="005B4BBA">
        <w:rPr>
          <w:color w:val="000000" w:themeColor="text1"/>
          <w:sz w:val="19"/>
        </w:rPr>
        <w:t>12. Heeney MM, Crary SE. Acute complications of hereditary hemolytic anemias in children. Curr Opin Pediatr. 2010;22(1):47-53.</w:t>
      </w:r>
    </w:p>
    <w:p w14:paraId="1DA3ABD3" w14:textId="77777777" w:rsidR="004549F7" w:rsidRPr="005B4BBA" w:rsidRDefault="00F15AFD">
      <w:pPr>
        <w:spacing w:after="60"/>
        <w:rPr>
          <w:color w:val="000000" w:themeColor="text1"/>
        </w:rPr>
      </w:pPr>
      <w:r w:rsidRPr="005B4BBA">
        <w:rPr>
          <w:color w:val="000000" w:themeColor="text1"/>
          <w:sz w:val="19"/>
        </w:rPr>
        <w:t>13. Saarinen UM, Chorba TL, Tattersall P, Young NS, Anderson LJ, Palmer E, et al. Human parvovirus B19-induced transient aplastic crisis in patients with hereditary spherocytosis. Blood. 1986;67(5):1411-1417.</w:t>
      </w:r>
    </w:p>
    <w:p w14:paraId="2B037480" w14:textId="77777777" w:rsidR="004549F7" w:rsidRPr="005B4BBA" w:rsidRDefault="00F15AFD">
      <w:pPr>
        <w:spacing w:after="60"/>
        <w:rPr>
          <w:color w:val="000000" w:themeColor="text1"/>
        </w:rPr>
      </w:pPr>
      <w:r w:rsidRPr="005B4BBA">
        <w:rPr>
          <w:color w:val="000000" w:themeColor="text1"/>
          <w:sz w:val="19"/>
        </w:rPr>
        <w:t>14. Grace RF, Lux SE. Disorders of the red cell membrane. In: Orkin SH, Fisher DE, Look AT, Lux SE, Ginsburg D, Nathan DG, editors. Nathan and Oski's Hematology and Oncology of Infancy and Childhood. 8th ed. Philadelphia: Saunders Elsevier; 2015. p. 453-528.</w:t>
      </w:r>
    </w:p>
    <w:p w14:paraId="3E992AD7" w14:textId="77777777" w:rsidR="004549F7" w:rsidRPr="005B4BBA" w:rsidRDefault="00F15AFD">
      <w:pPr>
        <w:spacing w:after="60"/>
        <w:rPr>
          <w:color w:val="000000" w:themeColor="text1"/>
        </w:rPr>
      </w:pPr>
      <w:r w:rsidRPr="005B4BBA">
        <w:rPr>
          <w:color w:val="000000" w:themeColor="text1"/>
          <w:sz w:val="19"/>
        </w:rPr>
        <w:t>15. Nath KA, Balla J, Croatt AJ, Vercellotti GM. Heme protein-induced acute renal failure: cellular and molecular mechanisms. Ren Fail. 1998;20(2):299-307.</w:t>
      </w:r>
    </w:p>
    <w:p w14:paraId="150D59DE" w14:textId="77777777" w:rsidR="004549F7" w:rsidRPr="005B4BBA" w:rsidRDefault="00F15AFD">
      <w:pPr>
        <w:spacing w:after="60"/>
        <w:rPr>
          <w:color w:val="000000" w:themeColor="text1"/>
        </w:rPr>
      </w:pPr>
      <w:r w:rsidRPr="005B4BBA">
        <w:rPr>
          <w:color w:val="000000" w:themeColor="text1"/>
          <w:sz w:val="19"/>
        </w:rPr>
        <w:t>16. Tracz MJ, Alam J, Nath KA. Physiology and pathophysiology of heme: implications for kidney disease. J Am Soc Nephrol. 2007;18(2):414-420.</w:t>
      </w:r>
    </w:p>
    <w:p w14:paraId="3C3D525F" w14:textId="77777777" w:rsidR="004549F7" w:rsidRPr="005B4BBA" w:rsidRDefault="00F15AFD">
      <w:pPr>
        <w:spacing w:after="60"/>
        <w:rPr>
          <w:color w:val="000000" w:themeColor="text1"/>
        </w:rPr>
      </w:pPr>
      <w:r w:rsidRPr="005B4BBA">
        <w:rPr>
          <w:color w:val="000000" w:themeColor="text1"/>
          <w:sz w:val="19"/>
        </w:rPr>
        <w:t>17. Bianchi P, Fermo E, Vercellati C, Marcello AP, Porretti L, Cortelezzi A, et al. Diagnostic power of laboratory tests for hereditary spherocytosis: a comparison study in 150 patients. Br J Haematol. 2012;157(2):267-272.</w:t>
      </w:r>
    </w:p>
    <w:p w14:paraId="178DCD3F" w14:textId="77777777" w:rsidR="004549F7" w:rsidRPr="005B4BBA" w:rsidRDefault="00F15AFD">
      <w:pPr>
        <w:spacing w:after="60"/>
        <w:rPr>
          <w:color w:val="000000" w:themeColor="text1"/>
        </w:rPr>
      </w:pPr>
      <w:r w:rsidRPr="005B4BBA">
        <w:rPr>
          <w:color w:val="000000" w:themeColor="text1"/>
          <w:sz w:val="19"/>
        </w:rPr>
        <w:t>18. Rocha S, Reboredo M, Gómez-Manero AM, Cleto E, Ferreira F, Catarino C, et al. Erythrocyte membrane protein alterations in hereditary spherocytosis: relationship with clinical presentation. Blood Cells Mol Dis. 2011;46(2):140-145.</w:t>
      </w:r>
    </w:p>
    <w:p w14:paraId="3607AF59" w14:textId="77777777" w:rsidR="004549F7" w:rsidRPr="005B4BBA" w:rsidRDefault="00F15AFD">
      <w:pPr>
        <w:spacing w:after="60"/>
        <w:rPr>
          <w:color w:val="000000" w:themeColor="text1"/>
        </w:rPr>
      </w:pPr>
      <w:r w:rsidRPr="005B4BBA">
        <w:rPr>
          <w:color w:val="000000" w:themeColor="text1"/>
          <w:sz w:val="19"/>
        </w:rPr>
        <w:t>19. Miraglia del Giudice E, Nobili B, Francese M, D'Urzo G, Iolascon A, et al. Clinical and molecular heterogeneity of hereditary spherocytosis in children. Br J Haematol. 1998;102(3):810-815.</w:t>
      </w:r>
    </w:p>
    <w:p w14:paraId="5FDEAB6B" w14:textId="77777777" w:rsidR="004549F7" w:rsidRPr="005B4BBA" w:rsidRDefault="00F15AFD">
      <w:pPr>
        <w:spacing w:after="60"/>
        <w:rPr>
          <w:color w:val="000000" w:themeColor="text1"/>
        </w:rPr>
      </w:pPr>
      <w:r w:rsidRPr="005B4BBA">
        <w:rPr>
          <w:color w:val="000000" w:themeColor="text1"/>
          <w:sz w:val="19"/>
        </w:rPr>
        <w:t>20. Mairbäurl H, Weber RE. Erythrocyte membrane properties and oxygen transport in health and disease. Exp Physiol. 2012;97(4):451-460.</w:t>
      </w:r>
    </w:p>
    <w:p w14:paraId="7C6309A6" w14:textId="77777777" w:rsidR="004549F7" w:rsidRPr="005B4BBA" w:rsidRDefault="00F15AFD">
      <w:pPr>
        <w:spacing w:after="60"/>
        <w:rPr>
          <w:color w:val="000000" w:themeColor="text1"/>
        </w:rPr>
      </w:pPr>
      <w:r w:rsidRPr="005B4BBA">
        <w:rPr>
          <w:color w:val="000000" w:themeColor="text1"/>
          <w:sz w:val="19"/>
        </w:rPr>
        <w:t>21. Manno S, Takakuwa Y, Mohandas N. Identification of functional interaction sites on membrane skeleton band 3 and ankyrin. J Biol Chem. 2002;277(22):19439-19445.</w:t>
      </w:r>
    </w:p>
    <w:p w14:paraId="7E762714" w14:textId="77777777" w:rsidR="004549F7" w:rsidRPr="005B4BBA" w:rsidRDefault="00F15AFD">
      <w:pPr>
        <w:spacing w:after="60"/>
        <w:rPr>
          <w:color w:val="000000" w:themeColor="text1"/>
        </w:rPr>
      </w:pPr>
      <w:r w:rsidRPr="005B4BBA">
        <w:rPr>
          <w:color w:val="000000" w:themeColor="text1"/>
          <w:sz w:val="19"/>
        </w:rPr>
        <w:t>22. Mariani M, Barcellini W, Vercellati C, Marcello AP, Fermo E, Pedotti P, et al. Clinical and hematologic features of 300 patients with hereditary spherocytosis grouped by splenectomy status. Haematologica. 2008;93(9):1310-1317.</w:t>
      </w:r>
    </w:p>
    <w:p w14:paraId="15C61B2F" w14:textId="77777777" w:rsidR="004549F7" w:rsidRPr="005B4BBA" w:rsidRDefault="00F15AFD">
      <w:pPr>
        <w:spacing w:after="60"/>
        <w:rPr>
          <w:color w:val="000000" w:themeColor="text1"/>
        </w:rPr>
      </w:pPr>
      <w:r w:rsidRPr="005B4BBA">
        <w:rPr>
          <w:color w:val="000000" w:themeColor="text1"/>
          <w:sz w:val="19"/>
        </w:rPr>
        <w:lastRenderedPageBreak/>
        <w:t>23. Tchernia G, Bader-Meunier B, Berterottiere P, Dommergues JP, Gauthier F, Yvart J, et al. Effectiveness of partial splenectomy in hereditary spherocytosis in children. Blood. 1997;89(6):2164-2169.</w:t>
      </w:r>
    </w:p>
    <w:p w14:paraId="6C0DA9B8" w14:textId="77777777" w:rsidR="004549F7" w:rsidRPr="005B4BBA" w:rsidRDefault="00F15AFD">
      <w:pPr>
        <w:spacing w:after="60"/>
        <w:rPr>
          <w:color w:val="000000" w:themeColor="text1"/>
        </w:rPr>
      </w:pPr>
      <w:r w:rsidRPr="005B4BBA">
        <w:rPr>
          <w:color w:val="000000" w:themeColor="text1"/>
          <w:sz w:val="19"/>
        </w:rPr>
        <w:t>24. Ware RE. Transfusion therapy and iron overload in hereditary spherocytosis and chronic hemolytic anemias. Hematology Am Soc Hematol Educ Program. 2009;2009(1):340-347.</w:t>
      </w:r>
    </w:p>
    <w:p w14:paraId="6334FB44" w14:textId="77777777" w:rsidR="004549F7" w:rsidRPr="005B4BBA" w:rsidRDefault="00F15AFD">
      <w:pPr>
        <w:spacing w:after="60"/>
        <w:rPr>
          <w:color w:val="000000" w:themeColor="text1"/>
        </w:rPr>
      </w:pPr>
      <w:r w:rsidRPr="005B4BBA">
        <w:rPr>
          <w:color w:val="000000" w:themeColor="text1"/>
          <w:sz w:val="19"/>
        </w:rPr>
        <w:t xml:space="preserve">25. Taher AT, Musallam KM, Cappellini MD. Prophylaxis and management of hemolytic exacerbations in congenital hemolytic anemias. Ann N Y Acad Sci. </w:t>
      </w:r>
      <w:proofErr w:type="gramStart"/>
      <w:r w:rsidRPr="005B4BBA">
        <w:rPr>
          <w:color w:val="000000" w:themeColor="text1"/>
          <w:sz w:val="19"/>
        </w:rPr>
        <w:t>2010;1202:115</w:t>
      </w:r>
      <w:proofErr w:type="gramEnd"/>
      <w:r w:rsidRPr="005B4BBA">
        <w:rPr>
          <w:color w:val="000000" w:themeColor="text1"/>
          <w:sz w:val="19"/>
        </w:rPr>
        <w:t>-122.</w:t>
      </w:r>
    </w:p>
    <w:p w14:paraId="029850A0" w14:textId="77777777" w:rsidR="004549F7" w:rsidRPr="005B4BBA" w:rsidRDefault="00F15AFD">
      <w:pPr>
        <w:spacing w:after="60"/>
        <w:rPr>
          <w:color w:val="000000" w:themeColor="text1"/>
        </w:rPr>
      </w:pPr>
      <w:r w:rsidRPr="005B4BBA">
        <w:rPr>
          <w:color w:val="000000" w:themeColor="text1"/>
          <w:sz w:val="19"/>
        </w:rPr>
        <w:t>26. Chonat S, Gallagher PG. Hereditary spherocytosis: Advances in diagnostic testing and patient management. Pediatr Blood Cancer. 2022;69(Suppl 2</w:t>
      </w:r>
      <w:proofErr w:type="gramStart"/>
      <w:r w:rsidRPr="005B4BBA">
        <w:rPr>
          <w:color w:val="000000" w:themeColor="text1"/>
          <w:sz w:val="19"/>
        </w:rPr>
        <w:t>):e</w:t>
      </w:r>
      <w:proofErr w:type="gramEnd"/>
      <w:r w:rsidRPr="005B4BBA">
        <w:rPr>
          <w:color w:val="000000" w:themeColor="text1"/>
          <w:sz w:val="19"/>
        </w:rPr>
        <w:t>29548.</w:t>
      </w:r>
    </w:p>
    <w:p w14:paraId="2859B356" w14:textId="77777777" w:rsidR="004549F7" w:rsidRPr="005B4BBA" w:rsidRDefault="00F15AFD">
      <w:pPr>
        <w:spacing w:after="60"/>
        <w:rPr>
          <w:color w:val="000000" w:themeColor="text1"/>
        </w:rPr>
      </w:pPr>
      <w:r w:rsidRPr="005B4BBA">
        <w:rPr>
          <w:color w:val="000000" w:themeColor="text1"/>
          <w:sz w:val="19"/>
        </w:rPr>
        <w:t>27. Glader BE. Erythrocyte disorders in infancy and childhood. In: Kliegman RM, St. Geme JW, Blum NJ, Shah SS, Tasker RC, Wilson KM, editors. Nelson Textbook of Pediatrics. 21st ed. Philadelphia: Elsevier; 2020. p. 2480-2495.</w:t>
      </w:r>
    </w:p>
    <w:p w14:paraId="1441C057" w14:textId="77777777" w:rsidR="004549F7" w:rsidRPr="005B4BBA" w:rsidRDefault="00F15AFD">
      <w:pPr>
        <w:spacing w:after="60"/>
        <w:rPr>
          <w:color w:val="000000" w:themeColor="text1"/>
        </w:rPr>
      </w:pPr>
      <w:r w:rsidRPr="005B4BBA">
        <w:rPr>
          <w:color w:val="000000" w:themeColor="text1"/>
          <w:sz w:val="19"/>
        </w:rPr>
        <w:t>28. Tullus K. Difficulties in diagnosing urinary tract infections in children. Lancet Infect Dis. 2011;11(10):730-731.</w:t>
      </w:r>
    </w:p>
    <w:p w14:paraId="397C88C5" w14:textId="77777777" w:rsidR="004549F7" w:rsidRPr="005B4BBA" w:rsidRDefault="00F15AFD">
      <w:pPr>
        <w:spacing w:after="60"/>
        <w:rPr>
          <w:color w:val="000000" w:themeColor="text1"/>
        </w:rPr>
      </w:pPr>
      <w:r w:rsidRPr="005B4BBA">
        <w:rPr>
          <w:color w:val="000000" w:themeColor="text1"/>
          <w:sz w:val="19"/>
        </w:rPr>
        <w:t>29. Shaikh N, Morone NE, Bost JE, Farrell MH. Prevalence of urinary tract infection in childhood: a meta-analysis. Pediatr Infect Dis J. 2008;27(4):308-315.</w:t>
      </w:r>
    </w:p>
    <w:p w14:paraId="7997CC1F" w14:textId="77777777" w:rsidR="004549F7" w:rsidRPr="005B4BBA" w:rsidRDefault="00F15AFD">
      <w:pPr>
        <w:spacing w:after="60"/>
        <w:rPr>
          <w:color w:val="000000" w:themeColor="text1"/>
        </w:rPr>
      </w:pPr>
      <w:r w:rsidRPr="005B4BBA">
        <w:rPr>
          <w:color w:val="000000" w:themeColor="text1"/>
          <w:sz w:val="19"/>
        </w:rPr>
        <w:t>30. Subandiyah K, Kalanjati VP. Hematuria and proteinuria in pediatric systemic infections: clinical and laboratory perspectives. Asian J Med Sci. 2019;10(4):45-51.</w:t>
      </w:r>
    </w:p>
    <w:p w14:paraId="4F7ECA4E" w14:textId="77777777" w:rsidR="004549F7" w:rsidRPr="005B4BBA" w:rsidRDefault="00F15AFD">
      <w:pPr>
        <w:spacing w:after="60"/>
        <w:rPr>
          <w:color w:val="000000" w:themeColor="text1"/>
        </w:rPr>
      </w:pPr>
      <w:r w:rsidRPr="005B4BBA">
        <w:rPr>
          <w:color w:val="000000" w:themeColor="text1"/>
          <w:sz w:val="19"/>
        </w:rPr>
        <w:t>31. Roberts KB. Urinary tract infection: clinical practice guideline for the diagnosis and management of the initial UTI in febrile infants and children 2 to 24 months. Pediatrics. 2011;128(3):595-610.</w:t>
      </w:r>
    </w:p>
    <w:p w14:paraId="4E23F4B7" w14:textId="77777777" w:rsidR="004549F7" w:rsidRPr="005B4BBA" w:rsidRDefault="00F15AFD">
      <w:pPr>
        <w:spacing w:after="60"/>
        <w:rPr>
          <w:color w:val="000000" w:themeColor="text1"/>
        </w:rPr>
      </w:pPr>
      <w:r w:rsidRPr="005B4BBA">
        <w:rPr>
          <w:color w:val="000000" w:themeColor="text1"/>
          <w:sz w:val="19"/>
        </w:rPr>
        <w:t>32. Qian Q, Nath KA, Wu Y, Daoud TM, Sethi S. Hemolysis and acute kidney injury. Am J Kidney Dis. 2010;56(4):780-784.</w:t>
      </w:r>
    </w:p>
    <w:p w14:paraId="546FFD47" w14:textId="77777777" w:rsidR="004549F7" w:rsidRPr="005B4BBA" w:rsidRDefault="00F15AFD">
      <w:pPr>
        <w:spacing w:after="60"/>
        <w:rPr>
          <w:color w:val="000000" w:themeColor="text1"/>
        </w:rPr>
      </w:pPr>
      <w:r w:rsidRPr="005B4BBA">
        <w:rPr>
          <w:color w:val="000000" w:themeColor="text1"/>
          <w:sz w:val="19"/>
        </w:rPr>
        <w:t>33. Dvanajscak Z, Cossey LN, Larsen CP. Hemosiderosis-induced acute and chronic tubulointerstitial nephritis in paroxysmal nocturnal hemoglobinuria and hemolytic disorders. Kidney Int. 2017;92(4):1018.</w:t>
      </w:r>
    </w:p>
    <w:p w14:paraId="67545CBD" w14:textId="77777777" w:rsidR="004549F7" w:rsidRPr="005B4BBA" w:rsidRDefault="00F15AFD">
      <w:pPr>
        <w:spacing w:after="60"/>
        <w:rPr>
          <w:color w:val="000000" w:themeColor="text1"/>
        </w:rPr>
      </w:pPr>
      <w:r w:rsidRPr="005B4BBA">
        <w:rPr>
          <w:color w:val="000000" w:themeColor="text1"/>
          <w:sz w:val="19"/>
        </w:rPr>
        <w:t>34. Moirand R, Billey C, Jouanolle AM, Guyader D, David V, Brissot P, et al. Renal parenchymal echogenicity and iron deposition in chronic hemolytic states. Radiology. 1997;204(2):475-479.</w:t>
      </w:r>
    </w:p>
    <w:p w14:paraId="2A76B799" w14:textId="77777777" w:rsidR="004549F7" w:rsidRPr="005B4BBA" w:rsidRDefault="00F15AFD">
      <w:pPr>
        <w:spacing w:after="60"/>
        <w:rPr>
          <w:color w:val="000000" w:themeColor="text1"/>
        </w:rPr>
      </w:pPr>
      <w:r w:rsidRPr="005B4BBA">
        <w:rPr>
          <w:color w:val="000000" w:themeColor="text1"/>
          <w:sz w:val="19"/>
        </w:rPr>
        <w:t>35. Platt JF. Duplex Doppler evaluation of native kidney dysfunction: obstructive and nonobstructive nephropathies. AJR Am J Roentgenol. 1992;158(5):1035-1042.</w:t>
      </w:r>
    </w:p>
    <w:p w14:paraId="276E2281" w14:textId="77777777" w:rsidR="004549F7" w:rsidRPr="005B4BBA" w:rsidRDefault="00F15AFD">
      <w:pPr>
        <w:spacing w:after="60"/>
        <w:rPr>
          <w:color w:val="000000" w:themeColor="text1"/>
        </w:rPr>
      </w:pPr>
      <w:r w:rsidRPr="005B4BBA">
        <w:rPr>
          <w:color w:val="000000" w:themeColor="text1"/>
          <w:sz w:val="19"/>
        </w:rPr>
        <w:t>36. Hitzel A, Liard A, Véra P, Manrique A, Menard JF, Dacher JN. Color and power Doppler sonography versus 99mTc-DMSA scintigraphy in acute pyelonephritis and renal scarring in children. J Nucl Med. 2002;43(1):27-32.</w:t>
      </w:r>
    </w:p>
    <w:p w14:paraId="472E7200" w14:textId="77777777" w:rsidR="004549F7" w:rsidRPr="005B4BBA" w:rsidRDefault="00F15AFD">
      <w:pPr>
        <w:spacing w:after="60"/>
        <w:rPr>
          <w:color w:val="000000" w:themeColor="text1"/>
        </w:rPr>
      </w:pPr>
      <w:r w:rsidRPr="005B4BBA">
        <w:rPr>
          <w:color w:val="000000" w:themeColor="text1"/>
          <w:sz w:val="19"/>
        </w:rPr>
        <w:t>37. Riccabona M. Pediatric uroradiology: modern imaging paradigms in children with urinary tract infection. Eur J Radiol. 2014;83(9):1637-1644.</w:t>
      </w:r>
    </w:p>
    <w:p w14:paraId="5BD83A3F" w14:textId="77777777" w:rsidR="004549F7" w:rsidRPr="005B4BBA" w:rsidRDefault="00F15AFD">
      <w:pPr>
        <w:spacing w:after="60"/>
        <w:rPr>
          <w:color w:val="000000" w:themeColor="text1"/>
        </w:rPr>
      </w:pPr>
      <w:r w:rsidRPr="005B4BBA">
        <w:rPr>
          <w:color w:val="000000" w:themeColor="text1"/>
          <w:sz w:val="19"/>
        </w:rPr>
        <w:t>38. Bradley JS, Nelson JD. Nelson's Pediatric Antimicrobial Therapy. 28th ed. Itasca: American Academy of Pediatrics; 2022.</w:t>
      </w:r>
    </w:p>
    <w:p w14:paraId="113F7156" w14:textId="77777777" w:rsidR="004549F7" w:rsidRPr="005B4BBA" w:rsidRDefault="00F15AFD">
      <w:pPr>
        <w:spacing w:after="60"/>
        <w:rPr>
          <w:color w:val="000000" w:themeColor="text1"/>
        </w:rPr>
      </w:pPr>
      <w:r w:rsidRPr="005B4BBA">
        <w:rPr>
          <w:color w:val="000000" w:themeColor="text1"/>
          <w:sz w:val="19"/>
        </w:rPr>
        <w:t>39. Jackson MA, Schutze GE; Committee on Infectious Diseases. The executive summary: Diagnosis and management of uncomplicated urinary tract infections in children. Pediatrics. 2016;138(6</w:t>
      </w:r>
      <w:proofErr w:type="gramStart"/>
      <w:r w:rsidRPr="005B4BBA">
        <w:rPr>
          <w:color w:val="000000" w:themeColor="text1"/>
          <w:sz w:val="19"/>
        </w:rPr>
        <w:t>):e</w:t>
      </w:r>
      <w:proofErr w:type="gramEnd"/>
      <w:r w:rsidRPr="005B4BBA">
        <w:rPr>
          <w:color w:val="000000" w:themeColor="text1"/>
          <w:sz w:val="19"/>
        </w:rPr>
        <w:t>20163038.</w:t>
      </w:r>
    </w:p>
    <w:p w14:paraId="49EB99AD" w14:textId="77777777" w:rsidR="004549F7" w:rsidRPr="005B4BBA" w:rsidRDefault="00F15AFD">
      <w:pPr>
        <w:spacing w:after="60"/>
        <w:rPr>
          <w:color w:val="000000" w:themeColor="text1"/>
        </w:rPr>
      </w:pPr>
      <w:r w:rsidRPr="005B4BBA">
        <w:rPr>
          <w:color w:val="000000" w:themeColor="text1"/>
          <w:sz w:val="19"/>
        </w:rPr>
        <w:t>40. Carson JL, Triulzi DJ, Ness PM. Indications for and adverse effects of red-cell transfusion. N Engl J Med. 2017;377(13):1261-1272.</w:t>
      </w:r>
    </w:p>
    <w:p w14:paraId="6E736CD8" w14:textId="77777777" w:rsidR="004549F7" w:rsidRPr="005B4BBA" w:rsidRDefault="00F15AFD">
      <w:pPr>
        <w:spacing w:after="60"/>
        <w:rPr>
          <w:color w:val="000000" w:themeColor="text1"/>
        </w:rPr>
      </w:pPr>
      <w:r w:rsidRPr="005B4BBA">
        <w:rPr>
          <w:color w:val="000000" w:themeColor="text1"/>
          <w:sz w:val="19"/>
        </w:rPr>
        <w:t>41. New HV, Berryman J, Bolton-Maggs PH, Cantwell C, Chalmers EA, Davies T, et al. Guidelines on transfusion for fetuses, neonates and older children. Br J Haematol. 2016;175(5):784-828.</w:t>
      </w:r>
    </w:p>
    <w:p w14:paraId="5D2382FE" w14:textId="77777777" w:rsidR="004549F7" w:rsidRPr="005B4BBA" w:rsidRDefault="00F15AFD">
      <w:pPr>
        <w:spacing w:after="60"/>
        <w:rPr>
          <w:color w:val="000000" w:themeColor="text1"/>
        </w:rPr>
      </w:pPr>
      <w:r w:rsidRPr="005B4BBA">
        <w:rPr>
          <w:color w:val="000000" w:themeColor="text1"/>
          <w:sz w:val="19"/>
        </w:rPr>
        <w:t>42. Casale M, Perrotta S. Splenectomy for hereditary spherocytosis: complete, partial or not at all? Expert Rev Hematol. 2011;4(6):627-635.</w:t>
      </w:r>
    </w:p>
    <w:p w14:paraId="36653319" w14:textId="77777777" w:rsidR="004549F7" w:rsidRPr="005B4BBA" w:rsidRDefault="00F15AFD">
      <w:pPr>
        <w:spacing w:after="60"/>
        <w:rPr>
          <w:color w:val="000000" w:themeColor="text1"/>
        </w:rPr>
      </w:pPr>
      <w:r w:rsidRPr="005B4BBA">
        <w:rPr>
          <w:color w:val="000000" w:themeColor="text1"/>
          <w:sz w:val="19"/>
        </w:rPr>
        <w:t>43. Schilling RF. Spherocytosis, splenectomy, pigmented gallstones, and aplastic crises. Lancet. 1976;2(7990):864-865.</w:t>
      </w:r>
    </w:p>
    <w:sectPr w:rsidR="004549F7" w:rsidRPr="005B4BBA"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A0A71" w14:textId="77777777" w:rsidR="00890C4E" w:rsidRDefault="00890C4E" w:rsidP="00592359">
      <w:pPr>
        <w:spacing w:after="0" w:line="240" w:lineRule="auto"/>
      </w:pPr>
      <w:r>
        <w:separator/>
      </w:r>
    </w:p>
  </w:endnote>
  <w:endnote w:type="continuationSeparator" w:id="0">
    <w:p w14:paraId="108334E0" w14:textId="77777777" w:rsidR="00890C4E" w:rsidRDefault="00890C4E" w:rsidP="00592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8177" w14:textId="77777777" w:rsidR="00592359" w:rsidRDefault="00592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E92" w14:textId="77777777" w:rsidR="00592359" w:rsidRDefault="00592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D70F" w14:textId="77777777" w:rsidR="00592359" w:rsidRDefault="00592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02145" w14:textId="77777777" w:rsidR="00890C4E" w:rsidRDefault="00890C4E" w:rsidP="00592359">
      <w:pPr>
        <w:spacing w:after="0" w:line="240" w:lineRule="auto"/>
      </w:pPr>
      <w:r>
        <w:separator/>
      </w:r>
    </w:p>
  </w:footnote>
  <w:footnote w:type="continuationSeparator" w:id="0">
    <w:p w14:paraId="46441339" w14:textId="77777777" w:rsidR="00890C4E" w:rsidRDefault="00890C4E" w:rsidP="00592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5461" w14:textId="69D618A1" w:rsidR="00592359" w:rsidRDefault="00592359">
    <w:pPr>
      <w:pStyle w:val="Header"/>
    </w:pPr>
    <w:r>
      <w:rPr>
        <w:noProof/>
      </w:rPr>
      <w:pict w14:anchorId="0A012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247735"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1FB2" w14:textId="016A70C7" w:rsidR="00592359" w:rsidRDefault="00592359">
    <w:pPr>
      <w:pStyle w:val="Header"/>
    </w:pPr>
    <w:r>
      <w:rPr>
        <w:noProof/>
      </w:rPr>
      <w:pict w14:anchorId="016B0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247736"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4171" w14:textId="4B4216CF" w:rsidR="00592359" w:rsidRDefault="00592359">
    <w:pPr>
      <w:pStyle w:val="Header"/>
    </w:pPr>
    <w:r>
      <w:rPr>
        <w:noProof/>
      </w:rPr>
      <w:pict w14:anchorId="5A13F8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247734"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6899595">
    <w:abstractNumId w:val="8"/>
  </w:num>
  <w:num w:numId="2" w16cid:durableId="109782753">
    <w:abstractNumId w:val="6"/>
  </w:num>
  <w:num w:numId="3" w16cid:durableId="319385110">
    <w:abstractNumId w:val="5"/>
  </w:num>
  <w:num w:numId="4" w16cid:durableId="821893550">
    <w:abstractNumId w:val="4"/>
  </w:num>
  <w:num w:numId="5" w16cid:durableId="1875193408">
    <w:abstractNumId w:val="7"/>
  </w:num>
  <w:num w:numId="6" w16cid:durableId="613555483">
    <w:abstractNumId w:val="3"/>
  </w:num>
  <w:num w:numId="7" w16cid:durableId="1725712009">
    <w:abstractNumId w:val="2"/>
  </w:num>
  <w:num w:numId="8" w16cid:durableId="1832941886">
    <w:abstractNumId w:val="1"/>
  </w:num>
  <w:num w:numId="9" w16cid:durableId="1916821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AD4"/>
    <w:rsid w:val="00034616"/>
    <w:rsid w:val="0006063C"/>
    <w:rsid w:val="000C7A34"/>
    <w:rsid w:val="0015074B"/>
    <w:rsid w:val="001B4177"/>
    <w:rsid w:val="001E268E"/>
    <w:rsid w:val="0029639D"/>
    <w:rsid w:val="002C0BCB"/>
    <w:rsid w:val="002E1EAD"/>
    <w:rsid w:val="00326F90"/>
    <w:rsid w:val="00357D3B"/>
    <w:rsid w:val="003B7AED"/>
    <w:rsid w:val="003E16C4"/>
    <w:rsid w:val="004549F7"/>
    <w:rsid w:val="00592359"/>
    <w:rsid w:val="005B4BBA"/>
    <w:rsid w:val="005C6944"/>
    <w:rsid w:val="005E7672"/>
    <w:rsid w:val="00890C4E"/>
    <w:rsid w:val="009E0DBB"/>
    <w:rsid w:val="00A836D4"/>
    <w:rsid w:val="00AA1D8D"/>
    <w:rsid w:val="00B277D3"/>
    <w:rsid w:val="00B47730"/>
    <w:rsid w:val="00BC621D"/>
    <w:rsid w:val="00BD6287"/>
    <w:rsid w:val="00BE0E28"/>
    <w:rsid w:val="00CB0664"/>
    <w:rsid w:val="00D72F01"/>
    <w:rsid w:val="00DB49E0"/>
    <w:rsid w:val="00E12ED8"/>
    <w:rsid w:val="00E94D03"/>
    <w:rsid w:val="00EC52AA"/>
    <w:rsid w:val="00F15AFD"/>
    <w:rsid w:val="00F60B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CA5A1A"/>
  <w14:defaultImageDpi w14:val="300"/>
  <w15:docId w15:val="{53D2ABC4-8C07-484E-B472-4CEA69F2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B4BBA"/>
    <w:rPr>
      <w:rFonts w:cs="Times New Roman"/>
      <w:sz w:val="24"/>
      <w:szCs w:val="24"/>
    </w:rPr>
  </w:style>
  <w:style w:type="character" w:styleId="Hyperlink">
    <w:name w:val="Hyperlink"/>
    <w:basedOn w:val="DefaultParagraphFont"/>
    <w:uiPriority w:val="99"/>
    <w:unhideWhenUsed/>
    <w:rsid w:val="002E1EAD"/>
    <w:rPr>
      <w:color w:val="0000FF" w:themeColor="hyperlink"/>
      <w:u w:val="single"/>
    </w:rPr>
  </w:style>
  <w:style w:type="character" w:styleId="UnresolvedMention">
    <w:name w:val="Unresolved Mention"/>
    <w:basedOn w:val="DefaultParagraphFont"/>
    <w:uiPriority w:val="99"/>
    <w:semiHidden/>
    <w:unhideWhenUsed/>
    <w:rsid w:val="002E1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9A9DE-18D9-4C38-9F64-C45DFA8CD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5470</Words>
  <Characters>31179</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19</cp:revision>
  <dcterms:created xsi:type="dcterms:W3CDTF">2013-12-23T23:15:00Z</dcterms:created>
  <dcterms:modified xsi:type="dcterms:W3CDTF">2026-09-04T12:39:00Z</dcterms:modified>
  <cp:category/>
</cp:coreProperties>
</file>