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48B8F" w14:textId="77777777" w:rsidR="005E7895" w:rsidRPr="00015C67" w:rsidRDefault="005E7895" w:rsidP="00B1165D">
      <w:pPr>
        <w:spacing w:line="240" w:lineRule="auto"/>
        <w:jc w:val="center"/>
        <w:rPr>
          <w:rFonts w:ascii="Times New Roman" w:eastAsia="Calibri" w:hAnsi="Times New Roman" w:cs="Times New Roman"/>
          <w:b/>
          <w:sz w:val="24"/>
          <w:szCs w:val="24"/>
        </w:rPr>
      </w:pPr>
      <w:bookmarkStart w:id="0" w:name="_Hlk231482310"/>
      <w:r w:rsidRPr="00015C67">
        <w:rPr>
          <w:rFonts w:ascii="Times New Roman" w:eastAsia="Calibri" w:hAnsi="Times New Roman" w:cs="Times New Roman"/>
          <w:b/>
          <w:sz w:val="24"/>
          <w:szCs w:val="24"/>
        </w:rPr>
        <w:t xml:space="preserve">DETERMINANTS OF IMMUNIZATION UPTAKE </w:t>
      </w:r>
      <w:bookmarkEnd w:id="0"/>
      <w:r w:rsidRPr="00015C67">
        <w:rPr>
          <w:rFonts w:ascii="Times New Roman" w:eastAsia="Calibri" w:hAnsi="Times New Roman" w:cs="Times New Roman"/>
          <w:b/>
          <w:sz w:val="24"/>
          <w:szCs w:val="24"/>
        </w:rPr>
        <w:t>AMONG CHILDREN UNDER FIVE IN IKA SOUTH LOCAL GOVERNMENT AREA, DELTA STATE</w:t>
      </w:r>
    </w:p>
    <w:p w14:paraId="05FACAEA" w14:textId="77777777" w:rsidR="005E7895" w:rsidRPr="00015C67" w:rsidRDefault="005E7895" w:rsidP="00B1165D">
      <w:pPr>
        <w:spacing w:line="240" w:lineRule="auto"/>
        <w:jc w:val="center"/>
        <w:rPr>
          <w:rFonts w:ascii="Times New Roman" w:hAnsi="Times New Roman" w:cs="Times New Roman"/>
          <w:b/>
          <w:color w:val="000000" w:themeColor="text1"/>
          <w:sz w:val="24"/>
          <w:szCs w:val="24"/>
        </w:rPr>
      </w:pPr>
    </w:p>
    <w:p w14:paraId="58A703CC" w14:textId="1BA9BBE5" w:rsidR="00F15B92" w:rsidRPr="00015C67" w:rsidRDefault="00F15B92" w:rsidP="00B1165D">
      <w:pPr>
        <w:spacing w:line="240" w:lineRule="auto"/>
        <w:jc w:val="center"/>
        <w:rPr>
          <w:rFonts w:ascii="Times New Roman" w:hAnsi="Times New Roman" w:cs="Times New Roman"/>
          <w:i/>
          <w:color w:val="000000" w:themeColor="text1"/>
          <w:sz w:val="24"/>
          <w:szCs w:val="24"/>
        </w:rPr>
      </w:pPr>
    </w:p>
    <w:p w14:paraId="1A4981E7" w14:textId="77777777" w:rsidR="005E7895" w:rsidRPr="00015C67" w:rsidRDefault="005E7895" w:rsidP="00B1165D">
      <w:pPr>
        <w:pStyle w:val="NoSpacing"/>
        <w:rPr>
          <w:rFonts w:ascii="Times New Roman" w:hAnsi="Times New Roman" w:cs="Times New Roman"/>
          <w:color w:val="000000" w:themeColor="text1"/>
          <w:sz w:val="24"/>
          <w:szCs w:val="24"/>
        </w:rPr>
      </w:pPr>
    </w:p>
    <w:p w14:paraId="110937C3" w14:textId="77777777" w:rsidR="005E7895" w:rsidRPr="00015C67" w:rsidRDefault="005E7895" w:rsidP="00B1165D">
      <w:pPr>
        <w:spacing w:line="240" w:lineRule="auto"/>
        <w:jc w:val="center"/>
        <w:rPr>
          <w:rFonts w:ascii="Times New Roman" w:eastAsia="Calibri" w:hAnsi="Times New Roman" w:cs="Times New Roman"/>
          <w:b/>
          <w:sz w:val="24"/>
          <w:szCs w:val="24"/>
        </w:rPr>
      </w:pPr>
      <w:r w:rsidRPr="00015C67">
        <w:rPr>
          <w:rFonts w:ascii="Times New Roman" w:eastAsia="Calibri" w:hAnsi="Times New Roman" w:cs="Times New Roman"/>
          <w:b/>
          <w:sz w:val="24"/>
          <w:szCs w:val="24"/>
        </w:rPr>
        <w:t xml:space="preserve">ABSTRACT </w:t>
      </w:r>
    </w:p>
    <w:p w14:paraId="29ACFA33" w14:textId="77777777" w:rsidR="005E7895" w:rsidRPr="00015C67" w:rsidRDefault="005E7895" w:rsidP="00B1165D">
      <w:pPr>
        <w:spacing w:after="100" w:afterAutospacing="1" w:line="240" w:lineRule="auto"/>
        <w:jc w:val="both"/>
        <w:rPr>
          <w:rFonts w:ascii="Times New Roman" w:hAnsi="Times New Roman" w:cs="Times New Roman"/>
          <w:sz w:val="24"/>
          <w:szCs w:val="24"/>
        </w:rPr>
      </w:pPr>
      <w:r w:rsidRPr="00015C67">
        <w:rPr>
          <w:rFonts w:ascii="Times New Roman" w:eastAsia="Calibri" w:hAnsi="Times New Roman" w:cs="Times New Roman"/>
          <w:sz w:val="24"/>
          <w:szCs w:val="24"/>
        </w:rPr>
        <w:t>The study examined the Determinants of Immunization Uptake among Children under Five, In Ika South Local Government Area, Delta State</w:t>
      </w:r>
      <w:r w:rsidRPr="00015C67">
        <w:rPr>
          <w:rFonts w:ascii="Times New Roman" w:eastAsia="Calibri" w:hAnsi="Times New Roman" w:cs="Times New Roman"/>
          <w:color w:val="000000"/>
          <w:sz w:val="24"/>
          <w:szCs w:val="24"/>
        </w:rPr>
        <w:t xml:space="preserve">. The study used the </w:t>
      </w:r>
      <w:r w:rsidRPr="00015C67">
        <w:rPr>
          <w:rFonts w:ascii="Times New Roman" w:hAnsi="Times New Roman" w:cs="Times New Roman"/>
          <w:sz w:val="24"/>
          <w:szCs w:val="24"/>
        </w:rPr>
        <w:t>descriptive survey research approach</w:t>
      </w:r>
      <w:r w:rsidRPr="00015C67">
        <w:rPr>
          <w:rFonts w:ascii="Times New Roman" w:eastAsia="Calibri" w:hAnsi="Times New Roman" w:cs="Times New Roman"/>
          <w:color w:val="000000"/>
          <w:sz w:val="24"/>
          <w:szCs w:val="24"/>
        </w:rPr>
        <w:t xml:space="preserve">. </w:t>
      </w:r>
      <w:r w:rsidRPr="00015C67">
        <w:rPr>
          <w:rFonts w:ascii="Times New Roman" w:eastAsia="Calibri" w:hAnsi="Times New Roman" w:cs="Times New Roman"/>
          <w:sz w:val="24"/>
          <w:szCs w:val="24"/>
        </w:rPr>
        <w:t xml:space="preserve">The study used four objectives and four corresponding research questions. A sample size of </w:t>
      </w:r>
      <w:r w:rsidRPr="00015C67">
        <w:rPr>
          <w:rFonts w:ascii="Times New Roman" w:eastAsia="DengXian" w:hAnsi="Times New Roman" w:cs="Times New Roman"/>
          <w:sz w:val="24"/>
          <w:szCs w:val="24"/>
        </w:rPr>
        <w:t>370</w:t>
      </w:r>
      <w:r w:rsidRPr="00015C67">
        <w:rPr>
          <w:rFonts w:ascii="Times New Roman" w:eastAsia="Calibri" w:hAnsi="Times New Roman" w:cs="Times New Roman"/>
          <w:sz w:val="24"/>
          <w:szCs w:val="24"/>
        </w:rPr>
        <w:t xml:space="preserve"> Mothers and caregivers from a total population of 5000 mothers and caregivers was used for the study. One research instruments </w:t>
      </w:r>
      <w:proofErr w:type="gramStart"/>
      <w:r w:rsidRPr="00015C67">
        <w:rPr>
          <w:rFonts w:ascii="Times New Roman" w:eastAsia="Calibri" w:hAnsi="Times New Roman" w:cs="Times New Roman"/>
          <w:sz w:val="24"/>
          <w:szCs w:val="24"/>
        </w:rPr>
        <w:t>was</w:t>
      </w:r>
      <w:proofErr w:type="gramEnd"/>
      <w:r w:rsidRPr="00015C67">
        <w:rPr>
          <w:rFonts w:ascii="Times New Roman" w:eastAsia="Calibri" w:hAnsi="Times New Roman" w:cs="Times New Roman"/>
          <w:sz w:val="24"/>
          <w:szCs w:val="24"/>
        </w:rPr>
        <w:t xml:space="preserve"> used to collect the data. The instrument was subjected to a reliability testing using test-retest method. The data collected was Pearson Product Moment Correlation and reliability coefficient of 0.87 was obtained showing that the instrument is reliable. The research questions were answered using descriptive statistics of percentage and frequency. The result of the study revealed that </w:t>
      </w:r>
      <w:r w:rsidRPr="00015C67">
        <w:rPr>
          <w:rFonts w:ascii="Times New Roman" w:hAnsi="Times New Roman" w:cs="Times New Roman"/>
          <w:sz w:val="24"/>
          <w:szCs w:val="24"/>
        </w:rPr>
        <w:t xml:space="preserve">the largest group of respondents are in the 26-35 and 36-45 age ranges, making up 24.6% and 22.1%, respectively. Younger individuals aged 18-25 account for 19.7%, while older respondents (46-55 and 56+) form smaller portions, with 17.2% and 16.5%, respectively, slight majority of respondents identify as male (46.7%), followed closely by females at 44.2%. the study further revealed that The study found that 55.28% of respondents reported that their children received all the recommended vaccinations according to the national immunization schedule, but 36.12% disagreed, indicating gaps in full vaccination coverage due to barriers such as financial constraints and limited access, while 51.85% of respondents agreed that they could easily access immunization services for their children, 39.07% disagreed, highlighting challenges such as transportation costs, long waiting times, and availability of healthcare providers that hinder timely vaccination, 56.78% of respondents agreed that financial constraints prevent them from taking their children for immunization on time, while 45.46% agreed that their income level influences their ability to access immunization services, and 52.58% indicated that work schedules were a significant barrier. The study </w:t>
      </w:r>
      <w:proofErr w:type="gramStart"/>
      <w:r w:rsidRPr="00015C67">
        <w:rPr>
          <w:rFonts w:ascii="Times New Roman" w:hAnsi="Times New Roman" w:cs="Times New Roman"/>
          <w:sz w:val="24"/>
          <w:szCs w:val="24"/>
        </w:rPr>
        <w:t>conclude</w:t>
      </w:r>
      <w:proofErr w:type="gramEnd"/>
      <w:r w:rsidRPr="00015C67">
        <w:rPr>
          <w:rFonts w:ascii="Times New Roman" w:hAnsi="Times New Roman" w:cs="Times New Roman"/>
          <w:sz w:val="24"/>
          <w:szCs w:val="24"/>
        </w:rPr>
        <w:t xml:space="preserve"> that that while there are positive trends in immunization coverage, significant barriers remain. Therefore, there is need to </w:t>
      </w:r>
      <w:r w:rsidRPr="00015C67">
        <w:rPr>
          <w:rFonts w:ascii="Times New Roman" w:eastAsia="Calibri" w:hAnsi="Times New Roman" w:cs="Times New Roman"/>
          <w:sz w:val="24"/>
          <w:szCs w:val="24"/>
        </w:rPr>
        <w:t>reduce financial barriers, especially transportation costs, local healthcare facilities should implement mobile vaccination units or outreach programs in rural and underserved areas.</w:t>
      </w:r>
    </w:p>
    <w:p w14:paraId="6C073F81" w14:textId="77777777" w:rsidR="002D6B52" w:rsidRDefault="002D6B52">
      <w:pPr>
        <w:rPr>
          <w:rFonts w:ascii="Times New Roman" w:hAnsi="Times New Roman" w:cs="Times New Roman"/>
          <w:b/>
          <w:sz w:val="24"/>
          <w:szCs w:val="24"/>
        </w:rPr>
      </w:pPr>
    </w:p>
    <w:p w14:paraId="6D1C34EB" w14:textId="77777777" w:rsidR="00F37CAF" w:rsidRPr="00015C67" w:rsidRDefault="00F37CAF" w:rsidP="00B1165D">
      <w:pPr>
        <w:spacing w:line="240" w:lineRule="auto"/>
        <w:rPr>
          <w:rFonts w:ascii="Times New Roman" w:hAnsi="Times New Roman" w:cs="Times New Roman"/>
          <w:b/>
          <w:sz w:val="24"/>
          <w:szCs w:val="24"/>
        </w:rPr>
      </w:pPr>
      <w:r w:rsidRPr="00015C67">
        <w:rPr>
          <w:rFonts w:ascii="Times New Roman" w:hAnsi="Times New Roman" w:cs="Times New Roman"/>
          <w:b/>
          <w:sz w:val="24"/>
          <w:szCs w:val="24"/>
        </w:rPr>
        <w:t>INTRODUCTION</w:t>
      </w:r>
    </w:p>
    <w:p w14:paraId="6E26FB5A" w14:textId="77777777" w:rsidR="001479C1" w:rsidRDefault="00F37CAF" w:rsidP="001479C1">
      <w:pPr>
        <w:pStyle w:val="NormalWeb"/>
        <w:jc w:val="both"/>
      </w:pPr>
      <w:r w:rsidRPr="00015C67">
        <w:t xml:space="preserve">Immunization is one of the most cost-effective public health interventions to prevent childhood illnesses and death globally. </w:t>
      </w:r>
      <w:r w:rsidR="007E250E" w:rsidRPr="00015C67">
        <w:t>Globally, immunization has saved over 20 million lives in the last two decades, and with more than 100 million infants being immunized each year, about 3 million lives are saved annually in th</w:t>
      </w:r>
      <w:r w:rsidR="008233E1" w:rsidRPr="00015C67">
        <w:t xml:space="preserve">e world (Eugene et al., 2015; </w:t>
      </w:r>
      <w:r w:rsidR="007E250E" w:rsidRPr="00015C67">
        <w:t>CDC</w:t>
      </w:r>
      <w:r w:rsidR="006A67AD" w:rsidRPr="00015C67">
        <w:t>,</w:t>
      </w:r>
      <w:r w:rsidR="007E250E" w:rsidRPr="00015C67">
        <w:t xml:space="preserve"> 2018). </w:t>
      </w:r>
      <w:r w:rsidR="000949AF" w:rsidRPr="00015C67">
        <w:t>Known</w:t>
      </w:r>
      <w:r w:rsidR="00BE00FD" w:rsidRPr="00015C67">
        <w:t xml:space="preserve"> to be polio-endemic globally after the certification of Nigeria as free of wild poliov</w:t>
      </w:r>
      <w:r w:rsidR="00E10A30" w:rsidRPr="00015C67">
        <w:t xml:space="preserve">irus (WPV) in August 2020 (WHO </w:t>
      </w:r>
      <w:r w:rsidR="00BE00FD" w:rsidRPr="00015C67">
        <w:t xml:space="preserve">2021). </w:t>
      </w:r>
      <w:r w:rsidR="001479C1">
        <w:t xml:space="preserve">The Global Polio Eradication Initiative (GPEI) sent out an urgent call declaring that every government, every community, and all other stakeholders should take </w:t>
      </w:r>
      <w:r w:rsidR="001479C1">
        <w:lastRenderedPageBreak/>
        <w:t>responsibility and accountability for their actions as eradication is at high risk of derailment. It is through such encouragement that nations and stakeholders will optimally work towards sustainability. - implications and limitations.</w:t>
      </w:r>
    </w:p>
    <w:p w14:paraId="68859FC2" w14:textId="77777777" w:rsidR="001479C1" w:rsidRDefault="001479C1" w:rsidP="001479C1">
      <w:pPr>
        <w:pStyle w:val="NormalWeb"/>
        <w:jc w:val="both"/>
      </w:pPr>
      <w:r>
        <w:t>Equally important, this intervention contributed to a decrease in the number of recorded Polio incidences including other vaccine-preventable diseases. Afghanistan and Pakistan are the only countries without reported cases of polio while immunization coverage remains low in most African countries. Most African countries, however, face the challenge of high rates of un-immunized children. This is despite the fact that vaccines are available and immunization programs have b</w:t>
      </w:r>
      <w:r w:rsidR="001A402F">
        <w:t xml:space="preserve">een put in place. </w:t>
      </w:r>
      <w:r>
        <w:t>South Africa has taken progressive policy and programmatic steps towards implementing childhood immunization. Nigeria, on the other hand, cannot boast of similar achievements. In Nigeria, routine immunization coverage remains below the target mainly because of various sociocultural, econo</w:t>
      </w:r>
      <w:r w:rsidR="001A402F">
        <w:t xml:space="preserve">mic and infrastructural issues. </w:t>
      </w:r>
      <w:r>
        <w:t>This is especially the case in marginalized and underserved areas such as rural and peri-urban areas including the Ika south local government area of Delta state where children under five years of age are at high risk of diseases that are largely preventable.</w:t>
      </w:r>
      <w:r w:rsidR="001A402F">
        <w:t xml:space="preserve"> </w:t>
      </w:r>
      <w:r>
        <w:t>Vaccination, however, continues to be a top challenge when looking at the demographic indicators in Nigeria. The result of the study also though free of charge; indicated that indeed most of the mothers were not getting their children vaccinated because of unknown reasons rather than costs. The clinic attendants, on one hand, had a higher rate of polite refusal to vaccination than the community members on the other hand.</w:t>
      </w:r>
    </w:p>
    <w:p w14:paraId="694EBD40" w14:textId="77777777" w:rsidR="001479C1" w:rsidRDefault="001479C1" w:rsidP="001479C1">
      <w:pPr>
        <w:pStyle w:val="NormalWeb"/>
        <w:jc w:val="both"/>
      </w:pPr>
      <w:r>
        <w:t>The uptake of vaccinations is also significantly affected by gender relations, especially considering that it is primarily the mother who cares for the child and therefore, in the case of vaccination, the mother may face multiple access related risks during the vaccination process. It has been reported in different quarters that women, particular those in rural populaces, have little or no autonomy and cannot move freely to decide the health of the children they have (Bruni et al. 2021). The role of fathers in supporting child welfare, more so in administration of child vaccination, is not substantial which is more marginalizes gender differences in immunization coverage (</w:t>
      </w:r>
      <w:proofErr w:type="spellStart"/>
      <w:r>
        <w:t>Mayerová</w:t>
      </w:r>
      <w:proofErr w:type="spellEnd"/>
      <w:r>
        <w:t xml:space="preserve"> &amp; Abbas, 2021). In the Ika South Local Government Area in Delta State, the availability of trained health personnel also has consequences on adherence to the immunization schedule provided. Study conducted in various regions in Nigeria </w:t>
      </w:r>
      <w:proofErr w:type="spellStart"/>
      <w:r>
        <w:t>emphasised</w:t>
      </w:r>
      <w:proofErr w:type="spellEnd"/>
      <w:r>
        <w:t xml:space="preserve"> that how the health workers approached the clients influenced the </w:t>
      </w:r>
      <w:proofErr w:type="gramStart"/>
      <w:r>
        <w:t>parents</w:t>
      </w:r>
      <w:proofErr w:type="gramEnd"/>
      <w:r>
        <w:t xml:space="preserve"> willingness to bring their children to the facility the next time for further </w:t>
      </w:r>
      <w:proofErr w:type="spellStart"/>
      <w:r>
        <w:t>immunisation</w:t>
      </w:r>
      <w:proofErr w:type="spellEnd"/>
      <w:r>
        <w:t xml:space="preserve"> services (</w:t>
      </w:r>
      <w:proofErr w:type="spellStart"/>
      <w:r>
        <w:t>Olufadewa</w:t>
      </w:r>
      <w:proofErr w:type="spellEnd"/>
      <w:r>
        <w:t xml:space="preserve"> et al., 2024). Rebellion against the guardians, negative attitudes of the caregivers and, lack of knowledge could also cause the guardians not to adhere to the vaccination schedule with the latter scenario increasing cases of incomplete vaccination in children.</w:t>
      </w:r>
    </w:p>
    <w:p w14:paraId="0CBF300C" w14:textId="77777777" w:rsidR="00BB329A" w:rsidRPr="00015C67" w:rsidRDefault="00F37CAF" w:rsidP="001479C1">
      <w:pPr>
        <w:pStyle w:val="NormalWeb"/>
        <w:jc w:val="both"/>
        <w:rPr>
          <w:b/>
        </w:rPr>
      </w:pPr>
      <w:r w:rsidRPr="00015C67">
        <w:t xml:space="preserve">In </w:t>
      </w:r>
      <w:r w:rsidR="005F2CA1" w:rsidRPr="00015C67">
        <w:t>Ika South Local Government Area, Delta State</w:t>
      </w:r>
      <w:r w:rsidRPr="00015C67">
        <w:t>, the availability of vaccines in local health facilities is critical for ensuring consistent immunization coverage.</w:t>
      </w:r>
      <w:r w:rsidR="0014210B" w:rsidRPr="00015C67">
        <w:t xml:space="preserve"> </w:t>
      </w:r>
      <w:r w:rsidRPr="00015C67">
        <w:t>Finally, the role of health information systems and community health workers in tracking immunization records is essential in improving vaccine coverage. Accurate and timely tracking of immunization data enables health systems to identify gaps in vaccination coverage and target interventions more effectively (</w:t>
      </w:r>
      <w:proofErr w:type="spellStart"/>
      <w:r w:rsidRPr="00015C67">
        <w:t>Isezuo</w:t>
      </w:r>
      <w:proofErr w:type="spellEnd"/>
      <w:r w:rsidRPr="00015C67">
        <w:t xml:space="preserve">, 2022). In </w:t>
      </w:r>
      <w:r w:rsidR="005F2CA1" w:rsidRPr="00015C67">
        <w:t>Ika South Local Government Area, Delta State</w:t>
      </w:r>
      <w:r w:rsidRPr="00015C67">
        <w:t>, strengthening the data collection process and ensuring that community health workers are adequately trained could improve the efficiency of immunization programs.</w:t>
      </w:r>
    </w:p>
    <w:p w14:paraId="1DA2F023" w14:textId="77777777" w:rsidR="00F37CAF" w:rsidRPr="00015C67" w:rsidRDefault="006D654A" w:rsidP="00B1165D">
      <w:pPr>
        <w:pStyle w:val="NormalWeb"/>
        <w:jc w:val="both"/>
        <w:rPr>
          <w:b/>
        </w:rPr>
      </w:pPr>
      <w:r w:rsidRPr="00015C67">
        <w:rPr>
          <w:b/>
        </w:rPr>
        <w:lastRenderedPageBreak/>
        <w:t xml:space="preserve">1.3 </w:t>
      </w:r>
      <w:r w:rsidR="0016499B" w:rsidRPr="00015C67">
        <w:rPr>
          <w:b/>
        </w:rPr>
        <w:t xml:space="preserve">Aim and objectives of the study </w:t>
      </w:r>
    </w:p>
    <w:p w14:paraId="0EE335E6" w14:textId="77777777" w:rsidR="0016499B" w:rsidRPr="00015C67" w:rsidRDefault="0016499B" w:rsidP="00B1165D">
      <w:pPr>
        <w:pStyle w:val="NormalWeb"/>
        <w:jc w:val="both"/>
      </w:pPr>
      <w:r w:rsidRPr="00015C67">
        <w:t xml:space="preserve">The study </w:t>
      </w:r>
      <w:proofErr w:type="gramStart"/>
      <w:r w:rsidRPr="00015C67">
        <w:t>aim</w:t>
      </w:r>
      <w:proofErr w:type="gramEnd"/>
      <w:r w:rsidRPr="00015C67">
        <w:t xml:space="preserve"> to investigate Determinants of Immunization Uptake among Children under Five, In </w:t>
      </w:r>
      <w:r w:rsidR="005F2CA1" w:rsidRPr="00015C67">
        <w:t>Ika South Local Government Area, Delta State</w:t>
      </w:r>
      <w:r w:rsidRPr="00015C67">
        <w:rPr>
          <w:b/>
        </w:rPr>
        <w:t xml:space="preserve">. </w:t>
      </w:r>
      <w:r w:rsidRPr="00015C67">
        <w:t>The specific objectives are to;</w:t>
      </w:r>
    </w:p>
    <w:p w14:paraId="3D978176" w14:textId="77777777" w:rsidR="0016499B" w:rsidRPr="00015C67" w:rsidRDefault="00A75B73" w:rsidP="00B1165D">
      <w:pPr>
        <w:pStyle w:val="NormalWeb"/>
        <w:numPr>
          <w:ilvl w:val="0"/>
          <w:numId w:val="1"/>
        </w:numPr>
        <w:jc w:val="both"/>
      </w:pPr>
      <w:r w:rsidRPr="00015C67">
        <w:t>Ascertain l</w:t>
      </w:r>
      <w:r w:rsidR="009E7D88" w:rsidRPr="00015C67">
        <w:t xml:space="preserve">evel of Immunization Uptake among Children under Five, In </w:t>
      </w:r>
      <w:r w:rsidR="005F2CA1" w:rsidRPr="00015C67">
        <w:t>Ika South Local Government Area, Delta State</w:t>
      </w:r>
      <w:r w:rsidR="009E7D88" w:rsidRPr="00015C67">
        <w:rPr>
          <w:b/>
        </w:rPr>
        <w:t>.</w:t>
      </w:r>
    </w:p>
    <w:p w14:paraId="784E5B96" w14:textId="77777777" w:rsidR="00A75B73" w:rsidRPr="00015C67" w:rsidRDefault="00A75B73" w:rsidP="00B1165D">
      <w:pPr>
        <w:pStyle w:val="NormalWeb"/>
        <w:numPr>
          <w:ilvl w:val="0"/>
          <w:numId w:val="1"/>
        </w:numPr>
        <w:jc w:val="both"/>
      </w:pPr>
      <w:r w:rsidRPr="00015C67">
        <w:t xml:space="preserve">Determine the level of accessibility of immunization service among children under five in </w:t>
      </w:r>
      <w:r w:rsidR="005F2CA1" w:rsidRPr="00015C67">
        <w:t>Ika South Local Government Area, Delta State</w:t>
      </w:r>
      <w:r w:rsidRPr="00015C67">
        <w:t>.</w:t>
      </w:r>
    </w:p>
    <w:p w14:paraId="711C93E2" w14:textId="77777777" w:rsidR="008F7A9C" w:rsidRPr="00015C67" w:rsidRDefault="008F7A9C" w:rsidP="00B1165D">
      <w:pPr>
        <w:spacing w:after="0" w:line="240" w:lineRule="auto"/>
        <w:ind w:right="36"/>
        <w:jc w:val="both"/>
        <w:rPr>
          <w:rFonts w:ascii="Times New Roman" w:hAnsi="Times New Roman" w:cs="Times New Roman"/>
          <w:b/>
          <w:sz w:val="24"/>
          <w:szCs w:val="24"/>
        </w:rPr>
      </w:pPr>
      <w:r w:rsidRPr="00015C67">
        <w:rPr>
          <w:rFonts w:ascii="Times New Roman" w:hAnsi="Times New Roman" w:cs="Times New Roman"/>
          <w:b/>
          <w:sz w:val="24"/>
          <w:szCs w:val="24"/>
        </w:rPr>
        <w:t>METHODOLOGY</w:t>
      </w:r>
    </w:p>
    <w:p w14:paraId="706231D2" w14:textId="77777777" w:rsidR="008F7A9C" w:rsidRPr="00015C67" w:rsidRDefault="008F7A9C" w:rsidP="00B1165D">
      <w:pPr>
        <w:spacing w:line="240" w:lineRule="auto"/>
        <w:jc w:val="both"/>
        <w:rPr>
          <w:rFonts w:ascii="Times New Roman" w:hAnsi="Times New Roman" w:cs="Times New Roman"/>
          <w:sz w:val="24"/>
          <w:szCs w:val="24"/>
        </w:rPr>
      </w:pPr>
      <w:r w:rsidRPr="00015C67">
        <w:rPr>
          <w:rFonts w:ascii="Times New Roman" w:eastAsia="Times New Roman" w:hAnsi="Times New Roman" w:cs="Times New Roman"/>
          <w:sz w:val="24"/>
          <w:szCs w:val="24"/>
        </w:rPr>
        <w:t xml:space="preserve">This study was </w:t>
      </w:r>
      <w:proofErr w:type="gramStart"/>
      <w:r w:rsidRPr="00015C67">
        <w:rPr>
          <w:rFonts w:ascii="Times New Roman" w:eastAsia="Times New Roman" w:hAnsi="Times New Roman" w:cs="Times New Roman"/>
          <w:sz w:val="24"/>
          <w:szCs w:val="24"/>
        </w:rPr>
        <w:t>use</w:t>
      </w:r>
      <w:proofErr w:type="gramEnd"/>
      <w:r w:rsidRPr="00015C67">
        <w:rPr>
          <w:rFonts w:ascii="Times New Roman" w:eastAsia="Times New Roman" w:hAnsi="Times New Roman" w:cs="Times New Roman"/>
          <w:sz w:val="24"/>
          <w:szCs w:val="24"/>
        </w:rPr>
        <w:t xml:space="preserve"> a descriptive survey research approach. </w:t>
      </w:r>
      <w:r w:rsidR="00156031" w:rsidRPr="00015C67">
        <w:rPr>
          <w:rFonts w:ascii="Times New Roman" w:hAnsi="Times New Roman" w:cs="Times New Roman"/>
          <w:sz w:val="24"/>
          <w:szCs w:val="24"/>
        </w:rPr>
        <w:t xml:space="preserve">The population of the study </w:t>
      </w:r>
      <w:r w:rsidRPr="00015C67">
        <w:rPr>
          <w:rFonts w:ascii="Times New Roman" w:hAnsi="Times New Roman" w:cs="Times New Roman"/>
          <w:sz w:val="24"/>
          <w:szCs w:val="24"/>
        </w:rPr>
        <w:t>consist</w:t>
      </w:r>
      <w:r w:rsidR="00673150" w:rsidRPr="00015C67">
        <w:rPr>
          <w:rFonts w:ascii="Times New Roman" w:hAnsi="Times New Roman" w:cs="Times New Roman"/>
          <w:sz w:val="24"/>
          <w:szCs w:val="24"/>
        </w:rPr>
        <w:t>ed</w:t>
      </w:r>
      <w:r w:rsidRPr="00015C67">
        <w:rPr>
          <w:rFonts w:ascii="Times New Roman" w:hAnsi="Times New Roman" w:cs="Times New Roman"/>
          <w:sz w:val="24"/>
          <w:szCs w:val="24"/>
        </w:rPr>
        <w:t xml:space="preserve"> all </w:t>
      </w:r>
      <w:r w:rsidR="00156031" w:rsidRPr="00015C67">
        <w:rPr>
          <w:rFonts w:ascii="Times New Roman" w:hAnsi="Times New Roman" w:cs="Times New Roman"/>
          <w:sz w:val="24"/>
          <w:szCs w:val="24"/>
        </w:rPr>
        <w:t xml:space="preserve">Mother and caregivers in </w:t>
      </w:r>
      <w:r w:rsidR="005F2CA1" w:rsidRPr="00015C67">
        <w:rPr>
          <w:rFonts w:ascii="Times New Roman" w:hAnsi="Times New Roman" w:cs="Times New Roman"/>
          <w:sz w:val="24"/>
          <w:szCs w:val="24"/>
        </w:rPr>
        <w:t>Ika South Local Government Area, Delta State</w:t>
      </w:r>
      <w:r w:rsidRPr="00015C67">
        <w:rPr>
          <w:rFonts w:ascii="Times New Roman" w:hAnsi="Times New Roman" w:cs="Times New Roman"/>
          <w:sz w:val="24"/>
          <w:szCs w:val="24"/>
        </w:rPr>
        <w:t xml:space="preserve">. A pilot study revealed that there are 5000 </w:t>
      </w:r>
      <w:r w:rsidR="00230897" w:rsidRPr="00015C67">
        <w:rPr>
          <w:rFonts w:ascii="Times New Roman" w:hAnsi="Times New Roman" w:cs="Times New Roman"/>
          <w:sz w:val="24"/>
          <w:szCs w:val="24"/>
        </w:rPr>
        <w:t xml:space="preserve">Mother and caregivers in </w:t>
      </w:r>
      <w:r w:rsidR="005F2CA1" w:rsidRPr="00015C67">
        <w:rPr>
          <w:rFonts w:ascii="Times New Roman" w:hAnsi="Times New Roman" w:cs="Times New Roman"/>
          <w:sz w:val="24"/>
          <w:szCs w:val="24"/>
        </w:rPr>
        <w:t>Ika South Local Government Area, Delta State</w:t>
      </w:r>
      <w:r w:rsidRPr="00015C67">
        <w:rPr>
          <w:rFonts w:ascii="Times New Roman" w:hAnsi="Times New Roman" w:cs="Times New Roman"/>
          <w:sz w:val="24"/>
          <w:szCs w:val="24"/>
        </w:rPr>
        <w:t>.</w:t>
      </w:r>
      <w:r w:rsidR="00E23F04" w:rsidRPr="00015C67">
        <w:rPr>
          <w:rFonts w:ascii="Times New Roman" w:hAnsi="Times New Roman" w:cs="Times New Roman"/>
          <w:sz w:val="24"/>
          <w:szCs w:val="24"/>
        </w:rPr>
        <w:t xml:space="preserve"> </w:t>
      </w:r>
      <w:r w:rsidRPr="00015C67">
        <w:rPr>
          <w:rFonts w:ascii="Times New Roman" w:hAnsi="Times New Roman" w:cs="Times New Roman"/>
          <w:sz w:val="24"/>
          <w:szCs w:val="24"/>
        </w:rPr>
        <w:t xml:space="preserve">Taro Yamane sample size determination were used to select </w:t>
      </w:r>
      <w:r w:rsidRPr="00015C67">
        <w:rPr>
          <w:rFonts w:ascii="Times New Roman" w:eastAsiaTheme="minorEastAsia" w:hAnsi="Times New Roman" w:cs="Times New Roman"/>
          <w:sz w:val="24"/>
          <w:szCs w:val="24"/>
        </w:rPr>
        <w:t>370</w:t>
      </w:r>
      <w:r w:rsidRPr="00015C67">
        <w:rPr>
          <w:rFonts w:ascii="Times New Roman" w:hAnsi="Times New Roman" w:cs="Times New Roman"/>
          <w:sz w:val="24"/>
          <w:szCs w:val="24"/>
        </w:rPr>
        <w:t xml:space="preserve"> </w:t>
      </w:r>
      <w:r w:rsidR="00230897" w:rsidRPr="00015C67">
        <w:rPr>
          <w:rFonts w:ascii="Times New Roman" w:hAnsi="Times New Roman" w:cs="Times New Roman"/>
          <w:sz w:val="24"/>
          <w:szCs w:val="24"/>
        </w:rPr>
        <w:t xml:space="preserve">Mothers and caregivers </w:t>
      </w:r>
      <w:r w:rsidRPr="00015C67">
        <w:rPr>
          <w:rFonts w:ascii="Times New Roman" w:hAnsi="Times New Roman" w:cs="Times New Roman"/>
          <w:sz w:val="24"/>
          <w:szCs w:val="24"/>
        </w:rPr>
        <w:t xml:space="preserve">from a total population of 5000 </w:t>
      </w:r>
      <w:r w:rsidR="00230897" w:rsidRPr="00015C67">
        <w:rPr>
          <w:rFonts w:ascii="Times New Roman" w:hAnsi="Times New Roman" w:cs="Times New Roman"/>
          <w:sz w:val="24"/>
          <w:szCs w:val="24"/>
        </w:rPr>
        <w:t>Mothers and caregivers</w:t>
      </w:r>
      <w:r w:rsidRPr="00015C67">
        <w:rPr>
          <w:rFonts w:ascii="Times New Roman" w:hAnsi="Times New Roman" w:cs="Times New Roman"/>
          <w:sz w:val="24"/>
          <w:szCs w:val="24"/>
        </w:rPr>
        <w:t>.</w:t>
      </w:r>
    </w:p>
    <w:p w14:paraId="021E34B6" w14:textId="77777777" w:rsidR="008F7A9C" w:rsidRPr="00015C67" w:rsidRDefault="008F7A9C" w:rsidP="00B1165D">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N</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K+N(e)</m:t>
                  </m:r>
                </m:e>
                <m:sup>
                  <m:r>
                    <m:rPr>
                      <m:sty m:val="p"/>
                    </m:rPr>
                    <w:rPr>
                      <w:rFonts w:ascii="Cambria Math" w:hAnsi="Cambria Math" w:cs="Times New Roman"/>
                      <w:sz w:val="24"/>
                      <w:szCs w:val="24"/>
                    </w:rPr>
                    <m:t>2</m:t>
                  </m:r>
                </m:sup>
              </m:sSup>
            </m:den>
          </m:f>
        </m:oMath>
      </m:oMathPara>
    </w:p>
    <w:p w14:paraId="5BD8E17D" w14:textId="77777777" w:rsidR="008F7A9C" w:rsidRPr="00015C67" w:rsidRDefault="008F7A9C" w:rsidP="00B1165D">
      <w:pPr>
        <w:spacing w:line="240" w:lineRule="auto"/>
        <w:jc w:val="both"/>
        <w:rPr>
          <w:rFonts w:ascii="Times New Roman" w:eastAsiaTheme="minorEastAsia" w:hAnsi="Times New Roman" w:cs="Times New Roman"/>
          <w:sz w:val="24"/>
          <w:szCs w:val="24"/>
        </w:rPr>
      </w:pPr>
      <w:r w:rsidRPr="00015C67">
        <w:rPr>
          <w:rFonts w:ascii="Times New Roman" w:eastAsiaTheme="minorEastAsia" w:hAnsi="Times New Roman" w:cs="Times New Roman"/>
          <w:sz w:val="24"/>
          <w:szCs w:val="24"/>
        </w:rPr>
        <w:t>Where:</w:t>
      </w:r>
    </w:p>
    <w:p w14:paraId="2A4F5B2B" w14:textId="77777777" w:rsidR="008F7A9C" w:rsidRPr="00015C67" w:rsidRDefault="008F7A9C" w:rsidP="00B1165D">
      <w:pPr>
        <w:spacing w:line="240" w:lineRule="auto"/>
        <w:jc w:val="both"/>
        <w:rPr>
          <w:rFonts w:ascii="Times New Roman" w:eastAsiaTheme="minorEastAsia" w:hAnsi="Times New Roman" w:cs="Times New Roman"/>
          <w:sz w:val="24"/>
          <w:szCs w:val="24"/>
        </w:rPr>
      </w:pPr>
      <w:r w:rsidRPr="00015C67">
        <w:rPr>
          <w:rFonts w:ascii="Times New Roman" w:eastAsiaTheme="minorEastAsia" w:hAnsi="Times New Roman" w:cs="Times New Roman"/>
          <w:sz w:val="24"/>
          <w:szCs w:val="24"/>
        </w:rPr>
        <w:t xml:space="preserve">n = Sample size </w:t>
      </w:r>
    </w:p>
    <w:p w14:paraId="41695A89" w14:textId="77777777" w:rsidR="008F7A9C" w:rsidRPr="00015C67" w:rsidRDefault="008F7A9C" w:rsidP="00B1165D">
      <w:pPr>
        <w:spacing w:line="240" w:lineRule="auto"/>
        <w:jc w:val="both"/>
        <w:rPr>
          <w:rFonts w:ascii="Times New Roman" w:eastAsiaTheme="minorEastAsia" w:hAnsi="Times New Roman" w:cs="Times New Roman"/>
          <w:sz w:val="24"/>
          <w:szCs w:val="24"/>
        </w:rPr>
      </w:pPr>
      <w:r w:rsidRPr="00015C67">
        <w:rPr>
          <w:rFonts w:ascii="Times New Roman" w:eastAsiaTheme="minorEastAsia" w:hAnsi="Times New Roman" w:cs="Times New Roman"/>
          <w:sz w:val="24"/>
          <w:szCs w:val="24"/>
        </w:rPr>
        <w:t>K = Constant = 1</w:t>
      </w:r>
    </w:p>
    <w:p w14:paraId="01C3126A" w14:textId="77777777" w:rsidR="008F7A9C" w:rsidRPr="00015C67" w:rsidRDefault="008F7A9C" w:rsidP="00B1165D">
      <w:pPr>
        <w:spacing w:line="240" w:lineRule="auto"/>
        <w:jc w:val="both"/>
        <w:rPr>
          <w:rFonts w:ascii="Times New Roman" w:eastAsiaTheme="minorEastAsia" w:hAnsi="Times New Roman" w:cs="Times New Roman"/>
          <w:sz w:val="24"/>
          <w:szCs w:val="24"/>
        </w:rPr>
      </w:pPr>
      <w:r w:rsidRPr="00015C67">
        <w:rPr>
          <w:rFonts w:ascii="Times New Roman" w:eastAsiaTheme="minorEastAsia" w:hAnsi="Times New Roman" w:cs="Times New Roman"/>
          <w:sz w:val="24"/>
          <w:szCs w:val="24"/>
        </w:rPr>
        <w:t xml:space="preserve">N = Population </w:t>
      </w:r>
    </w:p>
    <w:p w14:paraId="33A61B6A" w14:textId="77777777" w:rsidR="008F7A9C" w:rsidRPr="00015C67" w:rsidRDefault="008F7A9C" w:rsidP="00B1165D">
      <w:pPr>
        <w:spacing w:line="240" w:lineRule="auto"/>
        <w:jc w:val="both"/>
        <w:rPr>
          <w:rFonts w:ascii="Times New Roman" w:eastAsiaTheme="minorEastAsia" w:hAnsi="Times New Roman" w:cs="Times New Roman"/>
          <w:sz w:val="24"/>
          <w:szCs w:val="24"/>
        </w:rPr>
      </w:pPr>
      <w:r w:rsidRPr="00015C67">
        <w:rPr>
          <w:rFonts w:ascii="Times New Roman" w:eastAsiaTheme="minorEastAsia" w:hAnsi="Times New Roman" w:cs="Times New Roman"/>
          <w:sz w:val="24"/>
          <w:szCs w:val="24"/>
        </w:rPr>
        <w:t>e</w:t>
      </w:r>
      <w:r w:rsidRPr="00015C67">
        <w:rPr>
          <w:rFonts w:ascii="Times New Roman" w:eastAsiaTheme="minorEastAsia" w:hAnsi="Times New Roman" w:cs="Times New Roman"/>
          <w:sz w:val="24"/>
          <w:szCs w:val="24"/>
          <w:vertAlign w:val="superscript"/>
        </w:rPr>
        <w:t>2</w:t>
      </w:r>
      <w:r w:rsidRPr="00015C67">
        <w:rPr>
          <w:rFonts w:ascii="Times New Roman" w:eastAsiaTheme="minorEastAsia" w:hAnsi="Times New Roman" w:cs="Times New Roman"/>
          <w:sz w:val="24"/>
          <w:szCs w:val="24"/>
        </w:rPr>
        <w:t xml:space="preserve"> = Degree of Precision, was taken to be 5% (0.05)</w:t>
      </w:r>
    </w:p>
    <w:p w14:paraId="0676801D" w14:textId="77777777" w:rsidR="008F7A9C" w:rsidRPr="00015C67" w:rsidRDefault="008F7A9C" w:rsidP="00B1165D">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5000</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1+5000(0.05)</m:t>
                  </m:r>
                </m:e>
                <m:sup>
                  <m:r>
                    <m:rPr>
                      <m:sty m:val="p"/>
                    </m:rPr>
                    <w:rPr>
                      <w:rFonts w:ascii="Cambria Math" w:hAnsi="Cambria Math" w:cs="Times New Roman"/>
                      <w:sz w:val="24"/>
                      <w:szCs w:val="24"/>
                    </w:rPr>
                    <m:t>2</m:t>
                  </m:r>
                </m:sup>
              </m:sSup>
            </m:den>
          </m:f>
        </m:oMath>
      </m:oMathPara>
    </w:p>
    <w:p w14:paraId="0B1D9169" w14:textId="77777777" w:rsidR="008F7A9C" w:rsidRPr="00015C67" w:rsidRDefault="008F7A9C" w:rsidP="00B1165D">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5000</m:t>
              </m:r>
            </m:num>
            <m:den>
              <m:r>
                <w:rPr>
                  <w:rFonts w:ascii="Cambria Math" w:hAnsi="Cambria Math" w:cs="Times New Roman"/>
                  <w:sz w:val="24"/>
                  <w:szCs w:val="24"/>
                </w:rPr>
                <m:t>13.50</m:t>
              </m:r>
            </m:den>
          </m:f>
        </m:oMath>
      </m:oMathPara>
    </w:p>
    <w:p w14:paraId="08601774" w14:textId="77777777" w:rsidR="008F7A9C" w:rsidRPr="00015C67" w:rsidRDefault="008F7A9C" w:rsidP="00B1165D">
      <w:pPr>
        <w:spacing w:line="240" w:lineRule="auto"/>
        <w:jc w:val="both"/>
        <w:rPr>
          <w:rFonts w:ascii="Times New Roman" w:eastAsiaTheme="minorEastAsia" w:hAnsi="Times New Roman" w:cs="Times New Roman"/>
          <w:sz w:val="24"/>
          <w:szCs w:val="24"/>
        </w:rPr>
      </w:pPr>
      <w:r w:rsidRPr="00015C67">
        <w:rPr>
          <w:rFonts w:ascii="Times New Roman" w:eastAsiaTheme="minorEastAsia" w:hAnsi="Times New Roman" w:cs="Times New Roman"/>
          <w:sz w:val="24"/>
          <w:szCs w:val="24"/>
        </w:rPr>
        <w:t>= 370</w:t>
      </w:r>
    </w:p>
    <w:p w14:paraId="69707A5B" w14:textId="77777777" w:rsidR="008F7A9C" w:rsidRPr="00015C67" w:rsidRDefault="008F7A9C" w:rsidP="00B1165D">
      <w:pPr>
        <w:spacing w:line="240" w:lineRule="auto"/>
        <w:jc w:val="both"/>
        <w:rPr>
          <w:rFonts w:ascii="Times New Roman" w:eastAsiaTheme="minorEastAsia" w:hAnsi="Times New Roman" w:cs="Times New Roman"/>
          <w:sz w:val="24"/>
          <w:szCs w:val="24"/>
        </w:rPr>
      </w:pPr>
      <w:r w:rsidRPr="00015C67">
        <w:rPr>
          <w:rFonts w:ascii="Times New Roman" w:eastAsiaTheme="minorEastAsia" w:hAnsi="Times New Roman" w:cs="Times New Roman"/>
          <w:sz w:val="24"/>
          <w:szCs w:val="24"/>
        </w:rPr>
        <w:t xml:space="preserve">A 10% attrition of 37 respondents </w:t>
      </w:r>
      <w:r w:rsidR="00DF1555" w:rsidRPr="00015C67">
        <w:rPr>
          <w:rFonts w:ascii="Times New Roman" w:eastAsiaTheme="minorEastAsia" w:hAnsi="Times New Roman" w:cs="Times New Roman"/>
          <w:sz w:val="24"/>
          <w:szCs w:val="24"/>
        </w:rPr>
        <w:t>was</w:t>
      </w:r>
      <w:r w:rsidRPr="00015C67">
        <w:rPr>
          <w:rFonts w:ascii="Times New Roman" w:eastAsiaTheme="minorEastAsia" w:hAnsi="Times New Roman" w:cs="Times New Roman"/>
          <w:sz w:val="24"/>
          <w:szCs w:val="24"/>
        </w:rPr>
        <w:t xml:space="preserve"> added </w:t>
      </w:r>
    </w:p>
    <w:p w14:paraId="1B12DE43" w14:textId="77777777" w:rsidR="008F7A9C" w:rsidRPr="00015C67" w:rsidRDefault="008F7A9C" w:rsidP="00B1165D">
      <w:pPr>
        <w:spacing w:line="240" w:lineRule="auto"/>
        <w:jc w:val="both"/>
        <w:rPr>
          <w:rFonts w:ascii="Times New Roman" w:eastAsiaTheme="minorEastAsia" w:hAnsi="Times New Roman" w:cs="Times New Roman"/>
          <w:sz w:val="24"/>
          <w:szCs w:val="24"/>
        </w:rPr>
      </w:pPr>
      <w:r w:rsidRPr="00015C67">
        <w:rPr>
          <w:rFonts w:ascii="Times New Roman" w:eastAsiaTheme="minorEastAsia" w:hAnsi="Times New Roman" w:cs="Times New Roman"/>
          <w:sz w:val="24"/>
          <w:szCs w:val="24"/>
        </w:rPr>
        <w:t>Therefore n = 370 + 37 = 407</w:t>
      </w:r>
    </w:p>
    <w:p w14:paraId="3DE564B7" w14:textId="77777777" w:rsidR="008F7A9C" w:rsidRPr="00015C67" w:rsidRDefault="008F7A9C" w:rsidP="00B1165D">
      <w:pPr>
        <w:spacing w:line="240" w:lineRule="auto"/>
        <w:jc w:val="both"/>
        <w:rPr>
          <w:rFonts w:ascii="Times New Roman" w:hAnsi="Times New Roman" w:cs="Times New Roman"/>
          <w:sz w:val="24"/>
          <w:szCs w:val="24"/>
        </w:rPr>
      </w:pPr>
      <w:r w:rsidRPr="00015C67">
        <w:rPr>
          <w:rFonts w:ascii="Times New Roman" w:eastAsiaTheme="minorEastAsia" w:hAnsi="Times New Roman" w:cs="Times New Roman"/>
          <w:sz w:val="24"/>
          <w:szCs w:val="24"/>
        </w:rPr>
        <w:t xml:space="preserve">Random sampling technique was used to select the sample size. It a </w:t>
      </w:r>
      <w:r w:rsidRPr="00015C67">
        <w:rPr>
          <w:rStyle w:val="hgkelc"/>
          <w:rFonts w:ascii="Times New Roman" w:hAnsi="Times New Roman" w:cs="Times New Roman"/>
          <w:bCs/>
          <w:sz w:val="24"/>
          <w:szCs w:val="24"/>
        </w:rPr>
        <w:t>type of probability sampling in which the researcher randomly selects a subset of participants from a population</w:t>
      </w:r>
      <w:r w:rsidR="00E23F04" w:rsidRPr="00015C67">
        <w:rPr>
          <w:rFonts w:ascii="Times New Roman" w:eastAsiaTheme="minorEastAsia" w:hAnsi="Times New Roman" w:cs="Times New Roman"/>
          <w:sz w:val="24"/>
          <w:szCs w:val="24"/>
        </w:rPr>
        <w:t xml:space="preserve"> </w:t>
      </w:r>
      <w:r w:rsidRPr="00015C67">
        <w:rPr>
          <w:rFonts w:ascii="Times New Roman" w:hAnsi="Times New Roman" w:cs="Times New Roman"/>
          <w:sz w:val="24"/>
          <w:szCs w:val="24"/>
        </w:rPr>
        <w:t xml:space="preserve">The instrument for data collection was a structured questionnaire developed by the researcher. The questionnaire was divided into two (2) parts. The section A was </w:t>
      </w:r>
      <w:proofErr w:type="gramStart"/>
      <w:r w:rsidRPr="00015C67">
        <w:rPr>
          <w:rFonts w:ascii="Times New Roman" w:hAnsi="Times New Roman" w:cs="Times New Roman"/>
          <w:sz w:val="24"/>
          <w:szCs w:val="24"/>
        </w:rPr>
        <w:t>consist</w:t>
      </w:r>
      <w:proofErr w:type="gramEnd"/>
      <w:r w:rsidRPr="00015C67">
        <w:rPr>
          <w:rFonts w:ascii="Times New Roman" w:hAnsi="Times New Roman" w:cs="Times New Roman"/>
          <w:sz w:val="24"/>
          <w:szCs w:val="24"/>
        </w:rPr>
        <w:t xml:space="preserve"> of personal data while section B was </w:t>
      </w:r>
      <w:proofErr w:type="gramStart"/>
      <w:r w:rsidRPr="00015C67">
        <w:rPr>
          <w:rFonts w:ascii="Times New Roman" w:hAnsi="Times New Roman" w:cs="Times New Roman"/>
          <w:sz w:val="24"/>
          <w:szCs w:val="24"/>
        </w:rPr>
        <w:t>consist</w:t>
      </w:r>
      <w:proofErr w:type="gramEnd"/>
      <w:r w:rsidRPr="00015C67">
        <w:rPr>
          <w:rFonts w:ascii="Times New Roman" w:hAnsi="Times New Roman" w:cs="Times New Roman"/>
          <w:sz w:val="24"/>
          <w:szCs w:val="24"/>
        </w:rPr>
        <w:t xml:space="preserve"> of items designed to measure </w:t>
      </w:r>
      <w:r w:rsidR="00230897" w:rsidRPr="00015C67">
        <w:rPr>
          <w:rFonts w:ascii="Times New Roman" w:hAnsi="Times New Roman" w:cs="Times New Roman"/>
          <w:sz w:val="24"/>
          <w:szCs w:val="24"/>
        </w:rPr>
        <w:t xml:space="preserve">Determinants of Immunization Uptake among Children under Five, In </w:t>
      </w:r>
      <w:r w:rsidR="005F2CA1" w:rsidRPr="00015C67">
        <w:rPr>
          <w:rFonts w:ascii="Times New Roman" w:hAnsi="Times New Roman" w:cs="Times New Roman"/>
          <w:sz w:val="24"/>
          <w:szCs w:val="24"/>
        </w:rPr>
        <w:t>Ika South Local Government Area, Delta State</w:t>
      </w:r>
      <w:r w:rsidRPr="00015C67">
        <w:rPr>
          <w:rFonts w:ascii="Times New Roman" w:hAnsi="Times New Roman" w:cs="Times New Roman"/>
          <w:sz w:val="24"/>
          <w:szCs w:val="24"/>
        </w:rPr>
        <w:t>.</w:t>
      </w:r>
      <w:r w:rsidR="00E23F04" w:rsidRPr="00015C67">
        <w:rPr>
          <w:rFonts w:ascii="Times New Roman" w:eastAsiaTheme="minorEastAsia" w:hAnsi="Times New Roman" w:cs="Times New Roman"/>
          <w:sz w:val="24"/>
          <w:szCs w:val="24"/>
        </w:rPr>
        <w:t xml:space="preserve"> </w:t>
      </w:r>
      <w:r w:rsidRPr="00015C67">
        <w:rPr>
          <w:rFonts w:ascii="Times New Roman" w:hAnsi="Times New Roman" w:cs="Times New Roman"/>
          <w:sz w:val="24"/>
          <w:szCs w:val="24"/>
        </w:rPr>
        <w:t>In order to get a tang</w:t>
      </w:r>
      <w:r w:rsidR="00B71F0A" w:rsidRPr="00015C67">
        <w:rPr>
          <w:rFonts w:ascii="Times New Roman" w:hAnsi="Times New Roman" w:cs="Times New Roman"/>
          <w:sz w:val="24"/>
          <w:szCs w:val="24"/>
        </w:rPr>
        <w:t>ible result, the researcher</w:t>
      </w:r>
      <w:r w:rsidR="00230897" w:rsidRPr="00015C67">
        <w:rPr>
          <w:rFonts w:ascii="Times New Roman" w:hAnsi="Times New Roman" w:cs="Times New Roman"/>
          <w:sz w:val="24"/>
          <w:szCs w:val="24"/>
        </w:rPr>
        <w:t xml:space="preserve"> administer</w:t>
      </w:r>
      <w:r w:rsidR="00B71F0A" w:rsidRPr="00015C67">
        <w:rPr>
          <w:rFonts w:ascii="Times New Roman" w:hAnsi="Times New Roman" w:cs="Times New Roman"/>
          <w:sz w:val="24"/>
          <w:szCs w:val="24"/>
        </w:rPr>
        <w:t>ed</w:t>
      </w:r>
      <w:r w:rsidRPr="00015C67">
        <w:rPr>
          <w:rFonts w:ascii="Times New Roman" w:hAnsi="Times New Roman" w:cs="Times New Roman"/>
          <w:sz w:val="24"/>
          <w:szCs w:val="24"/>
        </w:rPr>
        <w:t xml:space="preserve"> the instrument by herself to the respondents and collect it after it has been filled by the respondents. The</w:t>
      </w:r>
      <w:r w:rsidR="006650E6" w:rsidRPr="00015C67">
        <w:rPr>
          <w:rFonts w:ascii="Times New Roman" w:hAnsi="Times New Roman" w:cs="Times New Roman"/>
          <w:sz w:val="24"/>
          <w:szCs w:val="24"/>
        </w:rPr>
        <w:t xml:space="preserve"> filling of the instrument</w:t>
      </w:r>
      <w:r w:rsidR="00230897" w:rsidRPr="00015C67">
        <w:rPr>
          <w:rFonts w:ascii="Times New Roman" w:hAnsi="Times New Roman" w:cs="Times New Roman"/>
          <w:sz w:val="24"/>
          <w:szCs w:val="24"/>
        </w:rPr>
        <w:t xml:space="preserve"> last</w:t>
      </w:r>
      <w:r w:rsidR="006650E6" w:rsidRPr="00015C67">
        <w:rPr>
          <w:rFonts w:ascii="Times New Roman" w:hAnsi="Times New Roman" w:cs="Times New Roman"/>
          <w:sz w:val="24"/>
          <w:szCs w:val="24"/>
        </w:rPr>
        <w:t>ed</w:t>
      </w:r>
      <w:r w:rsidRPr="00015C67">
        <w:rPr>
          <w:rFonts w:ascii="Times New Roman" w:hAnsi="Times New Roman" w:cs="Times New Roman"/>
          <w:sz w:val="24"/>
          <w:szCs w:val="24"/>
        </w:rPr>
        <w:t xml:space="preserve"> for 20 minutes. The researcher</w:t>
      </w:r>
      <w:r w:rsidR="00230897" w:rsidRPr="00015C67">
        <w:rPr>
          <w:rFonts w:ascii="Times New Roman" w:hAnsi="Times New Roman" w:cs="Times New Roman"/>
          <w:sz w:val="24"/>
          <w:szCs w:val="24"/>
        </w:rPr>
        <w:t xml:space="preserve"> collect</w:t>
      </w:r>
      <w:r w:rsidR="00FD1B06" w:rsidRPr="00015C67">
        <w:rPr>
          <w:rFonts w:ascii="Times New Roman" w:hAnsi="Times New Roman" w:cs="Times New Roman"/>
          <w:sz w:val="24"/>
          <w:szCs w:val="24"/>
        </w:rPr>
        <w:t>ed</w:t>
      </w:r>
      <w:r w:rsidRPr="00015C67">
        <w:rPr>
          <w:rFonts w:ascii="Times New Roman" w:hAnsi="Times New Roman" w:cs="Times New Roman"/>
          <w:sz w:val="24"/>
          <w:szCs w:val="24"/>
        </w:rPr>
        <w:t xml:space="preserve"> the instrument two days after the filling.</w:t>
      </w:r>
      <w:r w:rsidR="00E23F04" w:rsidRPr="00015C67">
        <w:rPr>
          <w:rFonts w:ascii="Times New Roman" w:hAnsi="Times New Roman" w:cs="Times New Roman"/>
          <w:sz w:val="24"/>
          <w:szCs w:val="24"/>
        </w:rPr>
        <w:t xml:space="preserve"> </w:t>
      </w:r>
      <w:r w:rsidRPr="00015C67">
        <w:rPr>
          <w:rFonts w:ascii="Times New Roman" w:hAnsi="Times New Roman" w:cs="Times New Roman"/>
          <w:sz w:val="24"/>
          <w:szCs w:val="24"/>
        </w:rPr>
        <w:t>The test-r</w:t>
      </w:r>
      <w:r w:rsidR="00412344" w:rsidRPr="00015C67">
        <w:rPr>
          <w:rFonts w:ascii="Times New Roman" w:hAnsi="Times New Roman" w:cs="Times New Roman"/>
          <w:sz w:val="24"/>
          <w:szCs w:val="24"/>
        </w:rPr>
        <w:t xml:space="preserve">etest </w:t>
      </w:r>
      <w:r w:rsidR="00412344" w:rsidRPr="00015C67">
        <w:rPr>
          <w:rFonts w:ascii="Times New Roman" w:hAnsi="Times New Roman" w:cs="Times New Roman"/>
          <w:sz w:val="24"/>
          <w:szCs w:val="24"/>
        </w:rPr>
        <w:lastRenderedPageBreak/>
        <w:t xml:space="preserve">reliability method </w:t>
      </w:r>
      <w:r w:rsidR="0085101A" w:rsidRPr="00015C67">
        <w:rPr>
          <w:rFonts w:ascii="Times New Roman" w:hAnsi="Times New Roman" w:cs="Times New Roman"/>
          <w:sz w:val="24"/>
          <w:szCs w:val="24"/>
        </w:rPr>
        <w:t>was</w:t>
      </w:r>
      <w:r w:rsidRPr="00015C67">
        <w:rPr>
          <w:rFonts w:ascii="Times New Roman" w:hAnsi="Times New Roman" w:cs="Times New Roman"/>
          <w:sz w:val="24"/>
          <w:szCs w:val="24"/>
        </w:rPr>
        <w:t xml:space="preserve"> employed to determine the reliability of the instruments. To ensure the consistency of the test res</w:t>
      </w:r>
      <w:r w:rsidR="008D0CBB" w:rsidRPr="00015C67">
        <w:rPr>
          <w:rFonts w:ascii="Times New Roman" w:hAnsi="Times New Roman" w:cs="Times New Roman"/>
          <w:sz w:val="24"/>
          <w:szCs w:val="24"/>
        </w:rPr>
        <w:t xml:space="preserve">ult the researcher distributed </w:t>
      </w:r>
      <w:r w:rsidRPr="00015C67">
        <w:rPr>
          <w:rFonts w:ascii="Times New Roman" w:hAnsi="Times New Roman" w:cs="Times New Roman"/>
          <w:sz w:val="24"/>
          <w:szCs w:val="24"/>
        </w:rPr>
        <w:t>40 copies of the instrument</w:t>
      </w:r>
      <w:r w:rsidR="00412344" w:rsidRPr="00015C67">
        <w:rPr>
          <w:rFonts w:ascii="Times New Roman" w:hAnsi="Times New Roman" w:cs="Times New Roman"/>
          <w:sz w:val="24"/>
          <w:szCs w:val="24"/>
        </w:rPr>
        <w:t xml:space="preserve"> to a set of respondents </w:t>
      </w:r>
      <w:r w:rsidR="000751E0" w:rsidRPr="00015C67">
        <w:rPr>
          <w:rFonts w:ascii="Times New Roman" w:hAnsi="Times New Roman" w:cs="Times New Roman"/>
          <w:sz w:val="24"/>
          <w:szCs w:val="24"/>
        </w:rPr>
        <w:t>in Ika South</w:t>
      </w:r>
      <w:r w:rsidRPr="00015C67">
        <w:rPr>
          <w:rFonts w:ascii="Times New Roman" w:hAnsi="Times New Roman" w:cs="Times New Roman"/>
          <w:sz w:val="24"/>
          <w:szCs w:val="24"/>
        </w:rPr>
        <w:t xml:space="preserve">, after two weeks the researcher </w:t>
      </w:r>
      <w:r w:rsidR="003B48CB" w:rsidRPr="00015C67">
        <w:rPr>
          <w:rFonts w:ascii="Times New Roman" w:hAnsi="Times New Roman" w:cs="Times New Roman"/>
          <w:sz w:val="24"/>
          <w:szCs w:val="24"/>
        </w:rPr>
        <w:t>was</w:t>
      </w:r>
      <w:r w:rsidRPr="00015C67">
        <w:rPr>
          <w:rFonts w:ascii="Times New Roman" w:hAnsi="Times New Roman" w:cs="Times New Roman"/>
          <w:sz w:val="24"/>
          <w:szCs w:val="24"/>
        </w:rPr>
        <w:t xml:space="preserve"> redistribute</w:t>
      </w:r>
      <w:r w:rsidR="003B48CB" w:rsidRPr="00015C67">
        <w:rPr>
          <w:rFonts w:ascii="Times New Roman" w:hAnsi="Times New Roman" w:cs="Times New Roman"/>
          <w:sz w:val="24"/>
          <w:szCs w:val="24"/>
        </w:rPr>
        <w:t>d</w:t>
      </w:r>
      <w:r w:rsidRPr="00015C67">
        <w:rPr>
          <w:rFonts w:ascii="Times New Roman" w:hAnsi="Times New Roman" w:cs="Times New Roman"/>
          <w:sz w:val="24"/>
          <w:szCs w:val="24"/>
        </w:rPr>
        <w:t xml:space="preserve"> the same instruments to the same sets of respondents. The two different responses </w:t>
      </w:r>
      <w:proofErr w:type="gramStart"/>
      <w:r w:rsidR="001158A3" w:rsidRPr="00015C67">
        <w:rPr>
          <w:rFonts w:ascii="Times New Roman" w:hAnsi="Times New Roman" w:cs="Times New Roman"/>
          <w:sz w:val="24"/>
          <w:szCs w:val="24"/>
        </w:rPr>
        <w:t>was</w:t>
      </w:r>
      <w:proofErr w:type="gramEnd"/>
      <w:r w:rsidRPr="00015C67">
        <w:rPr>
          <w:rFonts w:ascii="Times New Roman" w:hAnsi="Times New Roman" w:cs="Times New Roman"/>
          <w:sz w:val="24"/>
          <w:szCs w:val="24"/>
        </w:rPr>
        <w:t xml:space="preserve"> gathered and analyzed using Pearson’s Product Moment correlation and a reliability index </w:t>
      </w:r>
      <w:proofErr w:type="gramStart"/>
      <w:r w:rsidRPr="00015C67">
        <w:rPr>
          <w:rFonts w:ascii="Times New Roman" w:hAnsi="Times New Roman" w:cs="Times New Roman"/>
          <w:sz w:val="24"/>
          <w:szCs w:val="24"/>
        </w:rPr>
        <w:t xml:space="preserve">of </w:t>
      </w:r>
      <w:r w:rsidR="0087644B" w:rsidRPr="00015C67">
        <w:rPr>
          <w:rFonts w:ascii="Times New Roman" w:hAnsi="Times New Roman" w:cs="Times New Roman"/>
          <w:sz w:val="24"/>
          <w:szCs w:val="24"/>
        </w:rPr>
        <w:t xml:space="preserve"> 0.85</w:t>
      </w:r>
      <w:proofErr w:type="gramEnd"/>
      <w:r w:rsidR="0087644B" w:rsidRPr="00015C67">
        <w:rPr>
          <w:rFonts w:ascii="Times New Roman" w:hAnsi="Times New Roman" w:cs="Times New Roman"/>
          <w:sz w:val="24"/>
          <w:szCs w:val="24"/>
        </w:rPr>
        <w:t xml:space="preserve"> </w:t>
      </w:r>
      <w:r w:rsidR="00F90C89" w:rsidRPr="00015C67">
        <w:rPr>
          <w:rFonts w:ascii="Times New Roman" w:hAnsi="Times New Roman" w:cs="Times New Roman"/>
          <w:sz w:val="24"/>
          <w:szCs w:val="24"/>
        </w:rPr>
        <w:t>was</w:t>
      </w:r>
      <w:r w:rsidR="00E23F04" w:rsidRPr="00015C67">
        <w:rPr>
          <w:rFonts w:ascii="Times New Roman" w:hAnsi="Times New Roman" w:cs="Times New Roman"/>
          <w:sz w:val="24"/>
          <w:szCs w:val="24"/>
        </w:rPr>
        <w:t xml:space="preserve"> obtained. </w:t>
      </w:r>
      <w:r w:rsidRPr="00015C67">
        <w:rPr>
          <w:rFonts w:ascii="Times New Roman" w:hAnsi="Times New Roman" w:cs="Times New Roman"/>
          <w:sz w:val="24"/>
          <w:szCs w:val="24"/>
        </w:rPr>
        <w:t xml:space="preserve">Descriptive statistics </w:t>
      </w:r>
      <w:r w:rsidR="00BF1D56" w:rsidRPr="00015C67">
        <w:rPr>
          <w:rFonts w:ascii="Times New Roman" w:hAnsi="Times New Roman" w:cs="Times New Roman"/>
          <w:sz w:val="24"/>
          <w:szCs w:val="24"/>
        </w:rPr>
        <w:t>was</w:t>
      </w:r>
      <w:r w:rsidRPr="00015C67">
        <w:rPr>
          <w:rFonts w:ascii="Times New Roman" w:hAnsi="Times New Roman" w:cs="Times New Roman"/>
          <w:sz w:val="24"/>
          <w:szCs w:val="24"/>
        </w:rPr>
        <w:t xml:space="preserve"> used as data analysis method. Hence, measure of central tendency statistics (mean), simple percentage and charts </w:t>
      </w:r>
      <w:r w:rsidR="00FE2AAE" w:rsidRPr="00015C67">
        <w:rPr>
          <w:rFonts w:ascii="Times New Roman" w:hAnsi="Times New Roman" w:cs="Times New Roman"/>
          <w:sz w:val="24"/>
          <w:szCs w:val="24"/>
        </w:rPr>
        <w:t>was</w:t>
      </w:r>
      <w:r w:rsidR="000B4A1C" w:rsidRPr="00015C67">
        <w:rPr>
          <w:rFonts w:ascii="Times New Roman" w:hAnsi="Times New Roman" w:cs="Times New Roman"/>
          <w:sz w:val="24"/>
          <w:szCs w:val="24"/>
        </w:rPr>
        <w:t xml:space="preserve"> </w:t>
      </w:r>
      <w:r w:rsidRPr="00015C67">
        <w:rPr>
          <w:rFonts w:ascii="Times New Roman" w:hAnsi="Times New Roman" w:cs="Times New Roman"/>
          <w:sz w:val="24"/>
          <w:szCs w:val="24"/>
        </w:rPr>
        <w:t>used to answer the research questions while chi square</w:t>
      </w:r>
      <w:r w:rsidR="000B4A1C" w:rsidRPr="00015C67">
        <w:rPr>
          <w:rFonts w:ascii="Times New Roman" w:hAnsi="Times New Roman" w:cs="Times New Roman"/>
          <w:sz w:val="24"/>
          <w:szCs w:val="24"/>
        </w:rPr>
        <w:t xml:space="preserve"> statistics </w:t>
      </w:r>
      <w:r w:rsidR="009A4D41" w:rsidRPr="00015C67">
        <w:rPr>
          <w:rFonts w:ascii="Times New Roman" w:hAnsi="Times New Roman" w:cs="Times New Roman"/>
          <w:sz w:val="24"/>
          <w:szCs w:val="24"/>
        </w:rPr>
        <w:t>was</w:t>
      </w:r>
      <w:r w:rsidRPr="00015C67">
        <w:rPr>
          <w:rFonts w:ascii="Times New Roman" w:hAnsi="Times New Roman" w:cs="Times New Roman"/>
          <w:sz w:val="24"/>
          <w:szCs w:val="24"/>
        </w:rPr>
        <w:t xml:space="preserve"> used to test the null hypotheses at 0.05 level of significance.</w:t>
      </w:r>
    </w:p>
    <w:p w14:paraId="2455990C" w14:textId="77777777" w:rsidR="00E23F04" w:rsidRPr="00015C67" w:rsidRDefault="00E23F04" w:rsidP="00B1165D">
      <w:pPr>
        <w:spacing w:line="240" w:lineRule="auto"/>
        <w:rPr>
          <w:rStyle w:val="Strong"/>
          <w:rFonts w:ascii="Times New Roman" w:hAnsi="Times New Roman" w:cs="Times New Roman"/>
          <w:sz w:val="24"/>
          <w:szCs w:val="24"/>
        </w:rPr>
      </w:pPr>
    </w:p>
    <w:p w14:paraId="02DD2FAA" w14:textId="77777777" w:rsidR="00C14F7F" w:rsidRPr="00015C67" w:rsidRDefault="00C14F7F" w:rsidP="00B1165D">
      <w:pPr>
        <w:spacing w:line="240" w:lineRule="auto"/>
        <w:rPr>
          <w:rStyle w:val="Strong"/>
          <w:rFonts w:ascii="Times New Roman" w:hAnsi="Times New Roman" w:cs="Times New Roman"/>
          <w:sz w:val="24"/>
          <w:szCs w:val="24"/>
        </w:rPr>
      </w:pPr>
      <w:r w:rsidRPr="00015C67">
        <w:rPr>
          <w:rStyle w:val="Strong"/>
          <w:rFonts w:ascii="Times New Roman" w:hAnsi="Times New Roman" w:cs="Times New Roman"/>
          <w:sz w:val="24"/>
          <w:szCs w:val="24"/>
        </w:rPr>
        <w:t>RESULTS AND DISCUSION</w:t>
      </w:r>
    </w:p>
    <w:p w14:paraId="7A7A391D" w14:textId="77777777" w:rsidR="00C14F7F" w:rsidRPr="00015C67" w:rsidRDefault="00846E3A" w:rsidP="00B1165D">
      <w:pPr>
        <w:spacing w:line="240" w:lineRule="auto"/>
        <w:rPr>
          <w:rStyle w:val="Strong"/>
          <w:rFonts w:ascii="Times New Roman" w:hAnsi="Times New Roman" w:cs="Times New Roman"/>
          <w:sz w:val="24"/>
          <w:szCs w:val="24"/>
        </w:rPr>
      </w:pPr>
      <w:r w:rsidRPr="00015C67">
        <w:rPr>
          <w:rStyle w:val="Strong"/>
          <w:rFonts w:ascii="Times New Roman" w:hAnsi="Times New Roman" w:cs="Times New Roman"/>
          <w:sz w:val="24"/>
          <w:szCs w:val="24"/>
        </w:rPr>
        <w:t xml:space="preserve">Table 1: </w:t>
      </w:r>
      <w:r w:rsidR="003F576E" w:rsidRPr="00015C67">
        <w:rPr>
          <w:rStyle w:val="Strong"/>
          <w:rFonts w:ascii="Times New Roman" w:hAnsi="Times New Roman" w:cs="Times New Roman"/>
          <w:b w:val="0"/>
          <w:sz w:val="24"/>
          <w:szCs w:val="24"/>
        </w:rPr>
        <w:t>Sociodemographic Data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62"/>
        <w:gridCol w:w="2126"/>
        <w:gridCol w:w="1154"/>
        <w:gridCol w:w="1208"/>
      </w:tblGrid>
      <w:tr w:rsidR="00CF336C" w:rsidRPr="00015C67" w14:paraId="030ED6B1" w14:textId="77777777" w:rsidTr="0087452F">
        <w:trPr>
          <w:tblHeader/>
          <w:tblCellSpacing w:w="15" w:type="dxa"/>
        </w:trPr>
        <w:tc>
          <w:tcPr>
            <w:tcW w:w="0" w:type="auto"/>
            <w:tcBorders>
              <w:top w:val="single" w:sz="4" w:space="0" w:color="auto"/>
              <w:bottom w:val="single" w:sz="4" w:space="0" w:color="auto"/>
            </w:tcBorders>
            <w:vAlign w:val="center"/>
            <w:hideMark/>
          </w:tcPr>
          <w:p w14:paraId="3DEDFBC2" w14:textId="77777777" w:rsidR="00CF336C" w:rsidRPr="00015C67" w:rsidRDefault="00CF336C" w:rsidP="00B1165D">
            <w:pPr>
              <w:spacing w:after="0" w:line="240" w:lineRule="auto"/>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Demographic Variable</w:t>
            </w:r>
          </w:p>
        </w:tc>
        <w:tc>
          <w:tcPr>
            <w:tcW w:w="0" w:type="auto"/>
            <w:tcBorders>
              <w:top w:val="single" w:sz="4" w:space="0" w:color="auto"/>
              <w:bottom w:val="single" w:sz="4" w:space="0" w:color="auto"/>
            </w:tcBorders>
            <w:vAlign w:val="center"/>
            <w:hideMark/>
          </w:tcPr>
          <w:p w14:paraId="6DE0135F" w14:textId="77777777" w:rsidR="00CF336C" w:rsidRPr="00015C67" w:rsidRDefault="00CF336C" w:rsidP="00B1165D">
            <w:pPr>
              <w:spacing w:after="0" w:line="240" w:lineRule="auto"/>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Option</w:t>
            </w:r>
          </w:p>
        </w:tc>
        <w:tc>
          <w:tcPr>
            <w:tcW w:w="0" w:type="auto"/>
            <w:tcBorders>
              <w:top w:val="single" w:sz="4" w:space="0" w:color="auto"/>
              <w:bottom w:val="single" w:sz="4" w:space="0" w:color="auto"/>
            </w:tcBorders>
            <w:vAlign w:val="center"/>
            <w:hideMark/>
          </w:tcPr>
          <w:p w14:paraId="485411CE" w14:textId="77777777" w:rsidR="00CF336C" w:rsidRPr="00015C67" w:rsidRDefault="00CF336C" w:rsidP="00B1165D">
            <w:pPr>
              <w:spacing w:after="0" w:line="240" w:lineRule="auto"/>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Frequency</w:t>
            </w:r>
          </w:p>
        </w:tc>
        <w:tc>
          <w:tcPr>
            <w:tcW w:w="0" w:type="auto"/>
            <w:tcBorders>
              <w:top w:val="single" w:sz="4" w:space="0" w:color="auto"/>
              <w:bottom w:val="single" w:sz="4" w:space="0" w:color="auto"/>
            </w:tcBorders>
            <w:vAlign w:val="center"/>
            <w:hideMark/>
          </w:tcPr>
          <w:p w14:paraId="5C3BF40F" w14:textId="77777777" w:rsidR="00CF336C" w:rsidRPr="00015C67" w:rsidRDefault="00CF336C" w:rsidP="00B1165D">
            <w:pPr>
              <w:spacing w:after="0" w:line="240" w:lineRule="auto"/>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Percentage</w:t>
            </w:r>
          </w:p>
        </w:tc>
      </w:tr>
      <w:tr w:rsidR="00CF336C" w:rsidRPr="00015C67" w14:paraId="03718A20" w14:textId="77777777" w:rsidTr="00CF336C">
        <w:trPr>
          <w:tblCellSpacing w:w="15" w:type="dxa"/>
        </w:trPr>
        <w:tc>
          <w:tcPr>
            <w:tcW w:w="0" w:type="auto"/>
            <w:vAlign w:val="center"/>
            <w:hideMark/>
          </w:tcPr>
          <w:p w14:paraId="6B4F05B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Age of Respondent</w:t>
            </w:r>
          </w:p>
        </w:tc>
        <w:tc>
          <w:tcPr>
            <w:tcW w:w="0" w:type="auto"/>
            <w:vAlign w:val="center"/>
            <w:hideMark/>
          </w:tcPr>
          <w:p w14:paraId="519B06E9"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18-25</w:t>
            </w:r>
          </w:p>
        </w:tc>
        <w:tc>
          <w:tcPr>
            <w:tcW w:w="0" w:type="auto"/>
            <w:vAlign w:val="center"/>
            <w:hideMark/>
          </w:tcPr>
          <w:p w14:paraId="436509D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80</w:t>
            </w:r>
          </w:p>
        </w:tc>
        <w:tc>
          <w:tcPr>
            <w:tcW w:w="0" w:type="auto"/>
            <w:vAlign w:val="center"/>
            <w:hideMark/>
          </w:tcPr>
          <w:p w14:paraId="1638285F" w14:textId="77777777" w:rsidR="00CF336C" w:rsidRPr="00015C67" w:rsidRDefault="00DF0FB7"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19.7</w:t>
            </w:r>
          </w:p>
        </w:tc>
      </w:tr>
      <w:tr w:rsidR="00CF336C" w:rsidRPr="00015C67" w14:paraId="1D2715AA" w14:textId="77777777" w:rsidTr="00CF336C">
        <w:trPr>
          <w:tblCellSpacing w:w="15" w:type="dxa"/>
        </w:trPr>
        <w:tc>
          <w:tcPr>
            <w:tcW w:w="0" w:type="auto"/>
            <w:vAlign w:val="center"/>
            <w:hideMark/>
          </w:tcPr>
          <w:p w14:paraId="35CC9749"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04D4A51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26-35</w:t>
            </w:r>
          </w:p>
        </w:tc>
        <w:tc>
          <w:tcPr>
            <w:tcW w:w="0" w:type="auto"/>
            <w:vAlign w:val="center"/>
            <w:hideMark/>
          </w:tcPr>
          <w:p w14:paraId="6CCD0C9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100</w:t>
            </w:r>
          </w:p>
        </w:tc>
        <w:tc>
          <w:tcPr>
            <w:tcW w:w="0" w:type="auto"/>
            <w:vAlign w:val="center"/>
            <w:hideMark/>
          </w:tcPr>
          <w:p w14:paraId="1169A68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24.6</w:t>
            </w:r>
          </w:p>
        </w:tc>
      </w:tr>
      <w:tr w:rsidR="00CF336C" w:rsidRPr="00015C67" w14:paraId="598178E3" w14:textId="77777777" w:rsidTr="00CF336C">
        <w:trPr>
          <w:tblCellSpacing w:w="15" w:type="dxa"/>
        </w:trPr>
        <w:tc>
          <w:tcPr>
            <w:tcW w:w="0" w:type="auto"/>
            <w:vAlign w:val="center"/>
            <w:hideMark/>
          </w:tcPr>
          <w:p w14:paraId="7F76D533"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0CDDF972"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36-45</w:t>
            </w:r>
          </w:p>
        </w:tc>
        <w:tc>
          <w:tcPr>
            <w:tcW w:w="0" w:type="auto"/>
            <w:vAlign w:val="center"/>
            <w:hideMark/>
          </w:tcPr>
          <w:p w14:paraId="3AB73DE4"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90</w:t>
            </w:r>
          </w:p>
        </w:tc>
        <w:tc>
          <w:tcPr>
            <w:tcW w:w="0" w:type="auto"/>
            <w:vAlign w:val="center"/>
            <w:hideMark/>
          </w:tcPr>
          <w:p w14:paraId="22CE2581"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22.1</w:t>
            </w:r>
          </w:p>
        </w:tc>
      </w:tr>
      <w:tr w:rsidR="00CF336C" w:rsidRPr="00015C67" w14:paraId="2D119D1C" w14:textId="77777777" w:rsidTr="00CF336C">
        <w:trPr>
          <w:tblCellSpacing w:w="15" w:type="dxa"/>
        </w:trPr>
        <w:tc>
          <w:tcPr>
            <w:tcW w:w="0" w:type="auto"/>
            <w:vAlign w:val="center"/>
            <w:hideMark/>
          </w:tcPr>
          <w:p w14:paraId="5707910D"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585491D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46-55</w:t>
            </w:r>
          </w:p>
        </w:tc>
        <w:tc>
          <w:tcPr>
            <w:tcW w:w="0" w:type="auto"/>
            <w:vAlign w:val="center"/>
            <w:hideMark/>
          </w:tcPr>
          <w:p w14:paraId="3F6BB115"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70</w:t>
            </w:r>
          </w:p>
        </w:tc>
        <w:tc>
          <w:tcPr>
            <w:tcW w:w="0" w:type="auto"/>
            <w:vAlign w:val="center"/>
            <w:hideMark/>
          </w:tcPr>
          <w:p w14:paraId="21755383"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17.2</w:t>
            </w:r>
          </w:p>
        </w:tc>
      </w:tr>
      <w:tr w:rsidR="00CF336C" w:rsidRPr="00015C67" w14:paraId="4A626E5B" w14:textId="77777777" w:rsidTr="00CF336C">
        <w:trPr>
          <w:tblCellSpacing w:w="15" w:type="dxa"/>
        </w:trPr>
        <w:tc>
          <w:tcPr>
            <w:tcW w:w="0" w:type="auto"/>
            <w:vAlign w:val="center"/>
            <w:hideMark/>
          </w:tcPr>
          <w:p w14:paraId="17C510D1"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7E22ED0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56+</w:t>
            </w:r>
          </w:p>
        </w:tc>
        <w:tc>
          <w:tcPr>
            <w:tcW w:w="0" w:type="auto"/>
            <w:vAlign w:val="center"/>
            <w:hideMark/>
          </w:tcPr>
          <w:p w14:paraId="1CEB195B"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67</w:t>
            </w:r>
          </w:p>
        </w:tc>
        <w:tc>
          <w:tcPr>
            <w:tcW w:w="0" w:type="auto"/>
            <w:vAlign w:val="center"/>
            <w:hideMark/>
          </w:tcPr>
          <w:p w14:paraId="02387162"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16.5</w:t>
            </w:r>
          </w:p>
        </w:tc>
      </w:tr>
      <w:tr w:rsidR="000B15D5" w:rsidRPr="00015C67" w14:paraId="39B892EC" w14:textId="77777777" w:rsidTr="00CF336C">
        <w:trPr>
          <w:tblCellSpacing w:w="15" w:type="dxa"/>
        </w:trPr>
        <w:tc>
          <w:tcPr>
            <w:tcW w:w="0" w:type="auto"/>
            <w:vAlign w:val="center"/>
          </w:tcPr>
          <w:p w14:paraId="3D3063EA"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0475E419"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39BC4FA0"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08477DFA"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5910D3D5" w14:textId="77777777" w:rsidTr="00CF336C">
        <w:trPr>
          <w:tblCellSpacing w:w="15" w:type="dxa"/>
        </w:trPr>
        <w:tc>
          <w:tcPr>
            <w:tcW w:w="0" w:type="auto"/>
            <w:vAlign w:val="center"/>
            <w:hideMark/>
          </w:tcPr>
          <w:p w14:paraId="78E93CE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Gender</w:t>
            </w:r>
          </w:p>
        </w:tc>
        <w:tc>
          <w:tcPr>
            <w:tcW w:w="0" w:type="auto"/>
            <w:vAlign w:val="center"/>
            <w:hideMark/>
          </w:tcPr>
          <w:p w14:paraId="26D33E1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Male</w:t>
            </w:r>
          </w:p>
        </w:tc>
        <w:tc>
          <w:tcPr>
            <w:tcW w:w="0" w:type="auto"/>
            <w:vAlign w:val="center"/>
            <w:hideMark/>
          </w:tcPr>
          <w:p w14:paraId="1101EB13"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190</w:t>
            </w:r>
          </w:p>
        </w:tc>
        <w:tc>
          <w:tcPr>
            <w:tcW w:w="0" w:type="auto"/>
            <w:vAlign w:val="center"/>
            <w:hideMark/>
          </w:tcPr>
          <w:p w14:paraId="11A3EEE7"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46.7</w:t>
            </w:r>
          </w:p>
        </w:tc>
      </w:tr>
      <w:tr w:rsidR="00CF336C" w:rsidRPr="00015C67" w14:paraId="308E85DF" w14:textId="77777777" w:rsidTr="00CF336C">
        <w:trPr>
          <w:tblCellSpacing w:w="15" w:type="dxa"/>
        </w:trPr>
        <w:tc>
          <w:tcPr>
            <w:tcW w:w="0" w:type="auto"/>
            <w:vAlign w:val="center"/>
            <w:hideMark/>
          </w:tcPr>
          <w:p w14:paraId="759B69E4"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663A560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Female</w:t>
            </w:r>
          </w:p>
        </w:tc>
        <w:tc>
          <w:tcPr>
            <w:tcW w:w="0" w:type="auto"/>
            <w:vAlign w:val="center"/>
            <w:hideMark/>
          </w:tcPr>
          <w:p w14:paraId="67030A4E"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180</w:t>
            </w:r>
          </w:p>
        </w:tc>
        <w:tc>
          <w:tcPr>
            <w:tcW w:w="0" w:type="auto"/>
            <w:vAlign w:val="center"/>
            <w:hideMark/>
          </w:tcPr>
          <w:p w14:paraId="7AAF4247"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44.2</w:t>
            </w:r>
          </w:p>
        </w:tc>
      </w:tr>
      <w:tr w:rsidR="00CF336C" w:rsidRPr="00015C67" w14:paraId="25BE2D93" w14:textId="77777777" w:rsidTr="00CF336C">
        <w:trPr>
          <w:tblCellSpacing w:w="15" w:type="dxa"/>
        </w:trPr>
        <w:tc>
          <w:tcPr>
            <w:tcW w:w="0" w:type="auto"/>
            <w:vAlign w:val="center"/>
            <w:hideMark/>
          </w:tcPr>
          <w:p w14:paraId="66B27B06"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68268C2A"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Other</w:t>
            </w:r>
          </w:p>
        </w:tc>
        <w:tc>
          <w:tcPr>
            <w:tcW w:w="0" w:type="auto"/>
            <w:vAlign w:val="center"/>
            <w:hideMark/>
          </w:tcPr>
          <w:p w14:paraId="29DC122F"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37</w:t>
            </w:r>
          </w:p>
        </w:tc>
        <w:tc>
          <w:tcPr>
            <w:tcW w:w="0" w:type="auto"/>
            <w:vAlign w:val="center"/>
            <w:hideMark/>
          </w:tcPr>
          <w:p w14:paraId="7AB25044" w14:textId="77777777" w:rsidR="00CF336C" w:rsidRPr="00015C67" w:rsidRDefault="00DF0FB7"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9.1</w:t>
            </w:r>
          </w:p>
        </w:tc>
      </w:tr>
      <w:tr w:rsidR="000B15D5" w:rsidRPr="00015C67" w14:paraId="1B69D54C" w14:textId="77777777" w:rsidTr="00CF336C">
        <w:trPr>
          <w:tblCellSpacing w:w="15" w:type="dxa"/>
        </w:trPr>
        <w:tc>
          <w:tcPr>
            <w:tcW w:w="0" w:type="auto"/>
            <w:vAlign w:val="center"/>
          </w:tcPr>
          <w:p w14:paraId="0BE73766"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4044F31C"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302F55B6"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22F7E71C"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73243AE1" w14:textId="77777777" w:rsidTr="00CF336C">
        <w:trPr>
          <w:tblCellSpacing w:w="15" w:type="dxa"/>
        </w:trPr>
        <w:tc>
          <w:tcPr>
            <w:tcW w:w="0" w:type="auto"/>
            <w:vAlign w:val="center"/>
            <w:hideMark/>
          </w:tcPr>
          <w:p w14:paraId="462879F5"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Marital Status</w:t>
            </w:r>
          </w:p>
        </w:tc>
        <w:tc>
          <w:tcPr>
            <w:tcW w:w="0" w:type="auto"/>
            <w:vAlign w:val="center"/>
            <w:hideMark/>
          </w:tcPr>
          <w:p w14:paraId="19DB926F"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Single</w:t>
            </w:r>
          </w:p>
        </w:tc>
        <w:tc>
          <w:tcPr>
            <w:tcW w:w="0" w:type="auto"/>
            <w:vAlign w:val="center"/>
            <w:hideMark/>
          </w:tcPr>
          <w:p w14:paraId="178D6B6B"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130</w:t>
            </w:r>
          </w:p>
        </w:tc>
        <w:tc>
          <w:tcPr>
            <w:tcW w:w="0" w:type="auto"/>
            <w:vAlign w:val="center"/>
            <w:hideMark/>
          </w:tcPr>
          <w:p w14:paraId="275E991A"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31.9</w:t>
            </w:r>
          </w:p>
        </w:tc>
      </w:tr>
      <w:tr w:rsidR="00CF336C" w:rsidRPr="00015C67" w14:paraId="1A634F95" w14:textId="77777777" w:rsidTr="00CF336C">
        <w:trPr>
          <w:tblCellSpacing w:w="15" w:type="dxa"/>
        </w:trPr>
        <w:tc>
          <w:tcPr>
            <w:tcW w:w="0" w:type="auto"/>
            <w:vAlign w:val="center"/>
            <w:hideMark/>
          </w:tcPr>
          <w:p w14:paraId="4FF3D208"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57CD6654"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Married</w:t>
            </w:r>
          </w:p>
        </w:tc>
        <w:tc>
          <w:tcPr>
            <w:tcW w:w="0" w:type="auto"/>
            <w:vAlign w:val="center"/>
            <w:hideMark/>
          </w:tcPr>
          <w:p w14:paraId="7DDB942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160</w:t>
            </w:r>
          </w:p>
        </w:tc>
        <w:tc>
          <w:tcPr>
            <w:tcW w:w="0" w:type="auto"/>
            <w:vAlign w:val="center"/>
            <w:hideMark/>
          </w:tcPr>
          <w:p w14:paraId="6BCFB51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39.3</w:t>
            </w:r>
          </w:p>
        </w:tc>
      </w:tr>
      <w:tr w:rsidR="00CF336C" w:rsidRPr="00015C67" w14:paraId="4B484AC5" w14:textId="77777777" w:rsidTr="00CF336C">
        <w:trPr>
          <w:tblCellSpacing w:w="15" w:type="dxa"/>
        </w:trPr>
        <w:tc>
          <w:tcPr>
            <w:tcW w:w="0" w:type="auto"/>
            <w:vAlign w:val="center"/>
            <w:hideMark/>
          </w:tcPr>
          <w:p w14:paraId="6EF0D653"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285B2E22"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Widowed</w:t>
            </w:r>
          </w:p>
        </w:tc>
        <w:tc>
          <w:tcPr>
            <w:tcW w:w="0" w:type="auto"/>
            <w:vAlign w:val="center"/>
            <w:hideMark/>
          </w:tcPr>
          <w:p w14:paraId="4D058B1E"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45</w:t>
            </w:r>
          </w:p>
        </w:tc>
        <w:tc>
          <w:tcPr>
            <w:tcW w:w="0" w:type="auto"/>
            <w:vAlign w:val="center"/>
            <w:hideMark/>
          </w:tcPr>
          <w:p w14:paraId="68B6E3A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11.1</w:t>
            </w:r>
          </w:p>
        </w:tc>
      </w:tr>
      <w:tr w:rsidR="00CF336C" w:rsidRPr="00015C67" w14:paraId="1811C201" w14:textId="77777777" w:rsidTr="00CF336C">
        <w:trPr>
          <w:tblCellSpacing w:w="15" w:type="dxa"/>
        </w:trPr>
        <w:tc>
          <w:tcPr>
            <w:tcW w:w="0" w:type="auto"/>
            <w:vAlign w:val="center"/>
            <w:hideMark/>
          </w:tcPr>
          <w:p w14:paraId="2F693DE3"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7377EA87"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Divorced</w:t>
            </w:r>
          </w:p>
        </w:tc>
        <w:tc>
          <w:tcPr>
            <w:tcW w:w="0" w:type="auto"/>
            <w:vAlign w:val="center"/>
            <w:hideMark/>
          </w:tcPr>
          <w:p w14:paraId="5A6D3EAB"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72</w:t>
            </w:r>
          </w:p>
        </w:tc>
        <w:tc>
          <w:tcPr>
            <w:tcW w:w="0" w:type="auto"/>
            <w:vAlign w:val="center"/>
            <w:hideMark/>
          </w:tcPr>
          <w:p w14:paraId="2C0A0941"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17.7</w:t>
            </w:r>
          </w:p>
        </w:tc>
      </w:tr>
      <w:tr w:rsidR="000B15D5" w:rsidRPr="00015C67" w14:paraId="399FFA6C" w14:textId="77777777" w:rsidTr="00CF336C">
        <w:trPr>
          <w:tblCellSpacing w:w="15" w:type="dxa"/>
        </w:trPr>
        <w:tc>
          <w:tcPr>
            <w:tcW w:w="0" w:type="auto"/>
            <w:vAlign w:val="center"/>
          </w:tcPr>
          <w:p w14:paraId="7C4C6D76"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1B10448D"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5A22924A"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7B52FC24"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79EBEE9D" w14:textId="77777777" w:rsidTr="00CF336C">
        <w:trPr>
          <w:tblCellSpacing w:w="15" w:type="dxa"/>
        </w:trPr>
        <w:tc>
          <w:tcPr>
            <w:tcW w:w="0" w:type="auto"/>
            <w:vAlign w:val="center"/>
            <w:hideMark/>
          </w:tcPr>
          <w:p w14:paraId="4956D92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Highest Level of Education</w:t>
            </w:r>
          </w:p>
        </w:tc>
        <w:tc>
          <w:tcPr>
            <w:tcW w:w="0" w:type="auto"/>
            <w:vAlign w:val="center"/>
            <w:hideMark/>
          </w:tcPr>
          <w:p w14:paraId="23D47CF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No formal education</w:t>
            </w:r>
          </w:p>
        </w:tc>
        <w:tc>
          <w:tcPr>
            <w:tcW w:w="0" w:type="auto"/>
            <w:vAlign w:val="center"/>
            <w:hideMark/>
          </w:tcPr>
          <w:p w14:paraId="29C9D4A3"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25</w:t>
            </w:r>
          </w:p>
        </w:tc>
        <w:tc>
          <w:tcPr>
            <w:tcW w:w="0" w:type="auto"/>
            <w:vAlign w:val="center"/>
            <w:hideMark/>
          </w:tcPr>
          <w:p w14:paraId="3EEF35B3" w14:textId="77777777" w:rsidR="00CF336C" w:rsidRPr="00015C67" w:rsidRDefault="00DF0FB7"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6.1</w:t>
            </w:r>
          </w:p>
        </w:tc>
      </w:tr>
      <w:tr w:rsidR="00CF336C" w:rsidRPr="00015C67" w14:paraId="4C9F3A7C" w14:textId="77777777" w:rsidTr="00CF336C">
        <w:trPr>
          <w:tblCellSpacing w:w="15" w:type="dxa"/>
        </w:trPr>
        <w:tc>
          <w:tcPr>
            <w:tcW w:w="0" w:type="auto"/>
            <w:vAlign w:val="center"/>
            <w:hideMark/>
          </w:tcPr>
          <w:p w14:paraId="6B2DEE06"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5C115915"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Primary school</w:t>
            </w:r>
          </w:p>
        </w:tc>
        <w:tc>
          <w:tcPr>
            <w:tcW w:w="0" w:type="auto"/>
            <w:vAlign w:val="center"/>
            <w:hideMark/>
          </w:tcPr>
          <w:p w14:paraId="2093730A"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60</w:t>
            </w:r>
          </w:p>
        </w:tc>
        <w:tc>
          <w:tcPr>
            <w:tcW w:w="0" w:type="auto"/>
            <w:vAlign w:val="center"/>
            <w:hideMark/>
          </w:tcPr>
          <w:p w14:paraId="53B11C8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14.8</w:t>
            </w:r>
          </w:p>
        </w:tc>
      </w:tr>
      <w:tr w:rsidR="00CF336C" w:rsidRPr="00015C67" w14:paraId="1212BBF4" w14:textId="77777777" w:rsidTr="00CF336C">
        <w:trPr>
          <w:tblCellSpacing w:w="15" w:type="dxa"/>
        </w:trPr>
        <w:tc>
          <w:tcPr>
            <w:tcW w:w="0" w:type="auto"/>
            <w:vAlign w:val="center"/>
            <w:hideMark/>
          </w:tcPr>
          <w:p w14:paraId="139374AD"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1AEFCB3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Secondary school</w:t>
            </w:r>
          </w:p>
        </w:tc>
        <w:tc>
          <w:tcPr>
            <w:tcW w:w="0" w:type="auto"/>
            <w:vAlign w:val="center"/>
            <w:hideMark/>
          </w:tcPr>
          <w:p w14:paraId="7C53E9E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120</w:t>
            </w:r>
          </w:p>
        </w:tc>
        <w:tc>
          <w:tcPr>
            <w:tcW w:w="0" w:type="auto"/>
            <w:vAlign w:val="center"/>
            <w:hideMark/>
          </w:tcPr>
          <w:p w14:paraId="3A4206F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29.5</w:t>
            </w:r>
          </w:p>
        </w:tc>
      </w:tr>
      <w:tr w:rsidR="00CF336C" w:rsidRPr="00015C67" w14:paraId="726586F8" w14:textId="77777777" w:rsidTr="00CF336C">
        <w:trPr>
          <w:tblCellSpacing w:w="15" w:type="dxa"/>
        </w:trPr>
        <w:tc>
          <w:tcPr>
            <w:tcW w:w="0" w:type="auto"/>
            <w:vAlign w:val="center"/>
            <w:hideMark/>
          </w:tcPr>
          <w:p w14:paraId="73C14146"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57F21F2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Tertiary education</w:t>
            </w:r>
          </w:p>
        </w:tc>
        <w:tc>
          <w:tcPr>
            <w:tcW w:w="0" w:type="auto"/>
            <w:vAlign w:val="center"/>
            <w:hideMark/>
          </w:tcPr>
          <w:p w14:paraId="7EA102D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202</w:t>
            </w:r>
          </w:p>
        </w:tc>
        <w:tc>
          <w:tcPr>
            <w:tcW w:w="0" w:type="auto"/>
            <w:vAlign w:val="center"/>
            <w:hideMark/>
          </w:tcPr>
          <w:p w14:paraId="01F6C162"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49.7</w:t>
            </w:r>
          </w:p>
        </w:tc>
      </w:tr>
      <w:tr w:rsidR="000B15D5" w:rsidRPr="00015C67" w14:paraId="6D8AC15D" w14:textId="77777777" w:rsidTr="00CF336C">
        <w:trPr>
          <w:tblCellSpacing w:w="15" w:type="dxa"/>
        </w:trPr>
        <w:tc>
          <w:tcPr>
            <w:tcW w:w="0" w:type="auto"/>
            <w:vAlign w:val="center"/>
          </w:tcPr>
          <w:p w14:paraId="3BF7C50B"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2B4F0599"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119686D1"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56BEB74C"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5082FF6E" w14:textId="77777777" w:rsidTr="00CF336C">
        <w:trPr>
          <w:tblCellSpacing w:w="15" w:type="dxa"/>
        </w:trPr>
        <w:tc>
          <w:tcPr>
            <w:tcW w:w="0" w:type="auto"/>
            <w:vAlign w:val="center"/>
            <w:hideMark/>
          </w:tcPr>
          <w:p w14:paraId="7F28F60E"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Occupation</w:t>
            </w:r>
          </w:p>
        </w:tc>
        <w:tc>
          <w:tcPr>
            <w:tcW w:w="0" w:type="auto"/>
            <w:vAlign w:val="center"/>
            <w:hideMark/>
          </w:tcPr>
          <w:p w14:paraId="61747F3B"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Unemployed</w:t>
            </w:r>
          </w:p>
        </w:tc>
        <w:tc>
          <w:tcPr>
            <w:tcW w:w="0" w:type="auto"/>
            <w:vAlign w:val="center"/>
            <w:hideMark/>
          </w:tcPr>
          <w:p w14:paraId="4D41D5E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40</w:t>
            </w:r>
          </w:p>
        </w:tc>
        <w:tc>
          <w:tcPr>
            <w:tcW w:w="0" w:type="auto"/>
            <w:vAlign w:val="center"/>
            <w:hideMark/>
          </w:tcPr>
          <w:p w14:paraId="71B89041" w14:textId="77777777" w:rsidR="00CF336C" w:rsidRPr="00015C67" w:rsidRDefault="00DF0FB7"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9.8</w:t>
            </w:r>
          </w:p>
        </w:tc>
      </w:tr>
      <w:tr w:rsidR="00CF336C" w:rsidRPr="00015C67" w14:paraId="53D4C4C5" w14:textId="77777777" w:rsidTr="00CF336C">
        <w:trPr>
          <w:tblCellSpacing w:w="15" w:type="dxa"/>
        </w:trPr>
        <w:tc>
          <w:tcPr>
            <w:tcW w:w="0" w:type="auto"/>
            <w:vAlign w:val="center"/>
            <w:hideMark/>
          </w:tcPr>
          <w:p w14:paraId="4C8DF581"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7D1027D5"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Self-employed</w:t>
            </w:r>
          </w:p>
        </w:tc>
        <w:tc>
          <w:tcPr>
            <w:tcW w:w="0" w:type="auto"/>
            <w:vAlign w:val="center"/>
            <w:hideMark/>
          </w:tcPr>
          <w:p w14:paraId="6FD50BA4"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50</w:t>
            </w:r>
          </w:p>
        </w:tc>
        <w:tc>
          <w:tcPr>
            <w:tcW w:w="0" w:type="auto"/>
            <w:vAlign w:val="center"/>
            <w:hideMark/>
          </w:tcPr>
          <w:p w14:paraId="5B2C76C2"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12.3</w:t>
            </w:r>
          </w:p>
        </w:tc>
      </w:tr>
      <w:tr w:rsidR="00CF336C" w:rsidRPr="00015C67" w14:paraId="646D66EA" w14:textId="77777777" w:rsidTr="00CF336C">
        <w:trPr>
          <w:tblCellSpacing w:w="15" w:type="dxa"/>
        </w:trPr>
        <w:tc>
          <w:tcPr>
            <w:tcW w:w="0" w:type="auto"/>
            <w:vAlign w:val="center"/>
            <w:hideMark/>
          </w:tcPr>
          <w:p w14:paraId="248DA0AB"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6859978F"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Civil servant</w:t>
            </w:r>
          </w:p>
        </w:tc>
        <w:tc>
          <w:tcPr>
            <w:tcW w:w="0" w:type="auto"/>
            <w:vAlign w:val="center"/>
            <w:hideMark/>
          </w:tcPr>
          <w:p w14:paraId="5018482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80</w:t>
            </w:r>
          </w:p>
        </w:tc>
        <w:tc>
          <w:tcPr>
            <w:tcW w:w="0" w:type="auto"/>
            <w:vAlign w:val="center"/>
            <w:hideMark/>
          </w:tcPr>
          <w:p w14:paraId="4E95D085"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19.7</w:t>
            </w:r>
          </w:p>
        </w:tc>
      </w:tr>
      <w:tr w:rsidR="00CF336C" w:rsidRPr="00015C67" w14:paraId="6D356E9A" w14:textId="77777777" w:rsidTr="00CF336C">
        <w:trPr>
          <w:tblCellSpacing w:w="15" w:type="dxa"/>
        </w:trPr>
        <w:tc>
          <w:tcPr>
            <w:tcW w:w="0" w:type="auto"/>
            <w:vAlign w:val="center"/>
            <w:hideMark/>
          </w:tcPr>
          <w:p w14:paraId="54120EBA"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53CBC8B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Private sector worker</w:t>
            </w:r>
          </w:p>
        </w:tc>
        <w:tc>
          <w:tcPr>
            <w:tcW w:w="0" w:type="auto"/>
            <w:vAlign w:val="center"/>
            <w:hideMark/>
          </w:tcPr>
          <w:p w14:paraId="4BE0EC53"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140</w:t>
            </w:r>
          </w:p>
        </w:tc>
        <w:tc>
          <w:tcPr>
            <w:tcW w:w="0" w:type="auto"/>
            <w:vAlign w:val="center"/>
            <w:hideMark/>
          </w:tcPr>
          <w:p w14:paraId="0ED71B0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34.4</w:t>
            </w:r>
          </w:p>
        </w:tc>
      </w:tr>
      <w:tr w:rsidR="00CF336C" w:rsidRPr="00015C67" w14:paraId="790689DB" w14:textId="77777777" w:rsidTr="00CF336C">
        <w:trPr>
          <w:tblCellSpacing w:w="15" w:type="dxa"/>
        </w:trPr>
        <w:tc>
          <w:tcPr>
            <w:tcW w:w="0" w:type="auto"/>
            <w:vAlign w:val="center"/>
            <w:hideMark/>
          </w:tcPr>
          <w:p w14:paraId="35E10295"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142CD2B1"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Other</w:t>
            </w:r>
          </w:p>
        </w:tc>
        <w:tc>
          <w:tcPr>
            <w:tcW w:w="0" w:type="auto"/>
            <w:vAlign w:val="center"/>
            <w:hideMark/>
          </w:tcPr>
          <w:p w14:paraId="169B8B7F"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97</w:t>
            </w:r>
          </w:p>
        </w:tc>
        <w:tc>
          <w:tcPr>
            <w:tcW w:w="0" w:type="auto"/>
            <w:vAlign w:val="center"/>
            <w:hideMark/>
          </w:tcPr>
          <w:p w14:paraId="68434DA4"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23.8</w:t>
            </w:r>
          </w:p>
        </w:tc>
      </w:tr>
      <w:tr w:rsidR="000B15D5" w:rsidRPr="00015C67" w14:paraId="2B774904" w14:textId="77777777" w:rsidTr="00CF336C">
        <w:trPr>
          <w:tblCellSpacing w:w="15" w:type="dxa"/>
        </w:trPr>
        <w:tc>
          <w:tcPr>
            <w:tcW w:w="0" w:type="auto"/>
            <w:vAlign w:val="center"/>
          </w:tcPr>
          <w:p w14:paraId="0AE38B60"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56669C3E"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3984E378"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3A17507B"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663F376D" w14:textId="77777777" w:rsidTr="00CF336C">
        <w:trPr>
          <w:tblCellSpacing w:w="15" w:type="dxa"/>
        </w:trPr>
        <w:tc>
          <w:tcPr>
            <w:tcW w:w="0" w:type="auto"/>
            <w:vAlign w:val="center"/>
            <w:hideMark/>
          </w:tcPr>
          <w:p w14:paraId="1A38D92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lastRenderedPageBreak/>
              <w:t>Household Income</w:t>
            </w:r>
          </w:p>
        </w:tc>
        <w:tc>
          <w:tcPr>
            <w:tcW w:w="0" w:type="auto"/>
            <w:vAlign w:val="center"/>
            <w:hideMark/>
          </w:tcPr>
          <w:p w14:paraId="11EE5CB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Less than ₦50,000</w:t>
            </w:r>
          </w:p>
        </w:tc>
        <w:tc>
          <w:tcPr>
            <w:tcW w:w="0" w:type="auto"/>
            <w:vAlign w:val="center"/>
            <w:hideMark/>
          </w:tcPr>
          <w:p w14:paraId="0067CC4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110</w:t>
            </w:r>
          </w:p>
        </w:tc>
        <w:tc>
          <w:tcPr>
            <w:tcW w:w="0" w:type="auto"/>
            <w:vAlign w:val="center"/>
            <w:hideMark/>
          </w:tcPr>
          <w:p w14:paraId="291358B7"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27.1</w:t>
            </w:r>
          </w:p>
        </w:tc>
      </w:tr>
      <w:tr w:rsidR="00CF336C" w:rsidRPr="00015C67" w14:paraId="194A5A73" w14:textId="77777777" w:rsidTr="00CF336C">
        <w:trPr>
          <w:tblCellSpacing w:w="15" w:type="dxa"/>
        </w:trPr>
        <w:tc>
          <w:tcPr>
            <w:tcW w:w="0" w:type="auto"/>
            <w:vAlign w:val="center"/>
            <w:hideMark/>
          </w:tcPr>
          <w:p w14:paraId="223E3BBF"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4886DE7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₦50,000 - ₦100,000</w:t>
            </w:r>
          </w:p>
        </w:tc>
        <w:tc>
          <w:tcPr>
            <w:tcW w:w="0" w:type="auto"/>
            <w:vAlign w:val="center"/>
            <w:hideMark/>
          </w:tcPr>
          <w:p w14:paraId="79121B8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130</w:t>
            </w:r>
          </w:p>
        </w:tc>
        <w:tc>
          <w:tcPr>
            <w:tcW w:w="0" w:type="auto"/>
            <w:vAlign w:val="center"/>
            <w:hideMark/>
          </w:tcPr>
          <w:p w14:paraId="46B7EEA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31.9</w:t>
            </w:r>
          </w:p>
        </w:tc>
      </w:tr>
      <w:tr w:rsidR="00CF336C" w:rsidRPr="00015C67" w14:paraId="0A375218" w14:textId="77777777" w:rsidTr="00CF336C">
        <w:trPr>
          <w:tblCellSpacing w:w="15" w:type="dxa"/>
        </w:trPr>
        <w:tc>
          <w:tcPr>
            <w:tcW w:w="0" w:type="auto"/>
            <w:vAlign w:val="center"/>
            <w:hideMark/>
          </w:tcPr>
          <w:p w14:paraId="547CBDF3"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508FFAC1"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₦101,000 - ₦200,000</w:t>
            </w:r>
          </w:p>
        </w:tc>
        <w:tc>
          <w:tcPr>
            <w:tcW w:w="0" w:type="auto"/>
            <w:vAlign w:val="center"/>
            <w:hideMark/>
          </w:tcPr>
          <w:p w14:paraId="3E939209"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95</w:t>
            </w:r>
          </w:p>
        </w:tc>
        <w:tc>
          <w:tcPr>
            <w:tcW w:w="0" w:type="auto"/>
            <w:vAlign w:val="center"/>
            <w:hideMark/>
          </w:tcPr>
          <w:p w14:paraId="3E56278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23.3</w:t>
            </w:r>
          </w:p>
        </w:tc>
      </w:tr>
      <w:tr w:rsidR="00CF336C" w:rsidRPr="00015C67" w14:paraId="6C19937E" w14:textId="77777777" w:rsidTr="00CF336C">
        <w:trPr>
          <w:tblCellSpacing w:w="15" w:type="dxa"/>
        </w:trPr>
        <w:tc>
          <w:tcPr>
            <w:tcW w:w="0" w:type="auto"/>
            <w:vAlign w:val="center"/>
            <w:hideMark/>
          </w:tcPr>
          <w:p w14:paraId="0755135A"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65D412C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Above ₦200,000</w:t>
            </w:r>
          </w:p>
        </w:tc>
        <w:tc>
          <w:tcPr>
            <w:tcW w:w="0" w:type="auto"/>
            <w:vAlign w:val="center"/>
            <w:hideMark/>
          </w:tcPr>
          <w:p w14:paraId="13E02C4A"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72</w:t>
            </w:r>
          </w:p>
        </w:tc>
        <w:tc>
          <w:tcPr>
            <w:tcW w:w="0" w:type="auto"/>
            <w:vAlign w:val="center"/>
            <w:hideMark/>
          </w:tcPr>
          <w:p w14:paraId="1A0FD2E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17.7</w:t>
            </w:r>
          </w:p>
        </w:tc>
      </w:tr>
      <w:tr w:rsidR="000B15D5" w:rsidRPr="00015C67" w14:paraId="30DD8107" w14:textId="77777777" w:rsidTr="00CF336C">
        <w:trPr>
          <w:tblCellSpacing w:w="15" w:type="dxa"/>
        </w:trPr>
        <w:tc>
          <w:tcPr>
            <w:tcW w:w="0" w:type="auto"/>
            <w:vAlign w:val="center"/>
          </w:tcPr>
          <w:p w14:paraId="2C3C4ADA"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20104D43"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2C70C26E"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7CDFCD8C"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1B975EA2" w14:textId="77777777" w:rsidTr="00CF336C">
        <w:trPr>
          <w:tblCellSpacing w:w="15" w:type="dxa"/>
        </w:trPr>
        <w:tc>
          <w:tcPr>
            <w:tcW w:w="0" w:type="auto"/>
            <w:vAlign w:val="center"/>
            <w:hideMark/>
          </w:tcPr>
          <w:p w14:paraId="3CABA51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Number of Children under Five in the Household</w:t>
            </w:r>
          </w:p>
        </w:tc>
        <w:tc>
          <w:tcPr>
            <w:tcW w:w="0" w:type="auto"/>
            <w:vAlign w:val="center"/>
            <w:hideMark/>
          </w:tcPr>
          <w:p w14:paraId="1FEA0C8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w:t>
            </w:r>
          </w:p>
        </w:tc>
        <w:tc>
          <w:tcPr>
            <w:tcW w:w="0" w:type="auto"/>
            <w:vAlign w:val="center"/>
            <w:hideMark/>
          </w:tcPr>
          <w:p w14:paraId="70EF32F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170</w:t>
            </w:r>
          </w:p>
        </w:tc>
        <w:tc>
          <w:tcPr>
            <w:tcW w:w="0" w:type="auto"/>
            <w:vAlign w:val="center"/>
            <w:hideMark/>
          </w:tcPr>
          <w:p w14:paraId="23840A99"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41.8</w:t>
            </w:r>
          </w:p>
        </w:tc>
      </w:tr>
      <w:tr w:rsidR="00CF336C" w:rsidRPr="00015C67" w14:paraId="73D63B75" w14:textId="77777777" w:rsidTr="00CF336C">
        <w:trPr>
          <w:tblCellSpacing w:w="15" w:type="dxa"/>
        </w:trPr>
        <w:tc>
          <w:tcPr>
            <w:tcW w:w="0" w:type="auto"/>
            <w:vAlign w:val="center"/>
            <w:hideMark/>
          </w:tcPr>
          <w:p w14:paraId="19163888"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04837E6B"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w:t>
            </w:r>
          </w:p>
        </w:tc>
        <w:tc>
          <w:tcPr>
            <w:tcW w:w="0" w:type="auto"/>
            <w:vAlign w:val="center"/>
            <w:hideMark/>
          </w:tcPr>
          <w:p w14:paraId="43958D83"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120</w:t>
            </w:r>
          </w:p>
        </w:tc>
        <w:tc>
          <w:tcPr>
            <w:tcW w:w="0" w:type="auto"/>
            <w:vAlign w:val="center"/>
            <w:hideMark/>
          </w:tcPr>
          <w:p w14:paraId="5B62AEB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29.5</w:t>
            </w:r>
          </w:p>
        </w:tc>
      </w:tr>
      <w:tr w:rsidR="00CF336C" w:rsidRPr="00015C67" w14:paraId="179FB558" w14:textId="77777777" w:rsidTr="00CF336C">
        <w:trPr>
          <w:tblCellSpacing w:w="15" w:type="dxa"/>
        </w:trPr>
        <w:tc>
          <w:tcPr>
            <w:tcW w:w="0" w:type="auto"/>
            <w:vAlign w:val="center"/>
            <w:hideMark/>
          </w:tcPr>
          <w:p w14:paraId="7CB3FD8C"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2012E26A"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w:t>
            </w:r>
          </w:p>
        </w:tc>
        <w:tc>
          <w:tcPr>
            <w:tcW w:w="0" w:type="auto"/>
            <w:vAlign w:val="center"/>
            <w:hideMark/>
          </w:tcPr>
          <w:p w14:paraId="0F84CE6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60</w:t>
            </w:r>
          </w:p>
        </w:tc>
        <w:tc>
          <w:tcPr>
            <w:tcW w:w="0" w:type="auto"/>
            <w:vAlign w:val="center"/>
            <w:hideMark/>
          </w:tcPr>
          <w:p w14:paraId="74EF33B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14.8</w:t>
            </w:r>
          </w:p>
        </w:tc>
      </w:tr>
      <w:tr w:rsidR="00CF336C" w:rsidRPr="00015C67" w14:paraId="7D9E7739" w14:textId="77777777" w:rsidTr="00CF336C">
        <w:trPr>
          <w:tblCellSpacing w:w="15" w:type="dxa"/>
        </w:trPr>
        <w:tc>
          <w:tcPr>
            <w:tcW w:w="0" w:type="auto"/>
            <w:vAlign w:val="center"/>
            <w:hideMark/>
          </w:tcPr>
          <w:p w14:paraId="64FCBDEB"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4F0ECF1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w:t>
            </w:r>
          </w:p>
        </w:tc>
        <w:tc>
          <w:tcPr>
            <w:tcW w:w="0" w:type="auto"/>
            <w:vAlign w:val="center"/>
            <w:hideMark/>
          </w:tcPr>
          <w:p w14:paraId="062C773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57</w:t>
            </w:r>
          </w:p>
        </w:tc>
        <w:tc>
          <w:tcPr>
            <w:tcW w:w="0" w:type="auto"/>
            <w:vAlign w:val="center"/>
            <w:hideMark/>
          </w:tcPr>
          <w:p w14:paraId="72E606C4"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14.0</w:t>
            </w:r>
          </w:p>
        </w:tc>
      </w:tr>
      <w:tr w:rsidR="000B15D5" w:rsidRPr="00015C67" w14:paraId="715D098C" w14:textId="77777777" w:rsidTr="00CF336C">
        <w:trPr>
          <w:tblCellSpacing w:w="15" w:type="dxa"/>
        </w:trPr>
        <w:tc>
          <w:tcPr>
            <w:tcW w:w="0" w:type="auto"/>
            <w:vAlign w:val="center"/>
          </w:tcPr>
          <w:p w14:paraId="4350C6CF"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0CE7CBD8"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3383CC60"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62444D79"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1CD0DAE5" w14:textId="77777777" w:rsidTr="00CF336C">
        <w:trPr>
          <w:tblCellSpacing w:w="15" w:type="dxa"/>
        </w:trPr>
        <w:tc>
          <w:tcPr>
            <w:tcW w:w="0" w:type="auto"/>
            <w:vAlign w:val="center"/>
            <w:hideMark/>
          </w:tcPr>
          <w:p w14:paraId="194443F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Place of Residence</w:t>
            </w:r>
          </w:p>
        </w:tc>
        <w:tc>
          <w:tcPr>
            <w:tcW w:w="0" w:type="auto"/>
            <w:vAlign w:val="center"/>
            <w:hideMark/>
          </w:tcPr>
          <w:p w14:paraId="6AEFF0D5"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Urban</w:t>
            </w:r>
          </w:p>
        </w:tc>
        <w:tc>
          <w:tcPr>
            <w:tcW w:w="0" w:type="auto"/>
            <w:vAlign w:val="center"/>
            <w:hideMark/>
          </w:tcPr>
          <w:p w14:paraId="11F70BA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220</w:t>
            </w:r>
          </w:p>
        </w:tc>
        <w:tc>
          <w:tcPr>
            <w:tcW w:w="0" w:type="auto"/>
            <w:vAlign w:val="center"/>
            <w:hideMark/>
          </w:tcPr>
          <w:p w14:paraId="4D85B07F"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54.1</w:t>
            </w:r>
          </w:p>
        </w:tc>
      </w:tr>
      <w:tr w:rsidR="00CF336C" w:rsidRPr="00015C67" w14:paraId="3E59EB30" w14:textId="77777777" w:rsidTr="00CF336C">
        <w:trPr>
          <w:tblCellSpacing w:w="15" w:type="dxa"/>
        </w:trPr>
        <w:tc>
          <w:tcPr>
            <w:tcW w:w="0" w:type="auto"/>
            <w:vAlign w:val="center"/>
            <w:hideMark/>
          </w:tcPr>
          <w:p w14:paraId="136A461B"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6F10352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Rural</w:t>
            </w:r>
          </w:p>
        </w:tc>
        <w:tc>
          <w:tcPr>
            <w:tcW w:w="0" w:type="auto"/>
            <w:vAlign w:val="center"/>
            <w:hideMark/>
          </w:tcPr>
          <w:p w14:paraId="5BD3ED9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140</w:t>
            </w:r>
          </w:p>
        </w:tc>
        <w:tc>
          <w:tcPr>
            <w:tcW w:w="0" w:type="auto"/>
            <w:vAlign w:val="center"/>
            <w:hideMark/>
          </w:tcPr>
          <w:p w14:paraId="6C4F6EC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34.4</w:t>
            </w:r>
          </w:p>
        </w:tc>
      </w:tr>
      <w:tr w:rsidR="00CF336C" w:rsidRPr="00015C67" w14:paraId="093E8701" w14:textId="77777777" w:rsidTr="00CF336C">
        <w:trPr>
          <w:tblCellSpacing w:w="15" w:type="dxa"/>
        </w:trPr>
        <w:tc>
          <w:tcPr>
            <w:tcW w:w="0" w:type="auto"/>
            <w:vAlign w:val="center"/>
            <w:hideMark/>
          </w:tcPr>
          <w:p w14:paraId="1AA06615"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1678FEB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Peri-urban</w:t>
            </w:r>
          </w:p>
        </w:tc>
        <w:tc>
          <w:tcPr>
            <w:tcW w:w="0" w:type="auto"/>
            <w:vAlign w:val="center"/>
            <w:hideMark/>
          </w:tcPr>
          <w:p w14:paraId="3AD03FBE"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47</w:t>
            </w:r>
          </w:p>
        </w:tc>
        <w:tc>
          <w:tcPr>
            <w:tcW w:w="0" w:type="auto"/>
            <w:vAlign w:val="center"/>
            <w:hideMark/>
          </w:tcPr>
          <w:p w14:paraId="622A3BA1"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11.5</w:t>
            </w:r>
          </w:p>
        </w:tc>
      </w:tr>
      <w:tr w:rsidR="000B15D5" w:rsidRPr="00015C67" w14:paraId="2AC4A6B9" w14:textId="77777777" w:rsidTr="00CF336C">
        <w:trPr>
          <w:tblCellSpacing w:w="15" w:type="dxa"/>
        </w:trPr>
        <w:tc>
          <w:tcPr>
            <w:tcW w:w="0" w:type="auto"/>
            <w:vAlign w:val="center"/>
          </w:tcPr>
          <w:p w14:paraId="3ECDD9FA"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7A301087"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20F6FA8A"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3DF63E66"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1E84E8B9" w14:textId="77777777" w:rsidTr="00CF336C">
        <w:trPr>
          <w:tblCellSpacing w:w="15" w:type="dxa"/>
        </w:trPr>
        <w:tc>
          <w:tcPr>
            <w:tcW w:w="0" w:type="auto"/>
            <w:vAlign w:val="center"/>
            <w:hideMark/>
          </w:tcPr>
          <w:p w14:paraId="553CCE9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Religion</w:t>
            </w:r>
          </w:p>
        </w:tc>
        <w:tc>
          <w:tcPr>
            <w:tcW w:w="0" w:type="auto"/>
            <w:vAlign w:val="center"/>
            <w:hideMark/>
          </w:tcPr>
          <w:p w14:paraId="18CF3AD9"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Christian</w:t>
            </w:r>
          </w:p>
        </w:tc>
        <w:tc>
          <w:tcPr>
            <w:tcW w:w="0" w:type="auto"/>
            <w:vAlign w:val="center"/>
            <w:hideMark/>
          </w:tcPr>
          <w:p w14:paraId="61115A31"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220</w:t>
            </w:r>
          </w:p>
        </w:tc>
        <w:tc>
          <w:tcPr>
            <w:tcW w:w="0" w:type="auto"/>
            <w:vAlign w:val="center"/>
            <w:hideMark/>
          </w:tcPr>
          <w:p w14:paraId="71BDEEF4"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54.1</w:t>
            </w:r>
          </w:p>
        </w:tc>
      </w:tr>
      <w:tr w:rsidR="00CF336C" w:rsidRPr="00015C67" w14:paraId="2465B1F5" w14:textId="77777777" w:rsidTr="00CF336C">
        <w:trPr>
          <w:tblCellSpacing w:w="15" w:type="dxa"/>
        </w:trPr>
        <w:tc>
          <w:tcPr>
            <w:tcW w:w="0" w:type="auto"/>
            <w:vAlign w:val="center"/>
            <w:hideMark/>
          </w:tcPr>
          <w:p w14:paraId="6BE0D234"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2AECFC4B"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Muslim</w:t>
            </w:r>
          </w:p>
        </w:tc>
        <w:tc>
          <w:tcPr>
            <w:tcW w:w="0" w:type="auto"/>
            <w:vAlign w:val="center"/>
            <w:hideMark/>
          </w:tcPr>
          <w:p w14:paraId="60979632"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160</w:t>
            </w:r>
          </w:p>
        </w:tc>
        <w:tc>
          <w:tcPr>
            <w:tcW w:w="0" w:type="auto"/>
            <w:vAlign w:val="center"/>
            <w:hideMark/>
          </w:tcPr>
          <w:p w14:paraId="3269EAE9"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39.3</w:t>
            </w:r>
          </w:p>
        </w:tc>
      </w:tr>
      <w:tr w:rsidR="00CF336C" w:rsidRPr="00015C67" w14:paraId="2272937B" w14:textId="77777777" w:rsidTr="00CF336C">
        <w:trPr>
          <w:tblCellSpacing w:w="15" w:type="dxa"/>
        </w:trPr>
        <w:tc>
          <w:tcPr>
            <w:tcW w:w="0" w:type="auto"/>
            <w:vAlign w:val="center"/>
            <w:hideMark/>
          </w:tcPr>
          <w:p w14:paraId="6C68B827"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086D9A32"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Traditional</w:t>
            </w:r>
          </w:p>
        </w:tc>
        <w:tc>
          <w:tcPr>
            <w:tcW w:w="0" w:type="auto"/>
            <w:vAlign w:val="center"/>
            <w:hideMark/>
          </w:tcPr>
          <w:p w14:paraId="6FC12489"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w:t>
            </w:r>
          </w:p>
        </w:tc>
        <w:tc>
          <w:tcPr>
            <w:tcW w:w="0" w:type="auto"/>
            <w:vAlign w:val="center"/>
            <w:hideMark/>
          </w:tcPr>
          <w:p w14:paraId="5FA39AB2" w14:textId="77777777" w:rsidR="00CF336C" w:rsidRPr="00015C67" w:rsidRDefault="00DF0FB7"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2.9</w:t>
            </w:r>
          </w:p>
        </w:tc>
      </w:tr>
      <w:tr w:rsidR="00CF336C" w:rsidRPr="00015C67" w14:paraId="4A5056D3" w14:textId="77777777" w:rsidTr="00CF336C">
        <w:trPr>
          <w:tblCellSpacing w:w="15" w:type="dxa"/>
        </w:trPr>
        <w:tc>
          <w:tcPr>
            <w:tcW w:w="0" w:type="auto"/>
            <w:vAlign w:val="center"/>
            <w:hideMark/>
          </w:tcPr>
          <w:p w14:paraId="20908FFB"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64F04FC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Other</w:t>
            </w:r>
          </w:p>
        </w:tc>
        <w:tc>
          <w:tcPr>
            <w:tcW w:w="0" w:type="auto"/>
            <w:vAlign w:val="center"/>
            <w:hideMark/>
          </w:tcPr>
          <w:p w14:paraId="7232271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15</w:t>
            </w:r>
          </w:p>
        </w:tc>
        <w:tc>
          <w:tcPr>
            <w:tcW w:w="0" w:type="auto"/>
            <w:vAlign w:val="center"/>
            <w:hideMark/>
          </w:tcPr>
          <w:p w14:paraId="091373DB"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3.7</w:t>
            </w:r>
          </w:p>
        </w:tc>
      </w:tr>
      <w:tr w:rsidR="000B15D5" w:rsidRPr="00015C67" w14:paraId="522C97F0" w14:textId="77777777" w:rsidTr="00CF336C">
        <w:trPr>
          <w:tblCellSpacing w:w="15" w:type="dxa"/>
        </w:trPr>
        <w:tc>
          <w:tcPr>
            <w:tcW w:w="0" w:type="auto"/>
            <w:vAlign w:val="center"/>
          </w:tcPr>
          <w:p w14:paraId="071FB452"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66557532"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777DDCF9"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3293262F"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795F5951" w14:textId="77777777" w:rsidTr="00CF336C">
        <w:trPr>
          <w:tblCellSpacing w:w="15" w:type="dxa"/>
        </w:trPr>
        <w:tc>
          <w:tcPr>
            <w:tcW w:w="0" w:type="auto"/>
            <w:vAlign w:val="center"/>
            <w:hideMark/>
          </w:tcPr>
          <w:p w14:paraId="13CDBB3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Ethnic Group</w:t>
            </w:r>
          </w:p>
        </w:tc>
        <w:tc>
          <w:tcPr>
            <w:tcW w:w="0" w:type="auto"/>
            <w:vAlign w:val="center"/>
            <w:hideMark/>
          </w:tcPr>
          <w:p w14:paraId="5694DFF6"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Ika</w:t>
            </w:r>
          </w:p>
        </w:tc>
        <w:tc>
          <w:tcPr>
            <w:tcW w:w="0" w:type="auto"/>
            <w:vAlign w:val="center"/>
            <w:hideMark/>
          </w:tcPr>
          <w:p w14:paraId="2860C12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40</w:t>
            </w:r>
          </w:p>
        </w:tc>
        <w:tc>
          <w:tcPr>
            <w:tcW w:w="0" w:type="auto"/>
            <w:vAlign w:val="center"/>
            <w:hideMark/>
          </w:tcPr>
          <w:p w14:paraId="22DFA8E7"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9.8</w:t>
            </w:r>
          </w:p>
        </w:tc>
      </w:tr>
      <w:tr w:rsidR="00CF336C" w:rsidRPr="00015C67" w14:paraId="62D3F0CE" w14:textId="77777777" w:rsidTr="00CF336C">
        <w:trPr>
          <w:tblCellSpacing w:w="15" w:type="dxa"/>
        </w:trPr>
        <w:tc>
          <w:tcPr>
            <w:tcW w:w="0" w:type="auto"/>
            <w:vAlign w:val="center"/>
            <w:hideMark/>
          </w:tcPr>
          <w:p w14:paraId="59F2697E"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43C5E45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Yoruba</w:t>
            </w:r>
          </w:p>
        </w:tc>
        <w:tc>
          <w:tcPr>
            <w:tcW w:w="0" w:type="auto"/>
            <w:vAlign w:val="center"/>
            <w:hideMark/>
          </w:tcPr>
          <w:p w14:paraId="19D6723E"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150</w:t>
            </w:r>
          </w:p>
        </w:tc>
        <w:tc>
          <w:tcPr>
            <w:tcW w:w="0" w:type="auto"/>
            <w:vAlign w:val="center"/>
            <w:hideMark/>
          </w:tcPr>
          <w:p w14:paraId="52E97FA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36.9</w:t>
            </w:r>
          </w:p>
        </w:tc>
      </w:tr>
      <w:tr w:rsidR="00CF336C" w:rsidRPr="00015C67" w14:paraId="5EBB610D" w14:textId="77777777" w:rsidTr="00CF336C">
        <w:trPr>
          <w:tblCellSpacing w:w="15" w:type="dxa"/>
        </w:trPr>
        <w:tc>
          <w:tcPr>
            <w:tcW w:w="0" w:type="auto"/>
            <w:vAlign w:val="center"/>
            <w:hideMark/>
          </w:tcPr>
          <w:p w14:paraId="77C9EA52"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182F43A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Igbo</w:t>
            </w:r>
          </w:p>
        </w:tc>
        <w:tc>
          <w:tcPr>
            <w:tcW w:w="0" w:type="auto"/>
            <w:vAlign w:val="center"/>
            <w:hideMark/>
          </w:tcPr>
          <w:p w14:paraId="68440F4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125</w:t>
            </w:r>
          </w:p>
        </w:tc>
        <w:tc>
          <w:tcPr>
            <w:tcW w:w="0" w:type="auto"/>
            <w:vAlign w:val="center"/>
            <w:hideMark/>
          </w:tcPr>
          <w:p w14:paraId="160BD371"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30.7</w:t>
            </w:r>
          </w:p>
        </w:tc>
      </w:tr>
      <w:tr w:rsidR="00CF336C" w:rsidRPr="00015C67" w14:paraId="28EE3BAF" w14:textId="77777777" w:rsidTr="00CF336C">
        <w:trPr>
          <w:tblCellSpacing w:w="15" w:type="dxa"/>
        </w:trPr>
        <w:tc>
          <w:tcPr>
            <w:tcW w:w="0" w:type="auto"/>
            <w:vAlign w:val="center"/>
            <w:hideMark/>
          </w:tcPr>
          <w:p w14:paraId="5587291B"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3D40D48A"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Hausa</w:t>
            </w:r>
          </w:p>
        </w:tc>
        <w:tc>
          <w:tcPr>
            <w:tcW w:w="0" w:type="auto"/>
            <w:vAlign w:val="center"/>
            <w:hideMark/>
          </w:tcPr>
          <w:p w14:paraId="7B2682E7"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60</w:t>
            </w:r>
          </w:p>
        </w:tc>
        <w:tc>
          <w:tcPr>
            <w:tcW w:w="0" w:type="auto"/>
            <w:vAlign w:val="center"/>
            <w:hideMark/>
          </w:tcPr>
          <w:p w14:paraId="0F78D0C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14.8</w:t>
            </w:r>
          </w:p>
        </w:tc>
      </w:tr>
      <w:tr w:rsidR="00CF336C" w:rsidRPr="00015C67" w14:paraId="04C9070C" w14:textId="77777777" w:rsidTr="00CF336C">
        <w:trPr>
          <w:tblCellSpacing w:w="15" w:type="dxa"/>
        </w:trPr>
        <w:tc>
          <w:tcPr>
            <w:tcW w:w="0" w:type="auto"/>
            <w:vAlign w:val="center"/>
            <w:hideMark/>
          </w:tcPr>
          <w:p w14:paraId="567476CC"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4CFE623A"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Other</w:t>
            </w:r>
          </w:p>
        </w:tc>
        <w:tc>
          <w:tcPr>
            <w:tcW w:w="0" w:type="auto"/>
            <w:vAlign w:val="center"/>
            <w:hideMark/>
          </w:tcPr>
          <w:p w14:paraId="560B170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32</w:t>
            </w:r>
          </w:p>
        </w:tc>
        <w:tc>
          <w:tcPr>
            <w:tcW w:w="0" w:type="auto"/>
            <w:vAlign w:val="center"/>
            <w:hideMark/>
          </w:tcPr>
          <w:p w14:paraId="0280083F" w14:textId="77777777" w:rsidR="00CF336C" w:rsidRPr="00015C67" w:rsidRDefault="00DF0FB7"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7.9</w:t>
            </w:r>
          </w:p>
        </w:tc>
      </w:tr>
      <w:tr w:rsidR="000B15D5" w:rsidRPr="00015C67" w14:paraId="1251E604" w14:textId="77777777" w:rsidTr="00CF336C">
        <w:trPr>
          <w:tblCellSpacing w:w="15" w:type="dxa"/>
        </w:trPr>
        <w:tc>
          <w:tcPr>
            <w:tcW w:w="0" w:type="auto"/>
            <w:vAlign w:val="center"/>
          </w:tcPr>
          <w:p w14:paraId="2F2006A5"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7AABA3A6"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25B1FF58"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389DA1B8"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632D0199" w14:textId="77777777" w:rsidTr="00CF336C">
        <w:trPr>
          <w:tblCellSpacing w:w="15" w:type="dxa"/>
        </w:trPr>
        <w:tc>
          <w:tcPr>
            <w:tcW w:w="0" w:type="auto"/>
            <w:vAlign w:val="center"/>
            <w:hideMark/>
          </w:tcPr>
          <w:p w14:paraId="6AF1D695"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Type of Housing</w:t>
            </w:r>
          </w:p>
        </w:tc>
        <w:tc>
          <w:tcPr>
            <w:tcW w:w="0" w:type="auto"/>
            <w:vAlign w:val="center"/>
            <w:hideMark/>
          </w:tcPr>
          <w:p w14:paraId="5AC1F5A2"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Owned</w:t>
            </w:r>
          </w:p>
        </w:tc>
        <w:tc>
          <w:tcPr>
            <w:tcW w:w="0" w:type="auto"/>
            <w:vAlign w:val="center"/>
            <w:hideMark/>
          </w:tcPr>
          <w:p w14:paraId="5DF92A15"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140</w:t>
            </w:r>
          </w:p>
        </w:tc>
        <w:tc>
          <w:tcPr>
            <w:tcW w:w="0" w:type="auto"/>
            <w:vAlign w:val="center"/>
            <w:hideMark/>
          </w:tcPr>
          <w:p w14:paraId="3AD0467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34.4</w:t>
            </w:r>
          </w:p>
        </w:tc>
      </w:tr>
      <w:tr w:rsidR="00CF336C" w:rsidRPr="00015C67" w14:paraId="7921374F" w14:textId="77777777" w:rsidTr="00CF336C">
        <w:trPr>
          <w:tblCellSpacing w:w="15" w:type="dxa"/>
        </w:trPr>
        <w:tc>
          <w:tcPr>
            <w:tcW w:w="0" w:type="auto"/>
            <w:vAlign w:val="center"/>
            <w:hideMark/>
          </w:tcPr>
          <w:p w14:paraId="50A342C4"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2245408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Rented</w:t>
            </w:r>
          </w:p>
        </w:tc>
        <w:tc>
          <w:tcPr>
            <w:tcW w:w="0" w:type="auto"/>
            <w:vAlign w:val="center"/>
            <w:hideMark/>
          </w:tcPr>
          <w:p w14:paraId="55C96763"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180</w:t>
            </w:r>
          </w:p>
        </w:tc>
        <w:tc>
          <w:tcPr>
            <w:tcW w:w="0" w:type="auto"/>
            <w:vAlign w:val="center"/>
            <w:hideMark/>
          </w:tcPr>
          <w:p w14:paraId="2A9033D5"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44.2</w:t>
            </w:r>
          </w:p>
        </w:tc>
      </w:tr>
      <w:tr w:rsidR="00CF336C" w:rsidRPr="00015C67" w14:paraId="17120A28" w14:textId="77777777" w:rsidTr="00CF336C">
        <w:trPr>
          <w:tblCellSpacing w:w="15" w:type="dxa"/>
        </w:trPr>
        <w:tc>
          <w:tcPr>
            <w:tcW w:w="0" w:type="auto"/>
            <w:vAlign w:val="center"/>
            <w:hideMark/>
          </w:tcPr>
          <w:p w14:paraId="0A53D61A"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4D49556C"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Family-owned</w:t>
            </w:r>
          </w:p>
        </w:tc>
        <w:tc>
          <w:tcPr>
            <w:tcW w:w="0" w:type="auto"/>
            <w:vAlign w:val="center"/>
            <w:hideMark/>
          </w:tcPr>
          <w:p w14:paraId="115EEFFF"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87</w:t>
            </w:r>
          </w:p>
        </w:tc>
        <w:tc>
          <w:tcPr>
            <w:tcW w:w="0" w:type="auto"/>
            <w:vAlign w:val="center"/>
            <w:hideMark/>
          </w:tcPr>
          <w:p w14:paraId="0229C25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21.4</w:t>
            </w:r>
          </w:p>
        </w:tc>
      </w:tr>
      <w:tr w:rsidR="000B15D5" w:rsidRPr="00015C67" w14:paraId="43CFC937" w14:textId="77777777" w:rsidTr="00CF336C">
        <w:trPr>
          <w:tblCellSpacing w:w="15" w:type="dxa"/>
        </w:trPr>
        <w:tc>
          <w:tcPr>
            <w:tcW w:w="0" w:type="auto"/>
            <w:vAlign w:val="center"/>
          </w:tcPr>
          <w:p w14:paraId="2A1C65FE"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1E819A5E"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6D0BBA7F" w14:textId="77777777" w:rsidR="000B15D5" w:rsidRPr="00015C67" w:rsidRDefault="000B15D5" w:rsidP="00B1165D">
            <w:pPr>
              <w:spacing w:after="0" w:line="240" w:lineRule="auto"/>
              <w:rPr>
                <w:rFonts w:ascii="Times New Roman" w:eastAsia="Times New Roman" w:hAnsi="Times New Roman" w:cs="Times New Roman"/>
                <w:sz w:val="24"/>
                <w:szCs w:val="24"/>
              </w:rPr>
            </w:pPr>
          </w:p>
        </w:tc>
        <w:tc>
          <w:tcPr>
            <w:tcW w:w="0" w:type="auto"/>
            <w:vAlign w:val="center"/>
          </w:tcPr>
          <w:p w14:paraId="75FE9CBC" w14:textId="77777777" w:rsidR="000B15D5" w:rsidRPr="00015C67" w:rsidRDefault="000B15D5" w:rsidP="00B1165D">
            <w:pPr>
              <w:spacing w:after="0" w:line="240" w:lineRule="auto"/>
              <w:rPr>
                <w:rFonts w:ascii="Times New Roman" w:eastAsia="Times New Roman" w:hAnsi="Times New Roman" w:cs="Times New Roman"/>
                <w:sz w:val="24"/>
                <w:szCs w:val="24"/>
              </w:rPr>
            </w:pPr>
          </w:p>
        </w:tc>
      </w:tr>
      <w:tr w:rsidR="00CF336C" w:rsidRPr="00015C67" w14:paraId="43E8E9F6" w14:textId="77777777" w:rsidTr="00CF336C">
        <w:trPr>
          <w:tblCellSpacing w:w="15" w:type="dxa"/>
        </w:trPr>
        <w:tc>
          <w:tcPr>
            <w:tcW w:w="0" w:type="auto"/>
            <w:vAlign w:val="center"/>
            <w:hideMark/>
          </w:tcPr>
          <w:p w14:paraId="156712A2"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b/>
                <w:bCs/>
                <w:sz w:val="24"/>
                <w:szCs w:val="24"/>
              </w:rPr>
              <w:t>Average Household Size</w:t>
            </w:r>
          </w:p>
        </w:tc>
        <w:tc>
          <w:tcPr>
            <w:tcW w:w="0" w:type="auto"/>
            <w:vAlign w:val="center"/>
            <w:hideMark/>
          </w:tcPr>
          <w:p w14:paraId="2E42878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1-3 members</w:t>
            </w:r>
          </w:p>
        </w:tc>
        <w:tc>
          <w:tcPr>
            <w:tcW w:w="0" w:type="auto"/>
            <w:vAlign w:val="center"/>
            <w:hideMark/>
          </w:tcPr>
          <w:p w14:paraId="4956F6A0"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150</w:t>
            </w:r>
          </w:p>
        </w:tc>
        <w:tc>
          <w:tcPr>
            <w:tcW w:w="0" w:type="auto"/>
            <w:vAlign w:val="center"/>
            <w:hideMark/>
          </w:tcPr>
          <w:p w14:paraId="28404021"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36.9</w:t>
            </w:r>
          </w:p>
        </w:tc>
      </w:tr>
      <w:tr w:rsidR="00CF336C" w:rsidRPr="00015C67" w14:paraId="6A55768F" w14:textId="77777777" w:rsidTr="00CF336C">
        <w:trPr>
          <w:tblCellSpacing w:w="15" w:type="dxa"/>
        </w:trPr>
        <w:tc>
          <w:tcPr>
            <w:tcW w:w="0" w:type="auto"/>
            <w:vAlign w:val="center"/>
            <w:hideMark/>
          </w:tcPr>
          <w:p w14:paraId="59645024"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vAlign w:val="center"/>
            <w:hideMark/>
          </w:tcPr>
          <w:p w14:paraId="786363BE"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4-6 members</w:t>
            </w:r>
          </w:p>
        </w:tc>
        <w:tc>
          <w:tcPr>
            <w:tcW w:w="0" w:type="auto"/>
            <w:vAlign w:val="center"/>
            <w:hideMark/>
          </w:tcPr>
          <w:p w14:paraId="17F67B18"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170</w:t>
            </w:r>
          </w:p>
        </w:tc>
        <w:tc>
          <w:tcPr>
            <w:tcW w:w="0" w:type="auto"/>
            <w:vAlign w:val="center"/>
            <w:hideMark/>
          </w:tcPr>
          <w:p w14:paraId="65DCFFF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41.8</w:t>
            </w:r>
          </w:p>
        </w:tc>
      </w:tr>
      <w:tr w:rsidR="00CF336C" w:rsidRPr="00015C67" w14:paraId="48AA3A03" w14:textId="77777777" w:rsidTr="0087452F">
        <w:trPr>
          <w:tblCellSpacing w:w="15" w:type="dxa"/>
        </w:trPr>
        <w:tc>
          <w:tcPr>
            <w:tcW w:w="0" w:type="auto"/>
            <w:tcBorders>
              <w:bottom w:val="single" w:sz="4" w:space="0" w:color="auto"/>
            </w:tcBorders>
            <w:vAlign w:val="center"/>
            <w:hideMark/>
          </w:tcPr>
          <w:p w14:paraId="6BB22A22" w14:textId="77777777" w:rsidR="00CF336C" w:rsidRPr="00015C67" w:rsidRDefault="00CF336C" w:rsidP="00B1165D">
            <w:pPr>
              <w:spacing w:after="0" w:line="240" w:lineRule="auto"/>
              <w:rPr>
                <w:rFonts w:ascii="Times New Roman" w:eastAsia="Times New Roman" w:hAnsi="Times New Roman" w:cs="Times New Roman"/>
                <w:sz w:val="24"/>
                <w:szCs w:val="24"/>
              </w:rPr>
            </w:pPr>
          </w:p>
        </w:tc>
        <w:tc>
          <w:tcPr>
            <w:tcW w:w="0" w:type="auto"/>
            <w:tcBorders>
              <w:bottom w:val="single" w:sz="4" w:space="0" w:color="auto"/>
            </w:tcBorders>
            <w:vAlign w:val="center"/>
            <w:hideMark/>
          </w:tcPr>
          <w:p w14:paraId="2D07408E"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 members</w:t>
            </w:r>
          </w:p>
        </w:tc>
        <w:tc>
          <w:tcPr>
            <w:tcW w:w="0" w:type="auto"/>
            <w:tcBorders>
              <w:bottom w:val="single" w:sz="4" w:space="0" w:color="auto"/>
            </w:tcBorders>
            <w:vAlign w:val="center"/>
            <w:hideMark/>
          </w:tcPr>
          <w:p w14:paraId="0A445823"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87</w:t>
            </w:r>
          </w:p>
        </w:tc>
        <w:tc>
          <w:tcPr>
            <w:tcW w:w="0" w:type="auto"/>
            <w:tcBorders>
              <w:bottom w:val="single" w:sz="4" w:space="0" w:color="auto"/>
            </w:tcBorders>
            <w:vAlign w:val="center"/>
            <w:hideMark/>
          </w:tcPr>
          <w:p w14:paraId="7AF5F44D" w14:textId="77777777" w:rsidR="00CF336C" w:rsidRPr="00015C67" w:rsidRDefault="00CF336C" w:rsidP="00B1165D">
            <w:pPr>
              <w:spacing w:after="0" w:line="240" w:lineRule="auto"/>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21.4</w:t>
            </w:r>
          </w:p>
        </w:tc>
      </w:tr>
    </w:tbl>
    <w:p w14:paraId="458071A9" w14:textId="77777777" w:rsidR="00CF336C" w:rsidRPr="00015C67" w:rsidRDefault="00CF336C" w:rsidP="00B1165D">
      <w:pPr>
        <w:spacing w:line="240" w:lineRule="auto"/>
        <w:rPr>
          <w:rStyle w:val="Strong"/>
          <w:rFonts w:ascii="Times New Roman" w:hAnsi="Times New Roman" w:cs="Times New Roman"/>
          <w:sz w:val="24"/>
          <w:szCs w:val="24"/>
        </w:rPr>
      </w:pPr>
    </w:p>
    <w:p w14:paraId="6B9541CD" w14:textId="77777777" w:rsidR="001A52FF" w:rsidRPr="001A52FF" w:rsidRDefault="00A56CF2" w:rsidP="001A52FF">
      <w:pPr>
        <w:spacing w:before="100" w:beforeAutospacing="1" w:after="100" w:afterAutospacing="1" w:line="240" w:lineRule="auto"/>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The demographic breakdown of the respondents shows a varied distribution across various categories. Regarding </w:t>
      </w:r>
      <w:r w:rsidRPr="00015C67">
        <w:rPr>
          <w:rFonts w:ascii="Times New Roman" w:eastAsia="Times New Roman" w:hAnsi="Times New Roman" w:cs="Times New Roman"/>
          <w:bCs/>
          <w:sz w:val="24"/>
          <w:szCs w:val="24"/>
        </w:rPr>
        <w:t>age</w:t>
      </w:r>
      <w:r w:rsidRPr="00015C67">
        <w:rPr>
          <w:rFonts w:ascii="Times New Roman" w:eastAsia="Times New Roman" w:hAnsi="Times New Roman" w:cs="Times New Roman"/>
          <w:sz w:val="24"/>
          <w:szCs w:val="24"/>
        </w:rPr>
        <w:t xml:space="preserve">, the largest group of respondents are in the 26-35 and 36-45 age </w:t>
      </w:r>
      <w:r w:rsidRPr="00015C67">
        <w:rPr>
          <w:rFonts w:ascii="Times New Roman" w:eastAsia="Times New Roman" w:hAnsi="Times New Roman" w:cs="Times New Roman"/>
          <w:sz w:val="24"/>
          <w:szCs w:val="24"/>
        </w:rPr>
        <w:lastRenderedPageBreak/>
        <w:t xml:space="preserve">ranges, making up 24.6% and 22.1%, respectively. </w:t>
      </w:r>
      <w:r w:rsidR="001A52FF" w:rsidRPr="001A52FF">
        <w:rPr>
          <w:rFonts w:ascii="Times New Roman" w:eastAsia="Times New Roman" w:hAnsi="Times New Roman" w:cs="Times New Roman"/>
          <w:sz w:val="24"/>
          <w:szCs w:val="24"/>
        </w:rPr>
        <w:t xml:space="preserve">Among all responses, 19.7% of them are given by the young, aged between 18 to 25. On the other hand, the older respondents that is the people in the age bracket of 46-55 and even 56 or older make up a </w:t>
      </w:r>
      <w:proofErr w:type="spellStart"/>
      <w:r w:rsidR="001A52FF" w:rsidRPr="001A52FF">
        <w:rPr>
          <w:rFonts w:ascii="Times New Roman" w:eastAsia="Times New Roman" w:hAnsi="Times New Roman" w:cs="Times New Roman"/>
          <w:sz w:val="24"/>
          <w:szCs w:val="24"/>
        </w:rPr>
        <w:t>a</w:t>
      </w:r>
      <w:proofErr w:type="spellEnd"/>
      <w:r w:rsidR="001A52FF" w:rsidRPr="001A52FF">
        <w:rPr>
          <w:rFonts w:ascii="Times New Roman" w:eastAsia="Times New Roman" w:hAnsi="Times New Roman" w:cs="Times New Roman"/>
          <w:sz w:val="24"/>
          <w:szCs w:val="24"/>
        </w:rPr>
        <w:t xml:space="preserve"> bit bigger percentage with 17.2, and 16.5 percent respectively. As for the gender, most of the respondents are found to be males with 46.7%, closely followed by the females with 44.2%, and statistics show that a mere 9.1% specified that their gender fell into any of the other categories. As for the marital classification, a big number of respondents’ status is married (39.3%). un-marrying respondents come (31.9%) next, relatively not being far from the first group. A lower percentage is married (17.7%) or widow (11.1%). On the level of educational attainment, a bigger percentage of the respondents went through tertiary education (49.7%), whereas a section of them attended secondary school (29.5%). Very few attended the local primary school (14.8%) and even fewer have no education at all (6.1%). Considering the type of work, majority of the work force embraces the private companies (34.4%), followed by the civil service staff close to [19.7%]. There is a fair proportion of the population employed in any other kind of job (23.8%), whereas the minority are business owners </w:t>
      </w:r>
      <w:proofErr w:type="gramStart"/>
      <w:r w:rsidR="001A52FF" w:rsidRPr="001A52FF">
        <w:rPr>
          <w:rFonts w:ascii="Times New Roman" w:eastAsia="Times New Roman" w:hAnsi="Times New Roman" w:cs="Times New Roman"/>
          <w:sz w:val="24"/>
          <w:szCs w:val="24"/>
        </w:rPr>
        <w:t>( 12.3</w:t>
      </w:r>
      <w:proofErr w:type="gramEnd"/>
      <w:r w:rsidR="001A52FF" w:rsidRPr="001A52FF">
        <w:rPr>
          <w:rFonts w:ascii="Times New Roman" w:eastAsia="Times New Roman" w:hAnsi="Times New Roman" w:cs="Times New Roman"/>
          <w:sz w:val="24"/>
          <w:szCs w:val="24"/>
        </w:rPr>
        <w:t xml:space="preserve"> %) or jobless at a percentage of 9.8%.</w:t>
      </w:r>
    </w:p>
    <w:p w14:paraId="580A3468" w14:textId="77777777" w:rsidR="00A56CF2" w:rsidRPr="00015C67" w:rsidRDefault="001A52FF" w:rsidP="001A52FF">
      <w:pPr>
        <w:spacing w:before="100" w:beforeAutospacing="1" w:after="100" w:afterAutospacing="1" w:line="240" w:lineRule="auto"/>
        <w:jc w:val="both"/>
        <w:rPr>
          <w:rFonts w:ascii="Times New Roman" w:eastAsia="Times New Roman" w:hAnsi="Times New Roman" w:cs="Times New Roman"/>
          <w:sz w:val="24"/>
          <w:szCs w:val="24"/>
        </w:rPr>
      </w:pPr>
      <w:r w:rsidRPr="001A52FF">
        <w:rPr>
          <w:rFonts w:ascii="Times New Roman" w:eastAsia="Times New Roman" w:hAnsi="Times New Roman" w:cs="Times New Roman"/>
          <w:sz w:val="24"/>
          <w:szCs w:val="24"/>
        </w:rPr>
        <w:t>Distribution of household income indicates that the largest number of respondents fall in the category of those who earn between Fifty and One Hundred Thousand Naira-30,000 and above – (31.9 per cent) followed by the group who earn below Fifty Thousand Naira (31 per cent). One can find significant number of respondents, but not the majority of them, in the 25-30 and above groups which are the ranges of income of Naira 101,000-200,000 (23.3 percent) and above Naira 200,000 (17.7 percent) respectively. Population size of children less than five years of age in the household indicates that most of the persons in the survey have one child (41.8 percent), few have two children (29.5 percent), while a smaller proportion has three children (14.8 percent) or more than four children (14.0 percent). In the area of residence, it is clear that majority of the respondents are urban dwellers with 54.1 percent, 34.4 percent being rural dwellers and a small number living in peri-urban areas with 11.5 percent. Based on religious beliefs, the majority is Christian (54.1 percent) whereas 39.3 percent is Muslim. A very small number adheres to traditional religions (2.9 percent) and 3.7 percent follow other religions. ethnic background of the participants shows that most of the participants come from the Yoruba ethnic group (36.9 percent) while significant part of them come from the Igbo tribe (30.7 percent. Also, a meagre number of the respondents are Ika (9.8 percent) and most are Hausa (14.8). Other ethnic groups total only 7.9 with 7.9% declaring belonging to these other ethnicities. As for living arrangement in one particular housing, it is found that greater part of the respondents occupies houses as tenants (44.2 percent), 34.4 percent own houses while 21.4 percent live in family houses.</w:t>
      </w:r>
      <w:r w:rsidR="00A56CF2" w:rsidRPr="00015C67">
        <w:rPr>
          <w:rFonts w:ascii="Times New Roman" w:eastAsia="Times New Roman" w:hAnsi="Times New Roman" w:cs="Times New Roman"/>
          <w:sz w:val="24"/>
          <w:szCs w:val="24"/>
        </w:rPr>
        <w:t xml:space="preserve"> Finally, the </w:t>
      </w:r>
      <w:r w:rsidR="00A56CF2" w:rsidRPr="00015C67">
        <w:rPr>
          <w:rFonts w:ascii="Times New Roman" w:eastAsia="Times New Roman" w:hAnsi="Times New Roman" w:cs="Times New Roman"/>
          <w:bCs/>
          <w:sz w:val="24"/>
          <w:szCs w:val="24"/>
        </w:rPr>
        <w:t>average household size</w:t>
      </w:r>
      <w:r w:rsidR="00A56CF2" w:rsidRPr="00015C67">
        <w:rPr>
          <w:rFonts w:ascii="Times New Roman" w:eastAsia="Times New Roman" w:hAnsi="Times New Roman" w:cs="Times New Roman"/>
          <w:sz w:val="24"/>
          <w:szCs w:val="24"/>
        </w:rPr>
        <w:t xml:space="preserve"> is primarily composed of those with 4-6 members (41.8%), followed by smaller households of 1-3 members (36.9%) and larger households with 7+ members (21.4%).</w:t>
      </w:r>
    </w:p>
    <w:p w14:paraId="1A895905" w14:textId="77777777" w:rsidR="001A5395" w:rsidRPr="00015C67" w:rsidRDefault="001A5395" w:rsidP="00B1165D">
      <w:pPr>
        <w:pStyle w:val="NormalWeb"/>
        <w:jc w:val="both"/>
      </w:pPr>
      <w:r w:rsidRPr="00015C67">
        <w:rPr>
          <w:b/>
        </w:rPr>
        <w:t xml:space="preserve">Table </w:t>
      </w:r>
      <w:r w:rsidR="00E23B3B">
        <w:rPr>
          <w:b/>
        </w:rPr>
        <w:t>2</w:t>
      </w:r>
      <w:r w:rsidRPr="00015C67">
        <w:rPr>
          <w:b/>
        </w:rPr>
        <w:t>:</w:t>
      </w:r>
      <w:r w:rsidR="00C6206E" w:rsidRPr="00015C67">
        <w:rPr>
          <w:b/>
        </w:rPr>
        <w:t xml:space="preserve"> </w:t>
      </w:r>
      <w:r w:rsidR="00C6206E" w:rsidRPr="00015C67">
        <w:t>level of Immunization Uptake among Children under Five, In Ika South Local Government Area, Delta State</w:t>
      </w:r>
      <w:r w:rsidR="00A3376C" w:rsidRPr="00015C67">
        <w:t>.</w:t>
      </w:r>
    </w:p>
    <w:tbl>
      <w:tblPr>
        <w:tblStyle w:val="TableGrid"/>
        <w:tblW w:w="10042" w:type="dxa"/>
        <w:tblLayout w:type="fixed"/>
        <w:tblLook w:val="04A0" w:firstRow="1" w:lastRow="0" w:firstColumn="1" w:lastColumn="0" w:noHBand="0" w:noVBand="1"/>
      </w:tblPr>
      <w:tblGrid>
        <w:gridCol w:w="630"/>
        <w:gridCol w:w="4054"/>
        <w:gridCol w:w="1419"/>
        <w:gridCol w:w="1294"/>
        <w:gridCol w:w="1294"/>
        <w:gridCol w:w="1351"/>
      </w:tblGrid>
      <w:tr w:rsidR="005B5F41" w:rsidRPr="00015C67" w14:paraId="393126CE" w14:textId="77777777" w:rsidTr="005B5F41">
        <w:trPr>
          <w:trHeight w:val="434"/>
        </w:trPr>
        <w:tc>
          <w:tcPr>
            <w:tcW w:w="630" w:type="dxa"/>
            <w:hideMark/>
          </w:tcPr>
          <w:p w14:paraId="2228C320" w14:textId="77777777" w:rsidR="005B5F41" w:rsidRPr="00015C67" w:rsidRDefault="005B5F41"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S/N</w:t>
            </w:r>
          </w:p>
        </w:tc>
        <w:tc>
          <w:tcPr>
            <w:tcW w:w="4054" w:type="dxa"/>
            <w:hideMark/>
          </w:tcPr>
          <w:p w14:paraId="10D25FD8" w14:textId="77777777" w:rsidR="005B5F41" w:rsidRPr="00015C67" w:rsidRDefault="005B5F41"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Statement</w:t>
            </w:r>
          </w:p>
        </w:tc>
        <w:tc>
          <w:tcPr>
            <w:tcW w:w="1419" w:type="dxa"/>
            <w:vAlign w:val="center"/>
          </w:tcPr>
          <w:p w14:paraId="71B3A44D" w14:textId="77777777" w:rsidR="005B5F41" w:rsidRPr="00015C67" w:rsidRDefault="005B5F41"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Strongly Disagree</w:t>
            </w:r>
          </w:p>
        </w:tc>
        <w:tc>
          <w:tcPr>
            <w:tcW w:w="1294" w:type="dxa"/>
            <w:vAlign w:val="center"/>
          </w:tcPr>
          <w:p w14:paraId="13B31F14" w14:textId="77777777" w:rsidR="005B5F41" w:rsidRPr="00015C67" w:rsidRDefault="005B5F41"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Disagree</w:t>
            </w:r>
          </w:p>
        </w:tc>
        <w:tc>
          <w:tcPr>
            <w:tcW w:w="1294" w:type="dxa"/>
            <w:vAlign w:val="center"/>
          </w:tcPr>
          <w:p w14:paraId="59BBF48B" w14:textId="77777777" w:rsidR="005B5F41" w:rsidRPr="00015C67" w:rsidRDefault="005B5F41"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Agree</w:t>
            </w:r>
          </w:p>
        </w:tc>
        <w:tc>
          <w:tcPr>
            <w:tcW w:w="1351" w:type="dxa"/>
            <w:vAlign w:val="center"/>
          </w:tcPr>
          <w:p w14:paraId="1AA14DC4" w14:textId="77777777" w:rsidR="005B5F41" w:rsidRPr="00015C67" w:rsidRDefault="005B5F41"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 xml:space="preserve">Strongly Agree </w:t>
            </w:r>
          </w:p>
        </w:tc>
      </w:tr>
      <w:tr w:rsidR="005B5F41" w:rsidRPr="00015C67" w14:paraId="0D53FB40" w14:textId="77777777" w:rsidTr="005B5F41">
        <w:trPr>
          <w:trHeight w:val="868"/>
        </w:trPr>
        <w:tc>
          <w:tcPr>
            <w:tcW w:w="630" w:type="dxa"/>
            <w:hideMark/>
          </w:tcPr>
          <w:p w14:paraId="2DAA7511"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lastRenderedPageBreak/>
              <w:t>1</w:t>
            </w:r>
          </w:p>
        </w:tc>
        <w:tc>
          <w:tcPr>
            <w:tcW w:w="4054" w:type="dxa"/>
            <w:hideMark/>
          </w:tcPr>
          <w:p w14:paraId="7F59EAE8"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My child has received all the recommended vaccinations according to the national immunization schedule.</w:t>
            </w:r>
          </w:p>
        </w:tc>
        <w:tc>
          <w:tcPr>
            <w:tcW w:w="1419" w:type="dxa"/>
            <w:vAlign w:val="center"/>
          </w:tcPr>
          <w:p w14:paraId="3795CF67"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54 (13.27%)</w:t>
            </w:r>
          </w:p>
        </w:tc>
        <w:tc>
          <w:tcPr>
            <w:tcW w:w="1294" w:type="dxa"/>
            <w:vAlign w:val="center"/>
          </w:tcPr>
          <w:p w14:paraId="0942657C"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93 (22.85%)</w:t>
            </w:r>
          </w:p>
        </w:tc>
        <w:tc>
          <w:tcPr>
            <w:tcW w:w="1294" w:type="dxa"/>
            <w:vAlign w:val="center"/>
          </w:tcPr>
          <w:p w14:paraId="533BE8F6"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128 (31.45%)</w:t>
            </w:r>
          </w:p>
        </w:tc>
        <w:tc>
          <w:tcPr>
            <w:tcW w:w="1351" w:type="dxa"/>
            <w:vAlign w:val="center"/>
          </w:tcPr>
          <w:p w14:paraId="3C6517EF"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97 (23.83%)</w:t>
            </w:r>
          </w:p>
        </w:tc>
      </w:tr>
      <w:tr w:rsidR="005B5F41" w:rsidRPr="00015C67" w14:paraId="4C49B442" w14:textId="77777777" w:rsidTr="005B5F41">
        <w:trPr>
          <w:trHeight w:val="425"/>
        </w:trPr>
        <w:tc>
          <w:tcPr>
            <w:tcW w:w="630" w:type="dxa"/>
            <w:hideMark/>
          </w:tcPr>
          <w:p w14:paraId="69DA8E67"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w:t>
            </w:r>
          </w:p>
        </w:tc>
        <w:tc>
          <w:tcPr>
            <w:tcW w:w="4054" w:type="dxa"/>
            <w:hideMark/>
          </w:tcPr>
          <w:p w14:paraId="0096028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My child has received the first dose of vaccination on time.</w:t>
            </w:r>
          </w:p>
        </w:tc>
        <w:tc>
          <w:tcPr>
            <w:tcW w:w="1419" w:type="dxa"/>
            <w:vAlign w:val="center"/>
          </w:tcPr>
          <w:p w14:paraId="15EC9BB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91 (22.36%)</w:t>
            </w:r>
          </w:p>
        </w:tc>
        <w:tc>
          <w:tcPr>
            <w:tcW w:w="1294" w:type="dxa"/>
            <w:vAlign w:val="center"/>
          </w:tcPr>
          <w:p w14:paraId="311F6433"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97 (23.83%)</w:t>
            </w:r>
          </w:p>
        </w:tc>
        <w:tc>
          <w:tcPr>
            <w:tcW w:w="1294" w:type="dxa"/>
            <w:vAlign w:val="center"/>
          </w:tcPr>
          <w:p w14:paraId="1C53C2E5"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121 (29.73%)</w:t>
            </w:r>
          </w:p>
        </w:tc>
        <w:tc>
          <w:tcPr>
            <w:tcW w:w="1351" w:type="dxa"/>
            <w:vAlign w:val="center"/>
          </w:tcPr>
          <w:p w14:paraId="54689C86"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72 (17.69%)</w:t>
            </w:r>
          </w:p>
        </w:tc>
      </w:tr>
      <w:tr w:rsidR="005B5F41" w:rsidRPr="00015C67" w14:paraId="1DD46CF6" w14:textId="77777777" w:rsidTr="005B5F41">
        <w:trPr>
          <w:trHeight w:val="651"/>
        </w:trPr>
        <w:tc>
          <w:tcPr>
            <w:tcW w:w="630" w:type="dxa"/>
            <w:hideMark/>
          </w:tcPr>
          <w:p w14:paraId="4295159A"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3</w:t>
            </w:r>
          </w:p>
        </w:tc>
        <w:tc>
          <w:tcPr>
            <w:tcW w:w="4054" w:type="dxa"/>
            <w:hideMark/>
          </w:tcPr>
          <w:p w14:paraId="6C6A95A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My child has received the complete set of immunizations for their age group.</w:t>
            </w:r>
          </w:p>
        </w:tc>
        <w:tc>
          <w:tcPr>
            <w:tcW w:w="1419" w:type="dxa"/>
            <w:vAlign w:val="center"/>
          </w:tcPr>
          <w:p w14:paraId="4FFCFACB"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98 (24.08%)</w:t>
            </w:r>
          </w:p>
        </w:tc>
        <w:tc>
          <w:tcPr>
            <w:tcW w:w="1294" w:type="dxa"/>
            <w:vAlign w:val="center"/>
          </w:tcPr>
          <w:p w14:paraId="372E1BC8"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63 (15.48%)</w:t>
            </w:r>
          </w:p>
        </w:tc>
        <w:tc>
          <w:tcPr>
            <w:tcW w:w="1294" w:type="dxa"/>
            <w:vAlign w:val="center"/>
          </w:tcPr>
          <w:p w14:paraId="7EEC9FEB"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113 (27.76%)</w:t>
            </w:r>
          </w:p>
        </w:tc>
        <w:tc>
          <w:tcPr>
            <w:tcW w:w="1351" w:type="dxa"/>
            <w:vAlign w:val="center"/>
          </w:tcPr>
          <w:p w14:paraId="56BFF986"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82 (20.15%)</w:t>
            </w:r>
          </w:p>
        </w:tc>
      </w:tr>
      <w:tr w:rsidR="005B5F41" w:rsidRPr="00015C67" w14:paraId="5EEA55FF" w14:textId="77777777" w:rsidTr="005B5F41">
        <w:trPr>
          <w:trHeight w:val="651"/>
        </w:trPr>
        <w:tc>
          <w:tcPr>
            <w:tcW w:w="630" w:type="dxa"/>
            <w:hideMark/>
          </w:tcPr>
          <w:p w14:paraId="7964E6B1"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w:t>
            </w:r>
          </w:p>
        </w:tc>
        <w:tc>
          <w:tcPr>
            <w:tcW w:w="4054" w:type="dxa"/>
            <w:hideMark/>
          </w:tcPr>
          <w:p w14:paraId="2EF2FF86"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have followed the immunization schedule provided by the healthcare workers.</w:t>
            </w:r>
          </w:p>
        </w:tc>
        <w:tc>
          <w:tcPr>
            <w:tcW w:w="1419" w:type="dxa"/>
            <w:vAlign w:val="center"/>
          </w:tcPr>
          <w:p w14:paraId="3B418ED2"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85 (20.88%)</w:t>
            </w:r>
          </w:p>
        </w:tc>
        <w:tc>
          <w:tcPr>
            <w:tcW w:w="1294" w:type="dxa"/>
            <w:vAlign w:val="center"/>
          </w:tcPr>
          <w:p w14:paraId="5D10F1A4"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70 (17.20%)</w:t>
            </w:r>
          </w:p>
        </w:tc>
        <w:tc>
          <w:tcPr>
            <w:tcW w:w="1294" w:type="dxa"/>
            <w:vAlign w:val="center"/>
          </w:tcPr>
          <w:p w14:paraId="6E131B3C"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118 (28.99%)</w:t>
            </w:r>
          </w:p>
        </w:tc>
        <w:tc>
          <w:tcPr>
            <w:tcW w:w="1351" w:type="dxa"/>
            <w:vAlign w:val="center"/>
          </w:tcPr>
          <w:p w14:paraId="6E08B3E5"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61 (14.99%)</w:t>
            </w:r>
          </w:p>
        </w:tc>
      </w:tr>
      <w:tr w:rsidR="005B5F41" w:rsidRPr="00015C67" w14:paraId="2B80B7BE" w14:textId="77777777" w:rsidTr="005B5F41">
        <w:trPr>
          <w:trHeight w:val="651"/>
        </w:trPr>
        <w:tc>
          <w:tcPr>
            <w:tcW w:w="630" w:type="dxa"/>
            <w:hideMark/>
          </w:tcPr>
          <w:p w14:paraId="5EF1F093"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5</w:t>
            </w:r>
          </w:p>
        </w:tc>
        <w:tc>
          <w:tcPr>
            <w:tcW w:w="4054" w:type="dxa"/>
            <w:hideMark/>
          </w:tcPr>
          <w:p w14:paraId="02A7288C"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have taken my child to a healthcare facility for immunization at the recommended times.</w:t>
            </w:r>
          </w:p>
        </w:tc>
        <w:tc>
          <w:tcPr>
            <w:tcW w:w="1419" w:type="dxa"/>
            <w:vAlign w:val="center"/>
          </w:tcPr>
          <w:p w14:paraId="61CB40F9"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76 (18.67%)</w:t>
            </w:r>
          </w:p>
        </w:tc>
        <w:tc>
          <w:tcPr>
            <w:tcW w:w="1294" w:type="dxa"/>
            <w:vAlign w:val="center"/>
          </w:tcPr>
          <w:p w14:paraId="4D88808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67 (16.46%)</w:t>
            </w:r>
          </w:p>
        </w:tc>
        <w:tc>
          <w:tcPr>
            <w:tcW w:w="1294" w:type="dxa"/>
            <w:vAlign w:val="center"/>
          </w:tcPr>
          <w:p w14:paraId="08B887E1"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122 (29.98%)</w:t>
            </w:r>
          </w:p>
        </w:tc>
        <w:tc>
          <w:tcPr>
            <w:tcW w:w="1351" w:type="dxa"/>
            <w:vAlign w:val="center"/>
          </w:tcPr>
          <w:p w14:paraId="2A41705F"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92 (22.60%)</w:t>
            </w:r>
          </w:p>
        </w:tc>
      </w:tr>
      <w:tr w:rsidR="005B5F41" w:rsidRPr="00015C67" w14:paraId="12C580C9" w14:textId="77777777" w:rsidTr="005B5F41">
        <w:trPr>
          <w:trHeight w:val="651"/>
        </w:trPr>
        <w:tc>
          <w:tcPr>
            <w:tcW w:w="630" w:type="dxa"/>
            <w:hideMark/>
          </w:tcPr>
          <w:p w14:paraId="0415B597"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w:t>
            </w:r>
          </w:p>
        </w:tc>
        <w:tc>
          <w:tcPr>
            <w:tcW w:w="4054" w:type="dxa"/>
            <w:hideMark/>
          </w:tcPr>
          <w:p w14:paraId="4FE412DC"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have completed all vaccination doses for my child without missing any.</w:t>
            </w:r>
          </w:p>
        </w:tc>
        <w:tc>
          <w:tcPr>
            <w:tcW w:w="1419" w:type="dxa"/>
            <w:vAlign w:val="center"/>
          </w:tcPr>
          <w:p w14:paraId="7BB453D1"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83 (20.41%)</w:t>
            </w:r>
          </w:p>
        </w:tc>
        <w:tc>
          <w:tcPr>
            <w:tcW w:w="1294" w:type="dxa"/>
            <w:vAlign w:val="center"/>
          </w:tcPr>
          <w:p w14:paraId="50006738"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80 (19.70%)</w:t>
            </w:r>
          </w:p>
        </w:tc>
        <w:tc>
          <w:tcPr>
            <w:tcW w:w="1294" w:type="dxa"/>
            <w:vAlign w:val="center"/>
          </w:tcPr>
          <w:p w14:paraId="3A84B792"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105 (25.80%)</w:t>
            </w:r>
          </w:p>
        </w:tc>
        <w:tc>
          <w:tcPr>
            <w:tcW w:w="1351" w:type="dxa"/>
            <w:vAlign w:val="center"/>
          </w:tcPr>
          <w:p w14:paraId="108328EB"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96 (23.59%)</w:t>
            </w:r>
          </w:p>
        </w:tc>
      </w:tr>
      <w:tr w:rsidR="005B5F41" w:rsidRPr="00015C67" w14:paraId="097733E9" w14:textId="77777777" w:rsidTr="005B5F41">
        <w:trPr>
          <w:trHeight w:val="868"/>
        </w:trPr>
        <w:tc>
          <w:tcPr>
            <w:tcW w:w="630" w:type="dxa"/>
            <w:hideMark/>
          </w:tcPr>
          <w:p w14:paraId="3DEA6873"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w:t>
            </w:r>
          </w:p>
        </w:tc>
        <w:tc>
          <w:tcPr>
            <w:tcW w:w="4054" w:type="dxa"/>
            <w:hideMark/>
          </w:tcPr>
          <w:p w14:paraId="64B5DDEA"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The immunization services in Ika South Local Government Area, Delta State are easily accessible to me.</w:t>
            </w:r>
          </w:p>
        </w:tc>
        <w:tc>
          <w:tcPr>
            <w:tcW w:w="1419" w:type="dxa"/>
            <w:vAlign w:val="center"/>
          </w:tcPr>
          <w:p w14:paraId="300F478E"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79 (19.41%)</w:t>
            </w:r>
          </w:p>
        </w:tc>
        <w:tc>
          <w:tcPr>
            <w:tcW w:w="1294" w:type="dxa"/>
            <w:vAlign w:val="center"/>
          </w:tcPr>
          <w:p w14:paraId="5538DB7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102 (25.09%)</w:t>
            </w:r>
          </w:p>
        </w:tc>
        <w:tc>
          <w:tcPr>
            <w:tcW w:w="1294" w:type="dxa"/>
            <w:vAlign w:val="center"/>
          </w:tcPr>
          <w:p w14:paraId="01494080"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112 (27.52%)</w:t>
            </w:r>
          </w:p>
        </w:tc>
        <w:tc>
          <w:tcPr>
            <w:tcW w:w="1351" w:type="dxa"/>
            <w:vAlign w:val="center"/>
          </w:tcPr>
          <w:p w14:paraId="723C2C2A"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88 (21.65%)</w:t>
            </w:r>
          </w:p>
        </w:tc>
      </w:tr>
      <w:tr w:rsidR="005B5F41" w:rsidRPr="00015C67" w14:paraId="1446BF18" w14:textId="77777777" w:rsidTr="005B5F41">
        <w:trPr>
          <w:trHeight w:val="642"/>
        </w:trPr>
        <w:tc>
          <w:tcPr>
            <w:tcW w:w="630" w:type="dxa"/>
            <w:hideMark/>
          </w:tcPr>
          <w:p w14:paraId="3D0F18D5"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w:t>
            </w:r>
          </w:p>
        </w:tc>
        <w:tc>
          <w:tcPr>
            <w:tcW w:w="4054" w:type="dxa"/>
            <w:hideMark/>
          </w:tcPr>
          <w:p w14:paraId="07387D26"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have been able to get my child vaccinated on time despite living in a rural area.</w:t>
            </w:r>
          </w:p>
        </w:tc>
        <w:tc>
          <w:tcPr>
            <w:tcW w:w="1419" w:type="dxa"/>
            <w:vAlign w:val="center"/>
          </w:tcPr>
          <w:p w14:paraId="1D25BF26"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64 (15.73%)</w:t>
            </w:r>
          </w:p>
        </w:tc>
        <w:tc>
          <w:tcPr>
            <w:tcW w:w="1294" w:type="dxa"/>
            <w:vAlign w:val="center"/>
          </w:tcPr>
          <w:p w14:paraId="4C22CBF4"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90 (22.14%)</w:t>
            </w:r>
          </w:p>
        </w:tc>
        <w:tc>
          <w:tcPr>
            <w:tcW w:w="1294" w:type="dxa"/>
            <w:vAlign w:val="center"/>
          </w:tcPr>
          <w:p w14:paraId="6DF71D7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126 (30.98%)</w:t>
            </w:r>
          </w:p>
        </w:tc>
        <w:tc>
          <w:tcPr>
            <w:tcW w:w="1351" w:type="dxa"/>
            <w:vAlign w:val="center"/>
          </w:tcPr>
          <w:p w14:paraId="3C333A0C"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127 (31.21%)</w:t>
            </w:r>
          </w:p>
        </w:tc>
      </w:tr>
      <w:tr w:rsidR="005B5F41" w:rsidRPr="00015C67" w14:paraId="1B5AE2C2" w14:textId="77777777" w:rsidTr="005B5F41">
        <w:trPr>
          <w:trHeight w:val="434"/>
        </w:trPr>
        <w:tc>
          <w:tcPr>
            <w:tcW w:w="630" w:type="dxa"/>
            <w:hideMark/>
          </w:tcPr>
          <w:p w14:paraId="791DC24C"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w:t>
            </w:r>
          </w:p>
        </w:tc>
        <w:tc>
          <w:tcPr>
            <w:tcW w:w="4054" w:type="dxa"/>
            <w:hideMark/>
          </w:tcPr>
          <w:p w14:paraId="05B3E1D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encountered no challenges in getting my child vaccinated on time.</w:t>
            </w:r>
          </w:p>
        </w:tc>
        <w:tc>
          <w:tcPr>
            <w:tcW w:w="1419" w:type="dxa"/>
            <w:vAlign w:val="center"/>
          </w:tcPr>
          <w:p w14:paraId="60EC7F53"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88 (21.65%)</w:t>
            </w:r>
          </w:p>
        </w:tc>
        <w:tc>
          <w:tcPr>
            <w:tcW w:w="1294" w:type="dxa"/>
            <w:vAlign w:val="center"/>
          </w:tcPr>
          <w:p w14:paraId="6BDD7B27"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73 (17.92%)</w:t>
            </w:r>
          </w:p>
        </w:tc>
        <w:tc>
          <w:tcPr>
            <w:tcW w:w="1294" w:type="dxa"/>
            <w:vAlign w:val="center"/>
          </w:tcPr>
          <w:p w14:paraId="2ACA6581"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102 (25.09%)</w:t>
            </w:r>
          </w:p>
        </w:tc>
        <w:tc>
          <w:tcPr>
            <w:tcW w:w="1351" w:type="dxa"/>
            <w:vAlign w:val="center"/>
          </w:tcPr>
          <w:p w14:paraId="31A4D3B7"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98 (24.08%)</w:t>
            </w:r>
          </w:p>
        </w:tc>
      </w:tr>
      <w:tr w:rsidR="005B5F41" w:rsidRPr="00015C67" w14:paraId="1AFFB4FA" w14:textId="77777777" w:rsidTr="005B5F41">
        <w:trPr>
          <w:trHeight w:val="868"/>
        </w:trPr>
        <w:tc>
          <w:tcPr>
            <w:tcW w:w="630" w:type="dxa"/>
            <w:hideMark/>
          </w:tcPr>
          <w:p w14:paraId="08B9E6B3"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w:t>
            </w:r>
          </w:p>
        </w:tc>
        <w:tc>
          <w:tcPr>
            <w:tcW w:w="4054" w:type="dxa"/>
            <w:hideMark/>
          </w:tcPr>
          <w:p w14:paraId="5ED419AC"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feel confident in the vaccination process and would continue to get my child vaccinated as per the schedule.</w:t>
            </w:r>
          </w:p>
        </w:tc>
        <w:tc>
          <w:tcPr>
            <w:tcW w:w="1419" w:type="dxa"/>
            <w:vAlign w:val="center"/>
          </w:tcPr>
          <w:p w14:paraId="09E9C19E"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78 (19.18%)</w:t>
            </w:r>
          </w:p>
        </w:tc>
        <w:tc>
          <w:tcPr>
            <w:tcW w:w="1294" w:type="dxa"/>
            <w:vAlign w:val="center"/>
          </w:tcPr>
          <w:p w14:paraId="67B56D9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77 (18.92%)</w:t>
            </w:r>
          </w:p>
        </w:tc>
        <w:tc>
          <w:tcPr>
            <w:tcW w:w="1294" w:type="dxa"/>
            <w:vAlign w:val="center"/>
          </w:tcPr>
          <w:p w14:paraId="363B081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118 (28.99%)</w:t>
            </w:r>
          </w:p>
        </w:tc>
        <w:tc>
          <w:tcPr>
            <w:tcW w:w="1351" w:type="dxa"/>
            <w:vAlign w:val="center"/>
          </w:tcPr>
          <w:p w14:paraId="11B2FF7A"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134 (32.91%)</w:t>
            </w:r>
          </w:p>
        </w:tc>
      </w:tr>
      <w:tr w:rsidR="005B5F41" w:rsidRPr="00015C67" w14:paraId="4F091961" w14:textId="77777777" w:rsidTr="005B5F41">
        <w:trPr>
          <w:trHeight w:val="651"/>
        </w:trPr>
        <w:tc>
          <w:tcPr>
            <w:tcW w:w="630" w:type="dxa"/>
            <w:hideMark/>
          </w:tcPr>
          <w:p w14:paraId="5ECEA380"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w:t>
            </w:r>
          </w:p>
        </w:tc>
        <w:tc>
          <w:tcPr>
            <w:tcW w:w="4054" w:type="dxa"/>
            <w:hideMark/>
          </w:tcPr>
          <w:p w14:paraId="386346AF"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My child received all the necessary vaccines from a local healthcare center without any delays.</w:t>
            </w:r>
          </w:p>
        </w:tc>
        <w:tc>
          <w:tcPr>
            <w:tcW w:w="1419" w:type="dxa"/>
            <w:vAlign w:val="center"/>
          </w:tcPr>
          <w:p w14:paraId="539B719A"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101 (24.85%)</w:t>
            </w:r>
          </w:p>
        </w:tc>
        <w:tc>
          <w:tcPr>
            <w:tcW w:w="1294" w:type="dxa"/>
            <w:vAlign w:val="center"/>
          </w:tcPr>
          <w:p w14:paraId="0D620C79"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79 (19.41%)</w:t>
            </w:r>
          </w:p>
        </w:tc>
        <w:tc>
          <w:tcPr>
            <w:tcW w:w="1294" w:type="dxa"/>
            <w:vAlign w:val="center"/>
          </w:tcPr>
          <w:p w14:paraId="0585242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109 (26.80%)</w:t>
            </w:r>
          </w:p>
        </w:tc>
        <w:tc>
          <w:tcPr>
            <w:tcW w:w="1351" w:type="dxa"/>
            <w:vAlign w:val="center"/>
          </w:tcPr>
          <w:p w14:paraId="5FC977E3"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94 (23.08%)</w:t>
            </w:r>
          </w:p>
        </w:tc>
      </w:tr>
      <w:tr w:rsidR="005B5F41" w:rsidRPr="00015C67" w14:paraId="17DA4FEF" w14:textId="77777777" w:rsidTr="005B5F41">
        <w:trPr>
          <w:trHeight w:val="651"/>
        </w:trPr>
        <w:tc>
          <w:tcPr>
            <w:tcW w:w="630" w:type="dxa"/>
            <w:hideMark/>
          </w:tcPr>
          <w:p w14:paraId="2B1F76E1"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w:t>
            </w:r>
          </w:p>
        </w:tc>
        <w:tc>
          <w:tcPr>
            <w:tcW w:w="4054" w:type="dxa"/>
            <w:hideMark/>
          </w:tcPr>
          <w:p w14:paraId="71206B01"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have never had to miss a vaccination appointment for my child.</w:t>
            </w:r>
          </w:p>
        </w:tc>
        <w:tc>
          <w:tcPr>
            <w:tcW w:w="1419" w:type="dxa"/>
            <w:vAlign w:val="center"/>
          </w:tcPr>
          <w:p w14:paraId="03B5FA55"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81 (19.90%)</w:t>
            </w:r>
          </w:p>
        </w:tc>
        <w:tc>
          <w:tcPr>
            <w:tcW w:w="1294" w:type="dxa"/>
            <w:vAlign w:val="center"/>
          </w:tcPr>
          <w:p w14:paraId="775130D2"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84 (20.64%)</w:t>
            </w:r>
          </w:p>
        </w:tc>
        <w:tc>
          <w:tcPr>
            <w:tcW w:w="1294" w:type="dxa"/>
            <w:vAlign w:val="center"/>
          </w:tcPr>
          <w:p w14:paraId="00CACCFF"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123 (30.23%)</w:t>
            </w:r>
          </w:p>
        </w:tc>
        <w:tc>
          <w:tcPr>
            <w:tcW w:w="1351" w:type="dxa"/>
            <w:vAlign w:val="center"/>
          </w:tcPr>
          <w:p w14:paraId="7F270AE8"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106 (26.06%)</w:t>
            </w:r>
          </w:p>
        </w:tc>
      </w:tr>
      <w:tr w:rsidR="005B5F41" w:rsidRPr="00015C67" w14:paraId="17881F83" w14:textId="77777777" w:rsidTr="005B5F41">
        <w:trPr>
          <w:trHeight w:val="651"/>
        </w:trPr>
        <w:tc>
          <w:tcPr>
            <w:tcW w:w="630" w:type="dxa"/>
            <w:hideMark/>
          </w:tcPr>
          <w:p w14:paraId="2D394730"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13</w:t>
            </w:r>
          </w:p>
        </w:tc>
        <w:tc>
          <w:tcPr>
            <w:tcW w:w="4054" w:type="dxa"/>
            <w:hideMark/>
          </w:tcPr>
          <w:p w14:paraId="096CBB3B"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My child was vaccinated in line with the scheduled dates and recommended vaccinations.</w:t>
            </w:r>
          </w:p>
        </w:tc>
        <w:tc>
          <w:tcPr>
            <w:tcW w:w="1419" w:type="dxa"/>
            <w:vAlign w:val="center"/>
          </w:tcPr>
          <w:p w14:paraId="2B578227"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94 (23.09%)</w:t>
            </w:r>
          </w:p>
        </w:tc>
        <w:tc>
          <w:tcPr>
            <w:tcW w:w="1294" w:type="dxa"/>
            <w:vAlign w:val="center"/>
          </w:tcPr>
          <w:p w14:paraId="5728E317"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69 (16.97%)</w:t>
            </w:r>
          </w:p>
        </w:tc>
        <w:tc>
          <w:tcPr>
            <w:tcW w:w="1294" w:type="dxa"/>
            <w:vAlign w:val="center"/>
          </w:tcPr>
          <w:p w14:paraId="569CC9CA"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118 (28.99%)</w:t>
            </w:r>
          </w:p>
        </w:tc>
        <w:tc>
          <w:tcPr>
            <w:tcW w:w="1351" w:type="dxa"/>
            <w:vAlign w:val="center"/>
          </w:tcPr>
          <w:p w14:paraId="57F61B74"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126 (30.98%)</w:t>
            </w:r>
          </w:p>
        </w:tc>
      </w:tr>
      <w:tr w:rsidR="005B5F41" w:rsidRPr="00015C67" w14:paraId="390A07D1" w14:textId="77777777" w:rsidTr="005B5F41">
        <w:trPr>
          <w:trHeight w:val="859"/>
        </w:trPr>
        <w:tc>
          <w:tcPr>
            <w:tcW w:w="630" w:type="dxa"/>
            <w:hideMark/>
          </w:tcPr>
          <w:p w14:paraId="5C2DAD6B"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w:t>
            </w:r>
          </w:p>
        </w:tc>
        <w:tc>
          <w:tcPr>
            <w:tcW w:w="4054" w:type="dxa"/>
            <w:hideMark/>
          </w:tcPr>
          <w:p w14:paraId="5F62D0FD"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The immunization services in my area are reliable, and I trust them to meet my child’s immunization needs.</w:t>
            </w:r>
          </w:p>
        </w:tc>
        <w:tc>
          <w:tcPr>
            <w:tcW w:w="1419" w:type="dxa"/>
            <w:vAlign w:val="center"/>
          </w:tcPr>
          <w:p w14:paraId="6CF8620F"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65 (15.98%)</w:t>
            </w:r>
          </w:p>
        </w:tc>
        <w:tc>
          <w:tcPr>
            <w:tcW w:w="1294" w:type="dxa"/>
            <w:vAlign w:val="center"/>
          </w:tcPr>
          <w:p w14:paraId="0FD6C5B9"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80 (19.70%)</w:t>
            </w:r>
          </w:p>
        </w:tc>
        <w:tc>
          <w:tcPr>
            <w:tcW w:w="1294" w:type="dxa"/>
            <w:vAlign w:val="center"/>
          </w:tcPr>
          <w:p w14:paraId="3D6C0FD1"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119 (29.24%)</w:t>
            </w:r>
          </w:p>
        </w:tc>
        <w:tc>
          <w:tcPr>
            <w:tcW w:w="1351" w:type="dxa"/>
            <w:vAlign w:val="center"/>
          </w:tcPr>
          <w:p w14:paraId="75A794F2"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143 (35.14%)</w:t>
            </w:r>
          </w:p>
        </w:tc>
      </w:tr>
      <w:tr w:rsidR="005B5F41" w:rsidRPr="00015C67" w14:paraId="4F667688" w14:textId="77777777" w:rsidTr="005B5F41">
        <w:trPr>
          <w:trHeight w:val="868"/>
        </w:trPr>
        <w:tc>
          <w:tcPr>
            <w:tcW w:w="630" w:type="dxa"/>
            <w:hideMark/>
          </w:tcPr>
          <w:p w14:paraId="50DAB929"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15</w:t>
            </w:r>
          </w:p>
        </w:tc>
        <w:tc>
          <w:tcPr>
            <w:tcW w:w="4054" w:type="dxa"/>
            <w:hideMark/>
          </w:tcPr>
          <w:p w14:paraId="71FE4ABC"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am satisfied with the immunization services and would encourage other parents to get their children vaccinated.</w:t>
            </w:r>
          </w:p>
        </w:tc>
        <w:tc>
          <w:tcPr>
            <w:tcW w:w="1419" w:type="dxa"/>
            <w:vAlign w:val="center"/>
          </w:tcPr>
          <w:p w14:paraId="4385FD44"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84 (20.64%)</w:t>
            </w:r>
          </w:p>
        </w:tc>
        <w:tc>
          <w:tcPr>
            <w:tcW w:w="1294" w:type="dxa"/>
            <w:vAlign w:val="center"/>
          </w:tcPr>
          <w:p w14:paraId="0651F3FF"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75 (18.42%)</w:t>
            </w:r>
          </w:p>
        </w:tc>
        <w:tc>
          <w:tcPr>
            <w:tcW w:w="1294" w:type="dxa"/>
            <w:vAlign w:val="center"/>
          </w:tcPr>
          <w:p w14:paraId="110A2C65"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117 (28.74%)</w:t>
            </w:r>
          </w:p>
        </w:tc>
        <w:tc>
          <w:tcPr>
            <w:tcW w:w="1351" w:type="dxa"/>
            <w:vAlign w:val="center"/>
          </w:tcPr>
          <w:p w14:paraId="4E55DF5B" w14:textId="77777777" w:rsidR="005B5F41" w:rsidRPr="00015C67" w:rsidRDefault="005B5F41"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131 (32.19%)</w:t>
            </w:r>
          </w:p>
        </w:tc>
      </w:tr>
    </w:tbl>
    <w:p w14:paraId="28DE1C65" w14:textId="77777777" w:rsidR="00DC6C9E" w:rsidRPr="00015C67" w:rsidRDefault="00DC6C9E" w:rsidP="00B1165D">
      <w:pPr>
        <w:spacing w:line="240" w:lineRule="auto"/>
        <w:rPr>
          <w:rStyle w:val="Strong"/>
          <w:rFonts w:ascii="Times New Roman" w:hAnsi="Times New Roman" w:cs="Times New Roman"/>
          <w:sz w:val="24"/>
          <w:szCs w:val="24"/>
        </w:rPr>
      </w:pPr>
    </w:p>
    <w:p w14:paraId="6BF41220" w14:textId="77777777" w:rsidR="00EA738B" w:rsidRPr="00EA738B" w:rsidRDefault="00DC6C9E" w:rsidP="00EA738B">
      <w:pPr>
        <w:spacing w:before="100" w:beforeAutospacing="1" w:after="100" w:afterAutospacing="1" w:line="240" w:lineRule="auto"/>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The survey results on immunization uptake among children under five in Ika South Local Government Area, Delta State, reveal both positive trends and areas that require attention. </w:t>
      </w:r>
      <w:r w:rsidR="00EA738B" w:rsidRPr="00EA738B">
        <w:rPr>
          <w:rFonts w:ascii="Times New Roman" w:eastAsia="Times New Roman" w:hAnsi="Times New Roman" w:cs="Times New Roman"/>
          <w:sz w:val="24"/>
          <w:szCs w:val="24"/>
        </w:rPr>
        <w:t xml:space="preserve">The </w:t>
      </w:r>
      <w:r w:rsidR="00EA738B" w:rsidRPr="00EA738B">
        <w:rPr>
          <w:rFonts w:ascii="Times New Roman" w:eastAsia="Times New Roman" w:hAnsi="Times New Roman" w:cs="Times New Roman"/>
          <w:sz w:val="24"/>
          <w:szCs w:val="24"/>
        </w:rPr>
        <w:lastRenderedPageBreak/>
        <w:t>majority of the respondents agreed that their children has been administered with the right vaccines stipulated in the national immunization calendar, with a total of 55.28% agreeing or strongly agreeing to the sentiment. However, a significant 36.12% of the respondents said they do not agree or strongly disagree which effectively means that not all children are equally vaccinated as per the state recommendations. In terms of the first dose of vaccination, 47.42% of the respondents said that they did it on time as norms require and there was no issue at all. It was the case that many parents did it on time for their children. On the contrary, such a venture was not for 46.19% of participants. It was because a few received on time, the rest for sure delayed their children as far as the first dose of vaccination was concerned.</w:t>
      </w:r>
    </w:p>
    <w:p w14:paraId="0D6841C0" w14:textId="77777777" w:rsidR="00EA738B" w:rsidRPr="00EA738B" w:rsidRDefault="00EA738B" w:rsidP="00EA738B">
      <w:pPr>
        <w:spacing w:before="100" w:beforeAutospacing="1" w:after="100" w:afterAutospacing="1" w:line="240" w:lineRule="auto"/>
        <w:jc w:val="both"/>
        <w:rPr>
          <w:rFonts w:ascii="Times New Roman" w:eastAsia="Times New Roman" w:hAnsi="Times New Roman" w:cs="Times New Roman"/>
          <w:sz w:val="24"/>
          <w:szCs w:val="24"/>
        </w:rPr>
      </w:pPr>
      <w:r w:rsidRPr="00EA738B">
        <w:rPr>
          <w:rFonts w:ascii="Times New Roman" w:eastAsia="Times New Roman" w:hAnsi="Times New Roman" w:cs="Times New Roman"/>
          <w:sz w:val="24"/>
          <w:szCs w:val="24"/>
        </w:rPr>
        <w:t xml:space="preserve">When it waited to assume much coverage about how many benchmarks will be retained from their age or, 47.2 developed a neutral opinion. This supports the idea that there are children who seek to receive all the vaccines from a particular age range. However, 40.7% of the people did not agree or strongly agree to that, meaning a huge number of adolescents are missing out on recommended vaccines from the age specified. In terms of when they are supposed to get the vaccinations from medical providers, 43.98% of the relevant </w:t>
      </w:r>
      <w:proofErr w:type="spellStart"/>
      <w:r w:rsidRPr="00EA738B">
        <w:rPr>
          <w:rFonts w:ascii="Times New Roman" w:eastAsia="Times New Roman" w:hAnsi="Times New Roman" w:cs="Times New Roman"/>
          <w:sz w:val="24"/>
          <w:szCs w:val="24"/>
        </w:rPr>
        <w:t>individuals’s</w:t>
      </w:r>
      <w:proofErr w:type="spellEnd"/>
      <w:r w:rsidRPr="00EA738B">
        <w:rPr>
          <w:rFonts w:ascii="Times New Roman" w:eastAsia="Times New Roman" w:hAnsi="Times New Roman" w:cs="Times New Roman"/>
          <w:sz w:val="24"/>
          <w:szCs w:val="24"/>
        </w:rPr>
        <w:t xml:space="preserve"> view was positive or very positive and just high: lots of people follow the advice even though it is difficult to always maintain the discipline. Although 38.8% did not agree particularly in this assertion, this implies a challenge as some parents may disregard carrying out the immunizations as recommended - which is about </w:t>
      </w:r>
      <w:proofErr w:type="spellStart"/>
      <w:r w:rsidRPr="00EA738B">
        <w:rPr>
          <w:rFonts w:ascii="Times New Roman" w:eastAsia="Times New Roman" w:hAnsi="Times New Roman" w:cs="Times New Roman"/>
          <w:sz w:val="24"/>
          <w:szCs w:val="24"/>
        </w:rPr>
        <w:t>ps</w:t>
      </w:r>
      <w:proofErr w:type="spellEnd"/>
      <w:r w:rsidRPr="00EA738B">
        <w:rPr>
          <w:rFonts w:ascii="Times New Roman" w:eastAsia="Times New Roman" w:hAnsi="Times New Roman" w:cs="Times New Roman"/>
          <w:sz w:val="24"/>
          <w:szCs w:val="24"/>
        </w:rPr>
        <w:t xml:space="preserve"> and pneumonia vaccination. Also, regarding the proposition that 61 percentage of the people bring their children back at the recommended times for immunization, it is worth noting that 35 are resisting medications, which already show that there is </w:t>
      </w:r>
      <w:proofErr w:type="spellStart"/>
      <w:r w:rsidRPr="00EA738B">
        <w:rPr>
          <w:rFonts w:ascii="Times New Roman" w:eastAsia="Times New Roman" w:hAnsi="Times New Roman" w:cs="Times New Roman"/>
          <w:sz w:val="24"/>
          <w:szCs w:val="24"/>
        </w:rPr>
        <w:t>quiet</w:t>
      </w:r>
      <w:proofErr w:type="spellEnd"/>
      <w:r w:rsidRPr="00EA738B">
        <w:rPr>
          <w:rFonts w:ascii="Times New Roman" w:eastAsia="Times New Roman" w:hAnsi="Times New Roman" w:cs="Times New Roman"/>
          <w:sz w:val="24"/>
          <w:szCs w:val="24"/>
        </w:rPr>
        <w:t xml:space="preserve"> a challenge in finding the required services.</w:t>
      </w:r>
    </w:p>
    <w:p w14:paraId="73AF1A6B" w14:textId="77777777" w:rsidR="00DC6C9E" w:rsidRPr="00015C67" w:rsidRDefault="00EA738B" w:rsidP="00EA738B">
      <w:pPr>
        <w:spacing w:before="100" w:beforeAutospacing="1" w:after="100" w:afterAutospacing="1" w:line="240" w:lineRule="auto"/>
        <w:jc w:val="both"/>
        <w:rPr>
          <w:rFonts w:ascii="Times New Roman" w:eastAsia="Times New Roman" w:hAnsi="Times New Roman" w:cs="Times New Roman"/>
          <w:sz w:val="24"/>
          <w:szCs w:val="24"/>
        </w:rPr>
      </w:pPr>
      <w:r w:rsidRPr="00EA738B">
        <w:rPr>
          <w:rFonts w:ascii="Times New Roman" w:eastAsia="Times New Roman" w:hAnsi="Times New Roman" w:cs="Times New Roman"/>
          <w:sz w:val="24"/>
          <w:szCs w:val="24"/>
        </w:rPr>
        <w:t>The results of the survey show that 59.97% of the parents indicated that their children were vaccinated on time. However, 40.06% of the parents pleaded differed or differed completely with this position meaning that there are encompassing the timelines of injection for some kids. Out of which 64.38% of the respondents claimed the immunization services were dependable while 35.68% contended that the immunization services were unreliable meaning the method was not effective.</w:t>
      </w:r>
      <w:r>
        <w:rPr>
          <w:rFonts w:ascii="Times New Roman" w:eastAsia="Times New Roman" w:hAnsi="Times New Roman" w:cs="Times New Roman"/>
          <w:sz w:val="24"/>
          <w:szCs w:val="24"/>
        </w:rPr>
        <w:t xml:space="preserve"> </w:t>
      </w:r>
      <w:r w:rsidR="00DC6C9E" w:rsidRPr="00015C67">
        <w:rPr>
          <w:rFonts w:ascii="Times New Roman" w:eastAsia="Times New Roman" w:hAnsi="Times New Roman" w:cs="Times New Roman"/>
          <w:sz w:val="24"/>
          <w:szCs w:val="24"/>
        </w:rPr>
        <w:t xml:space="preserve"> Finally, the overall satisfaction with immunization services was high, with 60.93% of respondents agreeing or strongly agreeing that they were satisfied and would encourage others to vaccinate their children. However, 39.06% of respondents were dissatisfied or unsure about the services.</w:t>
      </w:r>
    </w:p>
    <w:p w14:paraId="1F957981" w14:textId="77777777" w:rsidR="00016DC6" w:rsidRPr="00015C67" w:rsidRDefault="00016DC6" w:rsidP="00B1165D">
      <w:pPr>
        <w:pStyle w:val="NormalWeb"/>
        <w:jc w:val="both"/>
      </w:pPr>
      <w:r w:rsidRPr="00015C67">
        <w:t xml:space="preserve">Table 3: </w:t>
      </w:r>
      <w:r w:rsidR="00C16D1C" w:rsidRPr="00015C67">
        <w:t>level of accessibility of immunization service among children under five in Ika South Local Government Area, Delta State.</w:t>
      </w:r>
    </w:p>
    <w:tbl>
      <w:tblPr>
        <w:tblStyle w:val="TableGrid"/>
        <w:tblW w:w="10177" w:type="dxa"/>
        <w:tblLayout w:type="fixed"/>
        <w:tblLook w:val="04A0" w:firstRow="1" w:lastRow="0" w:firstColumn="1" w:lastColumn="0" w:noHBand="0" w:noVBand="1"/>
      </w:tblPr>
      <w:tblGrid>
        <w:gridCol w:w="639"/>
        <w:gridCol w:w="4256"/>
        <w:gridCol w:w="1390"/>
        <w:gridCol w:w="1266"/>
        <w:gridCol w:w="1290"/>
        <w:gridCol w:w="1336"/>
      </w:tblGrid>
      <w:tr w:rsidR="001C7DA7" w:rsidRPr="00015C67" w14:paraId="748E7409" w14:textId="77777777" w:rsidTr="001C7DA7">
        <w:trPr>
          <w:trHeight w:val="437"/>
        </w:trPr>
        <w:tc>
          <w:tcPr>
            <w:tcW w:w="639" w:type="dxa"/>
            <w:hideMark/>
          </w:tcPr>
          <w:p w14:paraId="4462FC71" w14:textId="77777777" w:rsidR="001C7DA7" w:rsidRPr="00015C67" w:rsidRDefault="001C7DA7"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S/N</w:t>
            </w:r>
          </w:p>
        </w:tc>
        <w:tc>
          <w:tcPr>
            <w:tcW w:w="4256" w:type="dxa"/>
            <w:hideMark/>
          </w:tcPr>
          <w:p w14:paraId="247B45D5" w14:textId="77777777" w:rsidR="001C7DA7" w:rsidRPr="00015C67" w:rsidRDefault="001C7DA7"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Statement</w:t>
            </w:r>
          </w:p>
        </w:tc>
        <w:tc>
          <w:tcPr>
            <w:tcW w:w="1390" w:type="dxa"/>
            <w:vAlign w:val="center"/>
          </w:tcPr>
          <w:p w14:paraId="2832BA7F" w14:textId="77777777" w:rsidR="001C7DA7" w:rsidRPr="00015C67" w:rsidRDefault="001C7DA7"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Strongly Disagree</w:t>
            </w:r>
          </w:p>
        </w:tc>
        <w:tc>
          <w:tcPr>
            <w:tcW w:w="1266" w:type="dxa"/>
            <w:vAlign w:val="center"/>
          </w:tcPr>
          <w:p w14:paraId="3D2963DE" w14:textId="77777777" w:rsidR="001C7DA7" w:rsidRPr="00015C67" w:rsidRDefault="001C7DA7"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Disagree</w:t>
            </w:r>
          </w:p>
        </w:tc>
        <w:tc>
          <w:tcPr>
            <w:tcW w:w="1290" w:type="dxa"/>
            <w:vAlign w:val="center"/>
          </w:tcPr>
          <w:p w14:paraId="77E90B4B" w14:textId="77777777" w:rsidR="001C7DA7" w:rsidRPr="00015C67" w:rsidRDefault="001C7DA7"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Agree</w:t>
            </w:r>
          </w:p>
        </w:tc>
        <w:tc>
          <w:tcPr>
            <w:tcW w:w="1336" w:type="dxa"/>
            <w:vAlign w:val="center"/>
          </w:tcPr>
          <w:p w14:paraId="42633FAC" w14:textId="77777777" w:rsidR="001C7DA7" w:rsidRPr="00015C67" w:rsidRDefault="001C7DA7" w:rsidP="00B1165D">
            <w:pPr>
              <w:jc w:val="center"/>
              <w:rPr>
                <w:rFonts w:ascii="Times New Roman" w:eastAsia="Times New Roman" w:hAnsi="Times New Roman" w:cs="Times New Roman"/>
                <w:b/>
                <w:bCs/>
                <w:sz w:val="24"/>
                <w:szCs w:val="24"/>
              </w:rPr>
            </w:pPr>
            <w:r w:rsidRPr="00015C67">
              <w:rPr>
                <w:rFonts w:ascii="Times New Roman" w:eastAsia="Times New Roman" w:hAnsi="Times New Roman" w:cs="Times New Roman"/>
                <w:b/>
                <w:bCs/>
                <w:sz w:val="24"/>
                <w:szCs w:val="24"/>
              </w:rPr>
              <w:t>Strongly Agree</w:t>
            </w:r>
          </w:p>
        </w:tc>
      </w:tr>
      <w:tr w:rsidR="001C7DA7" w:rsidRPr="00015C67" w14:paraId="073CB39C" w14:textId="77777777" w:rsidTr="001C7DA7">
        <w:trPr>
          <w:trHeight w:val="874"/>
        </w:trPr>
        <w:tc>
          <w:tcPr>
            <w:tcW w:w="639" w:type="dxa"/>
            <w:hideMark/>
          </w:tcPr>
          <w:p w14:paraId="18067336"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w:t>
            </w:r>
          </w:p>
        </w:tc>
        <w:tc>
          <w:tcPr>
            <w:tcW w:w="4256" w:type="dxa"/>
            <w:hideMark/>
          </w:tcPr>
          <w:p w14:paraId="4A7E8E7F"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Healthcare facilities in Ika South Local Government Area, Delta State provide immunization services to all children under five.</w:t>
            </w:r>
          </w:p>
        </w:tc>
        <w:tc>
          <w:tcPr>
            <w:tcW w:w="1390" w:type="dxa"/>
            <w:vAlign w:val="center"/>
          </w:tcPr>
          <w:p w14:paraId="742D7A98"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90 (22.11%)</w:t>
            </w:r>
          </w:p>
        </w:tc>
        <w:tc>
          <w:tcPr>
            <w:tcW w:w="1266" w:type="dxa"/>
            <w:vAlign w:val="center"/>
          </w:tcPr>
          <w:p w14:paraId="0FC51EF8"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90 (22.11%)</w:t>
            </w:r>
          </w:p>
        </w:tc>
        <w:tc>
          <w:tcPr>
            <w:tcW w:w="1290" w:type="dxa"/>
            <w:vAlign w:val="center"/>
          </w:tcPr>
          <w:p w14:paraId="1841CC6A"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126 (30.96%)</w:t>
            </w:r>
          </w:p>
        </w:tc>
        <w:tc>
          <w:tcPr>
            <w:tcW w:w="1336" w:type="dxa"/>
            <w:vAlign w:val="center"/>
          </w:tcPr>
          <w:p w14:paraId="2F4BBA74"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64 (15.72%)</w:t>
            </w:r>
          </w:p>
        </w:tc>
      </w:tr>
      <w:tr w:rsidR="001C7DA7" w:rsidRPr="00015C67" w14:paraId="1EB62CF5" w14:textId="77777777" w:rsidTr="001C7DA7">
        <w:trPr>
          <w:trHeight w:val="646"/>
        </w:trPr>
        <w:tc>
          <w:tcPr>
            <w:tcW w:w="639" w:type="dxa"/>
            <w:hideMark/>
          </w:tcPr>
          <w:p w14:paraId="3EC31561"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2</w:t>
            </w:r>
          </w:p>
        </w:tc>
        <w:tc>
          <w:tcPr>
            <w:tcW w:w="4256" w:type="dxa"/>
            <w:hideMark/>
          </w:tcPr>
          <w:p w14:paraId="5D17FC6F"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The distance to the nearest healthcare facility with immunization services is manageable.</w:t>
            </w:r>
          </w:p>
        </w:tc>
        <w:tc>
          <w:tcPr>
            <w:tcW w:w="1390" w:type="dxa"/>
            <w:vAlign w:val="center"/>
          </w:tcPr>
          <w:p w14:paraId="7C3C1220"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71 (17.44%)</w:t>
            </w:r>
          </w:p>
        </w:tc>
        <w:tc>
          <w:tcPr>
            <w:tcW w:w="1266" w:type="dxa"/>
            <w:vAlign w:val="center"/>
          </w:tcPr>
          <w:p w14:paraId="279053BB"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60 (14.74%)</w:t>
            </w:r>
          </w:p>
        </w:tc>
        <w:tc>
          <w:tcPr>
            <w:tcW w:w="1290" w:type="dxa"/>
            <w:vAlign w:val="center"/>
          </w:tcPr>
          <w:p w14:paraId="66E8FB62"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104 (25.55%)</w:t>
            </w:r>
          </w:p>
        </w:tc>
        <w:tc>
          <w:tcPr>
            <w:tcW w:w="1336" w:type="dxa"/>
            <w:vAlign w:val="center"/>
          </w:tcPr>
          <w:p w14:paraId="1300BF43"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98 (24.08%)</w:t>
            </w:r>
          </w:p>
        </w:tc>
      </w:tr>
      <w:tr w:rsidR="001C7DA7" w:rsidRPr="00015C67" w14:paraId="746CCB17" w14:textId="77777777" w:rsidTr="001C7DA7">
        <w:trPr>
          <w:trHeight w:val="655"/>
        </w:trPr>
        <w:tc>
          <w:tcPr>
            <w:tcW w:w="639" w:type="dxa"/>
            <w:hideMark/>
          </w:tcPr>
          <w:p w14:paraId="4DE76EA5"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lastRenderedPageBreak/>
              <w:t>3</w:t>
            </w:r>
          </w:p>
        </w:tc>
        <w:tc>
          <w:tcPr>
            <w:tcW w:w="4256" w:type="dxa"/>
            <w:hideMark/>
          </w:tcPr>
          <w:p w14:paraId="428CA042"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can easily access immunization services for my child in Ika South Local Government Area, Delta State.</w:t>
            </w:r>
          </w:p>
        </w:tc>
        <w:tc>
          <w:tcPr>
            <w:tcW w:w="1390" w:type="dxa"/>
            <w:vAlign w:val="center"/>
          </w:tcPr>
          <w:p w14:paraId="27ECE888"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80 (19.66%)</w:t>
            </w:r>
          </w:p>
        </w:tc>
        <w:tc>
          <w:tcPr>
            <w:tcW w:w="1266" w:type="dxa"/>
            <w:vAlign w:val="center"/>
          </w:tcPr>
          <w:p w14:paraId="46A17A1B"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79 (19.41%)</w:t>
            </w:r>
          </w:p>
        </w:tc>
        <w:tc>
          <w:tcPr>
            <w:tcW w:w="1290" w:type="dxa"/>
            <w:vAlign w:val="center"/>
          </w:tcPr>
          <w:p w14:paraId="3BD62956"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124 (30.47%)</w:t>
            </w:r>
          </w:p>
        </w:tc>
        <w:tc>
          <w:tcPr>
            <w:tcW w:w="1336" w:type="dxa"/>
            <w:vAlign w:val="center"/>
          </w:tcPr>
          <w:p w14:paraId="21FCA5AE"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87 (21.38%)</w:t>
            </w:r>
          </w:p>
        </w:tc>
      </w:tr>
      <w:tr w:rsidR="001C7DA7" w:rsidRPr="00015C67" w14:paraId="34CCC4D6" w14:textId="77777777" w:rsidTr="001C7DA7">
        <w:trPr>
          <w:trHeight w:val="874"/>
        </w:trPr>
        <w:tc>
          <w:tcPr>
            <w:tcW w:w="639" w:type="dxa"/>
            <w:hideMark/>
          </w:tcPr>
          <w:p w14:paraId="0CB82B1E"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4</w:t>
            </w:r>
          </w:p>
        </w:tc>
        <w:tc>
          <w:tcPr>
            <w:tcW w:w="4256" w:type="dxa"/>
            <w:hideMark/>
          </w:tcPr>
          <w:p w14:paraId="105AD7D2"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Immunization services in Ika South Local Government Area, Delta State are available within a reasonable timeframe.</w:t>
            </w:r>
          </w:p>
        </w:tc>
        <w:tc>
          <w:tcPr>
            <w:tcW w:w="1390" w:type="dxa"/>
            <w:vAlign w:val="center"/>
          </w:tcPr>
          <w:p w14:paraId="0816566E"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93 (22.85%)</w:t>
            </w:r>
          </w:p>
        </w:tc>
        <w:tc>
          <w:tcPr>
            <w:tcW w:w="1266" w:type="dxa"/>
            <w:vAlign w:val="center"/>
          </w:tcPr>
          <w:p w14:paraId="5BFE63D8"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82 (20.15%)</w:t>
            </w:r>
          </w:p>
        </w:tc>
        <w:tc>
          <w:tcPr>
            <w:tcW w:w="1290" w:type="dxa"/>
            <w:vAlign w:val="center"/>
          </w:tcPr>
          <w:p w14:paraId="494943EA"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148 (36.36%)</w:t>
            </w:r>
          </w:p>
        </w:tc>
        <w:tc>
          <w:tcPr>
            <w:tcW w:w="1336" w:type="dxa"/>
            <w:vAlign w:val="center"/>
          </w:tcPr>
          <w:p w14:paraId="1ABF37CF"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81 (19.90%)</w:t>
            </w:r>
          </w:p>
        </w:tc>
      </w:tr>
      <w:tr w:rsidR="001C7DA7" w:rsidRPr="00015C67" w14:paraId="7C45B714" w14:textId="77777777" w:rsidTr="001C7DA7">
        <w:trPr>
          <w:trHeight w:val="655"/>
        </w:trPr>
        <w:tc>
          <w:tcPr>
            <w:tcW w:w="639" w:type="dxa"/>
            <w:hideMark/>
          </w:tcPr>
          <w:p w14:paraId="2EA807E8"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5</w:t>
            </w:r>
          </w:p>
        </w:tc>
        <w:tc>
          <w:tcPr>
            <w:tcW w:w="4256" w:type="dxa"/>
            <w:hideMark/>
          </w:tcPr>
          <w:p w14:paraId="7F4411AA"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My child’s immunization appointments are scheduled at times that are convenient for my family.</w:t>
            </w:r>
          </w:p>
        </w:tc>
        <w:tc>
          <w:tcPr>
            <w:tcW w:w="1390" w:type="dxa"/>
            <w:vAlign w:val="center"/>
          </w:tcPr>
          <w:p w14:paraId="7166A469"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95 (23.34%)</w:t>
            </w:r>
          </w:p>
        </w:tc>
        <w:tc>
          <w:tcPr>
            <w:tcW w:w="1266" w:type="dxa"/>
            <w:vAlign w:val="center"/>
          </w:tcPr>
          <w:p w14:paraId="09BE4184"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70 (17.20%)</w:t>
            </w:r>
          </w:p>
        </w:tc>
        <w:tc>
          <w:tcPr>
            <w:tcW w:w="1290" w:type="dxa"/>
            <w:vAlign w:val="center"/>
          </w:tcPr>
          <w:p w14:paraId="62E411AF"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104 (25.55%)</w:t>
            </w:r>
          </w:p>
        </w:tc>
        <w:tc>
          <w:tcPr>
            <w:tcW w:w="1336" w:type="dxa"/>
            <w:vAlign w:val="center"/>
          </w:tcPr>
          <w:p w14:paraId="62875145"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59 (14.50%)</w:t>
            </w:r>
          </w:p>
        </w:tc>
      </w:tr>
      <w:tr w:rsidR="001C7DA7" w:rsidRPr="00015C67" w14:paraId="3A797199" w14:textId="77777777" w:rsidTr="001C7DA7">
        <w:trPr>
          <w:trHeight w:val="874"/>
        </w:trPr>
        <w:tc>
          <w:tcPr>
            <w:tcW w:w="639" w:type="dxa"/>
            <w:hideMark/>
          </w:tcPr>
          <w:p w14:paraId="198D7381"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w:t>
            </w:r>
          </w:p>
        </w:tc>
        <w:tc>
          <w:tcPr>
            <w:tcW w:w="4256" w:type="dxa"/>
            <w:hideMark/>
          </w:tcPr>
          <w:p w14:paraId="6294CB71"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There is always a healthcare provider available to administer immunizations in Ika South Local Government Area, Delta State.</w:t>
            </w:r>
          </w:p>
        </w:tc>
        <w:tc>
          <w:tcPr>
            <w:tcW w:w="1390" w:type="dxa"/>
            <w:vAlign w:val="center"/>
          </w:tcPr>
          <w:p w14:paraId="014D9502"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92 (22.61%)</w:t>
            </w:r>
          </w:p>
        </w:tc>
        <w:tc>
          <w:tcPr>
            <w:tcW w:w="1266" w:type="dxa"/>
            <w:vAlign w:val="center"/>
          </w:tcPr>
          <w:p w14:paraId="185A10DF"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86 (21.14%)</w:t>
            </w:r>
          </w:p>
        </w:tc>
        <w:tc>
          <w:tcPr>
            <w:tcW w:w="1290" w:type="dxa"/>
            <w:vAlign w:val="center"/>
          </w:tcPr>
          <w:p w14:paraId="5245F5C2"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105 (25.80%)</w:t>
            </w:r>
          </w:p>
        </w:tc>
        <w:tc>
          <w:tcPr>
            <w:tcW w:w="1336" w:type="dxa"/>
            <w:vAlign w:val="center"/>
          </w:tcPr>
          <w:p w14:paraId="60F1E20A"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66 (16.21%)</w:t>
            </w:r>
          </w:p>
        </w:tc>
      </w:tr>
      <w:tr w:rsidR="001C7DA7" w:rsidRPr="00015C67" w14:paraId="69811A40" w14:textId="77777777" w:rsidTr="001C7DA7">
        <w:trPr>
          <w:trHeight w:val="655"/>
        </w:trPr>
        <w:tc>
          <w:tcPr>
            <w:tcW w:w="639" w:type="dxa"/>
            <w:hideMark/>
          </w:tcPr>
          <w:p w14:paraId="6007DDDC"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w:t>
            </w:r>
          </w:p>
        </w:tc>
        <w:tc>
          <w:tcPr>
            <w:tcW w:w="4256" w:type="dxa"/>
            <w:hideMark/>
          </w:tcPr>
          <w:p w14:paraId="28D7349D"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find the cost of transportation to healthcare facilities for immunization to be affordable.</w:t>
            </w:r>
          </w:p>
        </w:tc>
        <w:tc>
          <w:tcPr>
            <w:tcW w:w="1390" w:type="dxa"/>
            <w:vAlign w:val="center"/>
          </w:tcPr>
          <w:p w14:paraId="630A2FE4"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98 (24.08%)</w:t>
            </w:r>
          </w:p>
        </w:tc>
        <w:tc>
          <w:tcPr>
            <w:tcW w:w="1266" w:type="dxa"/>
            <w:vAlign w:val="center"/>
          </w:tcPr>
          <w:p w14:paraId="18DC3B43"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77 (18.92%)</w:t>
            </w:r>
          </w:p>
        </w:tc>
        <w:tc>
          <w:tcPr>
            <w:tcW w:w="1290" w:type="dxa"/>
            <w:vAlign w:val="center"/>
          </w:tcPr>
          <w:p w14:paraId="53DA2F5D"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107 (26.29%)</w:t>
            </w:r>
          </w:p>
        </w:tc>
        <w:tc>
          <w:tcPr>
            <w:tcW w:w="1336" w:type="dxa"/>
            <w:vAlign w:val="center"/>
          </w:tcPr>
          <w:p w14:paraId="7457DB33"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73 (17.92%)</w:t>
            </w:r>
          </w:p>
        </w:tc>
      </w:tr>
      <w:tr w:rsidR="001C7DA7" w:rsidRPr="00015C67" w14:paraId="7B433731" w14:textId="77777777" w:rsidTr="001C7DA7">
        <w:trPr>
          <w:trHeight w:val="646"/>
        </w:trPr>
        <w:tc>
          <w:tcPr>
            <w:tcW w:w="639" w:type="dxa"/>
            <w:hideMark/>
          </w:tcPr>
          <w:p w14:paraId="18D90AA7"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w:t>
            </w:r>
          </w:p>
        </w:tc>
        <w:tc>
          <w:tcPr>
            <w:tcW w:w="4256" w:type="dxa"/>
            <w:hideMark/>
          </w:tcPr>
          <w:p w14:paraId="597A76BE"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can access immunization services even during weekends or off-peak hours.</w:t>
            </w:r>
          </w:p>
        </w:tc>
        <w:tc>
          <w:tcPr>
            <w:tcW w:w="1390" w:type="dxa"/>
            <w:vAlign w:val="center"/>
          </w:tcPr>
          <w:p w14:paraId="4A2A3B34"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75 (18.43%)</w:t>
            </w:r>
          </w:p>
        </w:tc>
        <w:tc>
          <w:tcPr>
            <w:tcW w:w="1266" w:type="dxa"/>
            <w:vAlign w:val="center"/>
          </w:tcPr>
          <w:p w14:paraId="512E0E1C"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70 (17.20%)</w:t>
            </w:r>
          </w:p>
        </w:tc>
        <w:tc>
          <w:tcPr>
            <w:tcW w:w="1290" w:type="dxa"/>
            <w:vAlign w:val="center"/>
          </w:tcPr>
          <w:p w14:paraId="6EE0284D"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133 (32.67%)</w:t>
            </w:r>
          </w:p>
        </w:tc>
        <w:tc>
          <w:tcPr>
            <w:tcW w:w="1336" w:type="dxa"/>
            <w:vAlign w:val="center"/>
          </w:tcPr>
          <w:p w14:paraId="287713E6"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95 (23.34%)</w:t>
            </w:r>
          </w:p>
        </w:tc>
      </w:tr>
      <w:tr w:rsidR="001C7DA7" w:rsidRPr="00015C67" w14:paraId="742CAFBB" w14:textId="77777777" w:rsidTr="001C7DA7">
        <w:trPr>
          <w:trHeight w:val="874"/>
        </w:trPr>
        <w:tc>
          <w:tcPr>
            <w:tcW w:w="639" w:type="dxa"/>
            <w:hideMark/>
          </w:tcPr>
          <w:p w14:paraId="5CA94E6E"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w:t>
            </w:r>
          </w:p>
        </w:tc>
        <w:tc>
          <w:tcPr>
            <w:tcW w:w="4256" w:type="dxa"/>
            <w:hideMark/>
          </w:tcPr>
          <w:p w14:paraId="6632C712"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Immunization services in Ika South Local Government Area, Delta State are available at locations that are easily accessible by public transport.</w:t>
            </w:r>
          </w:p>
        </w:tc>
        <w:tc>
          <w:tcPr>
            <w:tcW w:w="1390" w:type="dxa"/>
            <w:vAlign w:val="center"/>
          </w:tcPr>
          <w:p w14:paraId="450BFA12"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85 (20.91%)</w:t>
            </w:r>
          </w:p>
        </w:tc>
        <w:tc>
          <w:tcPr>
            <w:tcW w:w="1266" w:type="dxa"/>
            <w:vAlign w:val="center"/>
          </w:tcPr>
          <w:p w14:paraId="77855A07"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79 (19.41%)</w:t>
            </w:r>
          </w:p>
        </w:tc>
        <w:tc>
          <w:tcPr>
            <w:tcW w:w="1290" w:type="dxa"/>
            <w:vAlign w:val="center"/>
          </w:tcPr>
          <w:p w14:paraId="51DBC869"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110 (27.04%)</w:t>
            </w:r>
          </w:p>
        </w:tc>
        <w:tc>
          <w:tcPr>
            <w:tcW w:w="1336" w:type="dxa"/>
            <w:vAlign w:val="center"/>
          </w:tcPr>
          <w:p w14:paraId="77A4465F"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133 (32.67%)</w:t>
            </w:r>
          </w:p>
        </w:tc>
      </w:tr>
      <w:tr w:rsidR="001C7DA7" w:rsidRPr="00015C67" w14:paraId="4285FC26" w14:textId="77777777" w:rsidTr="001C7DA7">
        <w:trPr>
          <w:trHeight w:val="655"/>
        </w:trPr>
        <w:tc>
          <w:tcPr>
            <w:tcW w:w="639" w:type="dxa"/>
            <w:hideMark/>
          </w:tcPr>
          <w:p w14:paraId="715E97A2"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w:t>
            </w:r>
          </w:p>
        </w:tc>
        <w:tc>
          <w:tcPr>
            <w:tcW w:w="4256" w:type="dxa"/>
            <w:hideMark/>
          </w:tcPr>
          <w:p w14:paraId="54EC280C"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There is no shortage of vaccines in local healthcare centers when I take my child for immunization.</w:t>
            </w:r>
          </w:p>
        </w:tc>
        <w:tc>
          <w:tcPr>
            <w:tcW w:w="1390" w:type="dxa"/>
            <w:vAlign w:val="center"/>
          </w:tcPr>
          <w:p w14:paraId="02C93A7E"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79 (19.41%)</w:t>
            </w:r>
          </w:p>
        </w:tc>
        <w:tc>
          <w:tcPr>
            <w:tcW w:w="1266" w:type="dxa"/>
            <w:vAlign w:val="center"/>
          </w:tcPr>
          <w:p w14:paraId="7CD596FD"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82 (20.15%)</w:t>
            </w:r>
          </w:p>
        </w:tc>
        <w:tc>
          <w:tcPr>
            <w:tcW w:w="1290" w:type="dxa"/>
            <w:vAlign w:val="center"/>
          </w:tcPr>
          <w:p w14:paraId="290E4FFD"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122 (29.98%)</w:t>
            </w:r>
          </w:p>
        </w:tc>
        <w:tc>
          <w:tcPr>
            <w:tcW w:w="1336" w:type="dxa"/>
            <w:vAlign w:val="center"/>
          </w:tcPr>
          <w:p w14:paraId="251F72DB"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124 (30.47%)</w:t>
            </w:r>
          </w:p>
        </w:tc>
      </w:tr>
      <w:tr w:rsidR="001C7DA7" w:rsidRPr="00015C67" w14:paraId="45749978" w14:textId="77777777" w:rsidTr="001C7DA7">
        <w:trPr>
          <w:trHeight w:val="874"/>
        </w:trPr>
        <w:tc>
          <w:tcPr>
            <w:tcW w:w="639" w:type="dxa"/>
            <w:hideMark/>
          </w:tcPr>
          <w:p w14:paraId="29270750"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w:t>
            </w:r>
          </w:p>
        </w:tc>
        <w:tc>
          <w:tcPr>
            <w:tcW w:w="4256" w:type="dxa"/>
            <w:hideMark/>
          </w:tcPr>
          <w:p w14:paraId="595042CE"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am aware of the vaccination schedules and immunization campaigns in Ika South Local Government Area, Delta State.</w:t>
            </w:r>
          </w:p>
        </w:tc>
        <w:tc>
          <w:tcPr>
            <w:tcW w:w="1390" w:type="dxa"/>
            <w:vAlign w:val="center"/>
          </w:tcPr>
          <w:p w14:paraId="771FC242"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98 (24.08%)</w:t>
            </w:r>
          </w:p>
        </w:tc>
        <w:tc>
          <w:tcPr>
            <w:tcW w:w="1266" w:type="dxa"/>
            <w:vAlign w:val="center"/>
          </w:tcPr>
          <w:p w14:paraId="186C4D9F"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63 (15.48%)</w:t>
            </w:r>
          </w:p>
        </w:tc>
        <w:tc>
          <w:tcPr>
            <w:tcW w:w="1290" w:type="dxa"/>
            <w:vAlign w:val="center"/>
          </w:tcPr>
          <w:p w14:paraId="0DEA991E"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113 (27.76%)</w:t>
            </w:r>
          </w:p>
        </w:tc>
        <w:tc>
          <w:tcPr>
            <w:tcW w:w="1336" w:type="dxa"/>
            <w:vAlign w:val="center"/>
          </w:tcPr>
          <w:p w14:paraId="7C00CAE4"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82 (20.15%)</w:t>
            </w:r>
          </w:p>
        </w:tc>
      </w:tr>
      <w:tr w:rsidR="001C7DA7" w:rsidRPr="00015C67" w14:paraId="53D3CC1A" w14:textId="77777777" w:rsidTr="001C7DA7">
        <w:trPr>
          <w:trHeight w:val="874"/>
        </w:trPr>
        <w:tc>
          <w:tcPr>
            <w:tcW w:w="639" w:type="dxa"/>
            <w:hideMark/>
          </w:tcPr>
          <w:p w14:paraId="25306830"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w:t>
            </w:r>
          </w:p>
        </w:tc>
        <w:tc>
          <w:tcPr>
            <w:tcW w:w="4256" w:type="dxa"/>
            <w:hideMark/>
          </w:tcPr>
          <w:p w14:paraId="4D19B9E0"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The availability of immunization services is consistent throughout the year in Ika South Local Government Area, Delta State.</w:t>
            </w:r>
          </w:p>
        </w:tc>
        <w:tc>
          <w:tcPr>
            <w:tcW w:w="1390" w:type="dxa"/>
            <w:vAlign w:val="center"/>
          </w:tcPr>
          <w:p w14:paraId="6EFCA84E"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90 (22.11%)</w:t>
            </w:r>
          </w:p>
        </w:tc>
        <w:tc>
          <w:tcPr>
            <w:tcW w:w="1266" w:type="dxa"/>
            <w:vAlign w:val="center"/>
          </w:tcPr>
          <w:p w14:paraId="6DD1A1AF"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79 (19.41%)</w:t>
            </w:r>
          </w:p>
        </w:tc>
        <w:tc>
          <w:tcPr>
            <w:tcW w:w="1290" w:type="dxa"/>
            <w:vAlign w:val="center"/>
          </w:tcPr>
          <w:p w14:paraId="1E349F67"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117 (28.74%)</w:t>
            </w:r>
          </w:p>
        </w:tc>
        <w:tc>
          <w:tcPr>
            <w:tcW w:w="1336" w:type="dxa"/>
            <w:vAlign w:val="center"/>
          </w:tcPr>
          <w:p w14:paraId="63D3EA63"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121 (29.73%)</w:t>
            </w:r>
          </w:p>
        </w:tc>
      </w:tr>
      <w:tr w:rsidR="001C7DA7" w:rsidRPr="00015C67" w14:paraId="5DAA6D50" w14:textId="77777777" w:rsidTr="001C7DA7">
        <w:trPr>
          <w:trHeight w:val="864"/>
        </w:trPr>
        <w:tc>
          <w:tcPr>
            <w:tcW w:w="639" w:type="dxa"/>
            <w:hideMark/>
          </w:tcPr>
          <w:p w14:paraId="7F49F01C"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13</w:t>
            </w:r>
          </w:p>
        </w:tc>
        <w:tc>
          <w:tcPr>
            <w:tcW w:w="4256" w:type="dxa"/>
            <w:hideMark/>
          </w:tcPr>
          <w:p w14:paraId="528D6D3D"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Healthcare workers in Ika South Local Government Area, Delta State are readily available to provide immunizations.</w:t>
            </w:r>
          </w:p>
        </w:tc>
        <w:tc>
          <w:tcPr>
            <w:tcW w:w="1390" w:type="dxa"/>
            <w:vAlign w:val="center"/>
          </w:tcPr>
          <w:p w14:paraId="16A49BCC"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78 (19.18%)</w:t>
            </w:r>
          </w:p>
        </w:tc>
        <w:tc>
          <w:tcPr>
            <w:tcW w:w="1266" w:type="dxa"/>
            <w:vAlign w:val="center"/>
          </w:tcPr>
          <w:p w14:paraId="43F9A465"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71 (17.44%)</w:t>
            </w:r>
          </w:p>
        </w:tc>
        <w:tc>
          <w:tcPr>
            <w:tcW w:w="1290" w:type="dxa"/>
            <w:vAlign w:val="center"/>
          </w:tcPr>
          <w:p w14:paraId="5B2494E0"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118 (28.99%)</w:t>
            </w:r>
          </w:p>
        </w:tc>
        <w:tc>
          <w:tcPr>
            <w:tcW w:w="1336" w:type="dxa"/>
            <w:vAlign w:val="center"/>
          </w:tcPr>
          <w:p w14:paraId="25703B94"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122 (29.98%)</w:t>
            </w:r>
          </w:p>
        </w:tc>
      </w:tr>
      <w:tr w:rsidR="001C7DA7" w:rsidRPr="00015C67" w14:paraId="6F0ED206" w14:textId="77777777" w:rsidTr="001C7DA7">
        <w:trPr>
          <w:trHeight w:val="655"/>
        </w:trPr>
        <w:tc>
          <w:tcPr>
            <w:tcW w:w="639" w:type="dxa"/>
            <w:hideMark/>
          </w:tcPr>
          <w:p w14:paraId="6E307A04"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14</w:t>
            </w:r>
          </w:p>
        </w:tc>
        <w:tc>
          <w:tcPr>
            <w:tcW w:w="4256" w:type="dxa"/>
            <w:hideMark/>
          </w:tcPr>
          <w:p w14:paraId="54C5D121"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 have not experienced difficulties in getting my child vaccinated due to limited healthcare facility hours.</w:t>
            </w:r>
          </w:p>
        </w:tc>
        <w:tc>
          <w:tcPr>
            <w:tcW w:w="1390" w:type="dxa"/>
            <w:vAlign w:val="center"/>
          </w:tcPr>
          <w:p w14:paraId="43F4CB8F"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94 (23.09%)</w:t>
            </w:r>
          </w:p>
        </w:tc>
        <w:tc>
          <w:tcPr>
            <w:tcW w:w="1266" w:type="dxa"/>
            <w:vAlign w:val="center"/>
          </w:tcPr>
          <w:p w14:paraId="21320E5C"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69 (16.97%)</w:t>
            </w:r>
          </w:p>
        </w:tc>
        <w:tc>
          <w:tcPr>
            <w:tcW w:w="1290" w:type="dxa"/>
            <w:vAlign w:val="center"/>
          </w:tcPr>
          <w:p w14:paraId="185D97FF"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121 (29.73%)</w:t>
            </w:r>
          </w:p>
        </w:tc>
        <w:tc>
          <w:tcPr>
            <w:tcW w:w="1336" w:type="dxa"/>
            <w:vAlign w:val="center"/>
          </w:tcPr>
          <w:p w14:paraId="599CCA6E"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123 (30.23%)</w:t>
            </w:r>
          </w:p>
        </w:tc>
      </w:tr>
      <w:tr w:rsidR="001C7DA7" w:rsidRPr="00015C67" w14:paraId="5BCBEF62" w14:textId="77777777" w:rsidTr="001C7DA7">
        <w:trPr>
          <w:trHeight w:val="874"/>
        </w:trPr>
        <w:tc>
          <w:tcPr>
            <w:tcW w:w="639" w:type="dxa"/>
            <w:hideMark/>
          </w:tcPr>
          <w:p w14:paraId="269C17E2"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15</w:t>
            </w:r>
          </w:p>
        </w:tc>
        <w:tc>
          <w:tcPr>
            <w:tcW w:w="4256" w:type="dxa"/>
            <w:hideMark/>
          </w:tcPr>
          <w:p w14:paraId="4D4CFB90"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Immunization services are easily accessible to children from all communities within Ika South Local Government Area, Delta State.</w:t>
            </w:r>
          </w:p>
        </w:tc>
        <w:tc>
          <w:tcPr>
            <w:tcW w:w="1390" w:type="dxa"/>
            <w:vAlign w:val="center"/>
          </w:tcPr>
          <w:p w14:paraId="1D5BA193"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101 (24.85%)</w:t>
            </w:r>
          </w:p>
        </w:tc>
        <w:tc>
          <w:tcPr>
            <w:tcW w:w="1266" w:type="dxa"/>
            <w:vAlign w:val="center"/>
          </w:tcPr>
          <w:p w14:paraId="5F524B35"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84 (20.64%)</w:t>
            </w:r>
          </w:p>
        </w:tc>
        <w:tc>
          <w:tcPr>
            <w:tcW w:w="1290" w:type="dxa"/>
            <w:vAlign w:val="center"/>
          </w:tcPr>
          <w:p w14:paraId="731C230B"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98 (24.08%)</w:t>
            </w:r>
          </w:p>
        </w:tc>
        <w:tc>
          <w:tcPr>
            <w:tcW w:w="1336" w:type="dxa"/>
            <w:vAlign w:val="center"/>
          </w:tcPr>
          <w:p w14:paraId="19794154" w14:textId="77777777" w:rsidR="001C7DA7" w:rsidRPr="00015C67" w:rsidRDefault="001C7DA7" w:rsidP="00B1165D">
            <w:pPr>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124 (30.47%)</w:t>
            </w:r>
          </w:p>
        </w:tc>
      </w:tr>
    </w:tbl>
    <w:p w14:paraId="39AB6176" w14:textId="77777777" w:rsidR="00A44BA0" w:rsidRPr="00A44BA0" w:rsidRDefault="004839F6" w:rsidP="00A44BA0">
      <w:pPr>
        <w:spacing w:before="100" w:beforeAutospacing="1" w:after="100" w:afterAutospacing="1" w:line="240" w:lineRule="auto"/>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lastRenderedPageBreak/>
        <w:t xml:space="preserve">The findings on the level of accessibility of immunization services among children under five in Ika South Local Government Area, Delta State, present a mixed picture of progress and persistent challenges. </w:t>
      </w:r>
      <w:r w:rsidR="00A44BA0" w:rsidRPr="00A44BA0">
        <w:rPr>
          <w:rFonts w:ascii="Times New Roman" w:eastAsia="Times New Roman" w:hAnsi="Times New Roman" w:cs="Times New Roman"/>
          <w:sz w:val="24"/>
          <w:szCs w:val="24"/>
        </w:rPr>
        <w:t xml:space="preserve">It was noted by a lot of people that there are healthcare facilities that provide terrorism services for </w:t>
      </w:r>
      <w:proofErr w:type="spellStart"/>
      <w:r w:rsidR="00A44BA0" w:rsidRPr="00A44BA0">
        <w:rPr>
          <w:rFonts w:ascii="Times New Roman" w:eastAsia="Times New Roman" w:hAnsi="Times New Roman" w:cs="Times New Roman"/>
          <w:sz w:val="24"/>
          <w:szCs w:val="24"/>
        </w:rPr>
        <w:t>underfives</w:t>
      </w:r>
      <w:proofErr w:type="spellEnd"/>
      <w:r w:rsidR="00A44BA0" w:rsidRPr="00A44BA0">
        <w:rPr>
          <w:rFonts w:ascii="Times New Roman" w:eastAsia="Times New Roman" w:hAnsi="Times New Roman" w:cs="Times New Roman"/>
          <w:sz w:val="24"/>
          <w:szCs w:val="24"/>
        </w:rPr>
        <w:t xml:space="preserve"> in the area. These include those who responded by agreeing or strongly agreeing. However, it was also noted by a similar proportion of people that disagreed hence it can be enhancement to immunization is still not equally for all children within the local government area.</w:t>
      </w:r>
    </w:p>
    <w:p w14:paraId="7EC6C40E" w14:textId="77777777" w:rsidR="00A44BA0" w:rsidRPr="00A44BA0" w:rsidRDefault="00A44BA0" w:rsidP="00A44BA0">
      <w:pPr>
        <w:spacing w:before="100" w:beforeAutospacing="1" w:after="100" w:afterAutospacing="1" w:line="240" w:lineRule="auto"/>
        <w:jc w:val="both"/>
        <w:rPr>
          <w:rFonts w:ascii="Times New Roman" w:eastAsia="Times New Roman" w:hAnsi="Times New Roman" w:cs="Times New Roman"/>
          <w:sz w:val="24"/>
          <w:szCs w:val="24"/>
        </w:rPr>
      </w:pPr>
      <w:r w:rsidRPr="00A44BA0">
        <w:rPr>
          <w:rFonts w:ascii="Times New Roman" w:eastAsia="Times New Roman" w:hAnsi="Times New Roman" w:cs="Times New Roman"/>
          <w:sz w:val="24"/>
          <w:szCs w:val="24"/>
        </w:rPr>
        <w:t>With regard to access, the bulk of the participants believed the reasonability of the distance to the nearest medical facility which provides immunization services. This implies that in most families a good number is not denied services because of difficult-to-reach services. There were however some who indicated reasons for long distances signifying that some areas are still not properly serviced well where healthcare is concerned. Most of those surveyed responded positively in terms of availability of vaccines for their children. These results show, there are some challenges despite the belief in easy availability of services. At the same time, these participants felt that there is availability of immunization services in a suitable time limit but whereas, a significant portion faced delays or long queues. The making of arrangements for the administering of injections was one of these adverse occurrences. As much as others believed that the times available were well suited for the family, relatives, and friends, as many rejected the idea to the same extent, pointing out that mendacious times were available, and when it came to family responsibilities these were not appropriate. Thus, it appears that the imposition of strictly predefined scheduling may not be wholly satisfactory to some care providers.</w:t>
      </w:r>
    </w:p>
    <w:p w14:paraId="2A5C4546" w14:textId="77777777" w:rsidR="00A44BA0" w:rsidRDefault="00A44BA0" w:rsidP="00A44BA0">
      <w:pPr>
        <w:spacing w:before="100" w:beforeAutospacing="1" w:after="100" w:afterAutospacing="1" w:line="240" w:lineRule="auto"/>
        <w:jc w:val="both"/>
        <w:rPr>
          <w:rFonts w:ascii="Times New Roman" w:eastAsia="Times New Roman" w:hAnsi="Times New Roman" w:cs="Times New Roman"/>
          <w:sz w:val="24"/>
          <w:szCs w:val="24"/>
        </w:rPr>
      </w:pPr>
      <w:r w:rsidRPr="00A44BA0">
        <w:rPr>
          <w:rFonts w:ascii="Times New Roman" w:eastAsia="Times New Roman" w:hAnsi="Times New Roman" w:cs="Times New Roman"/>
          <w:sz w:val="24"/>
          <w:szCs w:val="24"/>
        </w:rPr>
        <w:t>Another factor which the users point to – in this case, the possibility to get access to vaccines. A lot of people in their basic health care facilities are fortunate enough to find the vaccine-tablets always in stock and within reach. However, many more people said they didn’t get some medicine or indicated quantity of shots, and such an occurrence confirmed the problem of scarce drug supply, but that was not the order. In contrast to this, a higher percentage were knowledgeable about the different immunization schedules and digital immunization promotion, t</w:t>
      </w:r>
      <w:r>
        <w:rPr>
          <w:rFonts w:ascii="Times New Roman" w:eastAsia="Times New Roman" w:hAnsi="Times New Roman" w:cs="Times New Roman"/>
          <w:sz w:val="24"/>
          <w:szCs w:val="24"/>
        </w:rPr>
        <w:t xml:space="preserve">hough a specific ratio was not. </w:t>
      </w:r>
      <w:r w:rsidRPr="00A44BA0">
        <w:rPr>
          <w:rFonts w:ascii="Times New Roman" w:eastAsia="Times New Roman" w:hAnsi="Times New Roman" w:cs="Times New Roman"/>
          <w:sz w:val="24"/>
          <w:szCs w:val="24"/>
        </w:rPr>
        <w:t>Inadequacies in information campaigns were a problem for a group of respondents as it</w:t>
      </w:r>
      <w:r>
        <w:rPr>
          <w:rFonts w:ascii="Times New Roman" w:eastAsia="Times New Roman" w:hAnsi="Times New Roman" w:cs="Times New Roman"/>
          <w:sz w:val="24"/>
          <w:szCs w:val="24"/>
        </w:rPr>
        <w:t xml:space="preserve"> outweighed the knowledge</w:t>
      </w:r>
      <w:r w:rsidRPr="00A44BA0">
        <w:rPr>
          <w:rFonts w:ascii="Times New Roman" w:eastAsia="Times New Roman" w:hAnsi="Times New Roman" w:cs="Times New Roman"/>
          <w:sz w:val="24"/>
          <w:szCs w:val="24"/>
        </w:rPr>
        <w:t xml:space="preserve">. Most commonly, respondents were under no doubt that the scheduled vaccinations run all around the year with less rigid factors and that the service providers are there ready to avail themselves at any time. There were, however misgivings about the consistency of the services as stipulated within the guidelines regarding ideal staffing ratios. This is indeed consistent with the fact that, unfavorable management practices, only a few clients that respondents attended business hours were </w:t>
      </w:r>
      <w:proofErr w:type="spellStart"/>
      <w:proofErr w:type="gramStart"/>
      <w:r w:rsidRPr="00A44BA0">
        <w:rPr>
          <w:rFonts w:ascii="Times New Roman" w:eastAsia="Times New Roman" w:hAnsi="Times New Roman" w:cs="Times New Roman"/>
          <w:sz w:val="24"/>
          <w:szCs w:val="24"/>
        </w:rPr>
        <w:t>inadequate;most</w:t>
      </w:r>
      <w:proofErr w:type="spellEnd"/>
      <w:proofErr w:type="gramEnd"/>
      <w:r w:rsidRPr="00A44BA0">
        <w:rPr>
          <w:rFonts w:ascii="Times New Roman" w:eastAsia="Times New Roman" w:hAnsi="Times New Roman" w:cs="Times New Roman"/>
          <w:sz w:val="24"/>
          <w:szCs w:val="24"/>
        </w:rPr>
        <w:t xml:space="preserve"> people had problem because of practices relating to business hours.</w:t>
      </w:r>
    </w:p>
    <w:p w14:paraId="30DA4F65" w14:textId="77777777" w:rsidR="003B6B5A" w:rsidRPr="00015C67" w:rsidRDefault="00463C31" w:rsidP="00A44BA0">
      <w:pPr>
        <w:spacing w:before="100" w:beforeAutospacing="1" w:after="100" w:afterAutospacing="1" w:line="240" w:lineRule="auto"/>
        <w:jc w:val="both"/>
        <w:rPr>
          <w:rFonts w:ascii="Times New Roman" w:hAnsi="Times New Roman" w:cs="Times New Roman"/>
          <w:b/>
          <w:sz w:val="24"/>
          <w:szCs w:val="24"/>
        </w:rPr>
      </w:pPr>
      <w:r w:rsidRPr="00015C67">
        <w:rPr>
          <w:rFonts w:ascii="Times New Roman" w:hAnsi="Times New Roman" w:cs="Times New Roman"/>
          <w:b/>
          <w:sz w:val="24"/>
          <w:szCs w:val="24"/>
        </w:rPr>
        <w:t>Discussion of Findings</w:t>
      </w:r>
    </w:p>
    <w:p w14:paraId="42249BAD" w14:textId="77777777" w:rsidR="00AD15C3" w:rsidRPr="00015C67" w:rsidRDefault="00AD15C3" w:rsidP="00B1165D">
      <w:pPr>
        <w:pStyle w:val="NormalWeb"/>
        <w:jc w:val="both"/>
        <w:rPr>
          <w:b/>
        </w:rPr>
      </w:pPr>
      <w:r w:rsidRPr="00015C67">
        <w:rPr>
          <w:b/>
        </w:rPr>
        <w:t>Level of Immunization Uptake among Children under Five, In Ika South Local Government Area, Delta State</w:t>
      </w:r>
    </w:p>
    <w:p w14:paraId="1175085A" w14:textId="77777777" w:rsidR="0089510A" w:rsidRPr="0089510A" w:rsidRDefault="00592251" w:rsidP="0089510A">
      <w:pPr>
        <w:spacing w:line="240" w:lineRule="auto"/>
        <w:jc w:val="both"/>
        <w:rPr>
          <w:rFonts w:ascii="Times New Roman" w:hAnsi="Times New Roman" w:cs="Times New Roman"/>
          <w:sz w:val="24"/>
          <w:szCs w:val="24"/>
        </w:rPr>
      </w:pPr>
      <w:r w:rsidRPr="00015C67">
        <w:rPr>
          <w:rFonts w:ascii="Times New Roman" w:hAnsi="Times New Roman" w:cs="Times New Roman"/>
          <w:sz w:val="24"/>
          <w:szCs w:val="24"/>
        </w:rPr>
        <w:t xml:space="preserve">The study on the level of immunization uptake among children under five in Ika South Local Government Area, Delta State found that a significant portion of the population is engaged in the immunization process, but several challenges remain that hinder full vaccination coverage. </w:t>
      </w:r>
      <w:r w:rsidR="0089510A" w:rsidRPr="0089510A">
        <w:rPr>
          <w:rFonts w:ascii="Times New Roman" w:hAnsi="Times New Roman" w:cs="Times New Roman"/>
          <w:sz w:val="24"/>
          <w:szCs w:val="24"/>
        </w:rPr>
        <w:t xml:space="preserve">As </w:t>
      </w:r>
      <w:r w:rsidR="0089510A" w:rsidRPr="0089510A">
        <w:rPr>
          <w:rFonts w:ascii="Times New Roman" w:hAnsi="Times New Roman" w:cs="Times New Roman"/>
          <w:sz w:val="24"/>
          <w:szCs w:val="24"/>
        </w:rPr>
        <w:lastRenderedPageBreak/>
        <w:t>per the statistics that were gathered, a good percentage of the respondents has confirmed that their children have received the full package of scheduled vaccines as recommended. This, therefore, is some sort of what the medical field would term as “artificial demand”. Meaning, the population administers all the doses according to the prescription and or vaccination schedule enforced. However, this is not the case for some children in the region of Ika South. This argument has been floated in the paper by Abdi et al. (2014) that noted the regional-based under- coverage supplemented with urban refusal in certain parts of Ethiopia. Epidemiologic and health systems perspectives pointed to the social determinants of health and poor health environments effects as the most responsible for the irregular vaccination management. Consequently, Abdulraheem et al. (2021) reported that, contrary to expectations of fully immune children in rural Nigeria, children remain unvaccinated, in many instances so due to issuance and costs of services that impend the completion of the vaccination timeline. As for the timeliness of the first dose of vaccination, only a few respondents mentioned that their children did receive the first dose of immunization immediately. This reflects conclusions drawn from work e.g. by, Adedokun et al. (2017) that Nigeria’s problems include: unavailability or scheduling of appointments with nearby health facilities and the bureaucratic nature of the health system resulting in short or skipped dosages.</w:t>
      </w:r>
    </w:p>
    <w:p w14:paraId="51CE29A1" w14:textId="77777777" w:rsidR="0089510A" w:rsidRPr="0089510A" w:rsidRDefault="0089510A" w:rsidP="0089510A">
      <w:pPr>
        <w:spacing w:line="240" w:lineRule="auto"/>
        <w:jc w:val="both"/>
        <w:rPr>
          <w:rFonts w:ascii="Times New Roman" w:hAnsi="Times New Roman" w:cs="Times New Roman"/>
          <w:sz w:val="24"/>
          <w:szCs w:val="24"/>
        </w:rPr>
      </w:pPr>
      <w:r w:rsidRPr="0089510A">
        <w:rPr>
          <w:rFonts w:ascii="Times New Roman" w:hAnsi="Times New Roman" w:cs="Times New Roman"/>
          <w:sz w:val="24"/>
          <w:szCs w:val="24"/>
        </w:rPr>
        <w:t xml:space="preserve">Also, findings from the study revealed that a considerable number of the survey respondents were parents who said they always or almost always take their children to healthcare facilities for immunization as scheduled and a smaller one did not or strongly </w:t>
      </w:r>
      <w:proofErr w:type="gramStart"/>
      <w:r w:rsidRPr="0089510A">
        <w:rPr>
          <w:rFonts w:ascii="Times New Roman" w:hAnsi="Times New Roman" w:cs="Times New Roman"/>
          <w:sz w:val="24"/>
          <w:szCs w:val="24"/>
        </w:rPr>
        <w:t>did</w:t>
      </w:r>
      <w:proofErr w:type="gramEnd"/>
      <w:r w:rsidRPr="0089510A">
        <w:rPr>
          <w:rFonts w:ascii="Times New Roman" w:hAnsi="Times New Roman" w:cs="Times New Roman"/>
          <w:sz w:val="24"/>
          <w:szCs w:val="24"/>
        </w:rPr>
        <w:t xml:space="preserve"> not, because of that services access is a huge problem. This result is consistent with the study by </w:t>
      </w:r>
      <w:proofErr w:type="spellStart"/>
      <w:r w:rsidRPr="0089510A">
        <w:rPr>
          <w:rFonts w:ascii="Times New Roman" w:hAnsi="Times New Roman" w:cs="Times New Roman"/>
          <w:sz w:val="24"/>
          <w:szCs w:val="24"/>
        </w:rPr>
        <w:t>Adeloye</w:t>
      </w:r>
      <w:proofErr w:type="spellEnd"/>
      <w:r w:rsidRPr="0089510A">
        <w:rPr>
          <w:rFonts w:ascii="Times New Roman" w:hAnsi="Times New Roman" w:cs="Times New Roman"/>
          <w:sz w:val="24"/>
          <w:szCs w:val="24"/>
        </w:rPr>
        <w:t xml:space="preserve"> et al. (2017), which was a meta-analysis on childhood immunization in Nigeria, that the most prominent barrier to adherence with childhood immunization schedules was </w:t>
      </w:r>
      <w:proofErr w:type="spellStart"/>
      <w:r w:rsidRPr="0089510A">
        <w:rPr>
          <w:rFonts w:ascii="Times New Roman" w:hAnsi="Times New Roman" w:cs="Times New Roman"/>
          <w:sz w:val="24"/>
          <w:szCs w:val="24"/>
        </w:rPr>
        <w:t>geograpical</w:t>
      </w:r>
      <w:proofErr w:type="spellEnd"/>
      <w:r w:rsidRPr="0089510A">
        <w:rPr>
          <w:rFonts w:ascii="Times New Roman" w:hAnsi="Times New Roman" w:cs="Times New Roman"/>
          <w:sz w:val="24"/>
          <w:szCs w:val="24"/>
        </w:rPr>
        <w:t xml:space="preserve"> access and logistical constraints. In terms of vaccine availability, so many people not only agreed but also strongly agreed that they could access the vaccines whenever they needed to, which implies that vaccine supply management in Ika South is effective. However, a considerable proportion did not agree or strongly disagreed, and it is in line with the results for </w:t>
      </w:r>
      <w:proofErr w:type="spellStart"/>
      <w:r w:rsidRPr="0089510A">
        <w:rPr>
          <w:rFonts w:ascii="Times New Roman" w:hAnsi="Times New Roman" w:cs="Times New Roman"/>
          <w:sz w:val="24"/>
          <w:szCs w:val="24"/>
        </w:rPr>
        <w:t>Gunnala</w:t>
      </w:r>
      <w:proofErr w:type="spellEnd"/>
      <w:r w:rsidRPr="0089510A">
        <w:rPr>
          <w:rFonts w:ascii="Times New Roman" w:hAnsi="Times New Roman" w:cs="Times New Roman"/>
          <w:sz w:val="24"/>
          <w:szCs w:val="24"/>
        </w:rPr>
        <w:t xml:space="preserve"> et al. (2016) according to which the unavailability of vaccines per</w:t>
      </w:r>
      <w:r w:rsidR="003E5078">
        <w:rPr>
          <w:rFonts w:ascii="Times New Roman" w:hAnsi="Times New Roman" w:cs="Times New Roman"/>
          <w:sz w:val="24"/>
          <w:szCs w:val="24"/>
        </w:rPr>
        <w:t>sistently prevails in northern N</w:t>
      </w:r>
      <w:r w:rsidRPr="0089510A">
        <w:rPr>
          <w:rFonts w:ascii="Times New Roman" w:hAnsi="Times New Roman" w:cs="Times New Roman"/>
          <w:sz w:val="24"/>
          <w:szCs w:val="24"/>
        </w:rPr>
        <w:t xml:space="preserve">igeria leading to poor </w:t>
      </w:r>
      <w:proofErr w:type="spellStart"/>
      <w:r w:rsidRPr="0089510A">
        <w:rPr>
          <w:rFonts w:ascii="Times New Roman" w:hAnsi="Times New Roman" w:cs="Times New Roman"/>
          <w:sz w:val="24"/>
          <w:szCs w:val="24"/>
        </w:rPr>
        <w:t>immunisation</w:t>
      </w:r>
      <w:proofErr w:type="spellEnd"/>
      <w:r w:rsidRPr="0089510A">
        <w:rPr>
          <w:rFonts w:ascii="Times New Roman" w:hAnsi="Times New Roman" w:cs="Times New Roman"/>
          <w:sz w:val="24"/>
          <w:szCs w:val="24"/>
        </w:rPr>
        <w:t>.</w:t>
      </w:r>
    </w:p>
    <w:p w14:paraId="6D1FE385" w14:textId="77777777" w:rsidR="0089510A" w:rsidRDefault="0089510A" w:rsidP="0089510A">
      <w:pPr>
        <w:spacing w:line="240" w:lineRule="auto"/>
        <w:jc w:val="both"/>
        <w:rPr>
          <w:rFonts w:ascii="Times New Roman" w:hAnsi="Times New Roman" w:cs="Times New Roman"/>
          <w:sz w:val="24"/>
          <w:szCs w:val="24"/>
        </w:rPr>
      </w:pPr>
      <w:r w:rsidRPr="0089510A">
        <w:rPr>
          <w:rFonts w:ascii="Times New Roman" w:hAnsi="Times New Roman" w:cs="Times New Roman"/>
          <w:sz w:val="24"/>
          <w:szCs w:val="24"/>
        </w:rPr>
        <w:t xml:space="preserve">Additionally, concerning the cost associated with immunization, almost half of the caregivers believe they cannot afford to take their child for immunization even though there is a program in place, thus resonating with </w:t>
      </w:r>
      <w:proofErr w:type="spellStart"/>
      <w:r w:rsidRPr="0089510A">
        <w:rPr>
          <w:rFonts w:ascii="Times New Roman" w:hAnsi="Times New Roman" w:cs="Times New Roman"/>
          <w:sz w:val="24"/>
          <w:szCs w:val="24"/>
        </w:rPr>
        <w:t>Akwataghibe</w:t>
      </w:r>
      <w:proofErr w:type="spellEnd"/>
      <w:r w:rsidRPr="0089510A">
        <w:rPr>
          <w:rFonts w:ascii="Times New Roman" w:hAnsi="Times New Roman" w:cs="Times New Roman"/>
          <w:sz w:val="24"/>
          <w:szCs w:val="24"/>
        </w:rPr>
        <w:t xml:space="preserve"> et al. (2019) findings, which established that cost was a crucial factor in inhibiting the children under vaccination from attaining full immunization. Also, </w:t>
      </w:r>
      <w:proofErr w:type="spellStart"/>
      <w:r w:rsidRPr="0089510A">
        <w:rPr>
          <w:rFonts w:ascii="Times New Roman" w:hAnsi="Times New Roman" w:cs="Times New Roman"/>
          <w:sz w:val="24"/>
          <w:szCs w:val="24"/>
        </w:rPr>
        <w:t>Ophori</w:t>
      </w:r>
      <w:proofErr w:type="spellEnd"/>
      <w:r w:rsidRPr="0089510A">
        <w:rPr>
          <w:rFonts w:ascii="Times New Roman" w:hAnsi="Times New Roman" w:cs="Times New Roman"/>
          <w:sz w:val="24"/>
          <w:szCs w:val="24"/>
        </w:rPr>
        <w:t xml:space="preserve"> et al. (2014) observed that costs and transportation were also enormous hindrances to immunization services in the environment both within urban and rural areas. To a certain extent, when it comes to the income and cultural background, majority of the participants felt that when it came to the health of their child, they were in a position to forgo any other family need and that is comforting. However, there was a reasonably sizable part that though not as much, still showed a great deal of resistance to that view, implying the dominant influence of economic factors. This is in accordance with Berhane (2008) who ascertained that the degree of emphasis on child health depends on the context, where poor parents always have to make the hard decision of health or survival. In addition, a number of questions were on the </w:t>
      </w:r>
      <w:proofErr w:type="spellStart"/>
      <w:r w:rsidRPr="0089510A">
        <w:rPr>
          <w:rFonts w:ascii="Times New Roman" w:hAnsi="Times New Roman" w:cs="Times New Roman"/>
          <w:sz w:val="24"/>
          <w:szCs w:val="24"/>
        </w:rPr>
        <w:t>agro</w:t>
      </w:r>
      <w:proofErr w:type="spellEnd"/>
      <w:r w:rsidRPr="0089510A">
        <w:rPr>
          <w:rFonts w:ascii="Times New Roman" w:hAnsi="Times New Roman" w:cs="Times New Roman"/>
          <w:sz w:val="24"/>
          <w:szCs w:val="24"/>
        </w:rPr>
        <w:t>-pastoral community where they also found out that the extent to which community norms towards vaccination hold influence on a persons’ decision to get vaccinated. Consistent with that, the chart by Chido-</w:t>
      </w:r>
      <w:proofErr w:type="spellStart"/>
      <w:r w:rsidRPr="0089510A">
        <w:rPr>
          <w:rFonts w:ascii="Times New Roman" w:hAnsi="Times New Roman" w:cs="Times New Roman"/>
          <w:sz w:val="24"/>
          <w:szCs w:val="24"/>
        </w:rPr>
        <w:t>Amajuoyi</w:t>
      </w:r>
      <w:proofErr w:type="spellEnd"/>
      <w:r w:rsidRPr="0089510A">
        <w:rPr>
          <w:rFonts w:ascii="Times New Roman" w:hAnsi="Times New Roman" w:cs="Times New Roman"/>
          <w:sz w:val="24"/>
          <w:szCs w:val="24"/>
        </w:rPr>
        <w:t xml:space="preserve"> et al. (2018) depicted community-</w:t>
      </w:r>
      <w:proofErr w:type="spellStart"/>
      <w:r w:rsidRPr="0089510A">
        <w:rPr>
          <w:rFonts w:ascii="Times New Roman" w:hAnsi="Times New Roman" w:cs="Times New Roman"/>
          <w:sz w:val="24"/>
          <w:szCs w:val="24"/>
        </w:rPr>
        <w:t>base</w:t>
      </w:r>
      <w:proofErr w:type="spellEnd"/>
      <w:r w:rsidRPr="0089510A">
        <w:rPr>
          <w:rFonts w:ascii="Times New Roman" w:hAnsi="Times New Roman" w:cs="Times New Roman"/>
          <w:sz w:val="24"/>
          <w:szCs w:val="24"/>
        </w:rPr>
        <w:t xml:space="preserve"> factors including demand from </w:t>
      </w:r>
      <w:r w:rsidRPr="0089510A">
        <w:rPr>
          <w:rFonts w:ascii="Times New Roman" w:hAnsi="Times New Roman" w:cs="Times New Roman"/>
          <w:sz w:val="24"/>
          <w:szCs w:val="24"/>
        </w:rPr>
        <w:lastRenderedPageBreak/>
        <w:t>his/her close people as well as attitudes of the society largely influenced adoption of vaccination strategies by caregivers.</w:t>
      </w:r>
    </w:p>
    <w:p w14:paraId="7B6863F1" w14:textId="77777777" w:rsidR="00AD15C3" w:rsidRPr="00015C67" w:rsidRDefault="00AD15C3" w:rsidP="0089510A">
      <w:pPr>
        <w:spacing w:line="240" w:lineRule="auto"/>
        <w:jc w:val="both"/>
        <w:rPr>
          <w:rFonts w:ascii="Times New Roman" w:hAnsi="Times New Roman" w:cs="Times New Roman"/>
          <w:b/>
          <w:sz w:val="24"/>
          <w:szCs w:val="24"/>
        </w:rPr>
      </w:pPr>
      <w:r w:rsidRPr="00015C67">
        <w:rPr>
          <w:rFonts w:ascii="Times New Roman" w:hAnsi="Times New Roman" w:cs="Times New Roman"/>
          <w:b/>
          <w:sz w:val="24"/>
          <w:szCs w:val="24"/>
        </w:rPr>
        <w:t>Level of accessibility of immunization service among children under five in Ika South Local Government Area, Delta State</w:t>
      </w:r>
    </w:p>
    <w:p w14:paraId="6ECF13DA" w14:textId="77777777" w:rsidR="003E5078" w:rsidRPr="003E5078" w:rsidRDefault="008F63C3" w:rsidP="003E5078">
      <w:pPr>
        <w:spacing w:before="100" w:beforeAutospacing="1" w:after="100" w:afterAutospacing="1" w:line="240" w:lineRule="auto"/>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The study on the </w:t>
      </w:r>
      <w:r w:rsidRPr="00015C67">
        <w:rPr>
          <w:rFonts w:ascii="Times New Roman" w:eastAsia="Times New Roman" w:hAnsi="Times New Roman" w:cs="Times New Roman"/>
          <w:bCs/>
          <w:sz w:val="24"/>
          <w:szCs w:val="24"/>
        </w:rPr>
        <w:t>level of accessibility of immunization services among children under five in Ika South Local Government Area, Delta State</w:t>
      </w:r>
      <w:r w:rsidRPr="00015C67">
        <w:rPr>
          <w:rFonts w:ascii="Times New Roman" w:eastAsia="Times New Roman" w:hAnsi="Times New Roman" w:cs="Times New Roman"/>
          <w:sz w:val="24"/>
          <w:szCs w:val="24"/>
        </w:rPr>
        <w:t xml:space="preserve"> found that while many respondents reported ease of access to immunization services, challenges related to distance, availability of healthcare providers, and service timing still pose significant barriers to full access. </w:t>
      </w:r>
      <w:r w:rsidR="003E5078" w:rsidRPr="003E5078">
        <w:rPr>
          <w:rFonts w:ascii="Times New Roman" w:eastAsia="Times New Roman" w:hAnsi="Times New Roman" w:cs="Times New Roman"/>
          <w:sz w:val="24"/>
          <w:szCs w:val="24"/>
        </w:rPr>
        <w:t xml:space="preserve">In the survey, most parents reported that they could access immunization services for their children; this suggests that the healthcare facilities cater to clients adequately. This is good as it supports research done by Ghee et al. (2020). They found that access to the services is availability of the most important determinants of the </w:t>
      </w:r>
      <w:proofErr w:type="gramStart"/>
      <w:r w:rsidR="003E5078" w:rsidRPr="003E5078">
        <w:rPr>
          <w:rFonts w:ascii="Times New Roman" w:eastAsia="Times New Roman" w:hAnsi="Times New Roman" w:cs="Times New Roman"/>
          <w:sz w:val="24"/>
          <w:szCs w:val="24"/>
        </w:rPr>
        <w:t>shots</w:t>
      </w:r>
      <w:proofErr w:type="gramEnd"/>
      <w:r w:rsidR="003E5078" w:rsidRPr="003E5078">
        <w:rPr>
          <w:rFonts w:ascii="Times New Roman" w:eastAsia="Times New Roman" w:hAnsi="Times New Roman" w:cs="Times New Roman"/>
          <w:sz w:val="24"/>
          <w:szCs w:val="24"/>
        </w:rPr>
        <w:t xml:space="preserve"> uptake. Even then, issues of distance and transport were still noted by a high percentage of respondents as seen in the research by </w:t>
      </w:r>
      <w:proofErr w:type="spellStart"/>
      <w:r w:rsidR="003E5078" w:rsidRPr="003E5078">
        <w:rPr>
          <w:rFonts w:ascii="Times New Roman" w:eastAsia="Times New Roman" w:hAnsi="Times New Roman" w:cs="Times New Roman"/>
          <w:sz w:val="24"/>
          <w:szCs w:val="24"/>
        </w:rPr>
        <w:t>Gunnala</w:t>
      </w:r>
      <w:proofErr w:type="spellEnd"/>
      <w:r w:rsidR="003E5078" w:rsidRPr="003E5078">
        <w:rPr>
          <w:rFonts w:ascii="Times New Roman" w:eastAsia="Times New Roman" w:hAnsi="Times New Roman" w:cs="Times New Roman"/>
          <w:sz w:val="24"/>
          <w:szCs w:val="24"/>
        </w:rPr>
        <w:t xml:space="preserve"> et al. (2016) on the use of immunization services due to a high demand for proper healthcare systems.</w:t>
      </w:r>
    </w:p>
    <w:p w14:paraId="1939836A" w14:textId="77777777" w:rsidR="003E5078" w:rsidRPr="003E5078" w:rsidRDefault="003E5078" w:rsidP="003E5078">
      <w:pPr>
        <w:spacing w:before="100" w:beforeAutospacing="1" w:after="100" w:afterAutospacing="1" w:line="240" w:lineRule="auto"/>
        <w:jc w:val="both"/>
        <w:rPr>
          <w:rFonts w:ascii="Times New Roman" w:eastAsia="Times New Roman" w:hAnsi="Times New Roman" w:cs="Times New Roman"/>
          <w:sz w:val="24"/>
          <w:szCs w:val="24"/>
        </w:rPr>
      </w:pPr>
      <w:r w:rsidRPr="003E5078">
        <w:rPr>
          <w:rFonts w:ascii="Times New Roman" w:eastAsia="Times New Roman" w:hAnsi="Times New Roman" w:cs="Times New Roman"/>
          <w:sz w:val="24"/>
          <w:szCs w:val="24"/>
        </w:rPr>
        <w:t xml:space="preserve">However, it should be noted that as regards the availability of medical services, the majority of those surveyed considered the term acceptable, although there remained quite a large proportion of the population that would disagree with this claim. In particular, delays and long waiting periods were also worth mentioning. The same finding was reported by Datar et al. (2017) that delays in services access and poor health care infrastructure in general are both ruled out as the causes of the gap in immunization coverage. Despite the vast network of service provision, another problem is linked to the provision of such service on time. Also, the study showed that many parents were not happy with the ease of scheduling an appointment for the child's immunization process. Many respondents highlighted that they appreciated the specific time slot that was provided, while several could not manage to do a fitting of the vaccination time to their other activities. This concept is same as the point put forth by </w:t>
      </w:r>
      <w:proofErr w:type="spellStart"/>
      <w:r w:rsidRPr="003E5078">
        <w:rPr>
          <w:rFonts w:ascii="Times New Roman" w:eastAsia="Times New Roman" w:hAnsi="Times New Roman" w:cs="Times New Roman"/>
          <w:sz w:val="24"/>
          <w:szCs w:val="24"/>
        </w:rPr>
        <w:t>Fatiregun</w:t>
      </w:r>
      <w:proofErr w:type="spellEnd"/>
      <w:r w:rsidRPr="003E5078">
        <w:rPr>
          <w:rFonts w:ascii="Times New Roman" w:eastAsia="Times New Roman" w:hAnsi="Times New Roman" w:cs="Times New Roman"/>
          <w:sz w:val="24"/>
          <w:szCs w:val="24"/>
        </w:rPr>
        <w:t xml:space="preserve"> and Okoro (2022) as in most cases strict timetables and no smooth integration of services often discourages timely arrivals for immunization.</w:t>
      </w:r>
    </w:p>
    <w:p w14:paraId="4E733EAB" w14:textId="77777777" w:rsidR="003E5078" w:rsidRDefault="003E5078" w:rsidP="003E5078">
      <w:pPr>
        <w:spacing w:before="100" w:beforeAutospacing="1" w:after="100" w:afterAutospacing="1" w:line="240" w:lineRule="auto"/>
        <w:jc w:val="both"/>
        <w:rPr>
          <w:rFonts w:ascii="Times New Roman" w:eastAsia="Times New Roman" w:hAnsi="Times New Roman" w:cs="Times New Roman"/>
          <w:sz w:val="24"/>
          <w:szCs w:val="24"/>
        </w:rPr>
      </w:pPr>
      <w:r w:rsidRPr="003E5078">
        <w:rPr>
          <w:rFonts w:ascii="Times New Roman" w:eastAsia="Times New Roman" w:hAnsi="Times New Roman" w:cs="Times New Roman"/>
          <w:sz w:val="24"/>
          <w:szCs w:val="24"/>
        </w:rPr>
        <w:t xml:space="preserve">One of the advantages associated with the study was the provision of vaccination services during weekends and non-business hours, lower broke the calendar problem for the working mothers. On the other hand, there were still some of the respondents who could not get the services because they were not able to get them at the stipulated hours as reported by </w:t>
      </w:r>
      <w:proofErr w:type="spellStart"/>
      <w:r w:rsidRPr="003E5078">
        <w:rPr>
          <w:rFonts w:ascii="Times New Roman" w:eastAsia="Times New Roman" w:hAnsi="Times New Roman" w:cs="Times New Roman"/>
          <w:sz w:val="24"/>
          <w:szCs w:val="24"/>
        </w:rPr>
        <w:t>Ophori</w:t>
      </w:r>
      <w:proofErr w:type="spellEnd"/>
      <w:r w:rsidRPr="003E5078">
        <w:rPr>
          <w:rFonts w:ascii="Times New Roman" w:eastAsia="Times New Roman" w:hAnsi="Times New Roman" w:cs="Times New Roman"/>
          <w:sz w:val="24"/>
          <w:szCs w:val="24"/>
        </w:rPr>
        <w:t xml:space="preserve"> et al. (2014). In their acknowledgments, </w:t>
      </w:r>
      <w:proofErr w:type="gramStart"/>
      <w:r w:rsidRPr="003E5078">
        <w:rPr>
          <w:rFonts w:ascii="Times New Roman" w:eastAsia="Times New Roman" w:hAnsi="Times New Roman" w:cs="Times New Roman"/>
          <w:sz w:val="24"/>
          <w:szCs w:val="24"/>
        </w:rPr>
        <w:t>Rationing</w:t>
      </w:r>
      <w:proofErr w:type="gramEnd"/>
      <w:r w:rsidRPr="003E5078">
        <w:rPr>
          <w:rFonts w:ascii="Times New Roman" w:eastAsia="Times New Roman" w:hAnsi="Times New Roman" w:cs="Times New Roman"/>
          <w:sz w:val="24"/>
          <w:szCs w:val="24"/>
        </w:rPr>
        <w:t xml:space="preserve"> of health care due to limited hours in health care service delivery was also brought out as an impediment to many parents. The study also evaluated vaccination services and health care providers within the community. Two more than half respondents stated that the vaccines are always accessible when needed, however, a significant number of participants indicated their worries towards the periods in which stock outs were experienced and the lack of properly trained medical personnel. This aligns with the findings of Adedokun et al. (2017) who acknowledge that insufficiencies of both vaccines in health posts and health workers are obstacles in making immunization deteriorate. To conclude, the examination of this study underscored social support for health services like immunization, which is inclusive of support from family members or inhabitants harnessing collective effort to provide health care. Those that involved community members in helping them more especially encouraging the full immunization of their children were more to its completion also indicating </w:t>
      </w:r>
      <w:r w:rsidRPr="003E5078">
        <w:rPr>
          <w:rFonts w:ascii="Times New Roman" w:eastAsia="Times New Roman" w:hAnsi="Times New Roman" w:cs="Times New Roman"/>
          <w:sz w:val="24"/>
          <w:szCs w:val="24"/>
        </w:rPr>
        <w:lastRenderedPageBreak/>
        <w:t xml:space="preserve">the reason why health systems need the assistance of the community. This is supported by </w:t>
      </w:r>
      <w:proofErr w:type="spellStart"/>
      <w:r w:rsidRPr="003E5078">
        <w:rPr>
          <w:rFonts w:ascii="Times New Roman" w:eastAsia="Times New Roman" w:hAnsi="Times New Roman" w:cs="Times New Roman"/>
          <w:sz w:val="24"/>
          <w:szCs w:val="24"/>
        </w:rPr>
        <w:t>Akwataghibe</w:t>
      </w:r>
      <w:proofErr w:type="spellEnd"/>
      <w:r w:rsidRPr="003E5078">
        <w:rPr>
          <w:rFonts w:ascii="Times New Roman" w:eastAsia="Times New Roman" w:hAnsi="Times New Roman" w:cs="Times New Roman"/>
          <w:sz w:val="24"/>
          <w:szCs w:val="24"/>
        </w:rPr>
        <w:t xml:space="preserve"> et al. (2019) </w:t>
      </w:r>
      <w:proofErr w:type="gramStart"/>
      <w:r w:rsidRPr="003E5078">
        <w:rPr>
          <w:rFonts w:ascii="Times New Roman" w:eastAsia="Times New Roman" w:hAnsi="Times New Roman" w:cs="Times New Roman"/>
          <w:sz w:val="24"/>
          <w:szCs w:val="24"/>
        </w:rPr>
        <w:t>communities based</w:t>
      </w:r>
      <w:proofErr w:type="gramEnd"/>
      <w:r w:rsidRPr="003E5078">
        <w:rPr>
          <w:rFonts w:ascii="Times New Roman" w:eastAsia="Times New Roman" w:hAnsi="Times New Roman" w:cs="Times New Roman"/>
          <w:sz w:val="24"/>
          <w:szCs w:val="24"/>
        </w:rPr>
        <w:t xml:space="preserve"> support systems really </w:t>
      </w:r>
      <w:proofErr w:type="gramStart"/>
      <w:r w:rsidRPr="003E5078">
        <w:rPr>
          <w:rFonts w:ascii="Times New Roman" w:eastAsia="Times New Roman" w:hAnsi="Times New Roman" w:cs="Times New Roman"/>
          <w:sz w:val="24"/>
          <w:szCs w:val="24"/>
        </w:rPr>
        <w:t>goes</w:t>
      </w:r>
      <w:proofErr w:type="gramEnd"/>
      <w:r w:rsidRPr="003E5078">
        <w:rPr>
          <w:rFonts w:ascii="Times New Roman" w:eastAsia="Times New Roman" w:hAnsi="Times New Roman" w:cs="Times New Roman"/>
          <w:sz w:val="24"/>
          <w:szCs w:val="24"/>
        </w:rPr>
        <w:t xml:space="preserve"> a long way in working on the obstacles as far as immunization is concerned in those communities located in the remote areas.</w:t>
      </w:r>
    </w:p>
    <w:p w14:paraId="3637F2B3" w14:textId="77777777" w:rsidR="005B55F3" w:rsidRPr="00015C67" w:rsidRDefault="006607EB" w:rsidP="003E5078">
      <w:pPr>
        <w:spacing w:before="100" w:beforeAutospacing="1" w:after="100" w:afterAutospacing="1" w:line="240" w:lineRule="auto"/>
        <w:jc w:val="both"/>
        <w:rPr>
          <w:rFonts w:ascii="Times New Roman" w:eastAsia="Times New Roman" w:hAnsi="Times New Roman" w:cs="Times New Roman"/>
          <w:b/>
          <w:sz w:val="24"/>
          <w:szCs w:val="24"/>
        </w:rPr>
      </w:pPr>
      <w:r w:rsidRPr="00015C67">
        <w:rPr>
          <w:rFonts w:ascii="Times New Roman" w:eastAsia="Times New Roman" w:hAnsi="Times New Roman" w:cs="Times New Roman"/>
          <w:b/>
          <w:sz w:val="24"/>
          <w:szCs w:val="24"/>
        </w:rPr>
        <w:t xml:space="preserve">Conclusion </w:t>
      </w:r>
    </w:p>
    <w:p w14:paraId="1B6688EF" w14:textId="77777777" w:rsidR="000D122A" w:rsidRPr="00015C67" w:rsidRDefault="000D122A" w:rsidP="00B1165D">
      <w:pPr>
        <w:spacing w:before="100" w:beforeAutospacing="1" w:after="100" w:afterAutospacing="1" w:line="240" w:lineRule="auto"/>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In conclusion, the study on immunization uptake among children under five in Ika South Local Government Area, Delta State, reveals that while there are positive trends in immunization coverage, significant barriers remain. The findings highlight that a majority of children receive the recommended vaccinations, but gaps persist due to socio-economic and cultural factors. Financial constraints, such as transportation costs and income limitations, were identified as key barriers that hinder timely immunization. Additionally, while healthcare services are generally accessible, issues such as service availability, waiting times, and work schedules still pose challenges for many families. Cultural factors, including traditional beliefs, religious views, and trust in traditional healers, further influence vaccination decisions, either encouraging or deterring parents from seeking immunization for their children.</w:t>
      </w:r>
    </w:p>
    <w:p w14:paraId="479FEC60" w14:textId="77777777" w:rsidR="000D122A" w:rsidRPr="00015C67" w:rsidRDefault="000D122A" w:rsidP="00B1165D">
      <w:pPr>
        <w:spacing w:before="100" w:beforeAutospacing="1" w:after="100" w:afterAutospacing="1" w:line="240" w:lineRule="auto"/>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To improve immunization uptake in the region, it is crucial to address these barriers by enhancing access to affordable healthcare services, improving vaccine availability, and engaging communities in vaccination advocacy. Reducing financial and logistical obstacles, along with fostering trust in healthcare systems, can help increase vaccination coverage and ensure that more children receive timely immunization. Additionally, working with community leaders and addressing cultural misconceptions will be key in overcoming vaccine hesitancy and achieving higher immunization rates in Ika South Local Government Area.</w:t>
      </w:r>
    </w:p>
    <w:p w14:paraId="5D3BF784" w14:textId="77777777" w:rsidR="006607EB" w:rsidRPr="00015C67" w:rsidRDefault="00B52821" w:rsidP="00B1165D">
      <w:pPr>
        <w:spacing w:before="100" w:beforeAutospacing="1" w:after="100" w:afterAutospacing="1" w:line="240" w:lineRule="auto"/>
        <w:rPr>
          <w:rFonts w:ascii="Times New Roman" w:eastAsia="Times New Roman" w:hAnsi="Times New Roman" w:cs="Times New Roman"/>
          <w:b/>
          <w:sz w:val="24"/>
          <w:szCs w:val="24"/>
        </w:rPr>
      </w:pPr>
      <w:r w:rsidRPr="00015C67">
        <w:rPr>
          <w:rFonts w:ascii="Times New Roman" w:eastAsia="Times New Roman" w:hAnsi="Times New Roman" w:cs="Times New Roman"/>
          <w:b/>
          <w:sz w:val="24"/>
          <w:szCs w:val="24"/>
        </w:rPr>
        <w:t>Recommendations</w:t>
      </w:r>
    </w:p>
    <w:p w14:paraId="60935838" w14:textId="77777777" w:rsidR="00BF1E88" w:rsidRPr="00015C67" w:rsidRDefault="00BF1E88" w:rsidP="00B1165D">
      <w:pPr>
        <w:pStyle w:val="NormalWeb"/>
      </w:pPr>
      <w:r w:rsidRPr="00015C67">
        <w:t>Based on the findings of the study on immunization uptake among children under five in Ika South Local Government Area, Delta State, the following recommendations are made:</w:t>
      </w:r>
    </w:p>
    <w:p w14:paraId="0FAC514F" w14:textId="77777777" w:rsidR="00BF1E88" w:rsidRPr="00015C67" w:rsidRDefault="00BF1E88" w:rsidP="00B1165D">
      <w:pPr>
        <w:pStyle w:val="NormalWeb"/>
        <w:numPr>
          <w:ilvl w:val="0"/>
          <w:numId w:val="18"/>
        </w:numPr>
        <w:ind w:hanging="720"/>
        <w:jc w:val="both"/>
      </w:pPr>
      <w:r w:rsidRPr="00015C67">
        <w:rPr>
          <w:rStyle w:val="Strong"/>
        </w:rPr>
        <w:t>Improve Accessibility and Affordability of Immunization Services</w:t>
      </w:r>
      <w:r w:rsidRPr="00015C67">
        <w:t>: To reduce financial barriers, especially transportation costs, local healthcare facilities should implement mobile vaccination units or outreach programs in rural and underserved areas. Additionally, providing free or subsidized transportation services for families can help ensure that more children receive timely immunization.</w:t>
      </w:r>
    </w:p>
    <w:p w14:paraId="60B80BEE" w14:textId="77777777" w:rsidR="00BF1E88" w:rsidRPr="00015C67" w:rsidRDefault="00BF1E88" w:rsidP="00B1165D">
      <w:pPr>
        <w:pStyle w:val="NormalWeb"/>
        <w:numPr>
          <w:ilvl w:val="0"/>
          <w:numId w:val="18"/>
        </w:numPr>
        <w:ind w:hanging="720"/>
        <w:jc w:val="both"/>
      </w:pPr>
      <w:r w:rsidRPr="00015C67">
        <w:rPr>
          <w:rStyle w:val="Strong"/>
        </w:rPr>
        <w:t>Flexible Immunization Scheduling</w:t>
      </w:r>
      <w:r w:rsidRPr="00015C67">
        <w:t>: Healthcare facilities should offer flexible vaccination appointment hours, including weekends and off-peak times, to accommodate parents with work commitments. This will help ensure that working parents have better access to immunization services without sacrificing their employment responsibilities.</w:t>
      </w:r>
    </w:p>
    <w:p w14:paraId="0FAE8733" w14:textId="77777777" w:rsidR="002347C5" w:rsidRPr="00015C67" w:rsidRDefault="002347C5" w:rsidP="00B1165D">
      <w:pPr>
        <w:pStyle w:val="NormalWeb"/>
        <w:ind w:left="900" w:hanging="900"/>
        <w:rPr>
          <w:rStyle w:val="Strong"/>
        </w:rPr>
      </w:pPr>
      <w:r w:rsidRPr="00015C67">
        <w:rPr>
          <w:rStyle w:val="Strong"/>
        </w:rPr>
        <w:t>References</w:t>
      </w:r>
    </w:p>
    <w:p w14:paraId="35856BEC" w14:textId="77777777" w:rsidR="00E555F4" w:rsidRPr="00015C67" w:rsidRDefault="00E555F4" w:rsidP="00B1165D">
      <w:pPr>
        <w:pStyle w:val="NormalWeb"/>
        <w:ind w:left="720" w:hanging="720"/>
        <w:jc w:val="both"/>
      </w:pPr>
      <w:r w:rsidRPr="00015C67">
        <w:t xml:space="preserve">Abbas, K., Procter, S. R., van Zandvoort, K., Clark, A., Funk, S., Mengistu, T., … </w:t>
      </w:r>
      <w:proofErr w:type="spellStart"/>
      <w:r w:rsidRPr="00015C67">
        <w:t>Grassly</w:t>
      </w:r>
      <w:proofErr w:type="spellEnd"/>
      <w:r w:rsidRPr="00015C67">
        <w:t xml:space="preserve">, N. C. (2020). Routine childhood </w:t>
      </w:r>
      <w:proofErr w:type="spellStart"/>
      <w:r w:rsidRPr="00015C67">
        <w:t>immunisation</w:t>
      </w:r>
      <w:proofErr w:type="spellEnd"/>
      <w:r w:rsidRPr="00015C67">
        <w:t xml:space="preserve"> during the COVID-19 pandemic in Africa: A benefit–risk analysis of health benefits versus excess risk of SARS-CoV-2 infection. </w:t>
      </w:r>
      <w:r w:rsidRPr="00015C67">
        <w:rPr>
          <w:rStyle w:val="Emphasis"/>
        </w:rPr>
        <w:t xml:space="preserve">The </w:t>
      </w:r>
      <w:r w:rsidRPr="00015C67">
        <w:rPr>
          <w:rStyle w:val="Emphasis"/>
        </w:rPr>
        <w:lastRenderedPageBreak/>
        <w:t>Lancet Global Health, 8</w:t>
      </w:r>
      <w:r w:rsidRPr="00015C67">
        <w:t>(10), e1264–e1272. https://doi.org/10.1016/S2214-109X(20)30308-9</w:t>
      </w:r>
    </w:p>
    <w:p w14:paraId="5A89FFA5"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Abdi, A., Gebremariam, M. B., &amp; Tessema, F. (2014). Determinants of childhood immunization among children aged 12–23 months in Ethiopia. </w:t>
      </w:r>
      <w:r w:rsidRPr="00015C67">
        <w:rPr>
          <w:rFonts w:ascii="Times New Roman" w:eastAsia="Times New Roman" w:hAnsi="Times New Roman" w:cs="Times New Roman"/>
          <w:i/>
          <w:iCs/>
          <w:sz w:val="24"/>
          <w:szCs w:val="24"/>
        </w:rPr>
        <w:t>BMC Public Health, 14</w:t>
      </w:r>
      <w:r w:rsidRPr="00015C67">
        <w:rPr>
          <w:rFonts w:ascii="Times New Roman" w:eastAsia="Times New Roman" w:hAnsi="Times New Roman" w:cs="Times New Roman"/>
          <w:sz w:val="24"/>
          <w:szCs w:val="24"/>
        </w:rPr>
        <w:t>, 965. https://doi.org/10.1186/1471-2458-14-965</w:t>
      </w:r>
    </w:p>
    <w:p w14:paraId="7B213EA5"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Abdul, S. M. (2020). Factors influencing completion of childhood immunization schedule in Bangladesh. </w:t>
      </w:r>
      <w:r w:rsidRPr="00015C67">
        <w:rPr>
          <w:rFonts w:ascii="Times New Roman" w:eastAsia="Times New Roman" w:hAnsi="Times New Roman" w:cs="Times New Roman"/>
          <w:i/>
          <w:iCs/>
          <w:sz w:val="24"/>
          <w:szCs w:val="24"/>
        </w:rPr>
        <w:t>Journal of Community Health, 45</w:t>
      </w:r>
      <w:r w:rsidRPr="00015C67">
        <w:rPr>
          <w:rFonts w:ascii="Times New Roman" w:eastAsia="Times New Roman" w:hAnsi="Times New Roman" w:cs="Times New Roman"/>
          <w:sz w:val="24"/>
          <w:szCs w:val="24"/>
        </w:rPr>
        <w:t>(3), 512–519.</w:t>
      </w:r>
    </w:p>
    <w:p w14:paraId="456D3AC0" w14:textId="77777777" w:rsidR="00E555F4" w:rsidRPr="00015C67" w:rsidRDefault="00E555F4" w:rsidP="00B1165D">
      <w:pPr>
        <w:pStyle w:val="NormalWeb"/>
        <w:ind w:left="720" w:hanging="720"/>
        <w:jc w:val="both"/>
      </w:pPr>
      <w:r w:rsidRPr="00015C67">
        <w:t xml:space="preserve">Abdullahi, A. M. (2018). Determinants of incomplete childhood immunization in Northern Nigeria. </w:t>
      </w:r>
      <w:r w:rsidRPr="00015C67">
        <w:rPr>
          <w:rStyle w:val="Emphasis"/>
        </w:rPr>
        <w:t>African Journal of Reproductive Health, 22</w:t>
      </w:r>
      <w:r w:rsidRPr="00015C67">
        <w:t>(3), 94–102.</w:t>
      </w:r>
    </w:p>
    <w:p w14:paraId="0A73A681" w14:textId="77777777" w:rsidR="00E555F4" w:rsidRPr="00015C67" w:rsidRDefault="00E555F4" w:rsidP="00B1165D">
      <w:pPr>
        <w:pStyle w:val="NormalWeb"/>
        <w:ind w:left="720" w:hanging="720"/>
        <w:jc w:val="both"/>
      </w:pPr>
      <w:r w:rsidRPr="00015C67">
        <w:t xml:space="preserve">Abdulraheem, I. S., </w:t>
      </w:r>
      <w:proofErr w:type="spellStart"/>
      <w:r w:rsidRPr="00015C67">
        <w:t>Onajole</w:t>
      </w:r>
      <w:proofErr w:type="spellEnd"/>
      <w:r w:rsidRPr="00015C67">
        <w:t xml:space="preserve">, A. T., Jimoh, A. A. G., &amp; Oladipo, A. R. (2021). Reasons for incomplete vaccination and factors for missed opportunities among rural Nigerian children. </w:t>
      </w:r>
      <w:r w:rsidRPr="00015C67">
        <w:rPr>
          <w:rStyle w:val="Emphasis"/>
        </w:rPr>
        <w:t>Journal of Public Health and Epidemiology, 13</w:t>
      </w:r>
      <w:r w:rsidRPr="00015C67">
        <w:t>(2), 45–53.</w:t>
      </w:r>
    </w:p>
    <w:p w14:paraId="11C752AC" w14:textId="77777777" w:rsidR="00E555F4" w:rsidRPr="00015C67" w:rsidRDefault="00E555F4" w:rsidP="00B1165D">
      <w:pPr>
        <w:pStyle w:val="NormalWeb"/>
        <w:ind w:left="720" w:hanging="720"/>
        <w:jc w:val="both"/>
      </w:pPr>
      <w:r w:rsidRPr="00015C67">
        <w:t xml:space="preserve">Adedokun, S. T., Uthman, O. A., Adekanmbi, V. T., &amp; </w:t>
      </w:r>
      <w:proofErr w:type="spellStart"/>
      <w:r w:rsidRPr="00015C67">
        <w:t>Wiysonge</w:t>
      </w:r>
      <w:proofErr w:type="spellEnd"/>
      <w:r w:rsidRPr="00015C67">
        <w:t xml:space="preserve">, C. S. (2017). Incomplete childhood immunization in Nigeria: A multilevel analysis of individual and contextual factors. </w:t>
      </w:r>
      <w:r w:rsidRPr="00015C67">
        <w:rPr>
          <w:rStyle w:val="Emphasis"/>
        </w:rPr>
        <w:t>BMC Public Health, 17</w:t>
      </w:r>
      <w:r w:rsidRPr="00015C67">
        <w:t xml:space="preserve">(1), 236. </w:t>
      </w:r>
      <w:hyperlink r:id="rId7" w:tgtFrame="_new" w:history="1">
        <w:r w:rsidRPr="00015C67">
          <w:rPr>
            <w:rStyle w:val="Hyperlink"/>
          </w:rPr>
          <w:t>https://doi.org/10.1186/s12889-017-4137-7</w:t>
        </w:r>
      </w:hyperlink>
    </w:p>
    <w:p w14:paraId="26BB3F9E" w14:textId="77777777" w:rsidR="00E555F4" w:rsidRPr="00015C67" w:rsidRDefault="00E555F4" w:rsidP="00B1165D">
      <w:pPr>
        <w:pStyle w:val="NormalWeb"/>
        <w:ind w:left="720" w:hanging="720"/>
        <w:jc w:val="both"/>
      </w:pPr>
      <w:r w:rsidRPr="00015C67">
        <w:t xml:space="preserve">Amin, M., &amp; Sartini, S. (2021). Determinants of incomplete immunization among children under five. </w:t>
      </w:r>
      <w:r w:rsidRPr="00015C67">
        <w:rPr>
          <w:rStyle w:val="Emphasis"/>
        </w:rPr>
        <w:t>Journal of Public Health Research, 10</w:t>
      </w:r>
      <w:r w:rsidRPr="00015C67">
        <w:t>(2), 189–198.</w:t>
      </w:r>
    </w:p>
    <w:p w14:paraId="78844D89"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15C67">
        <w:rPr>
          <w:rFonts w:ascii="Times New Roman" w:eastAsia="Times New Roman" w:hAnsi="Times New Roman" w:cs="Times New Roman"/>
          <w:sz w:val="24"/>
          <w:szCs w:val="24"/>
        </w:rPr>
        <w:t>Antai</w:t>
      </w:r>
      <w:proofErr w:type="spellEnd"/>
      <w:r w:rsidRPr="00015C67">
        <w:rPr>
          <w:rFonts w:ascii="Times New Roman" w:eastAsia="Times New Roman" w:hAnsi="Times New Roman" w:cs="Times New Roman"/>
          <w:sz w:val="24"/>
          <w:szCs w:val="24"/>
        </w:rPr>
        <w:t xml:space="preserve">, D. (2011). Inequitable childhood immunization uptake in Nigeria: A multilevel analysis of individual and contextual determinants. </w:t>
      </w:r>
      <w:r w:rsidRPr="00015C67">
        <w:rPr>
          <w:rFonts w:ascii="Times New Roman" w:eastAsia="Times New Roman" w:hAnsi="Times New Roman" w:cs="Times New Roman"/>
          <w:i/>
          <w:iCs/>
          <w:sz w:val="24"/>
          <w:szCs w:val="24"/>
        </w:rPr>
        <w:t>BMC Infectious Diseases, 11</w:t>
      </w:r>
      <w:r w:rsidRPr="00015C67">
        <w:rPr>
          <w:rFonts w:ascii="Times New Roman" w:eastAsia="Times New Roman" w:hAnsi="Times New Roman" w:cs="Times New Roman"/>
          <w:sz w:val="24"/>
          <w:szCs w:val="24"/>
        </w:rPr>
        <w:t>, 181.</w:t>
      </w:r>
    </w:p>
    <w:p w14:paraId="069F895E" w14:textId="77777777" w:rsidR="00E555F4" w:rsidRPr="00015C67" w:rsidRDefault="00E555F4" w:rsidP="00B1165D">
      <w:pPr>
        <w:pStyle w:val="NormalWeb"/>
        <w:ind w:left="720" w:hanging="720"/>
        <w:jc w:val="both"/>
      </w:pPr>
      <w:proofErr w:type="spellStart"/>
      <w:r w:rsidRPr="00015C67">
        <w:t>Antai</w:t>
      </w:r>
      <w:proofErr w:type="spellEnd"/>
      <w:r w:rsidRPr="00015C67">
        <w:t xml:space="preserve">, D. (2020). Inequitable childhood immunization uptake in Nigeria: A multilevel analysis of individual and contextual determinants. </w:t>
      </w:r>
      <w:r w:rsidRPr="00015C67">
        <w:rPr>
          <w:rStyle w:val="Emphasis"/>
        </w:rPr>
        <w:t>BMC Infectious Diseases, 20</w:t>
      </w:r>
      <w:r w:rsidRPr="00015C67">
        <w:t>, 181.</w:t>
      </w:r>
    </w:p>
    <w:p w14:paraId="316593B8" w14:textId="77777777" w:rsidR="00E555F4" w:rsidRPr="00015C67" w:rsidRDefault="00E555F4" w:rsidP="00B1165D">
      <w:pPr>
        <w:pStyle w:val="NormalWeb"/>
        <w:ind w:left="720" w:hanging="720"/>
        <w:jc w:val="both"/>
      </w:pPr>
      <w:proofErr w:type="spellStart"/>
      <w:r w:rsidRPr="00015C67">
        <w:t>Antai</w:t>
      </w:r>
      <w:proofErr w:type="spellEnd"/>
      <w:r w:rsidRPr="00015C67">
        <w:t xml:space="preserve">, D. (2022). Regional inequalities in childhood immunization in Nigeria: Evidence from population-based surveys. </w:t>
      </w:r>
      <w:r w:rsidRPr="00015C67">
        <w:rPr>
          <w:rStyle w:val="Emphasis"/>
        </w:rPr>
        <w:t>Global Health Research and Policy, 7</w:t>
      </w:r>
      <w:r w:rsidRPr="00015C67">
        <w:t>, 12.</w:t>
      </w:r>
    </w:p>
    <w:p w14:paraId="20E0D901" w14:textId="77777777" w:rsidR="00E555F4" w:rsidRPr="00015C67" w:rsidRDefault="00E555F4" w:rsidP="00B1165D">
      <w:pPr>
        <w:pStyle w:val="NormalWeb"/>
        <w:ind w:left="720" w:hanging="720"/>
        <w:jc w:val="both"/>
      </w:pPr>
      <w:r w:rsidRPr="00015C67">
        <w:t xml:space="preserve">Asim, M., Zaidi, A., &amp; Awan, M. S. (2025). Under-five mortality and vaccine-preventable diseases in low-income countries. </w:t>
      </w:r>
      <w:r w:rsidRPr="00015C67">
        <w:rPr>
          <w:rStyle w:val="Emphasis"/>
        </w:rPr>
        <w:t>International Journal of Public Health, 70</w:t>
      </w:r>
      <w:r w:rsidRPr="00015C67">
        <w:t>(1), 1–9.</w:t>
      </w:r>
    </w:p>
    <w:p w14:paraId="6CF1C910" w14:textId="77777777" w:rsidR="00E555F4" w:rsidRPr="00015C67" w:rsidRDefault="00E555F4" w:rsidP="00B1165D">
      <w:pPr>
        <w:pStyle w:val="NormalWeb"/>
        <w:ind w:left="720" w:hanging="720"/>
        <w:jc w:val="both"/>
      </w:pPr>
      <w:r w:rsidRPr="00015C67">
        <w:t>Babalola, S. (2011). Maternal reasons for non-</w:t>
      </w:r>
      <w:proofErr w:type="spellStart"/>
      <w:r w:rsidRPr="00015C67">
        <w:t>immunisation</w:t>
      </w:r>
      <w:proofErr w:type="spellEnd"/>
      <w:r w:rsidRPr="00015C67">
        <w:t xml:space="preserve"> and partial </w:t>
      </w:r>
      <w:proofErr w:type="spellStart"/>
      <w:r w:rsidRPr="00015C67">
        <w:t>immunisation</w:t>
      </w:r>
      <w:proofErr w:type="spellEnd"/>
      <w:r w:rsidRPr="00015C67">
        <w:t xml:space="preserve"> in northern Nigeria. </w:t>
      </w:r>
      <w:r w:rsidRPr="00015C67">
        <w:rPr>
          <w:rStyle w:val="Emphasis"/>
        </w:rPr>
        <w:t xml:space="preserve">Journal of </w:t>
      </w:r>
      <w:proofErr w:type="spellStart"/>
      <w:r w:rsidRPr="00015C67">
        <w:rPr>
          <w:rStyle w:val="Emphasis"/>
        </w:rPr>
        <w:t>Paediatrics</w:t>
      </w:r>
      <w:proofErr w:type="spellEnd"/>
      <w:r w:rsidRPr="00015C67">
        <w:rPr>
          <w:rStyle w:val="Emphasis"/>
        </w:rPr>
        <w:t xml:space="preserve"> and Child Health, 47</w:t>
      </w:r>
      <w:r w:rsidRPr="00015C67">
        <w:t>(5), 276–281.</w:t>
      </w:r>
    </w:p>
    <w:p w14:paraId="12BB5284" w14:textId="77777777" w:rsidR="00E555F4" w:rsidRPr="00015C67" w:rsidRDefault="00E555F4" w:rsidP="00B1165D">
      <w:pPr>
        <w:pStyle w:val="NormalWeb"/>
        <w:ind w:left="720" w:hanging="720"/>
        <w:jc w:val="both"/>
      </w:pPr>
      <w:r w:rsidRPr="00015C67">
        <w:t xml:space="preserve">Badran, I. G. (2024). Predictors of childhood immunization intention using the theory of planned </w:t>
      </w:r>
      <w:proofErr w:type="spellStart"/>
      <w:r w:rsidRPr="00015C67">
        <w:t>behaviour</w:t>
      </w:r>
      <w:proofErr w:type="spellEnd"/>
      <w:r w:rsidRPr="00015C67">
        <w:t xml:space="preserve">. </w:t>
      </w:r>
      <w:r w:rsidRPr="00015C67">
        <w:rPr>
          <w:rStyle w:val="Emphasis"/>
        </w:rPr>
        <w:t>BMC Public Health, 24</w:t>
      </w:r>
      <w:r w:rsidRPr="00015C67">
        <w:t>(1), 112.</w:t>
      </w:r>
    </w:p>
    <w:p w14:paraId="3759546A" w14:textId="77777777" w:rsidR="00E555F4" w:rsidRPr="00015C67" w:rsidRDefault="00E555F4" w:rsidP="00B1165D">
      <w:pPr>
        <w:pStyle w:val="NormalWeb"/>
        <w:ind w:left="720" w:hanging="720"/>
        <w:jc w:val="both"/>
      </w:pPr>
      <w:r w:rsidRPr="00015C67">
        <w:t xml:space="preserve">Banerjee, A., Duflo, E., &amp; </w:t>
      </w:r>
      <w:proofErr w:type="spellStart"/>
      <w:r w:rsidRPr="00015C67">
        <w:t>Glennerster</w:t>
      </w:r>
      <w:proofErr w:type="spellEnd"/>
      <w:r w:rsidRPr="00015C67">
        <w:t xml:space="preserve">, R. (2021). Improving immunization coverage: Evidence from randomized interventions. </w:t>
      </w:r>
      <w:r w:rsidRPr="00015C67">
        <w:rPr>
          <w:rStyle w:val="Emphasis"/>
        </w:rPr>
        <w:t>World Development, 141</w:t>
      </w:r>
      <w:r w:rsidRPr="00015C67">
        <w:t>, 105401.</w:t>
      </w:r>
    </w:p>
    <w:p w14:paraId="790844C4" w14:textId="77777777" w:rsidR="00E555F4" w:rsidRPr="00015C67" w:rsidRDefault="00E555F4" w:rsidP="00B1165D">
      <w:pPr>
        <w:pStyle w:val="NormalWeb"/>
        <w:ind w:left="720" w:hanging="720"/>
        <w:jc w:val="both"/>
      </w:pPr>
      <w:r w:rsidRPr="00015C67">
        <w:lastRenderedPageBreak/>
        <w:t xml:space="preserve">Berhane, Y. (2008). Universal immunization: The need for community engagement and health system strengthening. </w:t>
      </w:r>
      <w:r w:rsidRPr="00015C67">
        <w:rPr>
          <w:rStyle w:val="Emphasis"/>
        </w:rPr>
        <w:t>Ethiopian Journal of Health Development, 22</w:t>
      </w:r>
      <w:r w:rsidRPr="00015C67">
        <w:t>(1), 1–3.</w:t>
      </w:r>
    </w:p>
    <w:p w14:paraId="4D430060" w14:textId="77777777" w:rsidR="00E555F4" w:rsidRPr="00015C67" w:rsidRDefault="00E555F4" w:rsidP="00B1165D">
      <w:pPr>
        <w:pStyle w:val="NormalWeb"/>
        <w:ind w:left="720" w:hanging="720"/>
        <w:jc w:val="both"/>
      </w:pPr>
      <w:r w:rsidRPr="00015C67">
        <w:t xml:space="preserve">Berhane, Y. (2018). The Reaching Every District (RED) strategy and routine immunization in Africa. </w:t>
      </w:r>
      <w:r w:rsidRPr="00015C67">
        <w:rPr>
          <w:rStyle w:val="Emphasis"/>
        </w:rPr>
        <w:t>Vaccine, 36</w:t>
      </w:r>
      <w:r w:rsidRPr="00015C67">
        <w:t>(45), 6783–6787.</w:t>
      </w:r>
    </w:p>
    <w:p w14:paraId="1E722F61" w14:textId="77777777" w:rsidR="00E555F4" w:rsidRPr="00015C67" w:rsidRDefault="00E555F4" w:rsidP="00B1165D">
      <w:pPr>
        <w:pStyle w:val="NormalWeb"/>
        <w:ind w:left="720" w:hanging="720"/>
        <w:jc w:val="both"/>
      </w:pPr>
      <w:r w:rsidRPr="00015C67">
        <w:rPr>
          <w:rStyle w:val="Strong"/>
          <w:b w:val="0"/>
        </w:rPr>
        <w:t>Bruni, L., Saura-Lázaro, A., Montoliu, A., Brotons, M., Alemany, L., Diallo, M. S., et al.</w:t>
      </w:r>
      <w:r w:rsidRPr="00015C67">
        <w:t xml:space="preserve"> (2021). HPV vaccination introduction worldwide and WHO and UNICEF estimates of national HPV immunization coverage 2010–2019. </w:t>
      </w:r>
      <w:r w:rsidRPr="00015C67">
        <w:rPr>
          <w:rStyle w:val="Emphasis"/>
        </w:rPr>
        <w:t>Preventive Medicine, 144</w:t>
      </w:r>
      <w:r w:rsidRPr="00015C67">
        <w:t>, 106399. https://doi.org/10.1016/j.ypmed.2020.106399</w:t>
      </w:r>
    </w:p>
    <w:p w14:paraId="1D90612D" w14:textId="77777777" w:rsidR="00E555F4" w:rsidRPr="00015C67" w:rsidRDefault="00E555F4" w:rsidP="00B1165D">
      <w:pPr>
        <w:pStyle w:val="NormalWeb"/>
        <w:ind w:left="720" w:hanging="720"/>
        <w:jc w:val="both"/>
      </w:pPr>
      <w:r w:rsidRPr="00015C67">
        <w:t xml:space="preserve">Bullen, C., Heriot, G., &amp; Jamrozik, K. (2023). Herd immunity and vaccination policy. </w:t>
      </w:r>
      <w:r w:rsidRPr="00015C67">
        <w:rPr>
          <w:rStyle w:val="Emphasis"/>
        </w:rPr>
        <w:t>Public Health Ethics, 16</w:t>
      </w:r>
      <w:r w:rsidRPr="00015C67">
        <w:t>(1), 44–58.</w:t>
      </w:r>
    </w:p>
    <w:p w14:paraId="46ECB305"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Cana van, J. (2014). Determinants of childhood immunization utilization in low-income countries. </w:t>
      </w:r>
      <w:r w:rsidRPr="00015C67">
        <w:rPr>
          <w:rFonts w:ascii="Times New Roman" w:eastAsia="Times New Roman" w:hAnsi="Times New Roman" w:cs="Times New Roman"/>
          <w:i/>
          <w:iCs/>
          <w:sz w:val="24"/>
          <w:szCs w:val="24"/>
        </w:rPr>
        <w:t>Global Public Health, 9</w:t>
      </w:r>
      <w:r w:rsidRPr="00015C67">
        <w:rPr>
          <w:rFonts w:ascii="Times New Roman" w:eastAsia="Times New Roman" w:hAnsi="Times New Roman" w:cs="Times New Roman"/>
          <w:sz w:val="24"/>
          <w:szCs w:val="24"/>
        </w:rPr>
        <w:t>(6), 673–689.</w:t>
      </w:r>
    </w:p>
    <w:p w14:paraId="019C9F16"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Cana van, J., Mwangi, M., &amp; Tesfaye, S. (2024). Childhood immunization coverage in selected African countries: Evidence from DHS data. </w:t>
      </w:r>
      <w:r w:rsidRPr="00015C67">
        <w:rPr>
          <w:rFonts w:ascii="Times New Roman" w:eastAsia="Times New Roman" w:hAnsi="Times New Roman" w:cs="Times New Roman"/>
          <w:i/>
          <w:iCs/>
          <w:sz w:val="24"/>
          <w:szCs w:val="24"/>
        </w:rPr>
        <w:t>International Journal of Public Health, 69</w:t>
      </w:r>
      <w:r w:rsidRPr="00015C67">
        <w:rPr>
          <w:rFonts w:ascii="Times New Roman" w:eastAsia="Times New Roman" w:hAnsi="Times New Roman" w:cs="Times New Roman"/>
          <w:sz w:val="24"/>
          <w:szCs w:val="24"/>
        </w:rPr>
        <w:t>, 1606432.</w:t>
      </w:r>
    </w:p>
    <w:p w14:paraId="708FC16B" w14:textId="77777777" w:rsidR="00E555F4" w:rsidRPr="00015C67" w:rsidRDefault="00E555F4" w:rsidP="00B1165D">
      <w:pPr>
        <w:pStyle w:val="NormalWeb"/>
        <w:ind w:left="720" w:hanging="720"/>
        <w:jc w:val="both"/>
      </w:pPr>
      <w:r w:rsidRPr="00015C67">
        <w:t xml:space="preserve">Dessie, D. B., &amp; Negeri, M. A. (2018). Determinants of full immunization coverage among children aged 12–23 months in Ethiopia. </w:t>
      </w:r>
      <w:r w:rsidRPr="00015C67">
        <w:rPr>
          <w:rStyle w:val="Emphasis"/>
        </w:rPr>
        <w:t>BMC Public Health, 18</w:t>
      </w:r>
      <w:r w:rsidRPr="00015C67">
        <w:t>, 1270.</w:t>
      </w:r>
    </w:p>
    <w:p w14:paraId="55FC0914" w14:textId="77777777" w:rsidR="00E555F4" w:rsidRPr="00015C67" w:rsidRDefault="00E555F4" w:rsidP="00B1165D">
      <w:pPr>
        <w:pStyle w:val="NormalWeb"/>
        <w:ind w:left="720" w:hanging="720"/>
        <w:jc w:val="both"/>
      </w:pPr>
      <w:r w:rsidRPr="00015C67">
        <w:t xml:space="preserve">Duclos, P., </w:t>
      </w:r>
      <w:proofErr w:type="spellStart"/>
      <w:r w:rsidRPr="00015C67">
        <w:t>Okwo</w:t>
      </w:r>
      <w:proofErr w:type="spellEnd"/>
      <w:r w:rsidRPr="00015C67">
        <w:t xml:space="preserve">-Bele, J. M., </w:t>
      </w:r>
      <w:proofErr w:type="spellStart"/>
      <w:r w:rsidRPr="00015C67">
        <w:t>Gacic</w:t>
      </w:r>
      <w:proofErr w:type="spellEnd"/>
      <w:r w:rsidRPr="00015C67">
        <w:t xml:space="preserve">-Dobo, M., &amp; Cherian, T. (2019). Global immunization: Status, progress, challenges. </w:t>
      </w:r>
      <w:r w:rsidRPr="00015C67">
        <w:rPr>
          <w:rStyle w:val="Emphasis"/>
        </w:rPr>
        <w:t>Vaccine, 37</w:t>
      </w:r>
      <w:r w:rsidRPr="00015C67">
        <w:t>(2), 149–155.</w:t>
      </w:r>
    </w:p>
    <w:p w14:paraId="40F5162A" w14:textId="77777777" w:rsidR="00E555F4" w:rsidRPr="00015C67" w:rsidRDefault="00E555F4" w:rsidP="00B1165D">
      <w:pPr>
        <w:pStyle w:val="NormalWeb"/>
        <w:ind w:left="720" w:hanging="720"/>
        <w:jc w:val="both"/>
      </w:pPr>
      <w:r w:rsidRPr="00015C67">
        <w:t xml:space="preserve">Duclos, P., Scobie, H., &amp; Strebel, P. (2024). Vaccination and global health development. </w:t>
      </w:r>
      <w:r w:rsidRPr="00015C67">
        <w:rPr>
          <w:rStyle w:val="Emphasis"/>
        </w:rPr>
        <w:t>The Lancet Global Health, 12</w:t>
      </w:r>
      <w:r w:rsidRPr="00015C67">
        <w:t>(3), e402–e410.</w:t>
      </w:r>
    </w:p>
    <w:p w14:paraId="15601131" w14:textId="77777777" w:rsidR="00E555F4" w:rsidRPr="00015C67" w:rsidRDefault="00E555F4" w:rsidP="00B1165D">
      <w:pPr>
        <w:pStyle w:val="NormalWeb"/>
        <w:ind w:left="720" w:hanging="720"/>
        <w:jc w:val="both"/>
      </w:pPr>
      <w:proofErr w:type="spellStart"/>
      <w:r w:rsidRPr="00015C67">
        <w:t>Ekwebelem</w:t>
      </w:r>
      <w:proofErr w:type="spellEnd"/>
      <w:r w:rsidRPr="00015C67">
        <w:t xml:space="preserve">, O. C., </w:t>
      </w:r>
      <w:proofErr w:type="spellStart"/>
      <w:r w:rsidRPr="00015C67">
        <w:t>Nnorom</w:t>
      </w:r>
      <w:proofErr w:type="spellEnd"/>
      <w:r w:rsidRPr="00015C67">
        <w:t xml:space="preserve">-Dike, O. E., </w:t>
      </w:r>
      <w:proofErr w:type="spellStart"/>
      <w:r w:rsidRPr="00015C67">
        <w:t>Aborode</w:t>
      </w:r>
      <w:proofErr w:type="spellEnd"/>
      <w:r w:rsidRPr="00015C67">
        <w:t xml:space="preserve">, A. T., &amp; </w:t>
      </w:r>
      <w:proofErr w:type="spellStart"/>
      <w:r w:rsidRPr="00015C67">
        <w:t>Ekwebelem</w:t>
      </w:r>
      <w:proofErr w:type="spellEnd"/>
      <w:r w:rsidRPr="00015C67">
        <w:t xml:space="preserve">, N. C. (2021). Eradication of polio in Nigeria: Lessons learned and future implications. </w:t>
      </w:r>
      <w:r w:rsidRPr="00015C67">
        <w:rPr>
          <w:rStyle w:val="Emphasis"/>
        </w:rPr>
        <w:t>Journal of Public Health in Africa, 12</w:t>
      </w:r>
      <w:r w:rsidRPr="00015C67">
        <w:t>(2), 1700.</w:t>
      </w:r>
    </w:p>
    <w:p w14:paraId="218046AA" w14:textId="77777777" w:rsidR="00E555F4" w:rsidRPr="00015C67" w:rsidRDefault="00E555F4" w:rsidP="00B1165D">
      <w:pPr>
        <w:pStyle w:val="NormalWeb"/>
        <w:ind w:left="720" w:hanging="720"/>
        <w:jc w:val="both"/>
      </w:pPr>
      <w:r w:rsidRPr="00015C67">
        <w:t xml:space="preserve">Eme, O. I. (2016). Internal displacement and public health challenges in Nigeria. </w:t>
      </w:r>
      <w:r w:rsidRPr="00015C67">
        <w:rPr>
          <w:rStyle w:val="Emphasis"/>
        </w:rPr>
        <w:t>African Journal of Political Science, 10</w:t>
      </w:r>
      <w:r w:rsidRPr="00015C67">
        <w:t>(2), 58–71.</w:t>
      </w:r>
    </w:p>
    <w:p w14:paraId="5123B4A2" w14:textId="77777777" w:rsidR="00E555F4" w:rsidRPr="00015C67" w:rsidRDefault="00E555F4" w:rsidP="00B1165D">
      <w:pPr>
        <w:pStyle w:val="NormalWeb"/>
        <w:ind w:left="720" w:hanging="720"/>
        <w:jc w:val="both"/>
      </w:pPr>
      <w:r w:rsidRPr="00015C67">
        <w:t xml:space="preserve">Etana, B., &amp; Deressa, W. (2012a). Factors associated with complete immunization coverage in children aged 12–23 months in Ethiopia. </w:t>
      </w:r>
      <w:r w:rsidRPr="00015C67">
        <w:rPr>
          <w:rStyle w:val="Emphasis"/>
        </w:rPr>
        <w:t>BMC Public Health, 12</w:t>
      </w:r>
      <w:r w:rsidRPr="00015C67">
        <w:t>, 566.</w:t>
      </w:r>
    </w:p>
    <w:p w14:paraId="61D592A0" w14:textId="77777777" w:rsidR="00E555F4" w:rsidRPr="00015C67" w:rsidRDefault="00E555F4" w:rsidP="00B1165D">
      <w:pPr>
        <w:pStyle w:val="NormalWeb"/>
        <w:ind w:left="720" w:hanging="720"/>
        <w:jc w:val="both"/>
      </w:pPr>
      <w:r w:rsidRPr="00015C67">
        <w:t xml:space="preserve">Etana, B., &amp; Deressa, W. (2012b). Maternal health services and childhood immunization uptake. </w:t>
      </w:r>
      <w:r w:rsidRPr="00015C67">
        <w:rPr>
          <w:rStyle w:val="Emphasis"/>
        </w:rPr>
        <w:t>Ethiopian Journal of Health Sciences, 22</w:t>
      </w:r>
      <w:r w:rsidRPr="00015C67">
        <w:t>(3), 191–200.</w:t>
      </w:r>
    </w:p>
    <w:p w14:paraId="5966F3EB"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Etana, B., &amp; Deressa, W. (2022a). Factors associated with complete immunization coverage among children aged 12–23 months in central Ethiopia. </w:t>
      </w:r>
      <w:r w:rsidRPr="00015C67">
        <w:rPr>
          <w:rFonts w:ascii="Times New Roman" w:eastAsia="Times New Roman" w:hAnsi="Times New Roman" w:cs="Times New Roman"/>
          <w:i/>
          <w:iCs/>
          <w:sz w:val="24"/>
          <w:szCs w:val="24"/>
        </w:rPr>
        <w:t>BMC Public Health, 22</w:t>
      </w:r>
      <w:r w:rsidRPr="00015C67">
        <w:rPr>
          <w:rFonts w:ascii="Times New Roman" w:eastAsia="Times New Roman" w:hAnsi="Times New Roman" w:cs="Times New Roman"/>
          <w:sz w:val="24"/>
          <w:szCs w:val="24"/>
        </w:rPr>
        <w:t>, 134.</w:t>
      </w:r>
    </w:p>
    <w:p w14:paraId="5DA85882"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lastRenderedPageBreak/>
        <w:t xml:space="preserve">Etana, B., &amp; Deressa, W. (2022b). Missed opportunities and determinants of immunization uptake in Ethiopia. </w:t>
      </w:r>
      <w:r w:rsidRPr="00015C67">
        <w:rPr>
          <w:rFonts w:ascii="Times New Roman" w:eastAsia="Times New Roman" w:hAnsi="Times New Roman" w:cs="Times New Roman"/>
          <w:i/>
          <w:iCs/>
          <w:sz w:val="24"/>
          <w:szCs w:val="24"/>
        </w:rPr>
        <w:t>Ethiopian Journal of Health Sciences, 32</w:t>
      </w:r>
      <w:r w:rsidRPr="00015C67">
        <w:rPr>
          <w:rFonts w:ascii="Times New Roman" w:eastAsia="Times New Roman" w:hAnsi="Times New Roman" w:cs="Times New Roman"/>
          <w:sz w:val="24"/>
          <w:szCs w:val="24"/>
        </w:rPr>
        <w:t>(1), 77–88.</w:t>
      </w:r>
    </w:p>
    <w:p w14:paraId="1E5860C6" w14:textId="77777777" w:rsidR="00E555F4" w:rsidRPr="00015C67" w:rsidRDefault="00E555F4" w:rsidP="00B1165D">
      <w:pPr>
        <w:pStyle w:val="NormalWeb"/>
        <w:ind w:left="720" w:hanging="720"/>
        <w:jc w:val="both"/>
      </w:pPr>
      <w:r w:rsidRPr="00015C67">
        <w:t xml:space="preserve">Eugene, K., Orenstein, W. A., &amp; Hinman, A. R. (2015). Vaccination impact on global mortality. </w:t>
      </w:r>
      <w:r w:rsidRPr="00015C67">
        <w:rPr>
          <w:rStyle w:val="Emphasis"/>
        </w:rPr>
        <w:t>New England Journal of Medicine, 372</w:t>
      </w:r>
      <w:r w:rsidRPr="00015C67">
        <w:t>(4), 305–307.</w:t>
      </w:r>
    </w:p>
    <w:p w14:paraId="3F8554D6" w14:textId="77777777" w:rsidR="00E555F4" w:rsidRPr="00015C67" w:rsidRDefault="00E555F4" w:rsidP="00B1165D">
      <w:pPr>
        <w:pStyle w:val="NormalWeb"/>
        <w:ind w:left="720" w:hanging="720"/>
        <w:jc w:val="both"/>
      </w:pPr>
      <w:r w:rsidRPr="00015C67">
        <w:rPr>
          <w:rStyle w:val="Strong"/>
          <w:b w:val="0"/>
        </w:rPr>
        <w:t xml:space="preserve">Eze, P., Agu, U. J., </w:t>
      </w:r>
      <w:proofErr w:type="spellStart"/>
      <w:r w:rsidRPr="00015C67">
        <w:rPr>
          <w:rStyle w:val="Strong"/>
          <w:b w:val="0"/>
        </w:rPr>
        <w:t>Aniebo</w:t>
      </w:r>
      <w:proofErr w:type="spellEnd"/>
      <w:r w:rsidRPr="00015C67">
        <w:rPr>
          <w:rStyle w:val="Strong"/>
          <w:b w:val="0"/>
        </w:rPr>
        <w:t>, C. L., Agu, S. A., Lawani, L. O., &amp; Acharya, Y.</w:t>
      </w:r>
      <w:r w:rsidRPr="00015C67">
        <w:t xml:space="preserve"> (2021). Factors associated with incomplete </w:t>
      </w:r>
      <w:proofErr w:type="spellStart"/>
      <w:r w:rsidRPr="00015C67">
        <w:t>immunisation</w:t>
      </w:r>
      <w:proofErr w:type="spellEnd"/>
      <w:r w:rsidRPr="00015C67">
        <w:t xml:space="preserve"> in children aged 12-23 months at subnational level, Nigeria: A cross-sectional study. </w:t>
      </w:r>
      <w:r w:rsidRPr="00015C67">
        <w:rPr>
          <w:rStyle w:val="Emphasis"/>
        </w:rPr>
        <w:t>BMJ Open, 11</w:t>
      </w:r>
      <w:r w:rsidRPr="00015C67">
        <w:t>(6), e047445. https://doi.org/10.1136/bmjopen-2020-047445</w:t>
      </w:r>
    </w:p>
    <w:p w14:paraId="79146576" w14:textId="77777777" w:rsidR="00E555F4" w:rsidRPr="00015C67" w:rsidRDefault="00E555F4" w:rsidP="00B1165D">
      <w:pPr>
        <w:pStyle w:val="NormalWeb"/>
        <w:ind w:left="720" w:hanging="720"/>
        <w:jc w:val="both"/>
      </w:pPr>
      <w:proofErr w:type="spellStart"/>
      <w:r w:rsidRPr="00015C67">
        <w:t>Fatiregun</w:t>
      </w:r>
      <w:proofErr w:type="spellEnd"/>
      <w:r w:rsidRPr="00015C67">
        <w:t xml:space="preserve">, A. A., &amp; Okoro, A. O. (2012). Maternal determinants of childhood immunization uptake in Nigeria. </w:t>
      </w:r>
      <w:r w:rsidRPr="00015C67">
        <w:rPr>
          <w:rStyle w:val="Emphasis"/>
        </w:rPr>
        <w:t>African Journal of Reproductive Health, 16</w:t>
      </w:r>
      <w:r w:rsidRPr="00015C67">
        <w:t>(4), 105–115.</w:t>
      </w:r>
    </w:p>
    <w:p w14:paraId="1E856A43" w14:textId="77777777" w:rsidR="00E555F4" w:rsidRPr="00015C67" w:rsidRDefault="00E555F4" w:rsidP="00B1165D">
      <w:pPr>
        <w:pStyle w:val="NormalWeb"/>
        <w:ind w:left="720" w:hanging="720"/>
        <w:jc w:val="both"/>
      </w:pPr>
      <w:r w:rsidRPr="00015C67">
        <w:t xml:space="preserve">Gooding, K., </w:t>
      </w:r>
      <w:proofErr w:type="spellStart"/>
      <w:r w:rsidRPr="00015C67">
        <w:t>Spiliotopoulou</w:t>
      </w:r>
      <w:proofErr w:type="spellEnd"/>
      <w:r w:rsidRPr="00015C67">
        <w:t xml:space="preserve">, E., &amp; Yadav, P. (2019). Impact of supply chain constraints on immunization. </w:t>
      </w:r>
      <w:r w:rsidRPr="00015C67">
        <w:rPr>
          <w:rStyle w:val="Emphasis"/>
        </w:rPr>
        <w:t>Health Policy and Planning, 34</w:t>
      </w:r>
      <w:r w:rsidRPr="00015C67">
        <w:t>(10), 765–773.</w:t>
      </w:r>
    </w:p>
    <w:p w14:paraId="7F4A52B2" w14:textId="77777777" w:rsidR="00E555F4" w:rsidRPr="00015C67" w:rsidRDefault="00E555F4" w:rsidP="00B1165D">
      <w:pPr>
        <w:pStyle w:val="NormalWeb"/>
        <w:ind w:left="720" w:hanging="720"/>
        <w:jc w:val="both"/>
      </w:pPr>
      <w:proofErr w:type="spellStart"/>
      <w:r w:rsidRPr="00015C67">
        <w:rPr>
          <w:rStyle w:val="Strong"/>
          <w:b w:val="0"/>
        </w:rPr>
        <w:t>Gunnala</w:t>
      </w:r>
      <w:proofErr w:type="spellEnd"/>
      <w:r w:rsidRPr="00015C67">
        <w:rPr>
          <w:rStyle w:val="Strong"/>
          <w:b w:val="0"/>
        </w:rPr>
        <w:t>, R., Ogbuanu, I. U., Adegoke, O. J., Scobie, H. M., Uba, B. V., Wannemuehler, K. A., et al.</w:t>
      </w:r>
      <w:r w:rsidRPr="00015C67">
        <w:t xml:space="preserve"> (2016). Routine vaccination coverage in Northern Nigeria: Results from 40 district-level cluster surveys, 2014-2015. </w:t>
      </w:r>
      <w:proofErr w:type="spellStart"/>
      <w:r w:rsidRPr="00015C67">
        <w:rPr>
          <w:rStyle w:val="Emphasis"/>
        </w:rPr>
        <w:t>PLoS</w:t>
      </w:r>
      <w:proofErr w:type="spellEnd"/>
      <w:r w:rsidRPr="00015C67">
        <w:rPr>
          <w:rStyle w:val="Emphasis"/>
        </w:rPr>
        <w:t xml:space="preserve"> ONE, 11</w:t>
      </w:r>
      <w:r w:rsidRPr="00015C67">
        <w:t>(12), e0167835. https://doi.org/10.1371/journal.pone.0167835</w:t>
      </w:r>
    </w:p>
    <w:p w14:paraId="61536601"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Gupta, R., Singh, A., &amp; Verma, P. (2025). Utilization of immunization services among under-five children in India. </w:t>
      </w:r>
      <w:r w:rsidRPr="00015C67">
        <w:rPr>
          <w:rFonts w:ascii="Times New Roman" w:eastAsia="Times New Roman" w:hAnsi="Times New Roman" w:cs="Times New Roman"/>
          <w:i/>
          <w:iCs/>
          <w:sz w:val="24"/>
          <w:szCs w:val="24"/>
        </w:rPr>
        <w:t>Journal of Family Medicine and Primary Care, 14</w:t>
      </w:r>
      <w:r w:rsidRPr="00015C67">
        <w:rPr>
          <w:rFonts w:ascii="Times New Roman" w:eastAsia="Times New Roman" w:hAnsi="Times New Roman" w:cs="Times New Roman"/>
          <w:sz w:val="24"/>
          <w:szCs w:val="24"/>
        </w:rPr>
        <w:t>(1), 45–52.</w:t>
      </w:r>
    </w:p>
    <w:p w14:paraId="577D3191" w14:textId="77777777" w:rsidR="00E555F4" w:rsidRPr="00015C67" w:rsidRDefault="00E555F4" w:rsidP="00B1165D">
      <w:pPr>
        <w:pStyle w:val="NormalWeb"/>
        <w:ind w:left="720" w:hanging="720"/>
        <w:jc w:val="both"/>
      </w:pPr>
      <w:r w:rsidRPr="00015C67">
        <w:t xml:space="preserve">Hu, Y., Li, Q., Chen, E., Chen, Y., &amp; Qi, X. (2013). Determinants of childhood immunization coverage in developing countries. </w:t>
      </w:r>
      <w:r w:rsidRPr="00015C67">
        <w:rPr>
          <w:rStyle w:val="Emphasis"/>
        </w:rPr>
        <w:t>Human Vaccines &amp; Immunotherapeutics, 9</w:t>
      </w:r>
      <w:r w:rsidRPr="00015C67">
        <w:t>(2), 1–10.</w:t>
      </w:r>
    </w:p>
    <w:p w14:paraId="78E37584"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Hussein, A., &amp; Alemayehu, M. (2023). Evaluation of immunization services and logistics in Oromia Region, Ethiopia. </w:t>
      </w:r>
      <w:r w:rsidRPr="00015C67">
        <w:rPr>
          <w:rFonts w:ascii="Times New Roman" w:eastAsia="Times New Roman" w:hAnsi="Times New Roman" w:cs="Times New Roman"/>
          <w:i/>
          <w:iCs/>
          <w:sz w:val="24"/>
          <w:szCs w:val="24"/>
        </w:rPr>
        <w:t>BMC Health Services Research, 23</w:t>
      </w:r>
      <w:r w:rsidRPr="00015C67">
        <w:rPr>
          <w:rFonts w:ascii="Times New Roman" w:eastAsia="Times New Roman" w:hAnsi="Times New Roman" w:cs="Times New Roman"/>
          <w:sz w:val="24"/>
          <w:szCs w:val="24"/>
        </w:rPr>
        <w:t>, 417.</w:t>
      </w:r>
    </w:p>
    <w:p w14:paraId="49205418"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Ibnouf, A. H., Van den Borne, H. W., &amp; </w:t>
      </w:r>
      <w:proofErr w:type="spellStart"/>
      <w:r w:rsidRPr="00015C67">
        <w:rPr>
          <w:rFonts w:ascii="Times New Roman" w:eastAsia="Times New Roman" w:hAnsi="Times New Roman" w:cs="Times New Roman"/>
          <w:sz w:val="24"/>
          <w:szCs w:val="24"/>
        </w:rPr>
        <w:t>Maarse</w:t>
      </w:r>
      <w:proofErr w:type="spellEnd"/>
      <w:r w:rsidRPr="00015C67">
        <w:rPr>
          <w:rFonts w:ascii="Times New Roman" w:eastAsia="Times New Roman" w:hAnsi="Times New Roman" w:cs="Times New Roman"/>
          <w:sz w:val="24"/>
          <w:szCs w:val="24"/>
        </w:rPr>
        <w:t xml:space="preserve">, J. A. M. (2017). Utilization of maternal and child health services in Sudan. </w:t>
      </w:r>
      <w:r w:rsidRPr="00015C67">
        <w:rPr>
          <w:rFonts w:ascii="Times New Roman" w:eastAsia="Times New Roman" w:hAnsi="Times New Roman" w:cs="Times New Roman"/>
          <w:i/>
          <w:iCs/>
          <w:sz w:val="24"/>
          <w:szCs w:val="24"/>
        </w:rPr>
        <w:t>International Journal of Health Planning and Management, 32</w:t>
      </w:r>
      <w:r w:rsidRPr="00015C67">
        <w:rPr>
          <w:rFonts w:ascii="Times New Roman" w:eastAsia="Times New Roman" w:hAnsi="Times New Roman" w:cs="Times New Roman"/>
          <w:sz w:val="24"/>
          <w:szCs w:val="24"/>
        </w:rPr>
        <w:t>(3), e209–e224.</w:t>
      </w:r>
    </w:p>
    <w:p w14:paraId="78470265" w14:textId="77777777" w:rsidR="00E555F4" w:rsidRPr="00015C67" w:rsidRDefault="00E555F4" w:rsidP="00B1165D">
      <w:pPr>
        <w:pStyle w:val="NormalWeb"/>
        <w:ind w:left="720" w:hanging="720"/>
        <w:jc w:val="both"/>
      </w:pPr>
      <w:r w:rsidRPr="00015C67">
        <w:t xml:space="preserve">Immunization Coverage Fact Sheet. (2016). </w:t>
      </w:r>
      <w:r w:rsidRPr="00015C67">
        <w:rPr>
          <w:rStyle w:val="Emphasis"/>
        </w:rPr>
        <w:t>Global immunization coverage</w:t>
      </w:r>
      <w:r w:rsidRPr="00015C67">
        <w:t>. World Health Organization.</w:t>
      </w:r>
    </w:p>
    <w:p w14:paraId="5733C930" w14:textId="77777777" w:rsidR="00E555F4" w:rsidRPr="00015C67" w:rsidRDefault="00E555F4" w:rsidP="00B1165D">
      <w:pPr>
        <w:pStyle w:val="NormalWeb"/>
        <w:ind w:left="720" w:hanging="720"/>
        <w:jc w:val="both"/>
      </w:pPr>
      <w:r w:rsidRPr="00015C67">
        <w:t xml:space="preserve">International Organization for Migration. (2015). </w:t>
      </w:r>
      <w:r w:rsidRPr="00015C67">
        <w:rPr>
          <w:rStyle w:val="Emphasis"/>
        </w:rPr>
        <w:t>Displacement tracking matrix Nigeria</w:t>
      </w:r>
      <w:r w:rsidRPr="00015C67">
        <w:t>. IOM.</w:t>
      </w:r>
    </w:p>
    <w:p w14:paraId="78BA10DF" w14:textId="77777777" w:rsidR="00E555F4" w:rsidRPr="00015C67" w:rsidRDefault="00E555F4" w:rsidP="00B1165D">
      <w:pPr>
        <w:pStyle w:val="NormalWeb"/>
        <w:ind w:left="720" w:hanging="720"/>
        <w:jc w:val="both"/>
      </w:pPr>
      <w:proofErr w:type="spellStart"/>
      <w:r w:rsidRPr="00015C67">
        <w:rPr>
          <w:rStyle w:val="Strong"/>
          <w:b w:val="0"/>
        </w:rPr>
        <w:t>Isezuo</w:t>
      </w:r>
      <w:proofErr w:type="spellEnd"/>
      <w:r w:rsidRPr="00015C67">
        <w:rPr>
          <w:rStyle w:val="Strong"/>
          <w:b w:val="0"/>
        </w:rPr>
        <w:t>, K. O.</w:t>
      </w:r>
      <w:r w:rsidRPr="00015C67">
        <w:t xml:space="preserve"> (2022). Vaccination hesitancy and refusal among parents of under-fives attending health facilities in Sokoto Metropolis, Nigeria using the WHO vaccine hesitancy tool. </w:t>
      </w:r>
      <w:r w:rsidRPr="00015C67">
        <w:rPr>
          <w:rStyle w:val="Emphasis"/>
        </w:rPr>
        <w:t>BMC Public Health</w:t>
      </w:r>
      <w:r w:rsidRPr="00015C67">
        <w:t>.</w:t>
      </w:r>
    </w:p>
    <w:p w14:paraId="1526446F" w14:textId="77777777" w:rsidR="00E555F4" w:rsidRPr="00015C67" w:rsidRDefault="00E555F4" w:rsidP="00B1165D">
      <w:pPr>
        <w:pStyle w:val="NormalWeb"/>
        <w:ind w:left="720" w:hanging="720"/>
        <w:jc w:val="both"/>
      </w:pPr>
      <w:proofErr w:type="spellStart"/>
      <w:r w:rsidRPr="00015C67">
        <w:t>Itimi</w:t>
      </w:r>
      <w:proofErr w:type="spellEnd"/>
      <w:r w:rsidRPr="00015C67">
        <w:t xml:space="preserve">, K., </w:t>
      </w:r>
      <w:proofErr w:type="spellStart"/>
      <w:r w:rsidRPr="00015C67">
        <w:t>Dienye</w:t>
      </w:r>
      <w:proofErr w:type="spellEnd"/>
      <w:r w:rsidRPr="00015C67">
        <w:t xml:space="preserve">, P. O., &amp; </w:t>
      </w:r>
      <w:proofErr w:type="spellStart"/>
      <w:r w:rsidRPr="00015C67">
        <w:t>Ordinioha</w:t>
      </w:r>
      <w:proofErr w:type="spellEnd"/>
      <w:r w:rsidRPr="00015C67">
        <w:t xml:space="preserve">, B. (2012). Community participation and childhood immunization. </w:t>
      </w:r>
      <w:r w:rsidRPr="00015C67">
        <w:rPr>
          <w:rStyle w:val="Emphasis"/>
        </w:rPr>
        <w:t>Nigerian Medical Journal, 53</w:t>
      </w:r>
      <w:r w:rsidRPr="00015C67">
        <w:t>(1), 21–25.</w:t>
      </w:r>
    </w:p>
    <w:p w14:paraId="781C0EE4"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lastRenderedPageBreak/>
        <w:t xml:space="preserve">Jegede, A. S., &amp; </w:t>
      </w:r>
      <w:proofErr w:type="spellStart"/>
      <w:r w:rsidRPr="00015C67">
        <w:rPr>
          <w:rFonts w:ascii="Times New Roman" w:eastAsia="Times New Roman" w:hAnsi="Times New Roman" w:cs="Times New Roman"/>
          <w:sz w:val="24"/>
          <w:szCs w:val="24"/>
        </w:rPr>
        <w:t>Owumi</w:t>
      </w:r>
      <w:proofErr w:type="spellEnd"/>
      <w:r w:rsidRPr="00015C67">
        <w:rPr>
          <w:rFonts w:ascii="Times New Roman" w:eastAsia="Times New Roman" w:hAnsi="Times New Roman" w:cs="Times New Roman"/>
          <w:sz w:val="24"/>
          <w:szCs w:val="24"/>
        </w:rPr>
        <w:t xml:space="preserve">, B. E. (2023). Socio-cultural factors influencing immunization default in southwest Nigeria. </w:t>
      </w:r>
      <w:r w:rsidRPr="00015C67">
        <w:rPr>
          <w:rFonts w:ascii="Times New Roman" w:eastAsia="Times New Roman" w:hAnsi="Times New Roman" w:cs="Times New Roman"/>
          <w:i/>
          <w:iCs/>
          <w:sz w:val="24"/>
          <w:szCs w:val="24"/>
        </w:rPr>
        <w:t>African Journal of Primary Health Care &amp; Family Medicine, 15</w:t>
      </w:r>
      <w:r w:rsidRPr="00015C67">
        <w:rPr>
          <w:rFonts w:ascii="Times New Roman" w:eastAsia="Times New Roman" w:hAnsi="Times New Roman" w:cs="Times New Roman"/>
          <w:sz w:val="24"/>
          <w:szCs w:val="24"/>
        </w:rPr>
        <w:t>(1), a3841.</w:t>
      </w:r>
    </w:p>
    <w:p w14:paraId="67744659" w14:textId="77777777" w:rsidR="00E555F4" w:rsidRPr="00015C67" w:rsidRDefault="00E555F4" w:rsidP="00B1165D">
      <w:pPr>
        <w:pStyle w:val="NormalWeb"/>
        <w:ind w:left="720" w:hanging="720"/>
        <w:jc w:val="both"/>
      </w:pPr>
      <w:r w:rsidRPr="00015C67">
        <w:rPr>
          <w:rStyle w:val="Strong"/>
          <w:b w:val="0"/>
        </w:rPr>
        <w:t xml:space="preserve">Kaufman, J., Tuckerman, J., Bonner, C., </w:t>
      </w:r>
      <w:proofErr w:type="spellStart"/>
      <w:r w:rsidRPr="00015C67">
        <w:rPr>
          <w:rStyle w:val="Strong"/>
          <w:b w:val="0"/>
        </w:rPr>
        <w:t>Durrheim</w:t>
      </w:r>
      <w:proofErr w:type="spellEnd"/>
      <w:r w:rsidRPr="00015C67">
        <w:rPr>
          <w:rStyle w:val="Strong"/>
          <w:b w:val="0"/>
        </w:rPr>
        <w:t>, D. N., Costa, D., Trevena, L., et al.</w:t>
      </w:r>
      <w:r w:rsidRPr="00015C67">
        <w:t xml:space="preserve"> (2021). Parent-level barriers to uptake of childhood vaccination: A global overview of systematic reviews. </w:t>
      </w:r>
      <w:r w:rsidRPr="00015C67">
        <w:rPr>
          <w:rStyle w:val="Emphasis"/>
        </w:rPr>
        <w:t>BMJ Global Health, 6</w:t>
      </w:r>
      <w:r w:rsidRPr="00015C67">
        <w:t>(9), e006860. https://doi.org/10.1136/bmjgh-2021-006860</w:t>
      </w:r>
    </w:p>
    <w:p w14:paraId="72BBB88B" w14:textId="77777777" w:rsidR="00E555F4" w:rsidRPr="00015C67" w:rsidRDefault="00E555F4" w:rsidP="00B1165D">
      <w:pPr>
        <w:pStyle w:val="NormalWeb"/>
        <w:ind w:left="720" w:hanging="720"/>
        <w:jc w:val="both"/>
      </w:pPr>
      <w:proofErr w:type="spellStart"/>
      <w:r w:rsidRPr="00015C67">
        <w:rPr>
          <w:rStyle w:val="Strong"/>
          <w:b w:val="0"/>
        </w:rPr>
        <w:t>Mayerová</w:t>
      </w:r>
      <w:proofErr w:type="spellEnd"/>
      <w:r w:rsidRPr="00015C67">
        <w:rPr>
          <w:rStyle w:val="Strong"/>
          <w:b w:val="0"/>
        </w:rPr>
        <w:t>, D., &amp; Abbas, K.</w:t>
      </w:r>
      <w:r w:rsidRPr="00015C67">
        <w:t xml:space="preserve"> (2021). Childhood </w:t>
      </w:r>
      <w:proofErr w:type="spellStart"/>
      <w:r w:rsidRPr="00015C67">
        <w:t>immunisation</w:t>
      </w:r>
      <w:proofErr w:type="spellEnd"/>
      <w:r w:rsidRPr="00015C67">
        <w:t xml:space="preserve"> timeliness and vaccine confidence by health information source, maternal, socioeconomic, and geographic characteristics in Albania. </w:t>
      </w:r>
      <w:r w:rsidRPr="00015C67">
        <w:rPr>
          <w:rStyle w:val="Emphasis"/>
        </w:rPr>
        <w:t>BMC Public Health, 21</w:t>
      </w:r>
      <w:r w:rsidRPr="00015C67">
        <w:t>(1), 1724. https://doi.org/10.1186/s12889-021-11429-3</w:t>
      </w:r>
    </w:p>
    <w:p w14:paraId="26A3A223"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McTavish, S., Moore, S., Harper, S., &amp; Lynch, J. (2020). National female literacy, healthcare access and maternal health outcomes in sub-Saharan Africa. </w:t>
      </w:r>
      <w:r w:rsidRPr="00015C67">
        <w:rPr>
          <w:rFonts w:ascii="Times New Roman" w:eastAsia="Times New Roman" w:hAnsi="Times New Roman" w:cs="Times New Roman"/>
          <w:i/>
          <w:iCs/>
          <w:sz w:val="24"/>
          <w:szCs w:val="24"/>
        </w:rPr>
        <w:t>Social Science &amp; Medicine, 252</w:t>
      </w:r>
      <w:r w:rsidRPr="00015C67">
        <w:rPr>
          <w:rFonts w:ascii="Times New Roman" w:eastAsia="Times New Roman" w:hAnsi="Times New Roman" w:cs="Times New Roman"/>
          <w:sz w:val="24"/>
          <w:szCs w:val="24"/>
        </w:rPr>
        <w:t>, 112–117.</w:t>
      </w:r>
    </w:p>
    <w:p w14:paraId="6E8FD315" w14:textId="77777777" w:rsidR="00E555F4" w:rsidRPr="00015C67" w:rsidRDefault="00E555F4" w:rsidP="00B1165D">
      <w:pPr>
        <w:pStyle w:val="NormalWeb"/>
        <w:ind w:left="720" w:hanging="720"/>
        <w:jc w:val="both"/>
      </w:pPr>
      <w:r w:rsidRPr="00015C67">
        <w:t xml:space="preserve">Mekonnen, Z. A. (2020). Childhood vaccination status in East Africa. </w:t>
      </w:r>
      <w:r w:rsidRPr="00015C67">
        <w:rPr>
          <w:rStyle w:val="Emphasis"/>
        </w:rPr>
        <w:t>BMC Public Health, 20</w:t>
      </w:r>
      <w:r w:rsidRPr="00015C67">
        <w:t>(1), 123.</w:t>
      </w:r>
    </w:p>
    <w:p w14:paraId="1EA1B994"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Mohammed, A., &amp; </w:t>
      </w:r>
      <w:proofErr w:type="spellStart"/>
      <w:r w:rsidRPr="00015C67">
        <w:rPr>
          <w:rFonts w:ascii="Times New Roman" w:eastAsia="Times New Roman" w:hAnsi="Times New Roman" w:cs="Times New Roman"/>
          <w:sz w:val="24"/>
          <w:szCs w:val="24"/>
        </w:rPr>
        <w:t>Atomsa</w:t>
      </w:r>
      <w:proofErr w:type="spellEnd"/>
      <w:r w:rsidRPr="00015C67">
        <w:rPr>
          <w:rFonts w:ascii="Times New Roman" w:eastAsia="Times New Roman" w:hAnsi="Times New Roman" w:cs="Times New Roman"/>
          <w:sz w:val="24"/>
          <w:szCs w:val="24"/>
        </w:rPr>
        <w:t xml:space="preserve">, A. (2023). Determinants of childhood immunization uptake in eastern Ethiopia. </w:t>
      </w:r>
      <w:r w:rsidRPr="00015C67">
        <w:rPr>
          <w:rFonts w:ascii="Times New Roman" w:eastAsia="Times New Roman" w:hAnsi="Times New Roman" w:cs="Times New Roman"/>
          <w:i/>
          <w:iCs/>
          <w:sz w:val="24"/>
          <w:szCs w:val="24"/>
        </w:rPr>
        <w:t>PLOS ONE, 18</w:t>
      </w:r>
      <w:r w:rsidRPr="00015C67">
        <w:rPr>
          <w:rFonts w:ascii="Times New Roman" w:eastAsia="Times New Roman" w:hAnsi="Times New Roman" w:cs="Times New Roman"/>
          <w:sz w:val="24"/>
          <w:szCs w:val="24"/>
        </w:rPr>
        <w:t>(4), e0284125.</w:t>
      </w:r>
    </w:p>
    <w:p w14:paraId="3D591A70"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Oltmann, S. M. (2019). Applying Chatman’s theory of normative behavior to information access. </w:t>
      </w:r>
      <w:r w:rsidRPr="00015C67">
        <w:rPr>
          <w:rFonts w:ascii="Times New Roman" w:eastAsia="Times New Roman" w:hAnsi="Times New Roman" w:cs="Times New Roman"/>
          <w:i/>
          <w:iCs/>
          <w:sz w:val="24"/>
          <w:szCs w:val="24"/>
        </w:rPr>
        <w:t>Journal of Documentation, 75</w:t>
      </w:r>
      <w:r w:rsidRPr="00015C67">
        <w:rPr>
          <w:rFonts w:ascii="Times New Roman" w:eastAsia="Times New Roman" w:hAnsi="Times New Roman" w:cs="Times New Roman"/>
          <w:sz w:val="24"/>
          <w:szCs w:val="24"/>
        </w:rPr>
        <w:t>(2), 349–367.</w:t>
      </w:r>
    </w:p>
    <w:p w14:paraId="1E5812F5" w14:textId="77777777" w:rsidR="00E555F4" w:rsidRPr="00015C67" w:rsidRDefault="00E555F4" w:rsidP="00B1165D">
      <w:pPr>
        <w:pStyle w:val="NormalWeb"/>
        <w:ind w:left="720" w:hanging="720"/>
        <w:jc w:val="both"/>
      </w:pPr>
      <w:proofErr w:type="spellStart"/>
      <w:r w:rsidRPr="00015C67">
        <w:rPr>
          <w:rStyle w:val="Strong"/>
          <w:b w:val="0"/>
        </w:rPr>
        <w:t>Olufadewa</w:t>
      </w:r>
      <w:proofErr w:type="spellEnd"/>
      <w:r w:rsidRPr="00015C67">
        <w:rPr>
          <w:rStyle w:val="Strong"/>
          <w:b w:val="0"/>
        </w:rPr>
        <w:t xml:space="preserve">, I., Adesina, M., Oladele, R., </w:t>
      </w:r>
      <w:proofErr w:type="spellStart"/>
      <w:r w:rsidRPr="00015C67">
        <w:rPr>
          <w:rStyle w:val="Strong"/>
          <w:b w:val="0"/>
        </w:rPr>
        <w:t>Shonubi</w:t>
      </w:r>
      <w:proofErr w:type="spellEnd"/>
      <w:r w:rsidRPr="00015C67">
        <w:rPr>
          <w:rStyle w:val="Strong"/>
          <w:b w:val="0"/>
        </w:rPr>
        <w:t xml:space="preserve">, A., Bamidele, D., &amp; </w:t>
      </w:r>
      <w:proofErr w:type="spellStart"/>
      <w:r w:rsidRPr="00015C67">
        <w:rPr>
          <w:rStyle w:val="Strong"/>
          <w:b w:val="0"/>
        </w:rPr>
        <w:t>Obigwe</w:t>
      </w:r>
      <w:proofErr w:type="spellEnd"/>
      <w:r w:rsidRPr="00015C67">
        <w:rPr>
          <w:rStyle w:val="Strong"/>
          <w:b w:val="0"/>
        </w:rPr>
        <w:t>, E.</w:t>
      </w:r>
      <w:r w:rsidRPr="00015C67">
        <w:t xml:space="preserve"> (2024). Trends and predictors of full immunization coverage in Nigeria. </w:t>
      </w:r>
      <w:r w:rsidRPr="00015C67">
        <w:rPr>
          <w:rStyle w:val="Emphasis"/>
        </w:rPr>
        <w:t>Discover Public Health, 21</w:t>
      </w:r>
      <w:r w:rsidRPr="00015C67">
        <w:t>(1), 1–10.</w:t>
      </w:r>
    </w:p>
    <w:p w14:paraId="33DBF36F"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15C67">
        <w:rPr>
          <w:rFonts w:ascii="Times New Roman" w:eastAsia="Times New Roman" w:hAnsi="Times New Roman" w:cs="Times New Roman"/>
          <w:sz w:val="24"/>
          <w:szCs w:val="24"/>
        </w:rPr>
        <w:t>Onsuma</w:t>
      </w:r>
      <w:proofErr w:type="spellEnd"/>
      <w:r w:rsidRPr="00015C67">
        <w:rPr>
          <w:rFonts w:ascii="Times New Roman" w:eastAsia="Times New Roman" w:hAnsi="Times New Roman" w:cs="Times New Roman"/>
          <w:sz w:val="24"/>
          <w:szCs w:val="24"/>
        </w:rPr>
        <w:t xml:space="preserve">, E., Achieng, J., &amp; Ouma, P. (2025). Maternal health services and childhood immunization status in Kenya. </w:t>
      </w:r>
      <w:r w:rsidRPr="00015C67">
        <w:rPr>
          <w:rFonts w:ascii="Times New Roman" w:eastAsia="Times New Roman" w:hAnsi="Times New Roman" w:cs="Times New Roman"/>
          <w:i/>
          <w:iCs/>
          <w:sz w:val="24"/>
          <w:szCs w:val="24"/>
        </w:rPr>
        <w:t>East African Medical Journal, 102</w:t>
      </w:r>
      <w:r w:rsidRPr="00015C67">
        <w:rPr>
          <w:rFonts w:ascii="Times New Roman" w:eastAsia="Times New Roman" w:hAnsi="Times New Roman" w:cs="Times New Roman"/>
          <w:sz w:val="24"/>
          <w:szCs w:val="24"/>
        </w:rPr>
        <w:t>(1), 33–41.</w:t>
      </w:r>
    </w:p>
    <w:p w14:paraId="1816A62B" w14:textId="77777777" w:rsidR="00E555F4" w:rsidRPr="00015C67" w:rsidRDefault="00E555F4" w:rsidP="00B1165D">
      <w:pPr>
        <w:pStyle w:val="NormalWeb"/>
        <w:ind w:left="720" w:hanging="720"/>
        <w:jc w:val="both"/>
      </w:pPr>
      <w:proofErr w:type="spellStart"/>
      <w:r w:rsidRPr="00015C67">
        <w:t>Ophori</w:t>
      </w:r>
      <w:proofErr w:type="spellEnd"/>
      <w:r w:rsidRPr="00015C67">
        <w:t xml:space="preserve">, E. A. (2014). Cold chain management and immunization delivery. </w:t>
      </w:r>
      <w:r w:rsidRPr="00015C67">
        <w:rPr>
          <w:rStyle w:val="Emphasis"/>
        </w:rPr>
        <w:t>Journal of Infectious Diseases and Immunity, 6</w:t>
      </w:r>
      <w:r w:rsidRPr="00015C67">
        <w:t>(3), 28–34.</w:t>
      </w:r>
    </w:p>
    <w:p w14:paraId="37F185FB" w14:textId="77777777" w:rsidR="00E555F4" w:rsidRPr="00015C67" w:rsidRDefault="00E555F4" w:rsidP="00B1165D">
      <w:pPr>
        <w:pStyle w:val="NormalWeb"/>
        <w:ind w:left="720" w:hanging="720"/>
        <w:jc w:val="both"/>
      </w:pPr>
      <w:proofErr w:type="spellStart"/>
      <w:r w:rsidRPr="00015C67">
        <w:t>Ophori</w:t>
      </w:r>
      <w:proofErr w:type="spellEnd"/>
      <w:r w:rsidRPr="00015C67">
        <w:t xml:space="preserve">, E. A., Tula, M. Y., </w:t>
      </w:r>
      <w:proofErr w:type="spellStart"/>
      <w:r w:rsidRPr="00015C67">
        <w:t>Azih</w:t>
      </w:r>
      <w:proofErr w:type="spellEnd"/>
      <w:r w:rsidRPr="00015C67">
        <w:t xml:space="preserve">, A. V., Okojie, R., &amp; </w:t>
      </w:r>
      <w:proofErr w:type="spellStart"/>
      <w:r w:rsidRPr="00015C67">
        <w:t>Ikpo</w:t>
      </w:r>
      <w:proofErr w:type="spellEnd"/>
      <w:r w:rsidRPr="00015C67">
        <w:t xml:space="preserve">, P. E. (2014). Current trends of immunization in Nigeria. </w:t>
      </w:r>
      <w:r w:rsidRPr="00015C67">
        <w:rPr>
          <w:rStyle w:val="Emphasis"/>
        </w:rPr>
        <w:t>Journal of Natural Sciences Research, 4</w:t>
      </w:r>
      <w:r w:rsidRPr="00015C67">
        <w:t>(6), 67–75.</w:t>
      </w:r>
    </w:p>
    <w:p w14:paraId="47ADB72A" w14:textId="77777777" w:rsidR="00E555F4" w:rsidRPr="00015C67" w:rsidRDefault="00E555F4" w:rsidP="00B1165D">
      <w:pPr>
        <w:pStyle w:val="NormalWeb"/>
        <w:ind w:left="720" w:hanging="720"/>
        <w:jc w:val="both"/>
      </w:pPr>
      <w:proofErr w:type="spellStart"/>
      <w:r w:rsidRPr="00015C67">
        <w:t>Osuala</w:t>
      </w:r>
      <w:proofErr w:type="spellEnd"/>
      <w:r w:rsidRPr="00015C67">
        <w:t xml:space="preserve">, E. C. (2025). Childhood immunization coverage and mortality trends in Nigeria. </w:t>
      </w:r>
      <w:r w:rsidRPr="00015C67">
        <w:rPr>
          <w:rStyle w:val="Emphasis"/>
        </w:rPr>
        <w:t>African Journal of Reproductive Health, 29</w:t>
      </w:r>
      <w:r w:rsidRPr="00015C67">
        <w:t>(1), 112–124.</w:t>
      </w:r>
    </w:p>
    <w:p w14:paraId="6E589CF3" w14:textId="77777777" w:rsidR="00E555F4" w:rsidRPr="00015C67" w:rsidRDefault="00E555F4" w:rsidP="00B1165D">
      <w:pPr>
        <w:pStyle w:val="NormalWeb"/>
        <w:ind w:left="720" w:hanging="720"/>
        <w:jc w:val="both"/>
      </w:pPr>
      <w:proofErr w:type="spellStart"/>
      <w:r w:rsidRPr="00015C67">
        <w:t>Oyefara</w:t>
      </w:r>
      <w:proofErr w:type="spellEnd"/>
      <w:r w:rsidRPr="00015C67">
        <w:t xml:space="preserve">, J. L. (2024). Childhood immunization and public health outcomes. </w:t>
      </w:r>
      <w:r w:rsidRPr="00015C67">
        <w:rPr>
          <w:rStyle w:val="Emphasis"/>
        </w:rPr>
        <w:t>Nigerian Journal of Sociology, 20</w:t>
      </w:r>
      <w:r w:rsidRPr="00015C67">
        <w:t>(1), 55–69.</w:t>
      </w:r>
    </w:p>
    <w:p w14:paraId="5889F62F" w14:textId="77777777" w:rsidR="00E555F4" w:rsidRPr="00015C67" w:rsidRDefault="00E555F4" w:rsidP="00B1165D">
      <w:pPr>
        <w:pStyle w:val="NormalWeb"/>
        <w:ind w:left="720" w:hanging="720"/>
        <w:jc w:val="both"/>
      </w:pPr>
      <w:r w:rsidRPr="00015C67">
        <w:rPr>
          <w:rStyle w:val="Strong"/>
          <w:b w:val="0"/>
        </w:rPr>
        <w:t>Oyo-Ita, A., Bosch-</w:t>
      </w:r>
      <w:proofErr w:type="spellStart"/>
      <w:r w:rsidRPr="00015C67">
        <w:rPr>
          <w:rStyle w:val="Strong"/>
          <w:b w:val="0"/>
        </w:rPr>
        <w:t>Capblanch</w:t>
      </w:r>
      <w:proofErr w:type="spellEnd"/>
      <w:r w:rsidRPr="00015C67">
        <w:rPr>
          <w:rStyle w:val="Strong"/>
          <w:b w:val="0"/>
        </w:rPr>
        <w:t xml:space="preserve">, X., Ross, A., Hanlon, P., Oku, A., </w:t>
      </w:r>
      <w:proofErr w:type="spellStart"/>
      <w:r w:rsidRPr="00015C67">
        <w:rPr>
          <w:rStyle w:val="Strong"/>
          <w:b w:val="0"/>
        </w:rPr>
        <w:t>Esu</w:t>
      </w:r>
      <w:proofErr w:type="spellEnd"/>
      <w:r w:rsidRPr="00015C67">
        <w:rPr>
          <w:rStyle w:val="Strong"/>
          <w:b w:val="0"/>
        </w:rPr>
        <w:t>, E., et al.</w:t>
      </w:r>
      <w:r w:rsidRPr="00015C67">
        <w:t xml:space="preserve"> (2020). Impacts of engaging communities through traditional and religious leaders on vaccination </w:t>
      </w:r>
      <w:r w:rsidRPr="00015C67">
        <w:lastRenderedPageBreak/>
        <w:t xml:space="preserve">coverage in Cross River State, Nigeria. </w:t>
      </w:r>
      <w:r w:rsidRPr="00015C67">
        <w:rPr>
          <w:rStyle w:val="Emphasis"/>
        </w:rPr>
        <w:t>New Delhi: International Initiative for Impact Evaluation (3ie)</w:t>
      </w:r>
      <w:r w:rsidRPr="00015C67">
        <w:t>.</w:t>
      </w:r>
    </w:p>
    <w:p w14:paraId="3FB65618"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15C67">
        <w:rPr>
          <w:rFonts w:ascii="Times New Roman" w:eastAsia="Times New Roman" w:hAnsi="Times New Roman" w:cs="Times New Roman"/>
          <w:sz w:val="24"/>
          <w:szCs w:val="24"/>
        </w:rPr>
        <w:t>Ozcirpici</w:t>
      </w:r>
      <w:proofErr w:type="spellEnd"/>
      <w:r w:rsidRPr="00015C67">
        <w:rPr>
          <w:rFonts w:ascii="Times New Roman" w:eastAsia="Times New Roman" w:hAnsi="Times New Roman" w:cs="Times New Roman"/>
          <w:sz w:val="24"/>
          <w:szCs w:val="24"/>
        </w:rPr>
        <w:t xml:space="preserve">, B., </w:t>
      </w:r>
      <w:proofErr w:type="spellStart"/>
      <w:r w:rsidRPr="00015C67">
        <w:rPr>
          <w:rFonts w:ascii="Times New Roman" w:eastAsia="Times New Roman" w:hAnsi="Times New Roman" w:cs="Times New Roman"/>
          <w:sz w:val="24"/>
          <w:szCs w:val="24"/>
        </w:rPr>
        <w:t>Sahinoz</w:t>
      </w:r>
      <w:proofErr w:type="spellEnd"/>
      <w:r w:rsidRPr="00015C67">
        <w:rPr>
          <w:rFonts w:ascii="Times New Roman" w:eastAsia="Times New Roman" w:hAnsi="Times New Roman" w:cs="Times New Roman"/>
          <w:sz w:val="24"/>
          <w:szCs w:val="24"/>
        </w:rPr>
        <w:t xml:space="preserve">, S., &amp; Ozturk, A. (2024). Community perceptions and immunization uptake in Turkey. </w:t>
      </w:r>
      <w:r w:rsidRPr="00015C67">
        <w:rPr>
          <w:rFonts w:ascii="Times New Roman" w:eastAsia="Times New Roman" w:hAnsi="Times New Roman" w:cs="Times New Roman"/>
          <w:i/>
          <w:iCs/>
          <w:sz w:val="24"/>
          <w:szCs w:val="24"/>
        </w:rPr>
        <w:t>Human Vaccines &amp; Immunotherapeutics, 20</w:t>
      </w:r>
      <w:r w:rsidRPr="00015C67">
        <w:rPr>
          <w:rFonts w:ascii="Times New Roman" w:eastAsia="Times New Roman" w:hAnsi="Times New Roman" w:cs="Times New Roman"/>
          <w:sz w:val="24"/>
          <w:szCs w:val="24"/>
        </w:rPr>
        <w:t>(1), 2276541.</w:t>
      </w:r>
    </w:p>
    <w:p w14:paraId="5111BB92" w14:textId="77777777" w:rsidR="00E555F4" w:rsidRPr="00015C67" w:rsidRDefault="00E555F4" w:rsidP="00B1165D">
      <w:pPr>
        <w:pStyle w:val="NormalWeb"/>
        <w:ind w:left="720" w:hanging="720"/>
        <w:jc w:val="both"/>
      </w:pPr>
      <w:r w:rsidRPr="00015C67">
        <w:t xml:space="preserve">Patterson, K. D., &amp; Wood, A. (2019). Polio eradication and vaccine resistance. </w:t>
      </w:r>
      <w:r w:rsidRPr="00015C67">
        <w:rPr>
          <w:rStyle w:val="Emphasis"/>
        </w:rPr>
        <w:t>Social History of Medicine, 32</w:t>
      </w:r>
      <w:r w:rsidRPr="00015C67">
        <w:t>(2), 409–432.</w:t>
      </w:r>
    </w:p>
    <w:p w14:paraId="3055BC9D" w14:textId="77777777" w:rsidR="00E555F4" w:rsidRPr="00015C67" w:rsidRDefault="00E555F4" w:rsidP="00B1165D">
      <w:pPr>
        <w:pStyle w:val="NormalWeb"/>
        <w:ind w:left="720" w:hanging="720"/>
        <w:jc w:val="both"/>
      </w:pPr>
      <w:r w:rsidRPr="00015C67">
        <w:rPr>
          <w:rStyle w:val="Strong"/>
          <w:b w:val="0"/>
        </w:rPr>
        <w:t>Perin, J., Mulick, A., Yeung, D., Villavicencio, F., Lopez, G., Strong, K. L., et al.</w:t>
      </w:r>
      <w:r w:rsidRPr="00015C67">
        <w:t xml:space="preserve"> (2022). Global, regional, and national causes of under-5 mortality in 2000-19: An updated systematic analysis with implications for the Sustainable Development Goals. </w:t>
      </w:r>
      <w:r w:rsidRPr="00015C67">
        <w:rPr>
          <w:rStyle w:val="Emphasis"/>
        </w:rPr>
        <w:t>Lancet Child &amp; Adolescent Health, 6</w:t>
      </w:r>
      <w:r w:rsidRPr="00015C67">
        <w:t>(2), 106–115. https://doi.org/10.1016/S2352-4642(21)00381-2</w:t>
      </w:r>
    </w:p>
    <w:p w14:paraId="64318E14" w14:textId="77777777" w:rsidR="00E555F4" w:rsidRPr="00015C67" w:rsidRDefault="00E555F4" w:rsidP="00B1165D">
      <w:pPr>
        <w:pStyle w:val="NormalWeb"/>
        <w:ind w:left="720" w:hanging="720"/>
        <w:jc w:val="both"/>
      </w:pPr>
      <w:r w:rsidRPr="00015C67">
        <w:t>Plans-</w:t>
      </w:r>
      <w:proofErr w:type="spellStart"/>
      <w:r w:rsidRPr="00015C67">
        <w:t>Rubió</w:t>
      </w:r>
      <w:proofErr w:type="spellEnd"/>
      <w:r w:rsidRPr="00015C67">
        <w:t xml:space="preserve">, P. (2021). The vaccination coverage required to establish herd immunity against pertussis. </w:t>
      </w:r>
      <w:r w:rsidRPr="00015C67">
        <w:rPr>
          <w:rStyle w:val="Emphasis"/>
        </w:rPr>
        <w:t>Human Vaccines &amp; Immunotherapeutics, 17</w:t>
      </w:r>
      <w:r w:rsidRPr="00015C67">
        <w:t>(8), 2606–2616.</w:t>
      </w:r>
    </w:p>
    <w:p w14:paraId="5C247433" w14:textId="77777777" w:rsidR="00E555F4" w:rsidRPr="00015C67" w:rsidRDefault="00E555F4" w:rsidP="00B1165D">
      <w:pPr>
        <w:pStyle w:val="NormalWeb"/>
        <w:ind w:left="720" w:hanging="720"/>
        <w:jc w:val="both"/>
      </w:pPr>
      <w:r w:rsidRPr="00015C67">
        <w:t xml:space="preserve">World Health Organization. (2016). </w:t>
      </w:r>
      <w:r w:rsidRPr="00015C67">
        <w:rPr>
          <w:rStyle w:val="Emphasis"/>
        </w:rPr>
        <w:t xml:space="preserve">Expanded </w:t>
      </w:r>
      <w:proofErr w:type="spellStart"/>
      <w:r w:rsidRPr="00015C67">
        <w:rPr>
          <w:rStyle w:val="Emphasis"/>
        </w:rPr>
        <w:t>Programme</w:t>
      </w:r>
      <w:proofErr w:type="spellEnd"/>
      <w:r w:rsidRPr="00015C67">
        <w:rPr>
          <w:rStyle w:val="Emphasis"/>
        </w:rPr>
        <w:t xml:space="preserve"> on Immunization</w:t>
      </w:r>
      <w:r w:rsidRPr="00015C67">
        <w:t>. WHO.</w:t>
      </w:r>
    </w:p>
    <w:p w14:paraId="7D8AA7AF" w14:textId="77777777" w:rsidR="00E555F4" w:rsidRPr="00015C67" w:rsidRDefault="00E555F4" w:rsidP="00B1165D">
      <w:pPr>
        <w:pStyle w:val="NormalWeb"/>
        <w:ind w:left="720" w:hanging="720"/>
        <w:jc w:val="both"/>
      </w:pPr>
      <w:r w:rsidRPr="00015C67">
        <w:rPr>
          <w:rStyle w:val="Strong"/>
          <w:b w:val="0"/>
        </w:rPr>
        <w:t>World Health Organization.</w:t>
      </w:r>
      <w:r w:rsidRPr="00015C67">
        <w:t xml:space="preserve"> (2023). Immunization coverage: Key facts. Accessed January 26, 2024. </w:t>
      </w:r>
      <w:hyperlink r:id="rId8" w:tgtFrame="_new" w:history="1">
        <w:r w:rsidRPr="00015C67">
          <w:rPr>
            <w:rStyle w:val="Hyperlink"/>
          </w:rPr>
          <w:t>https://www.who.int/news-room/fact-sheets/detail/immunization-coverage</w:t>
        </w:r>
      </w:hyperlink>
    </w:p>
    <w:p w14:paraId="4B4FD8A3" w14:textId="77777777" w:rsidR="00E555F4" w:rsidRPr="00015C67" w:rsidRDefault="00E555F4" w:rsidP="00B1165D">
      <w:pPr>
        <w:pStyle w:val="NormalWeb"/>
        <w:ind w:left="720" w:hanging="720"/>
        <w:jc w:val="both"/>
      </w:pPr>
      <w:r w:rsidRPr="00015C67">
        <w:t xml:space="preserve">World Health Organization. (2024). </w:t>
      </w:r>
      <w:r w:rsidRPr="00015C67">
        <w:rPr>
          <w:rStyle w:val="Emphasis"/>
        </w:rPr>
        <w:t>Immunization agenda 2030</w:t>
      </w:r>
      <w:r w:rsidRPr="00015C67">
        <w:t>. WHO.</w:t>
      </w:r>
    </w:p>
    <w:p w14:paraId="5136CCFD" w14:textId="77777777" w:rsidR="00E555F4" w:rsidRPr="00015C67" w:rsidRDefault="00E555F4" w:rsidP="00B1165D">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15C67">
        <w:rPr>
          <w:rFonts w:ascii="Times New Roman" w:eastAsia="Times New Roman" w:hAnsi="Times New Roman" w:cs="Times New Roman"/>
          <w:sz w:val="24"/>
          <w:szCs w:val="24"/>
        </w:rPr>
        <w:t xml:space="preserve">Worrall, A. (2015). Digital libraries as boundary objects: A normative behavior perspective. </w:t>
      </w:r>
      <w:r w:rsidRPr="00015C67">
        <w:rPr>
          <w:rFonts w:ascii="Times New Roman" w:eastAsia="Times New Roman" w:hAnsi="Times New Roman" w:cs="Times New Roman"/>
          <w:i/>
          <w:iCs/>
          <w:sz w:val="24"/>
          <w:szCs w:val="24"/>
        </w:rPr>
        <w:t>Journal of the Association for Information Science and Technology, 66</w:t>
      </w:r>
      <w:r w:rsidRPr="00015C67">
        <w:rPr>
          <w:rFonts w:ascii="Times New Roman" w:eastAsia="Times New Roman" w:hAnsi="Times New Roman" w:cs="Times New Roman"/>
          <w:sz w:val="24"/>
          <w:szCs w:val="24"/>
        </w:rPr>
        <w:t>(5), 911–926.</w:t>
      </w:r>
    </w:p>
    <w:p w14:paraId="3E62F5B4" w14:textId="77777777" w:rsidR="00877EC4" w:rsidRPr="00015C67" w:rsidRDefault="00E555F4" w:rsidP="00D644E6">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15C67">
        <w:rPr>
          <w:rFonts w:ascii="Times New Roman" w:eastAsia="Times New Roman" w:hAnsi="Times New Roman" w:cs="Times New Roman"/>
          <w:sz w:val="24"/>
          <w:szCs w:val="24"/>
        </w:rPr>
        <w:t>Yihunue</w:t>
      </w:r>
      <w:proofErr w:type="spellEnd"/>
      <w:r w:rsidRPr="00015C67">
        <w:rPr>
          <w:rFonts w:ascii="Times New Roman" w:eastAsia="Times New Roman" w:hAnsi="Times New Roman" w:cs="Times New Roman"/>
          <w:sz w:val="24"/>
          <w:szCs w:val="24"/>
        </w:rPr>
        <w:t xml:space="preserve">, T., Alemu, A., &amp; Mekonnen, Z. (2025). Childhood immunization coverage and determinants in Ethiopia. </w:t>
      </w:r>
      <w:r w:rsidRPr="00015C67">
        <w:rPr>
          <w:rFonts w:ascii="Times New Roman" w:eastAsia="Times New Roman" w:hAnsi="Times New Roman" w:cs="Times New Roman"/>
          <w:i/>
          <w:iCs/>
          <w:sz w:val="24"/>
          <w:szCs w:val="24"/>
        </w:rPr>
        <w:t>BMC Pediatrics, 25</w:t>
      </w:r>
      <w:r w:rsidR="00D644E6" w:rsidRPr="00015C67">
        <w:rPr>
          <w:rFonts w:ascii="Times New Roman" w:eastAsia="Times New Roman" w:hAnsi="Times New Roman" w:cs="Times New Roman"/>
          <w:sz w:val="24"/>
          <w:szCs w:val="24"/>
        </w:rPr>
        <w:t>, 77.</w:t>
      </w:r>
    </w:p>
    <w:sectPr w:rsidR="00877EC4" w:rsidRPr="00015C67" w:rsidSect="005E789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8C778" w14:textId="77777777" w:rsidR="00752F2E" w:rsidRDefault="00752F2E" w:rsidP="00904D45">
      <w:pPr>
        <w:spacing w:after="0" w:line="240" w:lineRule="auto"/>
      </w:pPr>
      <w:r>
        <w:separator/>
      </w:r>
    </w:p>
  </w:endnote>
  <w:endnote w:type="continuationSeparator" w:id="0">
    <w:p w14:paraId="20DF7014" w14:textId="77777777" w:rsidR="00752F2E" w:rsidRDefault="00752F2E" w:rsidP="00904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40BA" w14:textId="77777777" w:rsidR="0040433C" w:rsidRDefault="004043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573038"/>
      <w:docPartObj>
        <w:docPartGallery w:val="Page Numbers (Bottom of Page)"/>
        <w:docPartUnique/>
      </w:docPartObj>
    </w:sdtPr>
    <w:sdtEndPr>
      <w:rPr>
        <w:noProof/>
      </w:rPr>
    </w:sdtEndPr>
    <w:sdtContent>
      <w:p w14:paraId="6C450F0B" w14:textId="77777777" w:rsidR="00924E3E" w:rsidRDefault="00924E3E">
        <w:pPr>
          <w:pStyle w:val="Footer"/>
          <w:jc w:val="center"/>
        </w:pPr>
        <w:r>
          <w:fldChar w:fldCharType="begin"/>
        </w:r>
        <w:r>
          <w:instrText xml:space="preserve"> PAGE   \* MERGEFORMAT </w:instrText>
        </w:r>
        <w:r>
          <w:fldChar w:fldCharType="separate"/>
        </w:r>
        <w:r w:rsidR="00067730">
          <w:rPr>
            <w:noProof/>
          </w:rPr>
          <w:t>1</w:t>
        </w:r>
        <w:r>
          <w:rPr>
            <w:noProof/>
          </w:rPr>
          <w:fldChar w:fldCharType="end"/>
        </w:r>
      </w:p>
    </w:sdtContent>
  </w:sdt>
  <w:p w14:paraId="305F07F7" w14:textId="77777777" w:rsidR="00924E3E" w:rsidRDefault="00924E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B008C" w14:textId="77777777" w:rsidR="0040433C" w:rsidRDefault="00404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506FA" w14:textId="77777777" w:rsidR="00752F2E" w:rsidRDefault="00752F2E" w:rsidP="00904D45">
      <w:pPr>
        <w:spacing w:after="0" w:line="240" w:lineRule="auto"/>
      </w:pPr>
      <w:r>
        <w:separator/>
      </w:r>
    </w:p>
  </w:footnote>
  <w:footnote w:type="continuationSeparator" w:id="0">
    <w:p w14:paraId="46457A20" w14:textId="77777777" w:rsidR="00752F2E" w:rsidRDefault="00752F2E" w:rsidP="00904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2207C" w14:textId="655530A9" w:rsidR="0040433C" w:rsidRDefault="0040433C">
    <w:pPr>
      <w:pStyle w:val="Header"/>
    </w:pPr>
    <w:r>
      <w:rPr>
        <w:noProof/>
      </w:rPr>
      <w:pict w14:anchorId="175650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30342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87C10" w14:textId="502D2858" w:rsidR="0040433C" w:rsidRDefault="0040433C">
    <w:pPr>
      <w:pStyle w:val="Header"/>
    </w:pPr>
    <w:r>
      <w:rPr>
        <w:noProof/>
      </w:rPr>
      <w:pict w14:anchorId="3AFE7D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30342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ECFB" w14:textId="57B158F7" w:rsidR="0040433C" w:rsidRDefault="0040433C">
    <w:pPr>
      <w:pStyle w:val="Header"/>
    </w:pPr>
    <w:r>
      <w:rPr>
        <w:noProof/>
      </w:rPr>
      <w:pict w14:anchorId="7AD1A4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30342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818"/>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84C09"/>
    <w:multiLevelType w:val="hybridMultilevel"/>
    <w:tmpl w:val="72D4A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7E20DA"/>
    <w:multiLevelType w:val="hybridMultilevel"/>
    <w:tmpl w:val="1C066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E338C7"/>
    <w:multiLevelType w:val="hybridMultilevel"/>
    <w:tmpl w:val="F05CB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3858A5"/>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0E5264"/>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D02D39"/>
    <w:multiLevelType w:val="hybridMultilevel"/>
    <w:tmpl w:val="3B84B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56770E"/>
    <w:multiLevelType w:val="hybridMultilevel"/>
    <w:tmpl w:val="28F6C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1B0600"/>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7F5C28"/>
    <w:multiLevelType w:val="multilevel"/>
    <w:tmpl w:val="457E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C41965"/>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997B5B"/>
    <w:multiLevelType w:val="hybridMultilevel"/>
    <w:tmpl w:val="6DB2D182"/>
    <w:lvl w:ilvl="0" w:tplc="4984D1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0A15B5"/>
    <w:multiLevelType w:val="multilevel"/>
    <w:tmpl w:val="0CD6B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CD46E1"/>
    <w:multiLevelType w:val="multilevel"/>
    <w:tmpl w:val="B5B46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8C476A"/>
    <w:multiLevelType w:val="multilevel"/>
    <w:tmpl w:val="D422B022"/>
    <w:lvl w:ilvl="0">
      <w:start w:val="1"/>
      <w:numFmt w:val="decimal"/>
      <w:lvlText w:val="%1."/>
      <w:lvlJc w:val="left"/>
      <w:pPr>
        <w:ind w:left="720" w:hanging="360"/>
      </w:pPr>
      <w:rPr>
        <w:b w:val="0"/>
      </w:rPr>
    </w:lvl>
    <w:lvl w:ilvl="1">
      <w:start w:val="3"/>
      <w:numFmt w:val="decimal"/>
      <w:lvlText w:val="%1.%2"/>
      <w:lvlJc w:val="left"/>
      <w:pPr>
        <w:ind w:left="1110" w:hanging="540"/>
      </w:pPr>
      <w:rPr>
        <w:b w:val="0"/>
      </w:rPr>
    </w:lvl>
    <w:lvl w:ilvl="2">
      <w:start w:val="1"/>
      <w:numFmt w:val="decimal"/>
      <w:lvlText w:val="%1.%2.%3"/>
      <w:lvlJc w:val="left"/>
      <w:pPr>
        <w:ind w:left="1530" w:hanging="720"/>
      </w:pPr>
      <w:rPr>
        <w:b/>
      </w:rPr>
    </w:lvl>
    <w:lvl w:ilvl="3">
      <w:start w:val="1"/>
      <w:numFmt w:val="decimal"/>
      <w:lvlText w:val="%1.%2.%3.%4"/>
      <w:lvlJc w:val="left"/>
      <w:pPr>
        <w:ind w:left="1710" w:hanging="720"/>
      </w:pPr>
      <w:rPr>
        <w:b w:val="0"/>
      </w:rPr>
    </w:lvl>
    <w:lvl w:ilvl="4">
      <w:start w:val="1"/>
      <w:numFmt w:val="decimal"/>
      <w:lvlText w:val="%1.%2.%3.%4.%5"/>
      <w:lvlJc w:val="left"/>
      <w:pPr>
        <w:ind w:left="2280" w:hanging="1080"/>
      </w:pPr>
      <w:rPr>
        <w:b w:val="0"/>
      </w:rPr>
    </w:lvl>
    <w:lvl w:ilvl="5">
      <w:start w:val="1"/>
      <w:numFmt w:val="decimal"/>
      <w:lvlText w:val="%1.%2.%3.%4.%5.%6"/>
      <w:lvlJc w:val="left"/>
      <w:pPr>
        <w:ind w:left="2490" w:hanging="1080"/>
      </w:pPr>
      <w:rPr>
        <w:b w:val="0"/>
      </w:rPr>
    </w:lvl>
    <w:lvl w:ilvl="6">
      <w:start w:val="1"/>
      <w:numFmt w:val="decimal"/>
      <w:lvlText w:val="%1.%2.%3.%4.%5.%6.%7"/>
      <w:lvlJc w:val="left"/>
      <w:pPr>
        <w:ind w:left="3060" w:hanging="1440"/>
      </w:pPr>
      <w:rPr>
        <w:b w:val="0"/>
      </w:rPr>
    </w:lvl>
    <w:lvl w:ilvl="7">
      <w:start w:val="1"/>
      <w:numFmt w:val="decimal"/>
      <w:lvlText w:val="%1.%2.%3.%4.%5.%6.%7.%8"/>
      <w:lvlJc w:val="left"/>
      <w:pPr>
        <w:ind w:left="3270" w:hanging="1440"/>
      </w:pPr>
      <w:rPr>
        <w:b w:val="0"/>
      </w:rPr>
    </w:lvl>
    <w:lvl w:ilvl="8">
      <w:start w:val="1"/>
      <w:numFmt w:val="decimal"/>
      <w:lvlText w:val="%1.%2.%3.%4.%5.%6.%7.%8.%9"/>
      <w:lvlJc w:val="left"/>
      <w:pPr>
        <w:ind w:left="3840" w:hanging="1800"/>
      </w:pPr>
      <w:rPr>
        <w:b w:val="0"/>
      </w:rPr>
    </w:lvl>
  </w:abstractNum>
  <w:abstractNum w:abstractNumId="15" w15:restartNumberingAfterBreak="0">
    <w:nsid w:val="6A081159"/>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2E212C"/>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EF3875"/>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B66632"/>
    <w:multiLevelType w:val="hybridMultilevel"/>
    <w:tmpl w:val="B2C01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8316546">
    <w:abstractNumId w:val="16"/>
  </w:num>
  <w:num w:numId="2" w16cid:durableId="1274821852">
    <w:abstractNumId w:val="17"/>
  </w:num>
  <w:num w:numId="3" w16cid:durableId="1288245311">
    <w:abstractNumId w:val="14"/>
  </w:num>
  <w:num w:numId="4" w16cid:durableId="1772241428">
    <w:abstractNumId w:val="1"/>
  </w:num>
  <w:num w:numId="5" w16cid:durableId="131103120">
    <w:abstractNumId w:val="7"/>
  </w:num>
  <w:num w:numId="6" w16cid:durableId="1904292199">
    <w:abstractNumId w:val="8"/>
  </w:num>
  <w:num w:numId="7" w16cid:durableId="1474835002">
    <w:abstractNumId w:val="9"/>
  </w:num>
  <w:num w:numId="8" w16cid:durableId="506603040">
    <w:abstractNumId w:val="3"/>
  </w:num>
  <w:num w:numId="9" w16cid:durableId="920917476">
    <w:abstractNumId w:val="11"/>
  </w:num>
  <w:num w:numId="10" w16cid:durableId="1895892719">
    <w:abstractNumId w:val="2"/>
  </w:num>
  <w:num w:numId="11" w16cid:durableId="1658873873">
    <w:abstractNumId w:val="18"/>
  </w:num>
  <w:num w:numId="12" w16cid:durableId="314797533">
    <w:abstractNumId w:val="15"/>
  </w:num>
  <w:num w:numId="13" w16cid:durableId="1043559530">
    <w:abstractNumId w:val="10"/>
  </w:num>
  <w:num w:numId="14" w16cid:durableId="840853946">
    <w:abstractNumId w:val="5"/>
  </w:num>
  <w:num w:numId="15" w16cid:durableId="356657576">
    <w:abstractNumId w:val="4"/>
  </w:num>
  <w:num w:numId="16" w16cid:durableId="2086492985">
    <w:abstractNumId w:val="0"/>
  </w:num>
  <w:num w:numId="17" w16cid:durableId="1973631507">
    <w:abstractNumId w:val="6"/>
  </w:num>
  <w:num w:numId="18" w16cid:durableId="931820851">
    <w:abstractNumId w:val="12"/>
  </w:num>
  <w:num w:numId="19" w16cid:durableId="1339589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874"/>
    <w:rsid w:val="00015C67"/>
    <w:rsid w:val="00015FBE"/>
    <w:rsid w:val="00016DC6"/>
    <w:rsid w:val="000412F1"/>
    <w:rsid w:val="00045555"/>
    <w:rsid w:val="00067730"/>
    <w:rsid w:val="000751E0"/>
    <w:rsid w:val="00080C04"/>
    <w:rsid w:val="00084110"/>
    <w:rsid w:val="000949AF"/>
    <w:rsid w:val="000B15D5"/>
    <w:rsid w:val="000B4A1C"/>
    <w:rsid w:val="000C4985"/>
    <w:rsid w:val="000D122A"/>
    <w:rsid w:val="000E19C6"/>
    <w:rsid w:val="000E1FFE"/>
    <w:rsid w:val="000F18C4"/>
    <w:rsid w:val="001158A3"/>
    <w:rsid w:val="001272BF"/>
    <w:rsid w:val="0014210B"/>
    <w:rsid w:val="001479C1"/>
    <w:rsid w:val="00147B77"/>
    <w:rsid w:val="00156031"/>
    <w:rsid w:val="001614AB"/>
    <w:rsid w:val="00162B2B"/>
    <w:rsid w:val="0016499B"/>
    <w:rsid w:val="00194C6C"/>
    <w:rsid w:val="00197DCE"/>
    <w:rsid w:val="001A402F"/>
    <w:rsid w:val="001A52FF"/>
    <w:rsid w:val="001A5395"/>
    <w:rsid w:val="001C7DA7"/>
    <w:rsid w:val="00221405"/>
    <w:rsid w:val="00230897"/>
    <w:rsid w:val="002347C5"/>
    <w:rsid w:val="00261285"/>
    <w:rsid w:val="00261EE6"/>
    <w:rsid w:val="00276E87"/>
    <w:rsid w:val="00291EE1"/>
    <w:rsid w:val="00292163"/>
    <w:rsid w:val="002D1DC5"/>
    <w:rsid w:val="002D6B52"/>
    <w:rsid w:val="002E1CC8"/>
    <w:rsid w:val="003B48CB"/>
    <w:rsid w:val="003B6B5A"/>
    <w:rsid w:val="003E5078"/>
    <w:rsid w:val="003F576E"/>
    <w:rsid w:val="0040433C"/>
    <w:rsid w:val="00412344"/>
    <w:rsid w:val="00435BEB"/>
    <w:rsid w:val="00445DDB"/>
    <w:rsid w:val="004554CB"/>
    <w:rsid w:val="00463C31"/>
    <w:rsid w:val="004839F6"/>
    <w:rsid w:val="004B513D"/>
    <w:rsid w:val="004D11BC"/>
    <w:rsid w:val="004E49C9"/>
    <w:rsid w:val="00526AF5"/>
    <w:rsid w:val="005411C8"/>
    <w:rsid w:val="00552D57"/>
    <w:rsid w:val="00592251"/>
    <w:rsid w:val="005B55F3"/>
    <w:rsid w:val="005B5F41"/>
    <w:rsid w:val="005E010A"/>
    <w:rsid w:val="005E7895"/>
    <w:rsid w:val="005F2CA1"/>
    <w:rsid w:val="005F55EF"/>
    <w:rsid w:val="00617FC1"/>
    <w:rsid w:val="00633ED2"/>
    <w:rsid w:val="00637A40"/>
    <w:rsid w:val="00643805"/>
    <w:rsid w:val="00644655"/>
    <w:rsid w:val="006607EB"/>
    <w:rsid w:val="00662421"/>
    <w:rsid w:val="006650E6"/>
    <w:rsid w:val="0067156A"/>
    <w:rsid w:val="00672038"/>
    <w:rsid w:val="00673150"/>
    <w:rsid w:val="006A1685"/>
    <w:rsid w:val="006A67AD"/>
    <w:rsid w:val="006D654A"/>
    <w:rsid w:val="006F1AAB"/>
    <w:rsid w:val="007109E3"/>
    <w:rsid w:val="00710E1E"/>
    <w:rsid w:val="0073416F"/>
    <w:rsid w:val="00735647"/>
    <w:rsid w:val="00752F2E"/>
    <w:rsid w:val="00797958"/>
    <w:rsid w:val="007E250E"/>
    <w:rsid w:val="007E4F52"/>
    <w:rsid w:val="007F37D5"/>
    <w:rsid w:val="0080698F"/>
    <w:rsid w:val="008233E1"/>
    <w:rsid w:val="008259AC"/>
    <w:rsid w:val="00837C0B"/>
    <w:rsid w:val="00842CB9"/>
    <w:rsid w:val="00846E3A"/>
    <w:rsid w:val="0085101A"/>
    <w:rsid w:val="0087452F"/>
    <w:rsid w:val="00875762"/>
    <w:rsid w:val="0087644B"/>
    <w:rsid w:val="00877EC4"/>
    <w:rsid w:val="00892374"/>
    <w:rsid w:val="0089510A"/>
    <w:rsid w:val="008A25FE"/>
    <w:rsid w:val="008B3C79"/>
    <w:rsid w:val="008C00CD"/>
    <w:rsid w:val="008C1099"/>
    <w:rsid w:val="008D0CBB"/>
    <w:rsid w:val="008D2A53"/>
    <w:rsid w:val="008E6513"/>
    <w:rsid w:val="008F63C3"/>
    <w:rsid w:val="008F7A9C"/>
    <w:rsid w:val="00904D45"/>
    <w:rsid w:val="00924E3E"/>
    <w:rsid w:val="009649E6"/>
    <w:rsid w:val="00986A6D"/>
    <w:rsid w:val="009A4D41"/>
    <w:rsid w:val="009A7797"/>
    <w:rsid w:val="009E28C1"/>
    <w:rsid w:val="009E7D88"/>
    <w:rsid w:val="00A3376C"/>
    <w:rsid w:val="00A44BA0"/>
    <w:rsid w:val="00A56CF2"/>
    <w:rsid w:val="00A72F66"/>
    <w:rsid w:val="00A75B73"/>
    <w:rsid w:val="00AB3988"/>
    <w:rsid w:val="00AD15C3"/>
    <w:rsid w:val="00AE24DA"/>
    <w:rsid w:val="00AE7E40"/>
    <w:rsid w:val="00AF2ED7"/>
    <w:rsid w:val="00B00AFC"/>
    <w:rsid w:val="00B1165D"/>
    <w:rsid w:val="00B150C9"/>
    <w:rsid w:val="00B52821"/>
    <w:rsid w:val="00B71F0A"/>
    <w:rsid w:val="00B82D49"/>
    <w:rsid w:val="00BB329A"/>
    <w:rsid w:val="00BB5336"/>
    <w:rsid w:val="00BB5874"/>
    <w:rsid w:val="00BB66D6"/>
    <w:rsid w:val="00BC56DD"/>
    <w:rsid w:val="00BC5DDA"/>
    <w:rsid w:val="00BD4AE2"/>
    <w:rsid w:val="00BD75F2"/>
    <w:rsid w:val="00BE00FD"/>
    <w:rsid w:val="00BF1D56"/>
    <w:rsid w:val="00BF1E88"/>
    <w:rsid w:val="00C06D75"/>
    <w:rsid w:val="00C1128D"/>
    <w:rsid w:val="00C118B3"/>
    <w:rsid w:val="00C14F7F"/>
    <w:rsid w:val="00C16D1C"/>
    <w:rsid w:val="00C21478"/>
    <w:rsid w:val="00C451E5"/>
    <w:rsid w:val="00C4786C"/>
    <w:rsid w:val="00C6206E"/>
    <w:rsid w:val="00C741AE"/>
    <w:rsid w:val="00C832D6"/>
    <w:rsid w:val="00C948B3"/>
    <w:rsid w:val="00CE3548"/>
    <w:rsid w:val="00CF336C"/>
    <w:rsid w:val="00CF3559"/>
    <w:rsid w:val="00CF54D2"/>
    <w:rsid w:val="00D232A5"/>
    <w:rsid w:val="00D6067B"/>
    <w:rsid w:val="00D644E6"/>
    <w:rsid w:val="00D65603"/>
    <w:rsid w:val="00D74603"/>
    <w:rsid w:val="00D8440B"/>
    <w:rsid w:val="00D85DD7"/>
    <w:rsid w:val="00DA6959"/>
    <w:rsid w:val="00DC6C9E"/>
    <w:rsid w:val="00DD1FDB"/>
    <w:rsid w:val="00DF0FB7"/>
    <w:rsid w:val="00DF1555"/>
    <w:rsid w:val="00DF1D94"/>
    <w:rsid w:val="00DF5DC3"/>
    <w:rsid w:val="00E05DFF"/>
    <w:rsid w:val="00E10A30"/>
    <w:rsid w:val="00E1743A"/>
    <w:rsid w:val="00E22C4E"/>
    <w:rsid w:val="00E23B3B"/>
    <w:rsid w:val="00E23F04"/>
    <w:rsid w:val="00E51E2C"/>
    <w:rsid w:val="00E52DBD"/>
    <w:rsid w:val="00E555F4"/>
    <w:rsid w:val="00E55E47"/>
    <w:rsid w:val="00E75100"/>
    <w:rsid w:val="00EA1C35"/>
    <w:rsid w:val="00EA738B"/>
    <w:rsid w:val="00EF7D40"/>
    <w:rsid w:val="00F0273A"/>
    <w:rsid w:val="00F15B92"/>
    <w:rsid w:val="00F17261"/>
    <w:rsid w:val="00F30705"/>
    <w:rsid w:val="00F37CAF"/>
    <w:rsid w:val="00F66867"/>
    <w:rsid w:val="00F66E7A"/>
    <w:rsid w:val="00F90C89"/>
    <w:rsid w:val="00FD1B06"/>
    <w:rsid w:val="00FE2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637AA"/>
  <w15:docId w15:val="{D1B0522B-CF07-4948-9A01-F362F468A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1726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172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1726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7C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4110"/>
    <w:rPr>
      <w:b/>
      <w:bCs/>
    </w:rPr>
  </w:style>
  <w:style w:type="paragraph" w:styleId="ListParagraph">
    <w:name w:val="List Paragraph"/>
    <w:basedOn w:val="Normal"/>
    <w:link w:val="ListParagraphChar"/>
    <w:uiPriority w:val="34"/>
    <w:qFormat/>
    <w:rsid w:val="008F7A9C"/>
    <w:pPr>
      <w:ind w:left="720"/>
      <w:contextualSpacing/>
    </w:pPr>
  </w:style>
  <w:style w:type="paragraph" w:styleId="BodyText">
    <w:name w:val="Body Text"/>
    <w:basedOn w:val="Normal"/>
    <w:link w:val="BodyTextChar"/>
    <w:uiPriority w:val="1"/>
    <w:qFormat/>
    <w:rsid w:val="008F7A9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F7A9C"/>
    <w:rPr>
      <w:rFonts w:ascii="Times New Roman" w:eastAsia="Times New Roman" w:hAnsi="Times New Roman" w:cs="Times New Roman"/>
      <w:sz w:val="24"/>
      <w:szCs w:val="24"/>
    </w:rPr>
  </w:style>
  <w:style w:type="character" w:customStyle="1" w:styleId="ListParagraphChar">
    <w:name w:val="List Paragraph Char"/>
    <w:link w:val="ListParagraph"/>
    <w:uiPriority w:val="34"/>
    <w:qFormat/>
    <w:rsid w:val="008F7A9C"/>
  </w:style>
  <w:style w:type="character" w:customStyle="1" w:styleId="hgkelc">
    <w:name w:val="hgkelc"/>
    <w:basedOn w:val="DefaultParagraphFont"/>
    <w:rsid w:val="008F7A9C"/>
  </w:style>
  <w:style w:type="character" w:styleId="Emphasis">
    <w:name w:val="Emphasis"/>
    <w:basedOn w:val="DefaultParagraphFont"/>
    <w:uiPriority w:val="20"/>
    <w:qFormat/>
    <w:rsid w:val="005E010A"/>
    <w:rPr>
      <w:i/>
      <w:iCs/>
    </w:rPr>
  </w:style>
  <w:style w:type="character" w:styleId="Hyperlink">
    <w:name w:val="Hyperlink"/>
    <w:basedOn w:val="DefaultParagraphFont"/>
    <w:uiPriority w:val="99"/>
    <w:unhideWhenUsed/>
    <w:rsid w:val="005E010A"/>
    <w:rPr>
      <w:color w:val="0000FF"/>
      <w:u w:val="single"/>
    </w:rPr>
  </w:style>
  <w:style w:type="table" w:styleId="TableGrid">
    <w:name w:val="Table Grid"/>
    <w:basedOn w:val="TableNormal"/>
    <w:uiPriority w:val="39"/>
    <w:rsid w:val="0019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1726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1726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17261"/>
    <w:rPr>
      <w:rFonts w:ascii="Times New Roman" w:eastAsia="Times New Roman" w:hAnsi="Times New Roman" w:cs="Times New Roman"/>
      <w:b/>
      <w:bCs/>
      <w:sz w:val="27"/>
      <w:szCs w:val="27"/>
    </w:rPr>
  </w:style>
  <w:style w:type="character" w:customStyle="1" w:styleId="cite-bracket">
    <w:name w:val="cite-bracket"/>
    <w:basedOn w:val="DefaultParagraphFont"/>
    <w:rsid w:val="00F17261"/>
  </w:style>
  <w:style w:type="paragraph" w:styleId="Header">
    <w:name w:val="header"/>
    <w:basedOn w:val="Normal"/>
    <w:link w:val="HeaderChar"/>
    <w:uiPriority w:val="99"/>
    <w:unhideWhenUsed/>
    <w:rsid w:val="00F17261"/>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F17261"/>
    <w:rPr>
      <w:kern w:val="2"/>
      <w:sz w:val="24"/>
      <w:szCs w:val="24"/>
      <w14:ligatures w14:val="standardContextual"/>
    </w:rPr>
  </w:style>
  <w:style w:type="paragraph" w:styleId="Footer">
    <w:name w:val="footer"/>
    <w:basedOn w:val="Normal"/>
    <w:link w:val="FooterChar"/>
    <w:uiPriority w:val="99"/>
    <w:unhideWhenUsed/>
    <w:rsid w:val="00F17261"/>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F17261"/>
    <w:rPr>
      <w:kern w:val="2"/>
      <w:sz w:val="24"/>
      <w:szCs w:val="24"/>
      <w14:ligatures w14:val="standardContextual"/>
    </w:rPr>
  </w:style>
  <w:style w:type="character" w:customStyle="1" w:styleId="ls1">
    <w:name w:val="ls1"/>
    <w:basedOn w:val="DefaultParagraphFont"/>
    <w:rsid w:val="00F17261"/>
  </w:style>
  <w:style w:type="character" w:customStyle="1" w:styleId="ff2">
    <w:name w:val="ff2"/>
    <w:basedOn w:val="DefaultParagraphFont"/>
    <w:rsid w:val="00F17261"/>
  </w:style>
  <w:style w:type="character" w:customStyle="1" w:styleId="ls4">
    <w:name w:val="ls4"/>
    <w:basedOn w:val="DefaultParagraphFont"/>
    <w:rsid w:val="00F17261"/>
  </w:style>
  <w:style w:type="character" w:customStyle="1" w:styleId="ms-1">
    <w:name w:val="ms-1"/>
    <w:basedOn w:val="DefaultParagraphFont"/>
    <w:rsid w:val="00F17261"/>
  </w:style>
  <w:style w:type="character" w:customStyle="1" w:styleId="max-w-15ch">
    <w:name w:val="max-w-[15ch]"/>
    <w:basedOn w:val="DefaultParagraphFont"/>
    <w:rsid w:val="00F17261"/>
  </w:style>
  <w:style w:type="character" w:customStyle="1" w:styleId="-me-1">
    <w:name w:val="-me-1"/>
    <w:basedOn w:val="DefaultParagraphFont"/>
    <w:rsid w:val="00F17261"/>
  </w:style>
  <w:style w:type="character" w:customStyle="1" w:styleId="15">
    <w:name w:val="15"/>
    <w:basedOn w:val="DefaultParagraphFont"/>
    <w:rsid w:val="005E7895"/>
    <w:rPr>
      <w:rFonts w:ascii="Calibri" w:hAnsi="Calibri" w:cs="Calibri" w:hint="default"/>
      <w:b/>
      <w:bCs/>
    </w:rPr>
  </w:style>
  <w:style w:type="paragraph" w:styleId="NoSpacing">
    <w:name w:val="No Spacing"/>
    <w:link w:val="NoSpacingChar"/>
    <w:uiPriority w:val="1"/>
    <w:qFormat/>
    <w:rsid w:val="005E7895"/>
    <w:pPr>
      <w:spacing w:after="0" w:line="240" w:lineRule="auto"/>
    </w:pPr>
  </w:style>
  <w:style w:type="character" w:customStyle="1" w:styleId="NoSpacingChar">
    <w:name w:val="No Spacing Char"/>
    <w:link w:val="NoSpacing"/>
    <w:uiPriority w:val="1"/>
    <w:qFormat/>
    <w:rsid w:val="005E7895"/>
  </w:style>
  <w:style w:type="character" w:styleId="UnresolvedMention">
    <w:name w:val="Unresolved Mention"/>
    <w:basedOn w:val="DefaultParagraphFont"/>
    <w:uiPriority w:val="99"/>
    <w:semiHidden/>
    <w:unhideWhenUsed/>
    <w:rsid w:val="00F15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5997">
      <w:bodyDiv w:val="1"/>
      <w:marLeft w:val="0"/>
      <w:marRight w:val="0"/>
      <w:marTop w:val="0"/>
      <w:marBottom w:val="0"/>
      <w:divBdr>
        <w:top w:val="none" w:sz="0" w:space="0" w:color="auto"/>
        <w:left w:val="none" w:sz="0" w:space="0" w:color="auto"/>
        <w:bottom w:val="none" w:sz="0" w:space="0" w:color="auto"/>
        <w:right w:val="none" w:sz="0" w:space="0" w:color="auto"/>
      </w:divBdr>
      <w:divsChild>
        <w:div w:id="81075262">
          <w:marLeft w:val="0"/>
          <w:marRight w:val="0"/>
          <w:marTop w:val="0"/>
          <w:marBottom w:val="0"/>
          <w:divBdr>
            <w:top w:val="none" w:sz="0" w:space="0" w:color="auto"/>
            <w:left w:val="none" w:sz="0" w:space="0" w:color="auto"/>
            <w:bottom w:val="none" w:sz="0" w:space="0" w:color="auto"/>
            <w:right w:val="none" w:sz="0" w:space="0" w:color="auto"/>
          </w:divBdr>
          <w:divsChild>
            <w:div w:id="1134829180">
              <w:marLeft w:val="0"/>
              <w:marRight w:val="0"/>
              <w:marTop w:val="0"/>
              <w:marBottom w:val="0"/>
              <w:divBdr>
                <w:top w:val="none" w:sz="0" w:space="0" w:color="auto"/>
                <w:left w:val="none" w:sz="0" w:space="0" w:color="auto"/>
                <w:bottom w:val="none" w:sz="0" w:space="0" w:color="auto"/>
                <w:right w:val="none" w:sz="0" w:space="0" w:color="auto"/>
              </w:divBdr>
              <w:divsChild>
                <w:div w:id="1480877745">
                  <w:marLeft w:val="0"/>
                  <w:marRight w:val="0"/>
                  <w:marTop w:val="0"/>
                  <w:marBottom w:val="0"/>
                  <w:divBdr>
                    <w:top w:val="none" w:sz="0" w:space="0" w:color="auto"/>
                    <w:left w:val="none" w:sz="0" w:space="0" w:color="auto"/>
                    <w:bottom w:val="none" w:sz="0" w:space="0" w:color="auto"/>
                    <w:right w:val="none" w:sz="0" w:space="0" w:color="auto"/>
                  </w:divBdr>
                  <w:divsChild>
                    <w:div w:id="467670497">
                      <w:marLeft w:val="0"/>
                      <w:marRight w:val="0"/>
                      <w:marTop w:val="0"/>
                      <w:marBottom w:val="0"/>
                      <w:divBdr>
                        <w:top w:val="none" w:sz="0" w:space="0" w:color="auto"/>
                        <w:left w:val="none" w:sz="0" w:space="0" w:color="auto"/>
                        <w:bottom w:val="none" w:sz="0" w:space="0" w:color="auto"/>
                        <w:right w:val="none" w:sz="0" w:space="0" w:color="auto"/>
                      </w:divBdr>
                      <w:divsChild>
                        <w:div w:id="1315720298">
                          <w:marLeft w:val="0"/>
                          <w:marRight w:val="0"/>
                          <w:marTop w:val="0"/>
                          <w:marBottom w:val="0"/>
                          <w:divBdr>
                            <w:top w:val="none" w:sz="0" w:space="0" w:color="auto"/>
                            <w:left w:val="none" w:sz="0" w:space="0" w:color="auto"/>
                            <w:bottom w:val="none" w:sz="0" w:space="0" w:color="auto"/>
                            <w:right w:val="none" w:sz="0" w:space="0" w:color="auto"/>
                          </w:divBdr>
                          <w:divsChild>
                            <w:div w:id="11690203">
                              <w:marLeft w:val="0"/>
                              <w:marRight w:val="0"/>
                              <w:marTop w:val="0"/>
                              <w:marBottom w:val="0"/>
                              <w:divBdr>
                                <w:top w:val="none" w:sz="0" w:space="0" w:color="auto"/>
                                <w:left w:val="none" w:sz="0" w:space="0" w:color="auto"/>
                                <w:bottom w:val="none" w:sz="0" w:space="0" w:color="auto"/>
                                <w:right w:val="none" w:sz="0" w:space="0" w:color="auto"/>
                              </w:divBdr>
                              <w:divsChild>
                                <w:div w:id="189446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70246">
      <w:bodyDiv w:val="1"/>
      <w:marLeft w:val="0"/>
      <w:marRight w:val="0"/>
      <w:marTop w:val="0"/>
      <w:marBottom w:val="0"/>
      <w:divBdr>
        <w:top w:val="none" w:sz="0" w:space="0" w:color="auto"/>
        <w:left w:val="none" w:sz="0" w:space="0" w:color="auto"/>
        <w:bottom w:val="none" w:sz="0" w:space="0" w:color="auto"/>
        <w:right w:val="none" w:sz="0" w:space="0" w:color="auto"/>
      </w:divBdr>
    </w:div>
    <w:div w:id="209850696">
      <w:bodyDiv w:val="1"/>
      <w:marLeft w:val="0"/>
      <w:marRight w:val="0"/>
      <w:marTop w:val="0"/>
      <w:marBottom w:val="0"/>
      <w:divBdr>
        <w:top w:val="none" w:sz="0" w:space="0" w:color="auto"/>
        <w:left w:val="none" w:sz="0" w:space="0" w:color="auto"/>
        <w:bottom w:val="none" w:sz="0" w:space="0" w:color="auto"/>
        <w:right w:val="none" w:sz="0" w:space="0" w:color="auto"/>
      </w:divBdr>
    </w:div>
    <w:div w:id="242566204">
      <w:bodyDiv w:val="1"/>
      <w:marLeft w:val="0"/>
      <w:marRight w:val="0"/>
      <w:marTop w:val="0"/>
      <w:marBottom w:val="0"/>
      <w:divBdr>
        <w:top w:val="none" w:sz="0" w:space="0" w:color="auto"/>
        <w:left w:val="none" w:sz="0" w:space="0" w:color="auto"/>
        <w:bottom w:val="none" w:sz="0" w:space="0" w:color="auto"/>
        <w:right w:val="none" w:sz="0" w:space="0" w:color="auto"/>
      </w:divBdr>
    </w:div>
    <w:div w:id="260797515">
      <w:bodyDiv w:val="1"/>
      <w:marLeft w:val="0"/>
      <w:marRight w:val="0"/>
      <w:marTop w:val="0"/>
      <w:marBottom w:val="0"/>
      <w:divBdr>
        <w:top w:val="none" w:sz="0" w:space="0" w:color="auto"/>
        <w:left w:val="none" w:sz="0" w:space="0" w:color="auto"/>
        <w:bottom w:val="none" w:sz="0" w:space="0" w:color="auto"/>
        <w:right w:val="none" w:sz="0" w:space="0" w:color="auto"/>
      </w:divBdr>
    </w:div>
    <w:div w:id="326134211">
      <w:bodyDiv w:val="1"/>
      <w:marLeft w:val="0"/>
      <w:marRight w:val="0"/>
      <w:marTop w:val="0"/>
      <w:marBottom w:val="0"/>
      <w:divBdr>
        <w:top w:val="none" w:sz="0" w:space="0" w:color="auto"/>
        <w:left w:val="none" w:sz="0" w:space="0" w:color="auto"/>
        <w:bottom w:val="none" w:sz="0" w:space="0" w:color="auto"/>
        <w:right w:val="none" w:sz="0" w:space="0" w:color="auto"/>
      </w:divBdr>
    </w:div>
    <w:div w:id="389305628">
      <w:bodyDiv w:val="1"/>
      <w:marLeft w:val="0"/>
      <w:marRight w:val="0"/>
      <w:marTop w:val="0"/>
      <w:marBottom w:val="0"/>
      <w:divBdr>
        <w:top w:val="none" w:sz="0" w:space="0" w:color="auto"/>
        <w:left w:val="none" w:sz="0" w:space="0" w:color="auto"/>
        <w:bottom w:val="none" w:sz="0" w:space="0" w:color="auto"/>
        <w:right w:val="none" w:sz="0" w:space="0" w:color="auto"/>
      </w:divBdr>
    </w:div>
    <w:div w:id="769202884">
      <w:bodyDiv w:val="1"/>
      <w:marLeft w:val="0"/>
      <w:marRight w:val="0"/>
      <w:marTop w:val="0"/>
      <w:marBottom w:val="0"/>
      <w:divBdr>
        <w:top w:val="none" w:sz="0" w:space="0" w:color="auto"/>
        <w:left w:val="none" w:sz="0" w:space="0" w:color="auto"/>
        <w:bottom w:val="none" w:sz="0" w:space="0" w:color="auto"/>
        <w:right w:val="none" w:sz="0" w:space="0" w:color="auto"/>
      </w:divBdr>
    </w:div>
    <w:div w:id="880288320">
      <w:bodyDiv w:val="1"/>
      <w:marLeft w:val="0"/>
      <w:marRight w:val="0"/>
      <w:marTop w:val="0"/>
      <w:marBottom w:val="0"/>
      <w:divBdr>
        <w:top w:val="none" w:sz="0" w:space="0" w:color="auto"/>
        <w:left w:val="none" w:sz="0" w:space="0" w:color="auto"/>
        <w:bottom w:val="none" w:sz="0" w:space="0" w:color="auto"/>
        <w:right w:val="none" w:sz="0" w:space="0" w:color="auto"/>
      </w:divBdr>
    </w:div>
    <w:div w:id="911740707">
      <w:bodyDiv w:val="1"/>
      <w:marLeft w:val="0"/>
      <w:marRight w:val="0"/>
      <w:marTop w:val="0"/>
      <w:marBottom w:val="0"/>
      <w:divBdr>
        <w:top w:val="none" w:sz="0" w:space="0" w:color="auto"/>
        <w:left w:val="none" w:sz="0" w:space="0" w:color="auto"/>
        <w:bottom w:val="none" w:sz="0" w:space="0" w:color="auto"/>
        <w:right w:val="none" w:sz="0" w:space="0" w:color="auto"/>
      </w:divBdr>
    </w:div>
    <w:div w:id="939683708">
      <w:bodyDiv w:val="1"/>
      <w:marLeft w:val="0"/>
      <w:marRight w:val="0"/>
      <w:marTop w:val="0"/>
      <w:marBottom w:val="0"/>
      <w:divBdr>
        <w:top w:val="none" w:sz="0" w:space="0" w:color="auto"/>
        <w:left w:val="none" w:sz="0" w:space="0" w:color="auto"/>
        <w:bottom w:val="none" w:sz="0" w:space="0" w:color="auto"/>
        <w:right w:val="none" w:sz="0" w:space="0" w:color="auto"/>
      </w:divBdr>
      <w:divsChild>
        <w:div w:id="1311520770">
          <w:marLeft w:val="0"/>
          <w:marRight w:val="0"/>
          <w:marTop w:val="0"/>
          <w:marBottom w:val="0"/>
          <w:divBdr>
            <w:top w:val="none" w:sz="0" w:space="0" w:color="auto"/>
            <w:left w:val="none" w:sz="0" w:space="0" w:color="auto"/>
            <w:bottom w:val="none" w:sz="0" w:space="0" w:color="auto"/>
            <w:right w:val="none" w:sz="0" w:space="0" w:color="auto"/>
          </w:divBdr>
          <w:divsChild>
            <w:div w:id="828332013">
              <w:marLeft w:val="0"/>
              <w:marRight w:val="0"/>
              <w:marTop w:val="0"/>
              <w:marBottom w:val="0"/>
              <w:divBdr>
                <w:top w:val="none" w:sz="0" w:space="0" w:color="auto"/>
                <w:left w:val="none" w:sz="0" w:space="0" w:color="auto"/>
                <w:bottom w:val="none" w:sz="0" w:space="0" w:color="auto"/>
                <w:right w:val="none" w:sz="0" w:space="0" w:color="auto"/>
              </w:divBdr>
              <w:divsChild>
                <w:div w:id="1914656218">
                  <w:marLeft w:val="0"/>
                  <w:marRight w:val="0"/>
                  <w:marTop w:val="0"/>
                  <w:marBottom w:val="0"/>
                  <w:divBdr>
                    <w:top w:val="none" w:sz="0" w:space="0" w:color="auto"/>
                    <w:left w:val="none" w:sz="0" w:space="0" w:color="auto"/>
                    <w:bottom w:val="none" w:sz="0" w:space="0" w:color="auto"/>
                    <w:right w:val="none" w:sz="0" w:space="0" w:color="auto"/>
                  </w:divBdr>
                  <w:divsChild>
                    <w:div w:id="1307663583">
                      <w:marLeft w:val="0"/>
                      <w:marRight w:val="0"/>
                      <w:marTop w:val="0"/>
                      <w:marBottom w:val="0"/>
                      <w:divBdr>
                        <w:top w:val="none" w:sz="0" w:space="0" w:color="auto"/>
                        <w:left w:val="none" w:sz="0" w:space="0" w:color="auto"/>
                        <w:bottom w:val="none" w:sz="0" w:space="0" w:color="auto"/>
                        <w:right w:val="none" w:sz="0" w:space="0" w:color="auto"/>
                      </w:divBdr>
                      <w:divsChild>
                        <w:div w:id="595603244">
                          <w:marLeft w:val="0"/>
                          <w:marRight w:val="0"/>
                          <w:marTop w:val="0"/>
                          <w:marBottom w:val="0"/>
                          <w:divBdr>
                            <w:top w:val="none" w:sz="0" w:space="0" w:color="auto"/>
                            <w:left w:val="none" w:sz="0" w:space="0" w:color="auto"/>
                            <w:bottom w:val="none" w:sz="0" w:space="0" w:color="auto"/>
                            <w:right w:val="none" w:sz="0" w:space="0" w:color="auto"/>
                          </w:divBdr>
                          <w:divsChild>
                            <w:div w:id="1266961020">
                              <w:marLeft w:val="0"/>
                              <w:marRight w:val="0"/>
                              <w:marTop w:val="0"/>
                              <w:marBottom w:val="0"/>
                              <w:divBdr>
                                <w:top w:val="none" w:sz="0" w:space="0" w:color="auto"/>
                                <w:left w:val="none" w:sz="0" w:space="0" w:color="auto"/>
                                <w:bottom w:val="none" w:sz="0" w:space="0" w:color="auto"/>
                                <w:right w:val="none" w:sz="0" w:space="0" w:color="auto"/>
                              </w:divBdr>
                              <w:divsChild>
                                <w:div w:id="139141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577582">
      <w:bodyDiv w:val="1"/>
      <w:marLeft w:val="0"/>
      <w:marRight w:val="0"/>
      <w:marTop w:val="0"/>
      <w:marBottom w:val="0"/>
      <w:divBdr>
        <w:top w:val="none" w:sz="0" w:space="0" w:color="auto"/>
        <w:left w:val="none" w:sz="0" w:space="0" w:color="auto"/>
        <w:bottom w:val="none" w:sz="0" w:space="0" w:color="auto"/>
        <w:right w:val="none" w:sz="0" w:space="0" w:color="auto"/>
      </w:divBdr>
    </w:div>
    <w:div w:id="1018234106">
      <w:bodyDiv w:val="1"/>
      <w:marLeft w:val="0"/>
      <w:marRight w:val="0"/>
      <w:marTop w:val="0"/>
      <w:marBottom w:val="0"/>
      <w:divBdr>
        <w:top w:val="none" w:sz="0" w:space="0" w:color="auto"/>
        <w:left w:val="none" w:sz="0" w:space="0" w:color="auto"/>
        <w:bottom w:val="none" w:sz="0" w:space="0" w:color="auto"/>
        <w:right w:val="none" w:sz="0" w:space="0" w:color="auto"/>
      </w:divBdr>
    </w:div>
    <w:div w:id="1047335753">
      <w:bodyDiv w:val="1"/>
      <w:marLeft w:val="0"/>
      <w:marRight w:val="0"/>
      <w:marTop w:val="0"/>
      <w:marBottom w:val="0"/>
      <w:divBdr>
        <w:top w:val="none" w:sz="0" w:space="0" w:color="auto"/>
        <w:left w:val="none" w:sz="0" w:space="0" w:color="auto"/>
        <w:bottom w:val="none" w:sz="0" w:space="0" w:color="auto"/>
        <w:right w:val="none" w:sz="0" w:space="0" w:color="auto"/>
      </w:divBdr>
    </w:div>
    <w:div w:id="1205632257">
      <w:bodyDiv w:val="1"/>
      <w:marLeft w:val="0"/>
      <w:marRight w:val="0"/>
      <w:marTop w:val="0"/>
      <w:marBottom w:val="0"/>
      <w:divBdr>
        <w:top w:val="none" w:sz="0" w:space="0" w:color="auto"/>
        <w:left w:val="none" w:sz="0" w:space="0" w:color="auto"/>
        <w:bottom w:val="none" w:sz="0" w:space="0" w:color="auto"/>
        <w:right w:val="none" w:sz="0" w:space="0" w:color="auto"/>
      </w:divBdr>
    </w:div>
    <w:div w:id="1330594047">
      <w:bodyDiv w:val="1"/>
      <w:marLeft w:val="0"/>
      <w:marRight w:val="0"/>
      <w:marTop w:val="0"/>
      <w:marBottom w:val="0"/>
      <w:divBdr>
        <w:top w:val="none" w:sz="0" w:space="0" w:color="auto"/>
        <w:left w:val="none" w:sz="0" w:space="0" w:color="auto"/>
        <w:bottom w:val="none" w:sz="0" w:space="0" w:color="auto"/>
        <w:right w:val="none" w:sz="0" w:space="0" w:color="auto"/>
      </w:divBdr>
    </w:div>
    <w:div w:id="1336495549">
      <w:bodyDiv w:val="1"/>
      <w:marLeft w:val="0"/>
      <w:marRight w:val="0"/>
      <w:marTop w:val="0"/>
      <w:marBottom w:val="0"/>
      <w:divBdr>
        <w:top w:val="none" w:sz="0" w:space="0" w:color="auto"/>
        <w:left w:val="none" w:sz="0" w:space="0" w:color="auto"/>
        <w:bottom w:val="none" w:sz="0" w:space="0" w:color="auto"/>
        <w:right w:val="none" w:sz="0" w:space="0" w:color="auto"/>
      </w:divBdr>
      <w:divsChild>
        <w:div w:id="1375882995">
          <w:marLeft w:val="0"/>
          <w:marRight w:val="0"/>
          <w:marTop w:val="0"/>
          <w:marBottom w:val="0"/>
          <w:divBdr>
            <w:top w:val="none" w:sz="0" w:space="0" w:color="auto"/>
            <w:left w:val="none" w:sz="0" w:space="0" w:color="auto"/>
            <w:bottom w:val="none" w:sz="0" w:space="0" w:color="auto"/>
            <w:right w:val="none" w:sz="0" w:space="0" w:color="auto"/>
          </w:divBdr>
          <w:divsChild>
            <w:div w:id="1918205316">
              <w:marLeft w:val="0"/>
              <w:marRight w:val="0"/>
              <w:marTop w:val="0"/>
              <w:marBottom w:val="0"/>
              <w:divBdr>
                <w:top w:val="none" w:sz="0" w:space="0" w:color="auto"/>
                <w:left w:val="none" w:sz="0" w:space="0" w:color="auto"/>
                <w:bottom w:val="none" w:sz="0" w:space="0" w:color="auto"/>
                <w:right w:val="none" w:sz="0" w:space="0" w:color="auto"/>
              </w:divBdr>
              <w:divsChild>
                <w:div w:id="1722747537">
                  <w:marLeft w:val="0"/>
                  <w:marRight w:val="0"/>
                  <w:marTop w:val="0"/>
                  <w:marBottom w:val="0"/>
                  <w:divBdr>
                    <w:top w:val="none" w:sz="0" w:space="0" w:color="auto"/>
                    <w:left w:val="none" w:sz="0" w:space="0" w:color="auto"/>
                    <w:bottom w:val="none" w:sz="0" w:space="0" w:color="auto"/>
                    <w:right w:val="none" w:sz="0" w:space="0" w:color="auto"/>
                  </w:divBdr>
                  <w:divsChild>
                    <w:div w:id="938177200">
                      <w:marLeft w:val="0"/>
                      <w:marRight w:val="0"/>
                      <w:marTop w:val="0"/>
                      <w:marBottom w:val="0"/>
                      <w:divBdr>
                        <w:top w:val="none" w:sz="0" w:space="0" w:color="auto"/>
                        <w:left w:val="none" w:sz="0" w:space="0" w:color="auto"/>
                        <w:bottom w:val="none" w:sz="0" w:space="0" w:color="auto"/>
                        <w:right w:val="none" w:sz="0" w:space="0" w:color="auto"/>
                      </w:divBdr>
                      <w:divsChild>
                        <w:div w:id="904687251">
                          <w:marLeft w:val="0"/>
                          <w:marRight w:val="0"/>
                          <w:marTop w:val="0"/>
                          <w:marBottom w:val="0"/>
                          <w:divBdr>
                            <w:top w:val="none" w:sz="0" w:space="0" w:color="auto"/>
                            <w:left w:val="none" w:sz="0" w:space="0" w:color="auto"/>
                            <w:bottom w:val="none" w:sz="0" w:space="0" w:color="auto"/>
                            <w:right w:val="none" w:sz="0" w:space="0" w:color="auto"/>
                          </w:divBdr>
                          <w:divsChild>
                            <w:div w:id="183063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487381">
      <w:bodyDiv w:val="1"/>
      <w:marLeft w:val="0"/>
      <w:marRight w:val="0"/>
      <w:marTop w:val="0"/>
      <w:marBottom w:val="0"/>
      <w:divBdr>
        <w:top w:val="none" w:sz="0" w:space="0" w:color="auto"/>
        <w:left w:val="none" w:sz="0" w:space="0" w:color="auto"/>
        <w:bottom w:val="none" w:sz="0" w:space="0" w:color="auto"/>
        <w:right w:val="none" w:sz="0" w:space="0" w:color="auto"/>
      </w:divBdr>
    </w:div>
    <w:div w:id="1402677920">
      <w:bodyDiv w:val="1"/>
      <w:marLeft w:val="0"/>
      <w:marRight w:val="0"/>
      <w:marTop w:val="0"/>
      <w:marBottom w:val="0"/>
      <w:divBdr>
        <w:top w:val="none" w:sz="0" w:space="0" w:color="auto"/>
        <w:left w:val="none" w:sz="0" w:space="0" w:color="auto"/>
        <w:bottom w:val="none" w:sz="0" w:space="0" w:color="auto"/>
        <w:right w:val="none" w:sz="0" w:space="0" w:color="auto"/>
      </w:divBdr>
    </w:div>
    <w:div w:id="1434282410">
      <w:bodyDiv w:val="1"/>
      <w:marLeft w:val="0"/>
      <w:marRight w:val="0"/>
      <w:marTop w:val="0"/>
      <w:marBottom w:val="0"/>
      <w:divBdr>
        <w:top w:val="none" w:sz="0" w:space="0" w:color="auto"/>
        <w:left w:val="none" w:sz="0" w:space="0" w:color="auto"/>
        <w:bottom w:val="none" w:sz="0" w:space="0" w:color="auto"/>
        <w:right w:val="none" w:sz="0" w:space="0" w:color="auto"/>
      </w:divBdr>
    </w:div>
    <w:div w:id="1467771455">
      <w:bodyDiv w:val="1"/>
      <w:marLeft w:val="0"/>
      <w:marRight w:val="0"/>
      <w:marTop w:val="0"/>
      <w:marBottom w:val="0"/>
      <w:divBdr>
        <w:top w:val="none" w:sz="0" w:space="0" w:color="auto"/>
        <w:left w:val="none" w:sz="0" w:space="0" w:color="auto"/>
        <w:bottom w:val="none" w:sz="0" w:space="0" w:color="auto"/>
        <w:right w:val="none" w:sz="0" w:space="0" w:color="auto"/>
      </w:divBdr>
    </w:div>
    <w:div w:id="1497957072">
      <w:bodyDiv w:val="1"/>
      <w:marLeft w:val="0"/>
      <w:marRight w:val="0"/>
      <w:marTop w:val="0"/>
      <w:marBottom w:val="0"/>
      <w:divBdr>
        <w:top w:val="none" w:sz="0" w:space="0" w:color="auto"/>
        <w:left w:val="none" w:sz="0" w:space="0" w:color="auto"/>
        <w:bottom w:val="none" w:sz="0" w:space="0" w:color="auto"/>
        <w:right w:val="none" w:sz="0" w:space="0" w:color="auto"/>
      </w:divBdr>
    </w:div>
    <w:div w:id="1648893418">
      <w:bodyDiv w:val="1"/>
      <w:marLeft w:val="0"/>
      <w:marRight w:val="0"/>
      <w:marTop w:val="0"/>
      <w:marBottom w:val="0"/>
      <w:divBdr>
        <w:top w:val="none" w:sz="0" w:space="0" w:color="auto"/>
        <w:left w:val="none" w:sz="0" w:space="0" w:color="auto"/>
        <w:bottom w:val="none" w:sz="0" w:space="0" w:color="auto"/>
        <w:right w:val="none" w:sz="0" w:space="0" w:color="auto"/>
      </w:divBdr>
    </w:div>
    <w:div w:id="1746221164">
      <w:bodyDiv w:val="1"/>
      <w:marLeft w:val="0"/>
      <w:marRight w:val="0"/>
      <w:marTop w:val="0"/>
      <w:marBottom w:val="0"/>
      <w:divBdr>
        <w:top w:val="none" w:sz="0" w:space="0" w:color="auto"/>
        <w:left w:val="none" w:sz="0" w:space="0" w:color="auto"/>
        <w:bottom w:val="none" w:sz="0" w:space="0" w:color="auto"/>
        <w:right w:val="none" w:sz="0" w:space="0" w:color="auto"/>
      </w:divBdr>
    </w:div>
    <w:div w:id="1830900211">
      <w:bodyDiv w:val="1"/>
      <w:marLeft w:val="0"/>
      <w:marRight w:val="0"/>
      <w:marTop w:val="0"/>
      <w:marBottom w:val="0"/>
      <w:divBdr>
        <w:top w:val="none" w:sz="0" w:space="0" w:color="auto"/>
        <w:left w:val="none" w:sz="0" w:space="0" w:color="auto"/>
        <w:bottom w:val="none" w:sz="0" w:space="0" w:color="auto"/>
        <w:right w:val="none" w:sz="0" w:space="0" w:color="auto"/>
      </w:divBdr>
    </w:div>
    <w:div w:id="1854491215">
      <w:bodyDiv w:val="1"/>
      <w:marLeft w:val="0"/>
      <w:marRight w:val="0"/>
      <w:marTop w:val="0"/>
      <w:marBottom w:val="0"/>
      <w:divBdr>
        <w:top w:val="none" w:sz="0" w:space="0" w:color="auto"/>
        <w:left w:val="none" w:sz="0" w:space="0" w:color="auto"/>
        <w:bottom w:val="none" w:sz="0" w:space="0" w:color="auto"/>
        <w:right w:val="none" w:sz="0" w:space="0" w:color="auto"/>
      </w:divBdr>
      <w:divsChild>
        <w:div w:id="703869685">
          <w:marLeft w:val="0"/>
          <w:marRight w:val="0"/>
          <w:marTop w:val="0"/>
          <w:marBottom w:val="0"/>
          <w:divBdr>
            <w:top w:val="none" w:sz="0" w:space="0" w:color="auto"/>
            <w:left w:val="none" w:sz="0" w:space="0" w:color="auto"/>
            <w:bottom w:val="none" w:sz="0" w:space="0" w:color="auto"/>
            <w:right w:val="none" w:sz="0" w:space="0" w:color="auto"/>
          </w:divBdr>
          <w:divsChild>
            <w:div w:id="1199051511">
              <w:marLeft w:val="0"/>
              <w:marRight w:val="0"/>
              <w:marTop w:val="0"/>
              <w:marBottom w:val="0"/>
              <w:divBdr>
                <w:top w:val="none" w:sz="0" w:space="0" w:color="auto"/>
                <w:left w:val="none" w:sz="0" w:space="0" w:color="auto"/>
                <w:bottom w:val="none" w:sz="0" w:space="0" w:color="auto"/>
                <w:right w:val="none" w:sz="0" w:space="0" w:color="auto"/>
              </w:divBdr>
              <w:divsChild>
                <w:div w:id="864296237">
                  <w:marLeft w:val="0"/>
                  <w:marRight w:val="0"/>
                  <w:marTop w:val="0"/>
                  <w:marBottom w:val="0"/>
                  <w:divBdr>
                    <w:top w:val="none" w:sz="0" w:space="0" w:color="auto"/>
                    <w:left w:val="none" w:sz="0" w:space="0" w:color="auto"/>
                    <w:bottom w:val="none" w:sz="0" w:space="0" w:color="auto"/>
                    <w:right w:val="none" w:sz="0" w:space="0" w:color="auto"/>
                  </w:divBdr>
                  <w:divsChild>
                    <w:div w:id="646595176">
                      <w:marLeft w:val="0"/>
                      <w:marRight w:val="0"/>
                      <w:marTop w:val="0"/>
                      <w:marBottom w:val="0"/>
                      <w:divBdr>
                        <w:top w:val="none" w:sz="0" w:space="0" w:color="auto"/>
                        <w:left w:val="none" w:sz="0" w:space="0" w:color="auto"/>
                        <w:bottom w:val="none" w:sz="0" w:space="0" w:color="auto"/>
                        <w:right w:val="none" w:sz="0" w:space="0" w:color="auto"/>
                      </w:divBdr>
                      <w:divsChild>
                        <w:div w:id="3939071">
                          <w:marLeft w:val="0"/>
                          <w:marRight w:val="0"/>
                          <w:marTop w:val="0"/>
                          <w:marBottom w:val="0"/>
                          <w:divBdr>
                            <w:top w:val="none" w:sz="0" w:space="0" w:color="auto"/>
                            <w:left w:val="none" w:sz="0" w:space="0" w:color="auto"/>
                            <w:bottom w:val="none" w:sz="0" w:space="0" w:color="auto"/>
                            <w:right w:val="none" w:sz="0" w:space="0" w:color="auto"/>
                          </w:divBdr>
                          <w:divsChild>
                            <w:div w:id="1099787939">
                              <w:marLeft w:val="0"/>
                              <w:marRight w:val="0"/>
                              <w:marTop w:val="0"/>
                              <w:marBottom w:val="0"/>
                              <w:divBdr>
                                <w:top w:val="none" w:sz="0" w:space="0" w:color="auto"/>
                                <w:left w:val="none" w:sz="0" w:space="0" w:color="auto"/>
                                <w:bottom w:val="none" w:sz="0" w:space="0" w:color="auto"/>
                                <w:right w:val="none" w:sz="0" w:space="0" w:color="auto"/>
                              </w:divBdr>
                              <w:divsChild>
                                <w:div w:id="6511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327320">
      <w:bodyDiv w:val="1"/>
      <w:marLeft w:val="0"/>
      <w:marRight w:val="0"/>
      <w:marTop w:val="0"/>
      <w:marBottom w:val="0"/>
      <w:divBdr>
        <w:top w:val="none" w:sz="0" w:space="0" w:color="auto"/>
        <w:left w:val="none" w:sz="0" w:space="0" w:color="auto"/>
        <w:bottom w:val="none" w:sz="0" w:space="0" w:color="auto"/>
        <w:right w:val="none" w:sz="0" w:space="0" w:color="auto"/>
      </w:divBdr>
    </w:div>
    <w:div w:id="2114324364">
      <w:bodyDiv w:val="1"/>
      <w:marLeft w:val="0"/>
      <w:marRight w:val="0"/>
      <w:marTop w:val="0"/>
      <w:marBottom w:val="0"/>
      <w:divBdr>
        <w:top w:val="none" w:sz="0" w:space="0" w:color="auto"/>
        <w:left w:val="none" w:sz="0" w:space="0" w:color="auto"/>
        <w:bottom w:val="none" w:sz="0" w:space="0" w:color="auto"/>
        <w:right w:val="none" w:sz="0" w:space="0" w:color="auto"/>
      </w:divBdr>
    </w:div>
    <w:div w:id="2119132429">
      <w:bodyDiv w:val="1"/>
      <w:marLeft w:val="0"/>
      <w:marRight w:val="0"/>
      <w:marTop w:val="0"/>
      <w:marBottom w:val="0"/>
      <w:divBdr>
        <w:top w:val="none" w:sz="0" w:space="0" w:color="auto"/>
        <w:left w:val="none" w:sz="0" w:space="0" w:color="auto"/>
        <w:bottom w:val="none" w:sz="0" w:space="0" w:color="auto"/>
        <w:right w:val="none" w:sz="0" w:space="0" w:color="auto"/>
      </w:divBdr>
    </w:div>
    <w:div w:id="212815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immunization-coverag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doi.org/10.1186/s12889-017-4137-7"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1248</TotalTime>
  <Pages>18</Pages>
  <Words>7196</Words>
  <Characters>41018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BARBS</dc:creator>
  <cp:keywords/>
  <dc:description/>
  <cp:lastModifiedBy>SDI 1166</cp:lastModifiedBy>
  <cp:revision>184</cp:revision>
  <dcterms:created xsi:type="dcterms:W3CDTF">2025-10-08T13:06:00Z</dcterms:created>
  <dcterms:modified xsi:type="dcterms:W3CDTF">2026-06-04T13:00:00Z</dcterms:modified>
</cp:coreProperties>
</file>