
<file path=[Content_Types].xml><?xml version="1.0" encoding="utf-8"?>
<Types xmlns="http://schemas.openxmlformats.org/package/2006/content-types">
  <Default Extension="jpg" ContentType="application/octet-stream"/>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1AD15" w14:textId="534385AA" w:rsidR="00FE3703" w:rsidRDefault="00326151" w:rsidP="005405D4">
      <w:pPr>
        <w:spacing w:after="220" w:line="480" w:lineRule="auto"/>
        <w:jc w:val="center"/>
        <w:rPr>
          <w:rFonts w:ascii="Times New Roman" w:hAnsi="Times New Roman" w:cs="Times New Roman"/>
          <w:b/>
          <w:sz w:val="24"/>
          <w:szCs w:val="24"/>
        </w:rPr>
      </w:pPr>
      <w:bookmarkStart w:id="0" w:name="a_mathematical_model_of_vaccinati_29bbf2"/>
      <w:r w:rsidRPr="005405D4">
        <w:rPr>
          <w:rFonts w:ascii="Times New Roman" w:hAnsi="Times New Roman" w:cs="Times New Roman"/>
          <w:b/>
          <w:sz w:val="24"/>
          <w:szCs w:val="24"/>
        </w:rPr>
        <w:t>A Mathematica</w:t>
      </w:r>
      <w:r w:rsidR="00721728" w:rsidRPr="005405D4">
        <w:rPr>
          <w:rFonts w:ascii="Times New Roman" w:hAnsi="Times New Roman" w:cs="Times New Roman"/>
          <w:b/>
          <w:sz w:val="24"/>
          <w:szCs w:val="24"/>
        </w:rPr>
        <w:t>l</w:t>
      </w:r>
      <w:r w:rsidRPr="005405D4">
        <w:rPr>
          <w:rFonts w:ascii="Times New Roman" w:hAnsi="Times New Roman" w:cs="Times New Roman"/>
          <w:b/>
          <w:sz w:val="24"/>
          <w:szCs w:val="24"/>
        </w:rPr>
        <w:t xml:space="preserve"> Model of Vaccination Control for Diphtheria in Nigeria</w:t>
      </w:r>
      <w:bookmarkEnd w:id="0"/>
    </w:p>
    <w:p w14:paraId="606B9A7B" w14:textId="77777777" w:rsidR="00D75BE9" w:rsidRPr="005405D4" w:rsidRDefault="00D75BE9" w:rsidP="005405D4">
      <w:pPr>
        <w:spacing w:after="220" w:line="480" w:lineRule="auto"/>
        <w:jc w:val="center"/>
        <w:rPr>
          <w:rFonts w:ascii="Times New Roman" w:hAnsi="Times New Roman" w:cs="Times New Roman"/>
          <w:sz w:val="24"/>
          <w:szCs w:val="24"/>
        </w:rPr>
      </w:pPr>
    </w:p>
    <w:p w14:paraId="5607BA5B" w14:textId="77777777" w:rsidR="00AF5AF3" w:rsidRDefault="00AF5AF3" w:rsidP="005405D4">
      <w:pPr>
        <w:spacing w:before="240" w:after="271" w:line="480" w:lineRule="auto"/>
        <w:jc w:val="center"/>
        <w:rPr>
          <w:rFonts w:ascii="Times New Roman" w:hAnsi="Times New Roman" w:cs="Times New Roman"/>
          <w:b/>
          <w:sz w:val="24"/>
          <w:szCs w:val="24"/>
        </w:rPr>
      </w:pPr>
    </w:p>
    <w:p w14:paraId="2EC404D3" w14:textId="7B430AF1" w:rsidR="00FE3703" w:rsidRPr="005405D4" w:rsidRDefault="00326151" w:rsidP="005405D4">
      <w:pPr>
        <w:spacing w:before="240" w:after="271" w:line="480" w:lineRule="auto"/>
        <w:jc w:val="center"/>
        <w:rPr>
          <w:rFonts w:ascii="Times New Roman" w:hAnsi="Times New Roman" w:cs="Times New Roman"/>
          <w:sz w:val="24"/>
          <w:szCs w:val="24"/>
        </w:rPr>
      </w:pPr>
      <w:r w:rsidRPr="005405D4">
        <w:rPr>
          <w:rFonts w:ascii="Times New Roman" w:hAnsi="Times New Roman" w:cs="Times New Roman"/>
          <w:b/>
          <w:sz w:val="24"/>
          <w:szCs w:val="24"/>
        </w:rPr>
        <w:t>Abstract</w:t>
      </w:r>
    </w:p>
    <w:p w14:paraId="30F9DE1B" w14:textId="1050F310" w:rsidR="00FE3703" w:rsidRPr="005405D4" w:rsidRDefault="00326151" w:rsidP="005405D4">
      <w:pPr>
        <w:spacing w:after="220" w:line="480" w:lineRule="auto"/>
        <w:ind w:right="864"/>
        <w:jc w:val="both"/>
        <w:rPr>
          <w:rFonts w:ascii="Times New Roman" w:hAnsi="Times New Roman" w:cs="Times New Roman"/>
          <w:sz w:val="24"/>
          <w:szCs w:val="24"/>
        </w:rPr>
      </w:pPr>
      <w:r w:rsidRPr="005405D4">
        <w:rPr>
          <w:rFonts w:ascii="Times New Roman" w:hAnsi="Times New Roman" w:cs="Times New Roman"/>
          <w:sz w:val="24"/>
          <w:szCs w:val="24"/>
        </w:rPr>
        <w:t>Diphtheria remains a public-health concern in Nigeria, where interruptions in</w:t>
      </w:r>
      <w:r w:rsidR="005405D4">
        <w:rPr>
          <w:rFonts w:ascii="Times New Roman" w:hAnsi="Times New Roman" w:cs="Times New Roman"/>
          <w:sz w:val="24"/>
          <w:szCs w:val="24"/>
        </w:rPr>
        <w:t xml:space="preserve"> </w:t>
      </w:r>
      <w:r w:rsidRPr="005405D4">
        <w:rPr>
          <w:rFonts w:ascii="Times New Roman" w:hAnsi="Times New Roman" w:cs="Times New Roman"/>
          <w:sz w:val="24"/>
          <w:szCs w:val="24"/>
        </w:rPr>
        <w:t xml:space="preserve">routine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xml:space="preserve">, uneven access to health services, waning immunity, and limitations in surveillance can leave sizeable groups susceptible to infection. This study develops a deterministic susceptible-infectious-recovered-vaccinated (SIRV) model to examine how vaccination influences diphtheria transmission. The model incorporates demographic turnover, disease-induced mortality, recovery, vaccination, and the loss of both infection-acquired and vaccine-induced immunity. The basic reproduction number is obtained with the next-generation method, and the disease-free and endemic equilibria are </w:t>
      </w:r>
      <w:proofErr w:type="spellStart"/>
      <w:r w:rsidRPr="005405D4">
        <w:rPr>
          <w:rFonts w:ascii="Times New Roman" w:hAnsi="Times New Roman" w:cs="Times New Roman"/>
          <w:sz w:val="24"/>
          <w:szCs w:val="24"/>
        </w:rPr>
        <w:t>characterised</w:t>
      </w:r>
      <w:proofErr w:type="spellEnd"/>
      <w:r w:rsidRPr="005405D4">
        <w:rPr>
          <w:rFonts w:ascii="Times New Roman" w:hAnsi="Times New Roman" w:cs="Times New Roman"/>
          <w:sz w:val="24"/>
          <w:szCs w:val="24"/>
        </w:rPr>
        <w:t xml:space="preserve">. The disease-free equilibrium is locally asymptotically stable when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and unstable when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&gt;1</m:t>
        </m:r>
      </m:oMath>
      <w:r w:rsidRPr="005405D4">
        <w:rPr>
          <w:rFonts w:ascii="Times New Roman" w:hAnsi="Times New Roman" w:cs="Times New Roman"/>
          <w:sz w:val="24"/>
          <w:szCs w:val="24"/>
        </w:rPr>
        <w:t xml:space="preserve">. Analytical sensitivity indices show that transmission increases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whereas vaccination and recovery reduce it. Numerical illustrations further show that sustained vaccination suppresses infection and that waning protection can replenish the susceptible population. These findings support stronger routine immunisation, timely booster doses, improved surveillance, and rapid outbreak response. The model is intended as a transparent policy framework; calibration with age-specific Nigerian surveillance and coverage data is required before its numerical outputs are used for operational forecasting.</w:t>
      </w:r>
    </w:p>
    <w:p w14:paraId="7CCA8846"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lastRenderedPageBreak/>
        <w:t>Keywords: diphtheria; vaccination; SIRV model; basic reproduction number; stability; waning immunity; Nigeria.</w:t>
      </w:r>
    </w:p>
    <w:p w14:paraId="00DAD6CD" w14:textId="77777777" w:rsidR="00FE3703" w:rsidRPr="005405D4" w:rsidRDefault="00326151" w:rsidP="005405D4">
      <w:pPr>
        <w:spacing w:before="330" w:line="480" w:lineRule="auto"/>
        <w:rPr>
          <w:rFonts w:ascii="Times New Roman" w:hAnsi="Times New Roman" w:cs="Times New Roman"/>
          <w:sz w:val="24"/>
          <w:szCs w:val="24"/>
        </w:rPr>
      </w:pPr>
      <w:bookmarkStart w:id="1" w:name="bm_1_introduction"/>
      <w:r w:rsidRPr="005405D4">
        <w:rPr>
          <w:rFonts w:ascii="Times New Roman" w:hAnsi="Times New Roman" w:cs="Times New Roman"/>
          <w:b/>
          <w:sz w:val="24"/>
          <w:szCs w:val="24"/>
        </w:rPr>
        <w:t>1 Introduction</w:t>
      </w:r>
      <w:bookmarkEnd w:id="1"/>
    </w:p>
    <w:p w14:paraId="666F2334" w14:textId="77777777" w:rsidR="00FE3703" w:rsidRPr="005405D4" w:rsidRDefault="00326151" w:rsidP="005405D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Diphtheria is a vaccine-preventable bacterial infection caused principally by toxigenic strains of Corynebacterium diphtheriae. Respiratory transmission occurs through droplets and close contact. Although early symptoms may resemble those of other upper-respiratory infections, toxin production can lead to a characteristic pharyngeal </w:t>
      </w:r>
      <w:proofErr w:type="spellStart"/>
      <w:r w:rsidRPr="005405D4">
        <w:rPr>
          <w:rFonts w:ascii="Times New Roman" w:hAnsi="Times New Roman" w:cs="Times New Roman"/>
          <w:sz w:val="24"/>
          <w:szCs w:val="24"/>
        </w:rPr>
        <w:t>pseudomembrane</w:t>
      </w:r>
      <w:proofErr w:type="spellEnd"/>
      <w:r w:rsidRPr="005405D4">
        <w:rPr>
          <w:rFonts w:ascii="Times New Roman" w:hAnsi="Times New Roman" w:cs="Times New Roman"/>
          <w:sz w:val="24"/>
          <w:szCs w:val="24"/>
        </w:rPr>
        <w:t>, airway obstruction, myocarditis, neurological complications, and death. Effective toxoid vaccines have greatly reduced the global burden of the disease, but transmission can return when immunity gaps accumulate [1, 7].</w:t>
      </w:r>
    </w:p>
    <w:p w14:paraId="50A66C97" w14:textId="77777777" w:rsidR="00FE3703" w:rsidRPr="005405D4" w:rsidRDefault="00326151" w:rsidP="005405D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Nigeria has experienced recurrent outbreaks in settings where routine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xml:space="preserve"> is incomplete and access to timely diagnosis and treatment is uneven [8,10]. The reasons are not purely biomedical. Distance from health facilities, insecurity, population displacement, supply-chain interruptions, misinformation, and vaccine hesitancy can all affect vaccine uptake. Consequently, national averages may conceal local clusters of susceptible people capable of sustaining transmission.</w:t>
      </w:r>
    </w:p>
    <w:p w14:paraId="1BA0B4F9"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Mathematical models provide a structured way to connect these processes. By dividing the population into epidemiological states and representing movement between them with differential equations, a</w:t>
      </w:r>
      <w:r w:rsidRPr="005405D4">
        <w:rPr>
          <w:rFonts w:ascii="Times New Roman" w:hAnsi="Times New Roman" w:cs="Times New Roman"/>
          <w:sz w:val="24"/>
          <w:szCs w:val="24"/>
        </w:rPr>
        <w:br/>
        <w:t>model can identify threshold conditions for invasion, clarify the influence of uncertain parameters, and compare intervention scenarios [2, 3]. It cannot replace surveillance or clinical evidence, but it can make assumptions explicit and help decision-makers understand their consequences.</w:t>
      </w:r>
    </w:p>
    <w:p w14:paraId="7F4B7F4F"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This study formulates an SIRV model for diphtheria vaccination control in Nigeria. Specifically, it aims to:</w:t>
      </w:r>
    </w:p>
    <w:p w14:paraId="0E5FE526" w14:textId="77777777" w:rsidR="00FE3703" w:rsidRPr="005405D4" w:rsidRDefault="00326151" w:rsidP="005405D4">
      <w:pPr>
        <w:numPr>
          <w:ilvl w:val="0"/>
          <w:numId w:val="2"/>
        </w:numPr>
        <w:spacing w:line="480" w:lineRule="auto"/>
        <w:rPr>
          <w:rFonts w:ascii="Times New Roman" w:hAnsi="Times New Roman" w:cs="Times New Roman"/>
          <w:sz w:val="24"/>
          <w:szCs w:val="24"/>
        </w:rPr>
      </w:pPr>
      <w:r w:rsidRPr="005405D4">
        <w:rPr>
          <w:rFonts w:ascii="Times New Roman" w:hAnsi="Times New Roman" w:cs="Times New Roman"/>
          <w:sz w:val="24"/>
          <w:szCs w:val="24"/>
        </w:rPr>
        <w:lastRenderedPageBreak/>
        <w:t>represent transmission, vaccination, recovery, mortality, and waning immunity in a single framework;</w:t>
      </w:r>
    </w:p>
    <w:p w14:paraId="0FE6A891" w14:textId="77777777" w:rsidR="00FE3703" w:rsidRPr="005405D4" w:rsidRDefault="00326151" w:rsidP="005405D4">
      <w:pPr>
        <w:numPr>
          <w:ilvl w:val="0"/>
          <w:numId w:val="2"/>
        </w:numPr>
        <w:spacing w:line="480" w:lineRule="auto"/>
        <w:rPr>
          <w:rFonts w:ascii="Times New Roman" w:hAnsi="Times New Roman" w:cs="Times New Roman"/>
          <w:sz w:val="24"/>
          <w:szCs w:val="24"/>
        </w:rPr>
      </w:pPr>
      <w:r w:rsidRPr="005405D4">
        <w:rPr>
          <w:rFonts w:ascii="Times New Roman" w:hAnsi="Times New Roman" w:cs="Times New Roman"/>
          <w:sz w:val="24"/>
          <w:szCs w:val="24"/>
        </w:rPr>
        <w:t xml:space="preserve">derive the disease-free and endemic equilibria and the basic reproduction number,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w:t>
      </w:r>
    </w:p>
    <w:p w14:paraId="1EDD7A46" w14:textId="77777777" w:rsidR="00FE3703" w:rsidRPr="005405D4" w:rsidRDefault="00326151" w:rsidP="005405D4">
      <w:pPr>
        <w:numPr>
          <w:ilvl w:val="0"/>
          <w:numId w:val="2"/>
        </w:numPr>
        <w:spacing w:line="480" w:lineRule="auto"/>
        <w:rPr>
          <w:rFonts w:ascii="Times New Roman" w:hAnsi="Times New Roman" w:cs="Times New Roman"/>
          <w:sz w:val="24"/>
          <w:szCs w:val="24"/>
        </w:rPr>
      </w:pPr>
      <w:r w:rsidRPr="005405D4">
        <w:rPr>
          <w:rFonts w:ascii="Times New Roman" w:hAnsi="Times New Roman" w:cs="Times New Roman"/>
          <w:sz w:val="24"/>
          <w:szCs w:val="24"/>
        </w:rPr>
        <w:t>establish the local stability condition for the disease-free equilibrium;</w:t>
      </w:r>
    </w:p>
    <w:p w14:paraId="31A8A0BA" w14:textId="77777777" w:rsidR="00FE3703" w:rsidRPr="005405D4" w:rsidRDefault="00326151" w:rsidP="005405D4">
      <w:pPr>
        <w:numPr>
          <w:ilvl w:val="0"/>
          <w:numId w:val="2"/>
        </w:numPr>
        <w:spacing w:line="480" w:lineRule="auto"/>
        <w:rPr>
          <w:rFonts w:ascii="Times New Roman" w:hAnsi="Times New Roman" w:cs="Times New Roman"/>
          <w:sz w:val="24"/>
          <w:szCs w:val="24"/>
        </w:rPr>
      </w:pPr>
      <w:r w:rsidRPr="005405D4">
        <w:rPr>
          <w:rFonts w:ascii="Times New Roman" w:hAnsi="Times New Roman" w:cs="Times New Roman"/>
          <w:sz w:val="24"/>
          <w:szCs w:val="24"/>
        </w:rPr>
        <w:t xml:space="preserve">quantify the sensitivity of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to key parameters; and</w:t>
      </w:r>
    </w:p>
    <w:p w14:paraId="2D2ADC7C" w14:textId="77777777" w:rsidR="00FE3703" w:rsidRPr="005405D4" w:rsidRDefault="00326151" w:rsidP="005405D4">
      <w:pPr>
        <w:numPr>
          <w:ilvl w:val="0"/>
          <w:numId w:val="2"/>
        </w:numPr>
        <w:spacing w:line="480" w:lineRule="auto"/>
        <w:rPr>
          <w:rFonts w:ascii="Times New Roman" w:hAnsi="Times New Roman" w:cs="Times New Roman"/>
          <w:sz w:val="24"/>
          <w:szCs w:val="24"/>
        </w:rPr>
      </w:pPr>
      <w:r w:rsidRPr="005405D4">
        <w:rPr>
          <w:rFonts w:ascii="Times New Roman" w:hAnsi="Times New Roman" w:cs="Times New Roman"/>
          <w:sz w:val="24"/>
          <w:szCs w:val="24"/>
        </w:rPr>
        <w:t>illustrate how alternative vaccination rates affect epidemic trajectories and the transmission threshold.</w:t>
      </w:r>
    </w:p>
    <w:p w14:paraId="60593D83" w14:textId="77777777" w:rsidR="00FE3703" w:rsidRPr="005405D4" w:rsidRDefault="00326151" w:rsidP="005405D4">
      <w:pPr>
        <w:spacing w:before="330" w:line="480" w:lineRule="auto"/>
        <w:rPr>
          <w:rFonts w:ascii="Times New Roman" w:hAnsi="Times New Roman" w:cs="Times New Roman"/>
          <w:sz w:val="24"/>
          <w:szCs w:val="24"/>
        </w:rPr>
      </w:pPr>
      <w:bookmarkStart w:id="2" w:name="bm_2_related_literature_and_niger_3af569"/>
      <w:r w:rsidRPr="005405D4">
        <w:rPr>
          <w:rFonts w:ascii="Times New Roman" w:hAnsi="Times New Roman" w:cs="Times New Roman"/>
          <w:b/>
          <w:sz w:val="24"/>
          <w:szCs w:val="24"/>
        </w:rPr>
        <w:t>2 Related literature and Nigerian context</w:t>
      </w:r>
      <w:bookmarkEnd w:id="2"/>
    </w:p>
    <w:p w14:paraId="5A99BAD5" w14:textId="77777777" w:rsidR="00FE3703" w:rsidRPr="005405D4" w:rsidRDefault="00326151" w:rsidP="005405D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 classical SIR framework separates a host population into susceptible, infectious, and recovered classes. Vaccination models commonly add a protected class, while more detailed formulations may also include age, latency, asymptomatic carriage, imperfect vaccine protection, seasonality, or spatial movement [3, 4]. The appropriate level of detail depends on the research question and the data available. For the present threshold analysis, an SIRV system offers a useful balance between interpretability and epidemiological relevance.</w:t>
      </w:r>
    </w:p>
    <w:p w14:paraId="56A15AF7" w14:textId="77777777" w:rsidR="00FE3703" w:rsidRPr="005405D4" w:rsidRDefault="00326151" w:rsidP="005405D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Vaccination affects transmission by reducing the pool of susceptible hosts. Its population-level benefit therefore depends not only on the number of doses delivered, but also on the timing and distribution of those doses and the duration of protection. When vaccine-induced or infection-acquired immunity wanes, previously protected people may again become susceptible. Booster vaccination can counter this replenishment, especially when routine coverage has been inconsistent.</w:t>
      </w:r>
    </w:p>
    <w:p w14:paraId="072B8A8E" w14:textId="77777777" w:rsidR="00FE3703" w:rsidRPr="005405D4" w:rsidRDefault="00326151" w:rsidP="005405D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In Nigeria,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xml:space="preserve"> performance differs across regions and socioeconomic groups [9, 10]. Rural access, conflict, cold-chain reliability, workforce constraints, and confidence in vaccination may influence </w:t>
      </w:r>
      <w:r w:rsidRPr="005405D4">
        <w:rPr>
          <w:rFonts w:ascii="Times New Roman" w:hAnsi="Times New Roman" w:cs="Times New Roman"/>
          <w:sz w:val="24"/>
          <w:szCs w:val="24"/>
        </w:rPr>
        <w:lastRenderedPageBreak/>
        <w:t>both primary-series and booster coverage. A national control strategy must therefore combine routine delivery with surveillance-led responses in locations where susceptibility is concentrated. The present model does not resolve this heterogeneity; rather, it supplies a baseline against which age-structured, spatial, and data-driven extensions can be compared.</w:t>
      </w:r>
    </w:p>
    <w:p w14:paraId="2C6F0E61" w14:textId="77777777" w:rsidR="00FE3703" w:rsidRPr="005405D4" w:rsidRDefault="00326151" w:rsidP="005405D4">
      <w:pPr>
        <w:spacing w:before="240" w:line="480" w:lineRule="auto"/>
        <w:rPr>
          <w:rFonts w:ascii="Times New Roman" w:hAnsi="Times New Roman" w:cs="Times New Roman"/>
          <w:sz w:val="24"/>
          <w:szCs w:val="24"/>
        </w:rPr>
      </w:pPr>
      <w:bookmarkStart w:id="3" w:name="bm_2_1_classical_sir_model"/>
      <w:r w:rsidRPr="005405D4">
        <w:rPr>
          <w:rFonts w:ascii="Times New Roman" w:hAnsi="Times New Roman" w:cs="Times New Roman"/>
          <w:b/>
          <w:sz w:val="24"/>
          <w:szCs w:val="24"/>
        </w:rPr>
        <w:t>2.1 Classical SIR model</w:t>
      </w:r>
      <w:bookmarkEnd w:id="3"/>
    </w:p>
    <w:p w14:paraId="3B8759D5"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simplest relevant formulation is the susceptible-infectious-recovered (SIR) model. With recruitment and natural mortality, it may be written as [1, 3]</w:t>
      </w:r>
    </w:p>
    <w:p w14:paraId="528E1BDE"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=Λ-</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μS</m:t>
              </m:r>
              <m:r>
                <m:rPr>
                  <m:sty m:val="p"/>
                </m:rPr>
                <w:rPr>
                  <w:rFonts w:ascii="Cambria Math" w:hAnsi="Cambria Math" w:cs="Times New Roman"/>
                  <w:sz w:val="24"/>
                  <w:szCs w:val="24"/>
                </w:rPr>
                <m:t>,</m:t>
              </m:r>
              <m:r>
                <w:rPr>
                  <w:rFonts w:ascii="Cambria Math" w:hAnsi="Cambria Math" w:cs="Times New Roman"/>
                  <w:sz w:val="24"/>
                  <w:szCs w:val="24"/>
                </w:rPr>
                <m:t>#(1)</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I</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#(2)</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r>
                <w:rPr>
                  <w:rFonts w:ascii="Cambria Math" w:hAnsi="Cambria Math" w:cs="Times New Roman"/>
                  <w:sz w:val="24"/>
                  <w:szCs w:val="24"/>
                </w:rPr>
                <m:t>μR</m:t>
              </m:r>
              <m:r>
                <m:rPr>
                  <m:sty m:val="p"/>
                </m:rPr>
                <w:rPr>
                  <w:rFonts w:ascii="Cambria Math" w:hAnsi="Cambria Math" w:cs="Times New Roman"/>
                  <w:sz w:val="24"/>
                  <w:szCs w:val="24"/>
                </w:rPr>
                <m:t>.</m:t>
              </m:r>
              <m:r>
                <w:rPr>
                  <w:rFonts w:ascii="Cambria Math" w:hAnsi="Cambria Math" w:cs="Times New Roman"/>
                  <w:sz w:val="24"/>
                  <w:szCs w:val="24"/>
                </w:rPr>
                <m:t>#(3)</m:t>
              </m:r>
            </m:e>
          </m:eqArr>
        </m:oMath>
      </m:oMathPara>
    </w:p>
    <w:p w14:paraId="30CFE52C" w14:textId="72D52114"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Here, susceptible individuals become infected at rate </w:t>
      </w:r>
      <m:oMath>
        <m:r>
          <w:rPr>
            <w:rFonts w:ascii="Cambria Math" w:hAnsi="Cambria Math" w:cs="Times New Roman"/>
            <w:sz w:val="24"/>
            <w:szCs w:val="24"/>
          </w:rPr>
          <m:t>βSI</m:t>
        </m:r>
        <m:r>
          <m:rPr>
            <m:sty m:val="p"/>
          </m:rPr>
          <w:rPr>
            <w:rFonts w:ascii="Cambria Math" w:hAnsi="Cambria Math" w:cs="Times New Roman"/>
            <w:sz w:val="24"/>
            <w:szCs w:val="24"/>
          </w:rPr>
          <m:t>/</m:t>
        </m:r>
        <m:r>
          <w:rPr>
            <w:rFonts w:ascii="Cambria Math" w:hAnsi="Cambria Math" w:cs="Times New Roman"/>
            <w:sz w:val="24"/>
            <w:szCs w:val="24"/>
          </w:rPr>
          <m:t>N</m:t>
        </m:r>
      </m:oMath>
      <w:r w:rsidRPr="005405D4">
        <w:rPr>
          <w:rFonts w:ascii="Times New Roman" w:hAnsi="Times New Roman" w:cs="Times New Roman"/>
          <w:sz w:val="24"/>
          <w:szCs w:val="24"/>
        </w:rPr>
        <w:t xml:space="preserve">, while infectious individuals recover at rate </w:t>
      </w:r>
      <m:oMath>
        <m:r>
          <w:rPr>
            <w:rFonts w:ascii="Cambria Math" w:hAnsi="Cambria Math" w:cs="Times New Roman"/>
            <w:sz w:val="24"/>
            <w:szCs w:val="24"/>
          </w:rPr>
          <m:t>γI</m:t>
        </m:r>
      </m:oMath>
      <w:r w:rsidRPr="005405D4">
        <w:rPr>
          <w:rFonts w:ascii="Times New Roman" w:hAnsi="Times New Roman" w:cs="Times New Roman"/>
          <w:sz w:val="24"/>
          <w:szCs w:val="24"/>
        </w:rPr>
        <w:t>. For this basic system, the re</w:t>
      </w:r>
      <w:r w:rsidR="00721728" w:rsidRPr="005405D4">
        <w:rPr>
          <w:rFonts w:ascii="Times New Roman" w:hAnsi="Times New Roman" w:cs="Times New Roman"/>
          <w:sz w:val="24"/>
          <w:szCs w:val="24"/>
        </w:rPr>
        <w:t>p</w:t>
      </w:r>
      <w:r w:rsidRPr="005405D4">
        <w:rPr>
          <w:rFonts w:ascii="Times New Roman" w:hAnsi="Times New Roman" w:cs="Times New Roman"/>
          <w:sz w:val="24"/>
          <w:szCs w:val="24"/>
        </w:rPr>
        <w:t>roduction number is</w:t>
      </w:r>
    </w:p>
    <w:p w14:paraId="32979470"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up>
                  <m:r>
                    <m:rPr>
                      <m:sty m:val="p"/>
                    </m:rPr>
                    <w:rPr>
                      <w:rFonts w:ascii="Cambria Math" w:hAnsi="Cambria Math" w:cs="Times New Roman"/>
                      <w:sz w:val="24"/>
                      <w:szCs w:val="24"/>
                    </w:rPr>
                    <m:t>SIR</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m:t>
              </m:r>
              <m:r>
                <w:rPr>
                  <w:rFonts w:ascii="Cambria Math" w:hAnsi="Cambria Math" w:cs="Times New Roman"/>
                  <w:sz w:val="24"/>
                  <w:szCs w:val="24"/>
                </w:rPr>
                <m:t>#(4)</m:t>
              </m:r>
            </m:e>
          </m:eqArr>
        </m:oMath>
      </m:oMathPara>
    </w:p>
    <w:p w14:paraId="7C26632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Although the SIR model captures the principal transmission process, it assumes that recovered individuals remain immune and does not explicitly represent vaccination.</w:t>
      </w:r>
    </w:p>
    <w:p w14:paraId="67B6C088" w14:textId="77777777" w:rsidR="00FE3703" w:rsidRPr="005405D4" w:rsidRDefault="00326151" w:rsidP="005405D4">
      <w:pPr>
        <w:spacing w:before="240" w:line="480" w:lineRule="auto"/>
        <w:rPr>
          <w:rFonts w:ascii="Times New Roman" w:hAnsi="Times New Roman" w:cs="Times New Roman"/>
          <w:sz w:val="24"/>
          <w:szCs w:val="24"/>
        </w:rPr>
      </w:pPr>
      <w:bookmarkStart w:id="4" w:name="bm_2_2_seir_model_with_a_latent_period"/>
      <w:r w:rsidRPr="005405D4">
        <w:rPr>
          <w:rFonts w:ascii="Times New Roman" w:hAnsi="Times New Roman" w:cs="Times New Roman"/>
          <w:b/>
          <w:sz w:val="24"/>
          <w:szCs w:val="24"/>
        </w:rPr>
        <w:t>2.2 SEIR model with a latent period</w:t>
      </w:r>
      <w:bookmarkEnd w:id="4"/>
    </w:p>
    <w:p w14:paraId="69051ADD"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An exposed class can be introduced when the delay between infection and infectiousness is epidemiologically important. A representative susceptible-exposed-infectious-recovered (SEIR) model is</w:t>
      </w:r>
    </w:p>
    <w:p w14:paraId="03E47AFD"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=Λ-</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μS</m:t>
              </m:r>
              <m:r>
                <m:rPr>
                  <m:sty m:val="p"/>
                </m:rPr>
                <w:rPr>
                  <w:rFonts w:ascii="Cambria Math" w:hAnsi="Cambria Math" w:cs="Times New Roman"/>
                  <w:sz w:val="24"/>
                  <w:szCs w:val="24"/>
                </w:rPr>
                <m:t>,</m:t>
              </m:r>
              <m:r>
                <w:rPr>
                  <w:rFonts w:ascii="Cambria Math" w:hAnsi="Cambria Math" w:cs="Times New Roman"/>
                  <w:sz w:val="24"/>
                  <w:szCs w:val="24"/>
                </w:rPr>
                <m:t>#(5)</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E</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E</m:t>
              </m:r>
              <m:r>
                <m:rPr>
                  <m:sty m:val="p"/>
                </m:rPr>
                <w:rPr>
                  <w:rFonts w:ascii="Cambria Math" w:hAnsi="Cambria Math" w:cs="Times New Roman"/>
                  <w:sz w:val="24"/>
                  <w:szCs w:val="24"/>
                </w:rPr>
                <m:t>,</m:t>
              </m:r>
              <m:r>
                <w:rPr>
                  <w:rFonts w:ascii="Cambria Math" w:hAnsi="Cambria Math" w:cs="Times New Roman"/>
                  <w:sz w:val="24"/>
                  <w:szCs w:val="24"/>
                </w:rPr>
                <m:t>#(6)</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I</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m:t>
              </m:r>
              <m:r>
                <w:rPr>
                  <w:rFonts w:ascii="Cambria Math" w:hAnsi="Cambria Math" w:cs="Times New Roman"/>
                  <w:sz w:val="24"/>
                  <w:szCs w:val="24"/>
                </w:rPr>
                <m:t>σE</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#(7)</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r>
                <w:rPr>
                  <w:rFonts w:ascii="Cambria Math" w:hAnsi="Cambria Math" w:cs="Times New Roman"/>
                  <w:sz w:val="24"/>
                  <w:szCs w:val="24"/>
                </w:rPr>
                <m:t>μR</m:t>
              </m:r>
              <m:r>
                <m:rPr>
                  <m:sty m:val="p"/>
                </m:rPr>
                <w:rPr>
                  <w:rFonts w:ascii="Cambria Math" w:hAnsi="Cambria Math" w:cs="Times New Roman"/>
                  <w:sz w:val="24"/>
                  <w:szCs w:val="24"/>
                </w:rPr>
                <m:t>,</m:t>
              </m:r>
              <m:r>
                <w:rPr>
                  <w:rFonts w:ascii="Cambria Math" w:hAnsi="Cambria Math" w:cs="Times New Roman"/>
                  <w:sz w:val="24"/>
                  <w:szCs w:val="24"/>
                </w:rPr>
                <m:t>#(8)</m:t>
              </m:r>
            </m:e>
          </m:eqArr>
        </m:oMath>
      </m:oMathPara>
    </w:p>
    <w:p w14:paraId="6F4EE232"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where </w:t>
      </w:r>
      <m:oMath>
        <m:r>
          <w:rPr>
            <w:rFonts w:ascii="Cambria Math" w:hAnsi="Cambria Math" w:cs="Times New Roman"/>
            <w:sz w:val="24"/>
            <w:szCs w:val="24"/>
          </w:rPr>
          <m:t>E</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denotes infected individuals who are not yet infectious and </w:t>
      </w:r>
      <m:oMath>
        <m:r>
          <m:rPr>
            <m:sty m:val="p"/>
          </m:rPr>
          <w:rPr>
            <w:rFonts w:ascii="Cambria Math" w:hAnsi="Cambria Math" w:cs="Times New Roman"/>
            <w:sz w:val="24"/>
            <w:szCs w:val="24"/>
          </w:rPr>
          <m:t>1/</m:t>
        </m:r>
        <m:r>
          <w:rPr>
            <w:rFonts w:ascii="Cambria Math" w:hAnsi="Cambria Math" w:cs="Times New Roman"/>
            <w:sz w:val="24"/>
            <w:szCs w:val="24"/>
          </w:rPr>
          <m:t>σ</m:t>
        </m:r>
      </m:oMath>
      <w:r w:rsidRPr="005405D4">
        <w:rPr>
          <w:rFonts w:ascii="Times New Roman" w:hAnsi="Times New Roman" w:cs="Times New Roman"/>
          <w:sz w:val="24"/>
          <w:szCs w:val="24"/>
        </w:rPr>
        <w:t xml:space="preserve"> is the average latent period. Its basic reproduction number is</w:t>
      </w:r>
    </w:p>
    <w:p w14:paraId="40489166"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up>
                  <m:r>
                    <m:rPr>
                      <m:sty m:val="p"/>
                    </m:rPr>
                    <w:rPr>
                      <w:rFonts w:ascii="Cambria Math" w:hAnsi="Cambria Math" w:cs="Times New Roman"/>
                      <w:sz w:val="24"/>
                      <w:szCs w:val="24"/>
                    </w:rPr>
                    <m:t>SEIR</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βσ</m:t>
                  </m:r>
                </m:num>
                <m:den>
                  <m:r>
                    <m:rPr>
                      <m:sty m:val="p"/>
                    </m:rPr>
                    <w:rPr>
                      <w:rFonts w:ascii="Cambria Math" w:hAnsi="Cambria Math" w:cs="Times New Roman"/>
                      <w:sz w:val="24"/>
                      <w:szCs w:val="24"/>
                    </w:rPr>
                    <m:t>(</m:t>
                  </m:r>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den>
              </m:f>
              <m:r>
                <m:rPr>
                  <m:sty m:val="p"/>
                </m:rPr>
                <w:rPr>
                  <w:rFonts w:ascii="Cambria Math" w:hAnsi="Cambria Math" w:cs="Times New Roman"/>
                  <w:sz w:val="24"/>
                  <w:szCs w:val="24"/>
                </w:rPr>
                <m:t>.</m:t>
              </m:r>
              <m:r>
                <w:rPr>
                  <w:rFonts w:ascii="Cambria Math" w:hAnsi="Cambria Math" w:cs="Times New Roman"/>
                  <w:sz w:val="24"/>
                  <w:szCs w:val="24"/>
                </w:rPr>
                <m:t>#(9)</m:t>
              </m:r>
            </m:e>
          </m:eqArr>
        </m:oMath>
      </m:oMathPara>
    </w:p>
    <w:p w14:paraId="3AFECC00"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factor </w:t>
      </w:r>
      <m:oMath>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represents the probability that an exposed individual survives the latent stage and progresses to infectiousness.</w:t>
      </w:r>
    </w:p>
    <w:p w14:paraId="5BE4DC96" w14:textId="77777777" w:rsidR="00FE3703" w:rsidRPr="005405D4" w:rsidRDefault="00326151" w:rsidP="005405D4">
      <w:pPr>
        <w:spacing w:before="240" w:line="480" w:lineRule="auto"/>
        <w:rPr>
          <w:rFonts w:ascii="Times New Roman" w:hAnsi="Times New Roman" w:cs="Times New Roman"/>
          <w:sz w:val="24"/>
          <w:szCs w:val="24"/>
        </w:rPr>
      </w:pPr>
      <w:bookmarkStart w:id="5" w:name="bm_2_3_vaccination_and_waning_imm_cb064f"/>
      <w:r w:rsidRPr="005405D4">
        <w:rPr>
          <w:rFonts w:ascii="Times New Roman" w:hAnsi="Times New Roman" w:cs="Times New Roman"/>
          <w:b/>
          <w:sz w:val="24"/>
          <w:szCs w:val="24"/>
        </w:rPr>
        <w:t>2.3 Vaccination and waning-immunity extensions</w:t>
      </w:r>
      <w:bookmarkEnd w:id="5"/>
    </w:p>
    <w:p w14:paraId="75EF565B"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Vaccination models add a protected class </w:t>
      </w:r>
      <m:oMath>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If susceptible individuals are vaccinated at rate </w:t>
      </w:r>
      <m:oMath>
        <m:r>
          <w:rPr>
            <w:rFonts w:ascii="Cambria Math" w:hAnsi="Cambria Math" w:cs="Times New Roman"/>
            <w:sz w:val="24"/>
            <w:szCs w:val="24"/>
          </w:rPr>
          <m:t>ν</m:t>
        </m:r>
      </m:oMath>
      <w:r w:rsidRPr="005405D4">
        <w:rPr>
          <w:rFonts w:ascii="Times New Roman" w:hAnsi="Times New Roman" w:cs="Times New Roman"/>
          <w:sz w:val="24"/>
          <w:szCs w:val="24"/>
        </w:rPr>
        <w:t xml:space="preserve"> and vaccine-induced immunity wanes at rate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oMath>
      <w:r w:rsidRPr="005405D4">
        <w:rPr>
          <w:rFonts w:ascii="Times New Roman" w:hAnsi="Times New Roman" w:cs="Times New Roman"/>
          <w:sz w:val="24"/>
          <w:szCs w:val="24"/>
        </w:rPr>
        <w:t>, the vaccination-related flows are</w:t>
      </w:r>
    </w:p>
    <w:p w14:paraId="79D0E887"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#(10)</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V</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#(11)</m:t>
              </m:r>
            </m:e>
          </m:eqArr>
        </m:oMath>
      </m:oMathPara>
    </w:p>
    <w:p w14:paraId="5E756C7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Similarly, temporary infection-acquired immunity is represented by returning recovered individuals to susceptibility at rate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w:rPr>
            <w:rFonts w:ascii="Cambria Math" w:hAnsi="Cambria Math" w:cs="Times New Roman"/>
            <w:sz w:val="24"/>
            <w:szCs w:val="24"/>
          </w:rPr>
          <m:t>R</m:t>
        </m:r>
      </m:oMath>
      <w:r w:rsidRPr="005405D4">
        <w:rPr>
          <w:rFonts w:ascii="Times New Roman" w:hAnsi="Times New Roman" w:cs="Times New Roman"/>
          <w:sz w:val="24"/>
          <w:szCs w:val="24"/>
        </w:rPr>
        <w:t xml:space="preserve"> :</w:t>
      </w:r>
    </w:p>
    <w:p w14:paraId="59CF00F3"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R</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#(12)</m:t>
              </m:r>
            </m:e>
          </m:eqArr>
        </m:oMath>
      </m:oMathPara>
    </w:p>
    <w:p w14:paraId="75643D72"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lastRenderedPageBreak/>
        <w:t>These extensions are particularly relevant to diphtheria because vaccination and the maintenance of immunity are central to disease control. The SIRV framework adopted in this study combines these mechanisms while retaining a sufficiently compact structure for equilibrium, threshold, stability, and sensitivity analysis.</w:t>
      </w:r>
    </w:p>
    <w:p w14:paraId="21963015" w14:textId="77777777" w:rsidR="00FE3703" w:rsidRPr="005405D4" w:rsidRDefault="00326151" w:rsidP="005405D4">
      <w:pPr>
        <w:spacing w:before="330" w:line="480" w:lineRule="auto"/>
        <w:rPr>
          <w:rFonts w:ascii="Times New Roman" w:hAnsi="Times New Roman" w:cs="Times New Roman"/>
          <w:sz w:val="24"/>
          <w:szCs w:val="24"/>
        </w:rPr>
      </w:pPr>
      <w:bookmarkStart w:id="6" w:name="bm_3_model_formulation"/>
      <w:r w:rsidRPr="005405D4">
        <w:rPr>
          <w:rFonts w:ascii="Times New Roman" w:hAnsi="Times New Roman" w:cs="Times New Roman"/>
          <w:b/>
          <w:sz w:val="24"/>
          <w:szCs w:val="24"/>
        </w:rPr>
        <w:t>3 Model formulation</w:t>
      </w:r>
      <w:bookmarkEnd w:id="6"/>
    </w:p>
    <w:p w14:paraId="19BF5E3D" w14:textId="77777777" w:rsidR="00FE3703" w:rsidRPr="005405D4" w:rsidRDefault="00326151" w:rsidP="005405D4">
      <w:pPr>
        <w:spacing w:before="240" w:line="480" w:lineRule="auto"/>
        <w:rPr>
          <w:rFonts w:ascii="Times New Roman" w:hAnsi="Times New Roman" w:cs="Times New Roman"/>
          <w:sz w:val="24"/>
          <w:szCs w:val="24"/>
        </w:rPr>
      </w:pPr>
      <w:bookmarkStart w:id="7" w:name="bm_3_1_state_variables_and_assumptions"/>
      <w:r w:rsidRPr="005405D4">
        <w:rPr>
          <w:rFonts w:ascii="Times New Roman" w:hAnsi="Times New Roman" w:cs="Times New Roman"/>
          <w:b/>
          <w:sz w:val="24"/>
          <w:szCs w:val="24"/>
        </w:rPr>
        <w:t>3.1 State variables and assumptions</w:t>
      </w:r>
      <w:bookmarkEnd w:id="7"/>
    </w:p>
    <w:p w14:paraId="5D8EFE02"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At time </w:t>
      </w:r>
      <m:oMath>
        <m:r>
          <w:rPr>
            <w:rFonts w:ascii="Cambria Math" w:hAnsi="Cambria Math" w:cs="Times New Roman"/>
            <w:sz w:val="24"/>
            <w:szCs w:val="24"/>
          </w:rPr>
          <m:t>t</m:t>
        </m:r>
      </m:oMath>
      <w:r w:rsidRPr="005405D4">
        <w:rPr>
          <w:rFonts w:ascii="Times New Roman" w:hAnsi="Times New Roman" w:cs="Times New Roman"/>
          <w:sz w:val="24"/>
          <w:szCs w:val="24"/>
        </w:rPr>
        <w:t xml:space="preserve">, the population is partitioned into susceptible </w:t>
      </w:r>
      <m:oMath>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infectious </w:t>
      </w:r>
      <m:oMath>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recovered </w:t>
      </w:r>
      <m:oMath>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and vaccinated </w:t>
      </w:r>
      <m:oMath>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individuals. Thus,</w:t>
      </w:r>
    </w:p>
    <w:p w14:paraId="51B3873D"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N</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#(13)</m:t>
              </m:r>
            </m:e>
          </m:eqArr>
        </m:oMath>
      </m:oMathPara>
    </w:p>
    <w:p w14:paraId="6F581A4E"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New individuals enter the susceptible class at rate </w:t>
      </w:r>
      <m:oMath>
        <m:r>
          <m:rPr>
            <m:sty m:val="p"/>
          </m:rPr>
          <w:rPr>
            <w:rFonts w:ascii="Cambria Math" w:hAnsi="Cambria Math" w:cs="Times New Roman"/>
            <w:sz w:val="24"/>
            <w:szCs w:val="24"/>
          </w:rPr>
          <m:t>Λ</m:t>
        </m:r>
      </m:oMath>
      <w:r w:rsidRPr="005405D4">
        <w:rPr>
          <w:rFonts w:ascii="Times New Roman" w:hAnsi="Times New Roman" w:cs="Times New Roman"/>
          <w:sz w:val="24"/>
          <w:szCs w:val="24"/>
        </w:rPr>
        <w:t xml:space="preserve">. Susceptible individuals acquire infection through homogeneous contact with infectious individuals or enter the vaccinated class at per-capita rate </w:t>
      </w:r>
      <m:oMath>
        <m:r>
          <w:rPr>
            <w:rFonts w:ascii="Cambria Math" w:hAnsi="Cambria Math" w:cs="Times New Roman"/>
            <w:sz w:val="24"/>
            <w:szCs w:val="24"/>
          </w:rPr>
          <m:t>ν</m:t>
        </m:r>
      </m:oMath>
      <w:r w:rsidRPr="005405D4">
        <w:rPr>
          <w:rFonts w:ascii="Times New Roman" w:hAnsi="Times New Roman" w:cs="Times New Roman"/>
          <w:sz w:val="24"/>
          <w:szCs w:val="24"/>
        </w:rPr>
        <w:t xml:space="preserve">. Infectious individuals recover at rate </w:t>
      </w:r>
      <m:oMath>
        <m:r>
          <w:rPr>
            <w:rFonts w:ascii="Cambria Math" w:hAnsi="Cambria Math" w:cs="Times New Roman"/>
            <w:sz w:val="24"/>
            <w:szCs w:val="24"/>
          </w:rPr>
          <m:t>γ</m:t>
        </m:r>
      </m:oMath>
      <w:r w:rsidRPr="005405D4">
        <w:rPr>
          <w:rFonts w:ascii="Times New Roman" w:hAnsi="Times New Roman" w:cs="Times New Roman"/>
          <w:sz w:val="24"/>
          <w:szCs w:val="24"/>
        </w:rPr>
        <w:t xml:space="preserve"> and experience disease-induced mortality at rate </w:t>
      </w:r>
      <m:oMath>
        <m:r>
          <w:rPr>
            <w:rFonts w:ascii="Cambria Math" w:hAnsi="Cambria Math" w:cs="Times New Roman"/>
            <w:sz w:val="24"/>
            <w:szCs w:val="24"/>
          </w:rPr>
          <m:t>δ</m:t>
        </m:r>
      </m:oMath>
      <w:r w:rsidRPr="005405D4">
        <w:rPr>
          <w:rFonts w:ascii="Times New Roman" w:hAnsi="Times New Roman" w:cs="Times New Roman"/>
          <w:sz w:val="24"/>
          <w:szCs w:val="24"/>
        </w:rPr>
        <w:t xml:space="preserve">. Natural mortality occurs in every class at rate </w:t>
      </w:r>
      <m:oMath>
        <m:r>
          <w:rPr>
            <w:rFonts w:ascii="Cambria Math" w:hAnsi="Cambria Math" w:cs="Times New Roman"/>
            <w:sz w:val="24"/>
            <w:szCs w:val="24"/>
          </w:rPr>
          <m:t>μ</m:t>
        </m:r>
      </m:oMath>
      <w:r w:rsidRPr="005405D4">
        <w:rPr>
          <w:rFonts w:ascii="Times New Roman" w:hAnsi="Times New Roman" w:cs="Times New Roman"/>
          <w:sz w:val="24"/>
          <w:szCs w:val="24"/>
        </w:rPr>
        <w:t xml:space="preserve">. Infection-acquired and vaccine-induced protection wane at rates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oMath>
      <w:r w:rsidRPr="005405D4">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oMath>
      <w:r w:rsidRPr="005405D4">
        <w:rPr>
          <w:rFonts w:ascii="Times New Roman" w:hAnsi="Times New Roman" w:cs="Times New Roman"/>
          <w:sz w:val="24"/>
          <w:szCs w:val="24"/>
        </w:rPr>
        <w:t xml:space="preserve">, respectively. Vaccinated individuals are treated as fully protected while they remain in </w:t>
      </w:r>
      <m:oMath>
        <m:r>
          <w:rPr>
            <w:rFonts w:ascii="Cambria Math" w:hAnsi="Cambria Math" w:cs="Times New Roman"/>
            <w:sz w:val="24"/>
            <w:szCs w:val="24"/>
          </w:rPr>
          <m:t>V</m:t>
        </m:r>
      </m:oMath>
      <w:r w:rsidRPr="005405D4">
        <w:rPr>
          <w:rFonts w:ascii="Times New Roman" w:hAnsi="Times New Roman" w:cs="Times New Roman"/>
          <w:sz w:val="24"/>
          <w:szCs w:val="24"/>
        </w:rPr>
        <w:t>; this simplifying assumption is revisited in Section 7.</w:t>
      </w:r>
    </w:p>
    <w:p w14:paraId="21F618CD"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force of infection is</w:t>
      </w:r>
    </w:p>
    <w:p w14:paraId="79222AB0"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λ</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num>
                <m:den>
                  <m:r>
                    <w:rPr>
                      <w:rFonts w:ascii="Cambria Math" w:hAnsi="Cambria Math" w:cs="Times New Roman"/>
                      <w:sz w:val="24"/>
                      <w:szCs w:val="24"/>
                    </w:rPr>
                    <m:t>N</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den>
              </m:f>
              <m:r>
                <m:rPr>
                  <m:sty m:val="p"/>
                </m:rPr>
                <w:rPr>
                  <w:rFonts w:ascii="Cambria Math" w:hAnsi="Cambria Math" w:cs="Times New Roman"/>
                  <w:sz w:val="24"/>
                  <w:szCs w:val="24"/>
                </w:rPr>
                <m:t>,</m:t>
              </m:r>
              <m:r>
                <w:rPr>
                  <w:rFonts w:ascii="Cambria Math" w:hAnsi="Cambria Math" w:cs="Times New Roman"/>
                  <w:sz w:val="24"/>
                  <w:szCs w:val="24"/>
                </w:rPr>
                <m:t>#(14)</m:t>
              </m:r>
            </m:e>
          </m:eqArr>
        </m:oMath>
      </m:oMathPara>
    </w:p>
    <w:p w14:paraId="2ECCA750"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where </w:t>
      </w:r>
      <m:oMath>
        <m:r>
          <w:rPr>
            <w:rFonts w:ascii="Cambria Math" w:hAnsi="Cambria Math" w:cs="Times New Roman"/>
            <w:sz w:val="24"/>
            <w:szCs w:val="24"/>
          </w:rPr>
          <m:t>β</m:t>
        </m:r>
      </m:oMath>
      <w:r w:rsidRPr="005405D4">
        <w:rPr>
          <w:rFonts w:ascii="Times New Roman" w:hAnsi="Times New Roman" w:cs="Times New Roman"/>
          <w:sz w:val="24"/>
          <w:szCs w:val="24"/>
        </w:rPr>
        <w:t xml:space="preserve"> is the effective transmission rate. The corresponding incidence is </w:t>
      </w:r>
      <m:oMath>
        <m:r>
          <w:rPr>
            <w:rFonts w:ascii="Cambria Math" w:hAnsi="Cambria Math" w:cs="Times New Roman"/>
            <w:sz w:val="24"/>
            <w:szCs w:val="24"/>
          </w:rPr>
          <m:t>λS</m:t>
        </m:r>
        <m:r>
          <m:rPr>
            <m:sty m:val="p"/>
          </m:rPr>
          <w:rPr>
            <w:rFonts w:ascii="Cambria Math" w:hAnsi="Cambria Math" w:cs="Times New Roman"/>
            <w:sz w:val="24"/>
            <w:szCs w:val="24"/>
          </w:rPr>
          <m:t>=</m:t>
        </m:r>
        <m:r>
          <w:rPr>
            <w:rFonts w:ascii="Cambria Math" w:hAnsi="Cambria Math" w:cs="Times New Roman"/>
            <w:sz w:val="24"/>
            <w:szCs w:val="24"/>
          </w:rPr>
          <m:t>βSI</m:t>
        </m:r>
        <m:r>
          <m:rPr>
            <m:sty m:val="p"/>
          </m:rPr>
          <w:rPr>
            <w:rFonts w:ascii="Cambria Math" w:hAnsi="Cambria Math" w:cs="Times New Roman"/>
            <w:sz w:val="24"/>
            <w:szCs w:val="24"/>
          </w:rPr>
          <m:t>/</m:t>
        </m:r>
        <m:r>
          <w:rPr>
            <w:rFonts w:ascii="Cambria Math" w:hAnsi="Cambria Math" w:cs="Times New Roman"/>
            <w:sz w:val="24"/>
            <w:szCs w:val="24"/>
          </w:rPr>
          <m:t>N</m:t>
        </m:r>
      </m:oMath>
      <w:r w:rsidRPr="005405D4">
        <w:rPr>
          <w:rFonts w:ascii="Times New Roman" w:hAnsi="Times New Roman" w:cs="Times New Roman"/>
          <w:sz w:val="24"/>
          <w:szCs w:val="24"/>
        </w:rPr>
        <w:t>.</w:t>
      </w:r>
    </w:p>
    <w:p w14:paraId="7C3B67D3" w14:textId="77777777" w:rsidR="00FE3703" w:rsidRPr="005405D4" w:rsidRDefault="00326151" w:rsidP="005405D4">
      <w:pPr>
        <w:spacing w:before="240" w:line="480" w:lineRule="auto"/>
        <w:rPr>
          <w:rFonts w:ascii="Times New Roman" w:hAnsi="Times New Roman" w:cs="Times New Roman"/>
          <w:sz w:val="24"/>
          <w:szCs w:val="24"/>
        </w:rPr>
      </w:pPr>
      <w:bookmarkStart w:id="8" w:name="bm_3_2_compartmental_diagram"/>
      <w:r w:rsidRPr="005405D4">
        <w:rPr>
          <w:rFonts w:ascii="Times New Roman" w:hAnsi="Times New Roman" w:cs="Times New Roman"/>
          <w:b/>
          <w:sz w:val="24"/>
          <w:szCs w:val="24"/>
        </w:rPr>
        <w:t>3.2 Compartmental diagram</w:t>
      </w:r>
      <w:bookmarkEnd w:id="8"/>
    </w:p>
    <w:p w14:paraId="0E0AF999"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lastRenderedPageBreak/>
        <w:t xml:space="preserve">Figure 1 </w:t>
      </w:r>
      <w:proofErr w:type="spellStart"/>
      <w:r w:rsidRPr="005405D4">
        <w:rPr>
          <w:rFonts w:ascii="Times New Roman" w:hAnsi="Times New Roman" w:cs="Times New Roman"/>
          <w:sz w:val="24"/>
          <w:szCs w:val="24"/>
        </w:rPr>
        <w:t>summarises</w:t>
      </w:r>
      <w:proofErr w:type="spellEnd"/>
      <w:r w:rsidRPr="005405D4">
        <w:rPr>
          <w:rFonts w:ascii="Times New Roman" w:hAnsi="Times New Roman" w:cs="Times New Roman"/>
          <w:sz w:val="24"/>
          <w:szCs w:val="24"/>
        </w:rPr>
        <w:t xml:space="preserve"> the population flows. Recruitment enters </w:t>
      </w:r>
      <m:oMath>
        <m:r>
          <w:rPr>
            <w:rFonts w:ascii="Cambria Math" w:hAnsi="Cambria Math" w:cs="Times New Roman"/>
            <w:sz w:val="24"/>
            <w:szCs w:val="24"/>
          </w:rPr>
          <m:t>S</m:t>
        </m:r>
      </m:oMath>
      <w:r w:rsidRPr="005405D4">
        <w:rPr>
          <w:rFonts w:ascii="Times New Roman" w:hAnsi="Times New Roman" w:cs="Times New Roman"/>
          <w:sz w:val="24"/>
          <w:szCs w:val="24"/>
        </w:rPr>
        <w:t xml:space="preserve">; infection moves individuals from </w:t>
      </w:r>
      <m:oMath>
        <m:r>
          <w:rPr>
            <w:rFonts w:ascii="Cambria Math" w:hAnsi="Cambria Math" w:cs="Times New Roman"/>
            <w:sz w:val="24"/>
            <w:szCs w:val="24"/>
          </w:rPr>
          <m:t>S</m:t>
        </m:r>
      </m:oMath>
      <w:r w:rsidRPr="005405D4">
        <w:rPr>
          <w:rFonts w:ascii="Times New Roman" w:hAnsi="Times New Roman" w:cs="Times New Roman"/>
          <w:sz w:val="24"/>
          <w:szCs w:val="24"/>
        </w:rPr>
        <w:t xml:space="preserve"> to </w:t>
      </w:r>
      <m:oMath>
        <m:r>
          <w:rPr>
            <w:rFonts w:ascii="Cambria Math" w:hAnsi="Cambria Math" w:cs="Times New Roman"/>
            <w:sz w:val="24"/>
            <w:szCs w:val="24"/>
          </w:rPr>
          <m:t>I</m:t>
        </m:r>
      </m:oMath>
      <w:r w:rsidRPr="005405D4">
        <w:rPr>
          <w:rFonts w:ascii="Times New Roman" w:hAnsi="Times New Roman" w:cs="Times New Roman"/>
          <w:sz w:val="24"/>
          <w:szCs w:val="24"/>
        </w:rPr>
        <w:t xml:space="preserve">; recovery moves them from </w:t>
      </w:r>
      <m:oMath>
        <m:r>
          <w:rPr>
            <w:rFonts w:ascii="Cambria Math" w:hAnsi="Cambria Math" w:cs="Times New Roman"/>
            <w:sz w:val="24"/>
            <w:szCs w:val="24"/>
          </w:rPr>
          <m:t>I</m:t>
        </m:r>
      </m:oMath>
      <w:r w:rsidRPr="005405D4">
        <w:rPr>
          <w:rFonts w:ascii="Times New Roman" w:hAnsi="Times New Roman" w:cs="Times New Roman"/>
          <w:sz w:val="24"/>
          <w:szCs w:val="24"/>
        </w:rPr>
        <w:t xml:space="preserve"> to </w:t>
      </w:r>
      <m:oMath>
        <m:r>
          <w:rPr>
            <w:rFonts w:ascii="Cambria Math" w:hAnsi="Cambria Math" w:cs="Times New Roman"/>
            <w:sz w:val="24"/>
            <w:szCs w:val="24"/>
          </w:rPr>
          <m:t>R</m:t>
        </m:r>
      </m:oMath>
      <w:r w:rsidRPr="005405D4">
        <w:rPr>
          <w:rFonts w:ascii="Times New Roman" w:hAnsi="Times New Roman" w:cs="Times New Roman"/>
          <w:sz w:val="24"/>
          <w:szCs w:val="24"/>
        </w:rPr>
        <w:t xml:space="preserve">; vaccination moves them from </w:t>
      </w:r>
      <m:oMath>
        <m:r>
          <w:rPr>
            <w:rFonts w:ascii="Cambria Math" w:hAnsi="Cambria Math" w:cs="Times New Roman"/>
            <w:sz w:val="24"/>
            <w:szCs w:val="24"/>
          </w:rPr>
          <m:t>S</m:t>
        </m:r>
      </m:oMath>
      <w:r w:rsidRPr="005405D4">
        <w:rPr>
          <w:rFonts w:ascii="Times New Roman" w:hAnsi="Times New Roman" w:cs="Times New Roman"/>
          <w:sz w:val="24"/>
          <w:szCs w:val="24"/>
        </w:rPr>
        <w:t xml:space="preserve"> to </w:t>
      </w:r>
      <m:oMath>
        <m:r>
          <w:rPr>
            <w:rFonts w:ascii="Cambria Math" w:hAnsi="Cambria Math" w:cs="Times New Roman"/>
            <w:sz w:val="24"/>
            <w:szCs w:val="24"/>
          </w:rPr>
          <m:t>V</m:t>
        </m:r>
      </m:oMath>
      <w:r w:rsidRPr="005405D4">
        <w:rPr>
          <w:rFonts w:ascii="Times New Roman" w:hAnsi="Times New Roman" w:cs="Times New Roman"/>
          <w:sz w:val="24"/>
          <w:szCs w:val="24"/>
        </w:rPr>
        <w:t xml:space="preserve">; and waning immunity returns individuals from </w:t>
      </w:r>
      <m:oMath>
        <m:r>
          <w:rPr>
            <w:rFonts w:ascii="Cambria Math" w:hAnsi="Cambria Math" w:cs="Times New Roman"/>
            <w:sz w:val="24"/>
            <w:szCs w:val="24"/>
          </w:rPr>
          <m:t>R</m:t>
        </m:r>
      </m:oMath>
      <w:r w:rsidRPr="005405D4">
        <w:rPr>
          <w:rFonts w:ascii="Times New Roman" w:hAnsi="Times New Roman" w:cs="Times New Roman"/>
          <w:sz w:val="24"/>
          <w:szCs w:val="24"/>
        </w:rPr>
        <w:t xml:space="preserve"> or </w:t>
      </w:r>
      <m:oMath>
        <m:r>
          <w:rPr>
            <w:rFonts w:ascii="Cambria Math" w:hAnsi="Cambria Math" w:cs="Times New Roman"/>
            <w:sz w:val="24"/>
            <w:szCs w:val="24"/>
          </w:rPr>
          <m:t>V</m:t>
        </m:r>
      </m:oMath>
      <w:r w:rsidRPr="005405D4">
        <w:rPr>
          <w:rFonts w:ascii="Times New Roman" w:hAnsi="Times New Roman" w:cs="Times New Roman"/>
          <w:sz w:val="24"/>
          <w:szCs w:val="24"/>
        </w:rPr>
        <w:t xml:space="preserve"> to </w:t>
      </w:r>
      <m:oMath>
        <m:r>
          <w:rPr>
            <w:rFonts w:ascii="Cambria Math" w:hAnsi="Cambria Math" w:cs="Times New Roman"/>
            <w:sz w:val="24"/>
            <w:szCs w:val="24"/>
          </w:rPr>
          <m:t>S</m:t>
        </m:r>
      </m:oMath>
      <w:r w:rsidRPr="005405D4">
        <w:rPr>
          <w:rFonts w:ascii="Times New Roman" w:hAnsi="Times New Roman" w:cs="Times New Roman"/>
          <w:sz w:val="24"/>
          <w:szCs w:val="24"/>
        </w:rPr>
        <w:t>.</w:t>
      </w:r>
    </w:p>
    <w:p w14:paraId="56162471" w14:textId="77777777" w:rsidR="00FE3703" w:rsidRPr="005405D4" w:rsidRDefault="00326151" w:rsidP="005405D4">
      <w:pPr>
        <w:spacing w:line="480" w:lineRule="auto"/>
        <w:jc w:val="center"/>
        <w:rPr>
          <w:rFonts w:ascii="Times New Roman" w:hAnsi="Times New Roman" w:cs="Times New Roman"/>
          <w:sz w:val="24"/>
          <w:szCs w:val="24"/>
        </w:rPr>
      </w:pPr>
      <w:r w:rsidRPr="005405D4">
        <w:rPr>
          <w:rFonts w:ascii="Times New Roman" w:hAnsi="Times New Roman" w:cs="Times New Roman"/>
          <w:noProof/>
          <w:sz w:val="24"/>
          <w:szCs w:val="24"/>
        </w:rPr>
        <w:drawing>
          <wp:inline distT="0" distB="0" distL="0" distR="0" wp14:anchorId="49BDF822" wp14:editId="17E4FDD5">
            <wp:extent cx="5486400" cy="2676391"/>
            <wp:effectExtent l="0" t="0" r="0" b="0"/>
            <wp:docPr id="1" name="image-cf80df90f03240248b26ff28559f8207034ce0f1.jpg"/>
            <wp:cNvGraphicFramePr/>
            <a:graphic xmlns:a="http://schemas.openxmlformats.org/drawingml/2006/main">
              <a:graphicData uri="http://schemas.openxmlformats.org/drawingml/2006/picture">
                <pic:pic xmlns:pic="http://schemas.openxmlformats.org/drawingml/2006/picture">
                  <pic:nvPicPr>
                    <pic:cNvPr id="1" name="image-cf80df90f03240248b26ff28559f8207034ce0f1.jpg"/>
                    <pic:cNvPicPr/>
                  </pic:nvPicPr>
                  <pic:blipFill>
                    <a:blip r:embed="rId7" cstate="print"/>
                    <a:srcRect/>
                    <a:stretch>
                      <a:fillRect/>
                    </a:stretch>
                  </pic:blipFill>
                  <pic:spPr>
                    <a:xfrm>
                      <a:off x="0" y="0"/>
                      <a:ext cx="5486400" cy="2676391"/>
                    </a:xfrm>
                    <a:prstGeom prst="rect">
                      <a:avLst/>
                    </a:prstGeom>
                  </pic:spPr>
                </pic:pic>
              </a:graphicData>
            </a:graphic>
          </wp:inline>
        </w:drawing>
      </w:r>
    </w:p>
    <w:p w14:paraId="2A80F64B"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Figure 1: Compartmental structure of the SIRV model for diphtheria transmission and vaccination control.</w:t>
      </w:r>
    </w:p>
    <w:p w14:paraId="30755CA9" w14:textId="77777777" w:rsidR="00FE3703" w:rsidRPr="005405D4" w:rsidRDefault="00326151" w:rsidP="005405D4">
      <w:pPr>
        <w:spacing w:before="240" w:line="480" w:lineRule="auto"/>
        <w:rPr>
          <w:rFonts w:ascii="Times New Roman" w:hAnsi="Times New Roman" w:cs="Times New Roman"/>
          <w:sz w:val="24"/>
          <w:szCs w:val="24"/>
        </w:rPr>
      </w:pPr>
      <w:bookmarkStart w:id="9" w:name="bm_3_3_governing_equations"/>
      <w:r w:rsidRPr="005405D4">
        <w:rPr>
          <w:rFonts w:ascii="Times New Roman" w:hAnsi="Times New Roman" w:cs="Times New Roman"/>
          <w:b/>
          <w:sz w:val="24"/>
          <w:szCs w:val="24"/>
        </w:rPr>
        <w:t>3.3 Governing equations</w:t>
      </w:r>
      <w:bookmarkEnd w:id="9"/>
    </w:p>
    <w:p w14:paraId="217088D4"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model is governed by</w:t>
      </w:r>
    </w:p>
    <w:p w14:paraId="753DE0CA"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=Λ-</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w:rPr>
                  <w:rFonts w:ascii="Cambria Math" w:hAnsi="Cambria Math" w:cs="Times New Roman"/>
                  <w:sz w:val="24"/>
                  <w:szCs w:val="24"/>
                </w:rPr>
                <m:t>R</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μS</m:t>
              </m:r>
              <m:r>
                <m:rPr>
                  <m:sty m:val="p"/>
                </m:rPr>
                <w:rPr>
                  <w:rFonts w:ascii="Cambria Math" w:hAnsi="Cambria Math" w:cs="Times New Roman"/>
                  <w:sz w:val="24"/>
                  <w:szCs w:val="24"/>
                </w:rPr>
                <m:t>,</m:t>
              </m:r>
              <m:r>
                <w:rPr>
                  <w:rFonts w:ascii="Cambria Math" w:hAnsi="Cambria Math" w:cs="Times New Roman"/>
                  <w:sz w:val="24"/>
                  <w:szCs w:val="24"/>
                </w:rPr>
                <m:t>#(15)</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I</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#(16)</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#(17)</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V</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#(18)</m:t>
              </m:r>
            </m:e>
          </m:eqArr>
        </m:oMath>
      </m:oMathPara>
    </w:p>
    <w:p w14:paraId="61E592ED"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Summing Equations (15)-(18) gives</w:t>
      </w:r>
    </w:p>
    <w:p w14:paraId="3F427D84"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N</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=Λ-</m:t>
              </m:r>
              <m:r>
                <w:rPr>
                  <w:rFonts w:ascii="Cambria Math" w:hAnsi="Cambria Math" w:cs="Times New Roman"/>
                  <w:sz w:val="24"/>
                  <w:szCs w:val="24"/>
                </w:rPr>
                <m:t>μN</m:t>
              </m:r>
              <m:r>
                <m:rPr>
                  <m:sty m:val="p"/>
                </m:rPr>
                <w:rPr>
                  <w:rFonts w:ascii="Cambria Math" w:hAnsi="Cambria Math" w:cs="Times New Roman"/>
                  <w:sz w:val="24"/>
                  <w:szCs w:val="24"/>
                </w:rPr>
                <m:t>-</m:t>
              </m:r>
              <m:r>
                <w:rPr>
                  <w:rFonts w:ascii="Cambria Math" w:hAnsi="Cambria Math" w:cs="Times New Roman"/>
                  <w:sz w:val="24"/>
                  <w:szCs w:val="24"/>
                </w:rPr>
                <m:t>δI</m:t>
              </m:r>
              <m:r>
                <m:rPr>
                  <m:sty m:val="p"/>
                </m:rPr>
                <w:rPr>
                  <w:rFonts w:ascii="Cambria Math" w:hAnsi="Cambria Math" w:cs="Times New Roman"/>
                  <w:sz w:val="24"/>
                  <w:szCs w:val="24"/>
                </w:rPr>
                <m:t>.</m:t>
              </m:r>
              <m:r>
                <w:rPr>
                  <w:rFonts w:ascii="Cambria Math" w:hAnsi="Cambria Math" w:cs="Times New Roman"/>
                  <w:sz w:val="24"/>
                  <w:szCs w:val="24"/>
                </w:rPr>
                <m:t>#(19)</m:t>
              </m:r>
            </m:e>
          </m:eqArr>
        </m:oMath>
      </m:oMathPara>
    </w:p>
    <w:p w14:paraId="74D60E9C"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Hence, for non-negative initial conditions, solutions remain non-negative and eventually enter the feasible region</w:t>
      </w:r>
    </w:p>
    <w:p w14:paraId="52FB78D2"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ty m:val="p"/>
                </m:rPr>
                <w:rPr>
                  <w:rFonts w:ascii="Cambria Math" w:hAnsi="Cambria Math" w:cs="Times New Roman"/>
                  <w:sz w:val="24"/>
                  <w:szCs w:val="24"/>
                </w:rPr>
                <m:t>Ω=</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m:t>
                  </m:r>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cr m:val="double-struck"/>
                        </m:rPr>
                        <w:rPr>
                          <w:rFonts w:ascii="Cambria Math" w:hAnsi="Cambria Math" w:cs="Times New Roman"/>
                          <w:sz w:val="24"/>
                          <w:szCs w:val="24"/>
                        </w:rPr>
                        <m:t>R</m:t>
                      </m:r>
                    </m:e>
                    <m:sub>
                      <m:r>
                        <m:rPr>
                          <m:sty m:val="p"/>
                        </m:rPr>
                        <w:rPr>
                          <w:rFonts w:ascii="Cambria Math" w:hAnsi="Cambria Math" w:cs="Times New Roman"/>
                          <w:sz w:val="24"/>
                          <w:szCs w:val="24"/>
                        </w:rPr>
                        <m:t>+</m:t>
                      </m:r>
                    </m:sub>
                    <m:sup>
                      <m:r>
                        <m:rPr>
                          <m:sty m:val="p"/>
                        </m:rPr>
                        <w:rPr>
                          <w:rFonts w:ascii="Cambria Math" w:hAnsi="Cambria Math" w:cs="Times New Roman"/>
                          <w:sz w:val="24"/>
                          <w:szCs w:val="24"/>
                        </w:rPr>
                        <m:t>4</m:t>
                      </m:r>
                    </m:sup>
                  </m:sSubSup>
                  <m:r>
                    <m:rPr>
                      <m:sty m:val="p"/>
                    </m:rPr>
                    <w:rPr>
                      <w:rFonts w:ascii="Cambria Math" w:hAnsi="Cambria Math" w:cs="Times New Roman"/>
                      <w:sz w:val="24"/>
                      <w:szCs w:val="24"/>
                    </w:rPr>
                    <m:t>:</m:t>
                  </m:r>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Λ</m:t>
                      </m:r>
                    </m:num>
                    <m:den>
                      <m:r>
                        <w:rPr>
                          <w:rFonts w:ascii="Cambria Math" w:hAnsi="Cambria Math" w:cs="Times New Roman"/>
                          <w:sz w:val="24"/>
                          <w:szCs w:val="24"/>
                        </w:rPr>
                        <m:t>μ</m:t>
                      </m:r>
                    </m:den>
                  </m:f>
                </m:e>
              </m:d>
              <m:r>
                <m:rPr>
                  <m:sty m:val="p"/>
                </m:rPr>
                <w:rPr>
                  <w:rFonts w:ascii="Cambria Math" w:hAnsi="Cambria Math" w:cs="Times New Roman"/>
                  <w:sz w:val="24"/>
                  <w:szCs w:val="24"/>
                </w:rPr>
                <m:t>.</m:t>
              </m:r>
              <m:r>
                <w:rPr>
                  <w:rFonts w:ascii="Cambria Math" w:hAnsi="Cambria Math" w:cs="Times New Roman"/>
                  <w:sz w:val="24"/>
                  <w:szCs w:val="24"/>
                </w:rPr>
                <m:t>#(20)</m:t>
              </m:r>
            </m:e>
          </m:eqArr>
        </m:oMath>
      </m:oMathPara>
    </w:p>
    <w:p w14:paraId="1456FDC3"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This boundedness follows from </w:t>
      </w:r>
      <m:oMath>
        <m:r>
          <m:rPr>
            <m:sty m:val="p"/>
          </m:rPr>
          <w:rPr>
            <w:rFonts w:ascii="Cambria Math" w:hAnsi="Cambria Math" w:cs="Times New Roman"/>
            <w:sz w:val="24"/>
            <w:szCs w:val="24"/>
          </w:rPr>
          <m:t>d</m:t>
        </m:r>
        <m:r>
          <w:rPr>
            <w:rFonts w:ascii="Cambria Math" w:hAnsi="Cambria Math" w:cs="Times New Roman"/>
            <w:sz w:val="24"/>
            <w:szCs w:val="24"/>
          </w:rPr>
          <m:t>N</m:t>
        </m:r>
        <m:r>
          <m:rPr>
            <m:sty m:val="p"/>
          </m:rPr>
          <w:rPr>
            <w:rFonts w:ascii="Cambria Math" w:hAnsi="Cambria Math" w:cs="Times New Roman"/>
            <w:sz w:val="24"/>
            <w:szCs w:val="24"/>
          </w:rPr>
          <m:t>/d</m:t>
        </m:r>
        <m:r>
          <w:rPr>
            <w:rFonts w:ascii="Cambria Math" w:hAnsi="Cambria Math" w:cs="Times New Roman"/>
            <w:sz w:val="24"/>
            <w:szCs w:val="24"/>
          </w:rPr>
          <m:t>t</m:t>
        </m:r>
        <m:r>
          <m:rPr>
            <m:sty m:val="p"/>
          </m:rPr>
          <w:rPr>
            <w:rFonts w:ascii="Cambria Math" w:hAnsi="Cambria Math" w:cs="Times New Roman"/>
            <w:sz w:val="24"/>
            <w:szCs w:val="24"/>
          </w:rPr>
          <m:t>≤Λ-</m:t>
        </m:r>
        <m:r>
          <w:rPr>
            <w:rFonts w:ascii="Cambria Math" w:hAnsi="Cambria Math" w:cs="Times New Roman"/>
            <w:sz w:val="24"/>
            <w:szCs w:val="24"/>
          </w:rPr>
          <m:t>μN</m:t>
        </m:r>
      </m:oMath>
      <w:r w:rsidRPr="005405D4">
        <w:rPr>
          <w:rFonts w:ascii="Times New Roman" w:hAnsi="Times New Roman" w:cs="Times New Roman"/>
          <w:sz w:val="24"/>
          <w:szCs w:val="24"/>
        </w:rPr>
        <w:t>.</w:t>
      </w:r>
    </w:p>
    <w:p w14:paraId="6851E3C6" w14:textId="77777777" w:rsidR="00FE3703" w:rsidRPr="005405D4" w:rsidRDefault="00326151" w:rsidP="005405D4">
      <w:pPr>
        <w:spacing w:before="240" w:line="480" w:lineRule="auto"/>
        <w:rPr>
          <w:rFonts w:ascii="Times New Roman" w:hAnsi="Times New Roman" w:cs="Times New Roman"/>
          <w:sz w:val="24"/>
          <w:szCs w:val="24"/>
        </w:rPr>
      </w:pPr>
      <w:bookmarkStart w:id="10" w:name="bm_3_4_parameters"/>
      <w:r w:rsidRPr="005405D4">
        <w:rPr>
          <w:rFonts w:ascii="Times New Roman" w:hAnsi="Times New Roman" w:cs="Times New Roman"/>
          <w:b/>
          <w:sz w:val="24"/>
          <w:szCs w:val="24"/>
        </w:rPr>
        <w:t>3.4 Parameters</w:t>
      </w:r>
      <w:bookmarkEnd w:id="10"/>
    </w:p>
    <w:p w14:paraId="289C1D24"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Table 1 retains the exploratory parameter ranges used in the original study. These values are illustrative rather than fitted estimates; a publishable forecasting application would require estimation from Nigerian case, mortality, demographic, and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xml:space="preserve"> data.</w:t>
      </w:r>
    </w:p>
    <w:p w14:paraId="0816AB60"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Table 1: Parameters of the SIRV diphtheria model.</w:t>
      </w:r>
    </w:p>
    <w:tbl>
      <w:tblPr>
        <w:tblStyle w:val="NormalGrid"/>
        <w:tblW w:w="0" w:type="auto"/>
        <w:jc w:val="center"/>
        <w:tblCellSpacing w:w="0" w:type="dxa"/>
        <w:tblLook w:val="04A0" w:firstRow="1" w:lastRow="0" w:firstColumn="1" w:lastColumn="0" w:noHBand="0" w:noVBand="1"/>
      </w:tblPr>
      <w:tblGrid>
        <w:gridCol w:w="1333"/>
        <w:gridCol w:w="4886"/>
        <w:gridCol w:w="2919"/>
      </w:tblGrid>
      <w:tr w:rsidR="00FE3703" w:rsidRPr="005405D4" w14:paraId="02DC8AF8"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tcPr>
          <w:p w14:paraId="68B92550"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Parameter</w:t>
            </w:r>
          </w:p>
        </w:tc>
        <w:tc>
          <w:tcPr>
            <w:tcW w:w="0" w:type="auto"/>
            <w:tcBorders>
              <w:top w:val="single" w:sz="8" w:space="0" w:color="000000"/>
              <w:bottom w:val="single" w:sz="8" w:space="0" w:color="000000"/>
              <w:right w:val="single" w:sz="8" w:space="0" w:color="000000"/>
            </w:tcBorders>
          </w:tcPr>
          <w:p w14:paraId="21D96B0C"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Description</w:t>
            </w:r>
          </w:p>
        </w:tc>
        <w:tc>
          <w:tcPr>
            <w:tcW w:w="0" w:type="auto"/>
            <w:tcBorders>
              <w:top w:val="single" w:sz="8" w:space="0" w:color="000000"/>
              <w:bottom w:val="single" w:sz="8" w:space="0" w:color="000000"/>
              <w:right w:val="single" w:sz="8" w:space="0" w:color="000000"/>
            </w:tcBorders>
          </w:tcPr>
          <w:p w14:paraId="2CEC5DF0"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Exploratory value or range</w:t>
            </w:r>
          </w:p>
        </w:tc>
      </w:tr>
      <w:tr w:rsidR="00FE3703" w:rsidRPr="005405D4" w14:paraId="73F03EB0"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61CC0A35"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Λ</m:t>
                </m:r>
              </m:oMath>
            </m:oMathPara>
          </w:p>
        </w:tc>
        <w:tc>
          <w:tcPr>
            <w:tcW w:w="0" w:type="auto"/>
            <w:tcBorders>
              <w:bottom w:val="single" w:sz="8" w:space="0" w:color="000000"/>
              <w:right w:val="single" w:sz="8" w:space="0" w:color="000000"/>
            </w:tcBorders>
          </w:tcPr>
          <w:p w14:paraId="6BB08359"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Recruitment into the susceptible population</w:t>
            </w:r>
          </w:p>
        </w:tc>
        <w:tc>
          <w:tcPr>
            <w:tcW w:w="0" w:type="auto"/>
            <w:tcBorders>
              <w:bottom w:val="single" w:sz="8" w:space="0" w:color="000000"/>
              <w:right w:val="single" w:sz="8" w:space="0" w:color="000000"/>
            </w:tcBorders>
          </w:tcPr>
          <w:p w14:paraId="6DABD3FB"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To be estimated</w:t>
            </w:r>
          </w:p>
        </w:tc>
      </w:tr>
      <w:tr w:rsidR="00FE3703" w:rsidRPr="005405D4" w14:paraId="72B2C2B8"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62A1E58A"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β</m:t>
                </m:r>
              </m:oMath>
            </m:oMathPara>
          </w:p>
        </w:tc>
        <w:tc>
          <w:tcPr>
            <w:tcW w:w="0" w:type="auto"/>
            <w:tcBorders>
              <w:bottom w:val="single" w:sz="8" w:space="0" w:color="000000"/>
              <w:right w:val="single" w:sz="8" w:space="0" w:color="000000"/>
            </w:tcBorders>
          </w:tcPr>
          <w:p w14:paraId="77EFC5DB"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Effective transmission rate</w:t>
            </w:r>
          </w:p>
        </w:tc>
        <w:tc>
          <w:tcPr>
            <w:tcW w:w="0" w:type="auto"/>
            <w:tcBorders>
              <w:bottom w:val="single" w:sz="8" w:space="0" w:color="000000"/>
              <w:right w:val="single" w:sz="8" w:space="0" w:color="000000"/>
            </w:tcBorders>
          </w:tcPr>
          <w:p w14:paraId="448663E3"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0.4-0.6</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49A305A6"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4EE50314"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ν</m:t>
                </m:r>
              </m:oMath>
            </m:oMathPara>
          </w:p>
        </w:tc>
        <w:tc>
          <w:tcPr>
            <w:tcW w:w="0" w:type="auto"/>
            <w:tcBorders>
              <w:bottom w:val="single" w:sz="8" w:space="0" w:color="000000"/>
              <w:right w:val="single" w:sz="8" w:space="0" w:color="000000"/>
            </w:tcBorders>
          </w:tcPr>
          <w:p w14:paraId="42B40862"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Vaccination rate among susceptible individuals</w:t>
            </w:r>
          </w:p>
        </w:tc>
        <w:tc>
          <w:tcPr>
            <w:tcW w:w="0" w:type="auto"/>
            <w:tcBorders>
              <w:bottom w:val="single" w:sz="8" w:space="0" w:color="000000"/>
              <w:right w:val="single" w:sz="8" w:space="0" w:color="000000"/>
            </w:tcBorders>
          </w:tcPr>
          <w:p w14:paraId="0FB26395"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0.002-0.01</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6AC59D13"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0E1C85D4"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γ</m:t>
                </m:r>
              </m:oMath>
            </m:oMathPara>
          </w:p>
        </w:tc>
        <w:tc>
          <w:tcPr>
            <w:tcW w:w="0" w:type="auto"/>
            <w:tcBorders>
              <w:bottom w:val="single" w:sz="8" w:space="0" w:color="000000"/>
              <w:right w:val="single" w:sz="8" w:space="0" w:color="000000"/>
            </w:tcBorders>
          </w:tcPr>
          <w:p w14:paraId="7746C54B"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Recovery rate</w:t>
            </w:r>
          </w:p>
        </w:tc>
        <w:tc>
          <w:tcPr>
            <w:tcW w:w="0" w:type="auto"/>
            <w:tcBorders>
              <w:bottom w:val="single" w:sz="8" w:space="0" w:color="000000"/>
              <w:right w:val="single" w:sz="8" w:space="0" w:color="000000"/>
            </w:tcBorders>
          </w:tcPr>
          <w:p w14:paraId="710BBFAF" w14:textId="77777777" w:rsidR="00FE3703" w:rsidRPr="005405D4" w:rsidRDefault="00326151" w:rsidP="005405D4">
            <w:pPr>
              <w:spacing w:line="480" w:lineRule="auto"/>
              <w:rPr>
                <w:rFonts w:ascii="Times New Roman" w:hAnsi="Times New Roman" w:cs="Times New Roman"/>
                <w:sz w:val="24"/>
                <w:szCs w:val="24"/>
              </w:rPr>
            </w:pPr>
            <m:oMath>
              <m:r>
                <m:rPr>
                  <m:sty m:val="p"/>
                </m:rPr>
                <w:rPr>
                  <w:rFonts w:ascii="Cambria Math" w:hAnsi="Cambria Math" w:cs="Times New Roman"/>
                  <w:sz w:val="24"/>
                  <w:szCs w:val="24"/>
                </w:rPr>
                <m:t>0.1-0.2</m:t>
              </m:r>
            </m:oMath>
            <w:r w:rsidRPr="005405D4">
              <w:rPr>
                <w:rFonts w:ascii="Times New Roman" w:hAnsi="Times New Roman" w:cs="Times New Roman"/>
                <w:sz w:val="24"/>
                <w:szCs w:val="24"/>
              </w:rPr>
              <w:t xml:space="preserve"> day </w:t>
            </w:r>
            <m:oMath>
              <m:sSup>
                <m:sSupPr>
                  <m:ctrlPr>
                    <w:rPr>
                      <w:rFonts w:ascii="Cambria Math" w:hAnsi="Cambria Math" w:cs="Times New Roman"/>
                      <w:sz w:val="24"/>
                      <w:szCs w:val="24"/>
                    </w:rPr>
                  </m:ctrlPr>
                </m:sSupPr>
                <m:e>
                  <m:r>
                    <w:rPr>
                      <w:rFonts w:ascii="Cambria Math" w:hAnsi="Cambria Math" w:cs="Times New Roman"/>
                      <w:sz w:val="24"/>
                      <w:szCs w:val="24"/>
                    </w:rPr>
                    <m:t xml:space="preserve"> </m:t>
                  </m:r>
                </m:e>
                <m:sup>
                  <m:r>
                    <m:rPr>
                      <m:sty m:val="p"/>
                    </m:rPr>
                    <w:rPr>
                      <w:rFonts w:ascii="Cambria Math" w:hAnsi="Cambria Math" w:cs="Times New Roman"/>
                      <w:sz w:val="24"/>
                      <w:szCs w:val="24"/>
                    </w:rPr>
                    <m:t>-1</m:t>
                  </m:r>
                </m:sup>
              </m:sSup>
            </m:oMath>
          </w:p>
        </w:tc>
      </w:tr>
      <w:tr w:rsidR="00FE3703" w:rsidRPr="005405D4" w14:paraId="7E3375BB"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3A27CF86"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δ</m:t>
                </m:r>
              </m:oMath>
            </m:oMathPara>
          </w:p>
        </w:tc>
        <w:tc>
          <w:tcPr>
            <w:tcW w:w="0" w:type="auto"/>
            <w:tcBorders>
              <w:bottom w:val="single" w:sz="8" w:space="0" w:color="000000"/>
              <w:right w:val="single" w:sz="8" w:space="0" w:color="000000"/>
            </w:tcBorders>
          </w:tcPr>
          <w:p w14:paraId="245117A1"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Disease-induced mortality rate</w:t>
            </w:r>
          </w:p>
        </w:tc>
        <w:tc>
          <w:tcPr>
            <w:tcW w:w="0" w:type="auto"/>
            <w:tcBorders>
              <w:bottom w:val="single" w:sz="8" w:space="0" w:color="000000"/>
              <w:right w:val="single" w:sz="8" w:space="0" w:color="000000"/>
            </w:tcBorders>
          </w:tcPr>
          <w:p w14:paraId="56044E0F"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0.01-0.05</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12614A00"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1738706F" w14:textId="77777777" w:rsidR="00FE3703" w:rsidRPr="005405D4" w:rsidRDefault="00000000" w:rsidP="005405D4">
            <w:pPr>
              <w:spacing w:line="480" w:lineRule="auto"/>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oMath>
            </m:oMathPara>
          </w:p>
        </w:tc>
        <w:tc>
          <w:tcPr>
            <w:tcW w:w="0" w:type="auto"/>
            <w:tcBorders>
              <w:bottom w:val="single" w:sz="8" w:space="0" w:color="000000"/>
              <w:right w:val="single" w:sz="8" w:space="0" w:color="000000"/>
            </w:tcBorders>
          </w:tcPr>
          <w:p w14:paraId="6B3E2292"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Loss of infection-acquired immunity</w:t>
            </w:r>
          </w:p>
        </w:tc>
        <w:tc>
          <w:tcPr>
            <w:tcW w:w="0" w:type="auto"/>
            <w:tcBorders>
              <w:bottom w:val="single" w:sz="8" w:space="0" w:color="000000"/>
              <w:right w:val="single" w:sz="8" w:space="0" w:color="000000"/>
            </w:tcBorders>
          </w:tcPr>
          <w:p w14:paraId="49C1297C"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0.001-0.005</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157B1351"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39608E35" w14:textId="77777777" w:rsidR="00FE3703" w:rsidRPr="005405D4" w:rsidRDefault="00000000" w:rsidP="005405D4">
            <w:pPr>
              <w:spacing w:line="480" w:lineRule="auto"/>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oMath>
            </m:oMathPara>
          </w:p>
        </w:tc>
        <w:tc>
          <w:tcPr>
            <w:tcW w:w="0" w:type="auto"/>
            <w:tcBorders>
              <w:bottom w:val="single" w:sz="8" w:space="0" w:color="000000"/>
              <w:right w:val="single" w:sz="8" w:space="0" w:color="000000"/>
            </w:tcBorders>
          </w:tcPr>
          <w:p w14:paraId="483C6789"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Loss of vaccine-induced immunity</w:t>
            </w:r>
          </w:p>
        </w:tc>
        <w:tc>
          <w:tcPr>
            <w:tcW w:w="0" w:type="auto"/>
            <w:tcBorders>
              <w:bottom w:val="single" w:sz="8" w:space="0" w:color="000000"/>
              <w:right w:val="single" w:sz="8" w:space="0" w:color="000000"/>
            </w:tcBorders>
          </w:tcPr>
          <w:p w14:paraId="505CDC45"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0.0005-0.002</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330C90E0"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2DA0D282"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μ</m:t>
                </m:r>
              </m:oMath>
            </m:oMathPara>
          </w:p>
        </w:tc>
        <w:tc>
          <w:tcPr>
            <w:tcW w:w="0" w:type="auto"/>
            <w:tcBorders>
              <w:bottom w:val="single" w:sz="8" w:space="0" w:color="000000"/>
              <w:right w:val="single" w:sz="8" w:space="0" w:color="000000"/>
            </w:tcBorders>
          </w:tcPr>
          <w:p w14:paraId="0DB89507"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Natural mortality rate</w:t>
            </w:r>
          </w:p>
        </w:tc>
        <w:tc>
          <w:tcPr>
            <w:tcW w:w="0" w:type="auto"/>
            <w:tcBorders>
              <w:bottom w:val="single" w:sz="8" w:space="0" w:color="000000"/>
              <w:right w:val="single" w:sz="8" w:space="0" w:color="000000"/>
            </w:tcBorders>
          </w:tcPr>
          <w:p w14:paraId="7D39F22D" w14:textId="77777777" w:rsidR="00FE3703" w:rsidRPr="005405D4" w:rsidRDefault="00326151" w:rsidP="005405D4">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0.0001-0.0002</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bl>
    <w:p w14:paraId="041EA3D7" w14:textId="77777777" w:rsidR="00FE3703" w:rsidRPr="005405D4" w:rsidRDefault="00FE3703" w:rsidP="005405D4">
      <w:pPr>
        <w:spacing w:line="480" w:lineRule="auto"/>
        <w:rPr>
          <w:rFonts w:ascii="Times New Roman" w:hAnsi="Times New Roman" w:cs="Times New Roman"/>
          <w:sz w:val="24"/>
          <w:szCs w:val="24"/>
        </w:rPr>
      </w:pPr>
    </w:p>
    <w:p w14:paraId="26802701" w14:textId="77777777" w:rsidR="00FE3703" w:rsidRPr="005405D4" w:rsidRDefault="00326151" w:rsidP="005405D4">
      <w:pPr>
        <w:spacing w:before="330" w:line="480" w:lineRule="auto"/>
        <w:rPr>
          <w:rFonts w:ascii="Times New Roman" w:hAnsi="Times New Roman" w:cs="Times New Roman"/>
          <w:sz w:val="24"/>
          <w:szCs w:val="24"/>
        </w:rPr>
      </w:pPr>
      <w:bookmarkStart w:id="11" w:name="bm_4_model_analysis"/>
      <w:r w:rsidRPr="005405D4">
        <w:rPr>
          <w:rFonts w:ascii="Times New Roman" w:hAnsi="Times New Roman" w:cs="Times New Roman"/>
          <w:b/>
          <w:sz w:val="24"/>
          <w:szCs w:val="24"/>
        </w:rPr>
        <w:t>4 Model analysis</w:t>
      </w:r>
      <w:bookmarkEnd w:id="11"/>
    </w:p>
    <w:p w14:paraId="1D65182C" w14:textId="77777777" w:rsidR="00FE3703" w:rsidRPr="005405D4" w:rsidRDefault="00326151" w:rsidP="005405D4">
      <w:pPr>
        <w:spacing w:before="240" w:line="480" w:lineRule="auto"/>
        <w:rPr>
          <w:rFonts w:ascii="Times New Roman" w:hAnsi="Times New Roman" w:cs="Times New Roman"/>
          <w:sz w:val="24"/>
          <w:szCs w:val="24"/>
        </w:rPr>
      </w:pPr>
      <w:bookmarkStart w:id="12" w:name="bm_4_1_disease_free_equilibrium"/>
      <w:r w:rsidRPr="005405D4">
        <w:rPr>
          <w:rFonts w:ascii="Times New Roman" w:hAnsi="Times New Roman" w:cs="Times New Roman"/>
          <w:b/>
          <w:sz w:val="24"/>
          <w:szCs w:val="24"/>
        </w:rPr>
        <w:t>4.1 Disease-free equilibrium</w:t>
      </w:r>
      <w:bookmarkEnd w:id="12"/>
    </w:p>
    <w:p w14:paraId="4A5D1C69"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At the disease-free equilibrium (DFE), </w:t>
      </w:r>
      <m:oMath>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=0</m:t>
        </m:r>
      </m:oMath>
      <w:r w:rsidRPr="005405D4">
        <w:rPr>
          <w:rFonts w:ascii="Times New Roman" w:hAnsi="Times New Roman" w:cs="Times New Roman"/>
          <w:sz w:val="24"/>
          <w:szCs w:val="24"/>
        </w:rPr>
        <w:t>. Setting the remaining derivatives to zero gives</w:t>
      </w:r>
    </w:p>
    <w:p w14:paraId="7117CC79"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Λ</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r>
                    <m:rPr>
                      <m:sty m:val="p"/>
                    </m:rPr>
                    <w:rPr>
                      <w:rFonts w:ascii="Cambria Math" w:hAnsi="Cambria Math" w:cs="Times New Roman"/>
                      <w:sz w:val="24"/>
                      <w:szCs w:val="24"/>
                    </w:rPr>
                    <m:t>Λ</m:t>
                  </m:r>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r>
                <m:rPr>
                  <m:sty m:val="p"/>
                </m:rPr>
                <w:rPr>
                  <w:rFonts w:ascii="Cambria Math" w:hAnsi="Cambria Math" w:cs="Times New Roman"/>
                  <w:sz w:val="24"/>
                  <w:szCs w:val="24"/>
                </w:rPr>
                <m:t>.</m:t>
              </m:r>
              <m:r>
                <w:rPr>
                  <w:rFonts w:ascii="Cambria Math" w:hAnsi="Cambria Math" w:cs="Times New Roman"/>
                  <w:sz w:val="24"/>
                  <w:szCs w:val="24"/>
                </w:rPr>
                <m:t>#(21)</m:t>
              </m:r>
            </m:e>
          </m:eqArr>
        </m:oMath>
      </m:oMathPara>
    </w:p>
    <w:p w14:paraId="390C201D"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Therefore,</w:t>
      </w:r>
    </w:p>
    <w:p w14:paraId="2138D094"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Λ</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r>
                    <m:rPr>
                      <m:sty m:val="p"/>
                    </m:rPr>
                    <w:rPr>
                      <w:rFonts w:ascii="Cambria Math" w:hAnsi="Cambria Math" w:cs="Times New Roman"/>
                      <w:sz w:val="24"/>
                      <w:szCs w:val="24"/>
                    </w:rPr>
                    <m:t>,0,0,</m:t>
                  </m:r>
                  <m:f>
                    <m:fPr>
                      <m:ctrlPr>
                        <w:rPr>
                          <w:rFonts w:ascii="Cambria Math" w:hAnsi="Cambria Math" w:cs="Times New Roman"/>
                          <w:sz w:val="24"/>
                          <w:szCs w:val="24"/>
                        </w:rPr>
                      </m:ctrlPr>
                    </m:fPr>
                    <m:num>
                      <m:r>
                        <w:rPr>
                          <w:rFonts w:ascii="Cambria Math" w:hAnsi="Cambria Math" w:cs="Times New Roman"/>
                          <w:sz w:val="24"/>
                          <w:szCs w:val="24"/>
                        </w:rPr>
                        <m:t>ν</m:t>
                      </m:r>
                      <m:r>
                        <m:rPr>
                          <m:sty m:val="p"/>
                        </m:rPr>
                        <w:rPr>
                          <w:rFonts w:ascii="Cambria Math" w:hAnsi="Cambria Math" w:cs="Times New Roman"/>
                          <w:sz w:val="24"/>
                          <w:szCs w:val="24"/>
                        </w:rPr>
                        <m:t>Λ</m:t>
                      </m:r>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e>
              </m:d>
              <m:r>
                <m:rPr>
                  <m:sty m:val="p"/>
                </m:rPr>
                <w:rPr>
                  <w:rFonts w:ascii="Cambria Math" w:hAnsi="Cambria Math" w:cs="Times New Roman"/>
                  <w:sz w:val="24"/>
                  <w:szCs w:val="24"/>
                </w:rPr>
                <m:t>,</m:t>
              </m:r>
              <m:r>
                <w:rPr>
                  <w:rFonts w:ascii="Cambria Math" w:hAnsi="Cambria Math" w:cs="Times New Roman"/>
                  <w:sz w:val="24"/>
                  <w:szCs w:val="24"/>
                </w:rPr>
                <m:t>#(22)</m:t>
              </m:r>
            </m:e>
          </m:eqArr>
        </m:oMath>
      </m:oMathPara>
    </w:p>
    <w:p w14:paraId="1BA681A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with </w:t>
      </w:r>
      <m:oMath>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=Λ/</m:t>
        </m:r>
        <m:r>
          <w:rPr>
            <w:rFonts w:ascii="Cambria Math" w:hAnsi="Cambria Math" w:cs="Times New Roman"/>
            <w:sz w:val="24"/>
            <w:szCs w:val="24"/>
          </w:rPr>
          <m:t>μ</m:t>
        </m:r>
      </m:oMath>
      <w:r w:rsidRPr="005405D4">
        <w:rPr>
          <w:rFonts w:ascii="Times New Roman" w:hAnsi="Times New Roman" w:cs="Times New Roman"/>
          <w:sz w:val="24"/>
          <w:szCs w:val="24"/>
        </w:rPr>
        <w:t>.</w:t>
      </w:r>
    </w:p>
    <w:p w14:paraId="5DC8ACDF" w14:textId="77777777" w:rsidR="00FE3703" w:rsidRPr="005405D4" w:rsidRDefault="00326151" w:rsidP="005405D4">
      <w:pPr>
        <w:spacing w:before="240" w:line="480" w:lineRule="auto"/>
        <w:rPr>
          <w:rFonts w:ascii="Times New Roman" w:hAnsi="Times New Roman" w:cs="Times New Roman"/>
          <w:sz w:val="24"/>
          <w:szCs w:val="24"/>
        </w:rPr>
      </w:pPr>
      <w:bookmarkStart w:id="13" w:name="bm_4_2_basic_reproduction_number"/>
      <w:r w:rsidRPr="005405D4">
        <w:rPr>
          <w:rFonts w:ascii="Times New Roman" w:hAnsi="Times New Roman" w:cs="Times New Roman"/>
          <w:b/>
          <w:sz w:val="24"/>
          <w:szCs w:val="24"/>
        </w:rPr>
        <w:t>4.2 Basic reproduction number</w:t>
      </w:r>
      <w:bookmarkEnd w:id="13"/>
    </w:p>
    <w:p w14:paraId="769CD29B"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For the single infectious compartment, the new-infection and transition terms are</w:t>
      </w:r>
    </w:p>
    <w:p w14:paraId="79487E37"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cr m:val="script"/>
                </m:rPr>
                <w:rPr>
                  <w:rFonts w:ascii="Cambria Math" w:hAnsi="Cambria Math" w:cs="Times New Roman"/>
                  <w:sz w:val="24"/>
                  <w:szCs w:val="24"/>
                </w:rPr>
                <m:t>F</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 xml:space="preserve">, </m:t>
              </m:r>
              <m:r>
                <m:rPr>
                  <m:scr m:val="script"/>
                </m:rP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I#(23)</m:t>
              </m:r>
            </m:e>
          </m:eqArr>
        </m:oMath>
      </m:oMathPara>
    </w:p>
    <w:p w14:paraId="6D1EF233"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next-generation method [2] yields</w:t>
      </w:r>
    </w:p>
    <w:p w14:paraId="573E6FDC" w14:textId="77777777" w:rsidR="00FE3703" w:rsidRPr="005405D4" w:rsidRDefault="00000000" w:rsidP="005405D4">
      <w:pPr>
        <w:spacing w:after="220" w:line="480" w:lineRule="auto"/>
        <w:rPr>
          <w:rFonts w:ascii="Times New Roman" w:hAnsi="Times New Roman" w:cs="Times New Roman"/>
          <w:sz w:val="24"/>
          <w:szCs w:val="24"/>
        </w:rPr>
      </w:pPr>
      <m:oMathPara>
        <m:oMath>
          <m:m>
            <m:mPr>
              <m:plcHide m:val="1"/>
              <m:cGpRule m:val="4"/>
              <m:mcs>
                <m:mc>
                  <m:mcPr>
                    <m:count m:val="1"/>
                    <m:mcJc m:val="right"/>
                  </m:mcPr>
                </m:mc>
                <m:mc>
                  <m:mcPr>
                    <m:count m:val="2"/>
                    <m:mcJc m:val="left"/>
                  </m:mcPr>
                </m:mc>
              </m:mcs>
              <m:ctrlPr>
                <w:rPr>
                  <w:rFonts w:ascii="Cambria Math" w:hAnsi="Cambria Math" w:cs="Times New Roman"/>
                  <w:i/>
                  <w:sz w:val="24"/>
                  <w:szCs w:val="24"/>
                </w:rPr>
              </m:ctrlPr>
            </m:mPr>
            <m:m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e>
              <m:e/>
              <m:e>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num>
                  <m:den>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den>
                </m:f>
              </m:e>
            </m:mr>
            <m:mr>
              <m:e/>
              <m:e>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num>
                  <m:den>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den>
                </m:f>
                <m:r>
                  <m:rPr>
                    <m:sty m:val="p"/>
                  </m:rPr>
                  <w:rPr>
                    <w:rFonts w:ascii="Cambria Math" w:hAnsi="Cambria Math" w:cs="Times New Roman"/>
                    <w:sz w:val="24"/>
                    <w:szCs w:val="24"/>
                  </w:rPr>
                  <m:t>.</m:t>
                </m:r>
              </m:e>
              <m:e>
                <m:r>
                  <m:rPr>
                    <m:nor/>
                  </m:rPr>
                  <w:rPr>
                    <w:rFonts w:ascii="Times New Roman" w:hAnsi="Times New Roman" w:cs="Times New Roman"/>
                    <w:sz w:val="24"/>
                    <w:szCs w:val="24"/>
                  </w:rPr>
                  <m:t>(24)</m:t>
                </m:r>
              </m:e>
            </m:mr>
          </m:m>
        </m:oMath>
      </m:oMathPara>
    </w:p>
    <w:p w14:paraId="115622F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This expression separates three mechanisms: transmission through </w:t>
      </w:r>
      <m:oMath>
        <m:r>
          <w:rPr>
            <w:rFonts w:ascii="Cambria Math" w:hAnsi="Cambria Math" w:cs="Times New Roman"/>
            <w:sz w:val="24"/>
            <w:szCs w:val="24"/>
          </w:rPr>
          <m:t>β</m:t>
        </m:r>
      </m:oMath>
      <w:r w:rsidRPr="005405D4">
        <w:rPr>
          <w:rFonts w:ascii="Times New Roman" w:hAnsi="Times New Roman" w:cs="Times New Roman"/>
          <w:sz w:val="24"/>
          <w:szCs w:val="24"/>
        </w:rPr>
        <w:t xml:space="preserve">, the average infectious period </w:t>
      </w:r>
      <m:oMath>
        <m:r>
          <m:rPr>
            <m:sty m:val="p"/>
          </m:rPr>
          <w:rPr>
            <w:rFonts w:ascii="Cambria Math" w:hAnsi="Cambria Math" w:cs="Times New Roman"/>
            <w:sz w:val="24"/>
            <w:szCs w:val="24"/>
          </w:rPr>
          <m:t>1/(</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and the susceptible fraction at the DFE, </w:t>
      </w:r>
      <m:oMath>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oMath>
      <w:r w:rsidRPr="005405D4">
        <w:rPr>
          <w:rFonts w:ascii="Times New Roman" w:hAnsi="Times New Roman" w:cs="Times New Roman"/>
          <w:sz w:val="24"/>
          <w:szCs w:val="24"/>
        </w:rPr>
        <w:t>.</w:t>
      </w:r>
    </w:p>
    <w:p w14:paraId="3088219E"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Solving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for </w:t>
      </w:r>
      <m:oMath>
        <m:r>
          <w:rPr>
            <w:rFonts w:ascii="Cambria Math" w:hAnsi="Cambria Math" w:cs="Times New Roman"/>
            <w:sz w:val="24"/>
            <w:szCs w:val="24"/>
          </w:rPr>
          <m:t>ν</m:t>
        </m:r>
      </m:oMath>
      <w:r w:rsidRPr="005405D4">
        <w:rPr>
          <w:rFonts w:ascii="Times New Roman" w:hAnsi="Times New Roman" w:cs="Times New Roman"/>
          <w:sz w:val="24"/>
          <w:szCs w:val="24"/>
        </w:rPr>
        <w:t xml:space="preserve"> gives the critical vaccination rate</w:t>
      </w:r>
    </w:p>
    <w:p w14:paraId="717E739A"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β</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-1</m:t>
                  </m:r>
                </m:e>
              </m:d>
              <m:r>
                <m:rPr>
                  <m:sty m:val="p"/>
                </m:rPr>
                <w:rPr>
                  <w:rFonts w:ascii="Cambria Math" w:hAnsi="Cambria Math" w:cs="Times New Roman"/>
                  <w:sz w:val="24"/>
                  <w:szCs w:val="24"/>
                </w:rPr>
                <m:t>,</m:t>
              </m:r>
              <m:r>
                <w:rPr>
                  <w:rFonts w:ascii="Cambria Math" w:hAnsi="Cambria Math" w:cs="Times New Roman"/>
                  <w:sz w:val="24"/>
                  <w:szCs w:val="24"/>
                </w:rPr>
                <m:t>#(25)</m:t>
              </m:r>
            </m:e>
          </m:eqArr>
        </m:oMath>
      </m:oMathPara>
    </w:p>
    <w:p w14:paraId="1B25C68B"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whenever the quantity in parentheses is positive. Thus, </w:t>
      </w:r>
      <m:oMath>
        <m:r>
          <w:rPr>
            <w:rFonts w:ascii="Cambria Math" w:hAnsi="Cambria Math" w:cs="Times New Roman"/>
            <w:sz w:val="24"/>
            <w:szCs w:val="24"/>
          </w:rPr>
          <m:t>ν</m:t>
        </m:r>
        <m:r>
          <m:rPr>
            <m:sty m:val="p"/>
          </m:rPr>
          <w:rPr>
            <w:rFonts w:ascii="Cambria Math" w:hAnsi="Cambria Math" w:cs="Times New Roman"/>
            <w:sz w:val="24"/>
            <w:szCs w:val="24"/>
          </w:rPr>
          <m:t>&gt;</m:t>
        </m:r>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oMath>
      <w:r w:rsidRPr="005405D4">
        <w:rPr>
          <w:rFonts w:ascii="Times New Roman" w:hAnsi="Times New Roman" w:cs="Times New Roman"/>
          <w:sz w:val="24"/>
          <w:szCs w:val="24"/>
        </w:rPr>
        <w:t xml:space="preserve"> is sufficient to reduce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below unity under the assumptions of this model.</w:t>
      </w:r>
    </w:p>
    <w:p w14:paraId="133E960B" w14:textId="77777777" w:rsidR="00FE3703" w:rsidRPr="005405D4" w:rsidRDefault="00326151" w:rsidP="005405D4">
      <w:pPr>
        <w:spacing w:before="240" w:line="480" w:lineRule="auto"/>
        <w:rPr>
          <w:rFonts w:ascii="Times New Roman" w:hAnsi="Times New Roman" w:cs="Times New Roman"/>
          <w:sz w:val="24"/>
          <w:szCs w:val="24"/>
        </w:rPr>
      </w:pPr>
      <w:bookmarkStart w:id="14" w:name="bm_4_3_local_stability_of_the_dis_6d2e34"/>
      <w:r w:rsidRPr="005405D4">
        <w:rPr>
          <w:rFonts w:ascii="Times New Roman" w:hAnsi="Times New Roman" w:cs="Times New Roman"/>
          <w:b/>
          <w:sz w:val="24"/>
          <w:szCs w:val="24"/>
        </w:rPr>
        <w:t>4.3 Local stability of the disease-free equilibrium</w:t>
      </w:r>
      <w:bookmarkEnd w:id="14"/>
    </w:p>
    <w:p w14:paraId="630EEBC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Let </w:t>
      </w:r>
      <m:oMath>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oMath>
      <w:r w:rsidRPr="005405D4">
        <w:rPr>
          <w:rFonts w:ascii="Times New Roman" w:hAnsi="Times New Roman" w:cs="Times New Roman"/>
          <w:sz w:val="24"/>
          <w:szCs w:val="24"/>
        </w:rPr>
        <w:t xml:space="preserve">. Evaluated at </w:t>
      </w:r>
      <m:oMath>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the Jacobian is</w:t>
      </w:r>
    </w:p>
    <w:p w14:paraId="4E780B95"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J</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e>
              </m:d>
              <m:r>
                <m:rPr>
                  <m:sty m:val="p"/>
                </m:rPr>
                <w:rPr>
                  <w:rFonts w:ascii="Cambria Math" w:hAnsi="Cambria Math" w:cs="Times New Roman"/>
                  <w:sz w:val="24"/>
                  <w:szCs w:val="24"/>
                </w:rPr>
                <m:t>=</m:t>
              </m:r>
              <m:d>
                <m:dPr>
                  <m:ctrlPr>
                    <w:rPr>
                      <w:rFonts w:ascii="Cambria Math" w:hAnsi="Cambria Math" w:cs="Times New Roman"/>
                      <w:sz w:val="24"/>
                      <w:szCs w:val="24"/>
                    </w:rPr>
                  </m:ctrlPr>
                </m:dPr>
                <m:e>
                  <m:m>
                    <m:mPr>
                      <m:plcHide m:val="1"/>
                      <m:mcs>
                        <m:mc>
                          <m:mcPr>
                            <m:count m:val="4"/>
                            <m:mcJc m:val="center"/>
                          </m:mcPr>
                        </m:mc>
                      </m:mcs>
                      <m:ctrlPr>
                        <w:rPr>
                          <w:rFonts w:ascii="Cambria Math" w:hAnsi="Cambria Math" w:cs="Times New Roman"/>
                          <w:i/>
                          <w:sz w:val="24"/>
                          <w:szCs w:val="24"/>
                        </w:rPr>
                      </m:ctrlPr>
                    </m:mPr>
                    <m:mr>
                      <m:e>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e>
                      <m:e>
                        <m:r>
                          <m:rPr>
                            <m:sty m:val="p"/>
                          </m:rPr>
                          <w:rPr>
                            <w:rFonts w:ascii="Cambria Math" w:hAnsi="Cambria Math" w:cs="Times New Roman"/>
                            <w:sz w:val="24"/>
                            <w:szCs w:val="24"/>
                          </w:rPr>
                          <m:t>-</m:t>
                        </m:r>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e>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e>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e>
                    </m:mr>
                    <m:mr>
                      <m:e>
                        <m:r>
                          <m:rPr>
                            <m:sty m:val="p"/>
                          </m:rPr>
                          <w:rPr>
                            <w:rFonts w:ascii="Cambria Math" w:hAnsi="Cambria Math" w:cs="Times New Roman"/>
                            <w:sz w:val="24"/>
                            <w:szCs w:val="24"/>
                          </w:rPr>
                          <m:t>0</m:t>
                        </m:r>
                      </m:e>
                      <m:e>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r>
                          <w:rPr>
                            <w:rFonts w:ascii="Cambria Math" w:hAnsi="Cambria Math" w:cs="Times New Roman"/>
                            <w:sz w:val="24"/>
                            <w:szCs w:val="24"/>
                          </w:rPr>
                          <m:t>k</m:t>
                        </m:r>
                      </m:e>
                      <m:e>
                        <m:r>
                          <m:rPr>
                            <m:sty m:val="p"/>
                          </m:rPr>
                          <w:rPr>
                            <w:rFonts w:ascii="Cambria Math" w:hAnsi="Cambria Math" w:cs="Times New Roman"/>
                            <w:sz w:val="24"/>
                            <w:szCs w:val="24"/>
                          </w:rPr>
                          <m:t>0</m:t>
                        </m:r>
                      </m:e>
                      <m:e>
                        <m:r>
                          <m:rPr>
                            <m:sty m:val="p"/>
                          </m:rPr>
                          <w:rPr>
                            <w:rFonts w:ascii="Cambria Math" w:hAnsi="Cambria Math" w:cs="Times New Roman"/>
                            <w:sz w:val="24"/>
                            <w:szCs w:val="24"/>
                          </w:rPr>
                          <m:t>0</m:t>
                        </m:r>
                      </m:e>
                    </m:mr>
                    <m:mr>
                      <m:e>
                        <m:r>
                          <m:rPr>
                            <m:sty m:val="p"/>
                          </m:rPr>
                          <w:rPr>
                            <w:rFonts w:ascii="Cambria Math" w:hAnsi="Cambria Math" w:cs="Times New Roman"/>
                            <w:sz w:val="24"/>
                            <w:szCs w:val="24"/>
                          </w:rPr>
                          <m:t>0</m:t>
                        </m:r>
                      </m:e>
                      <m:e>
                        <m:r>
                          <w:rPr>
                            <w:rFonts w:ascii="Cambria Math" w:hAnsi="Cambria Math" w:cs="Times New Roman"/>
                            <w:sz w:val="24"/>
                            <w:szCs w:val="24"/>
                          </w:rPr>
                          <m:t>γ</m:t>
                        </m:r>
                      </m:e>
                      <m:e>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e>
                      <m:e>
                        <m:r>
                          <m:rPr>
                            <m:sty m:val="p"/>
                          </m:rPr>
                          <w:rPr>
                            <w:rFonts w:ascii="Cambria Math" w:hAnsi="Cambria Math" w:cs="Times New Roman"/>
                            <w:sz w:val="24"/>
                            <w:szCs w:val="24"/>
                          </w:rPr>
                          <m:t>0</m:t>
                        </m:r>
                      </m:e>
                    </m:mr>
                    <m:mr>
                      <m:e>
                        <m:r>
                          <w:rPr>
                            <w:rFonts w:ascii="Cambria Math" w:hAnsi="Cambria Math" w:cs="Times New Roman"/>
                            <w:sz w:val="24"/>
                            <w:szCs w:val="24"/>
                          </w:rPr>
                          <m:t>ν</m:t>
                        </m:r>
                      </m:e>
                      <m:e>
                        <m:r>
                          <m:rPr>
                            <m:sty m:val="p"/>
                          </m:rPr>
                          <w:rPr>
                            <w:rFonts w:ascii="Cambria Math" w:hAnsi="Cambria Math" w:cs="Times New Roman"/>
                            <w:sz w:val="24"/>
                            <w:szCs w:val="24"/>
                          </w:rPr>
                          <m:t>0</m:t>
                        </m:r>
                      </m:e>
                      <m:e>
                        <m:r>
                          <m:rPr>
                            <m:sty m:val="p"/>
                          </m:rPr>
                          <w:rPr>
                            <w:rFonts w:ascii="Cambria Math" w:hAnsi="Cambria Math" w:cs="Times New Roman"/>
                            <w:sz w:val="24"/>
                            <w:szCs w:val="24"/>
                          </w:rPr>
                          <m:t>0</m:t>
                        </m:r>
                      </m:e>
                      <m:e>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e>
                    </m:mr>
                  </m:m>
                </m:e>
              </m:d>
              <m:r>
                <m:rPr>
                  <m:sty m:val="p"/>
                </m:rPr>
                <w:rPr>
                  <w:rFonts w:ascii="Cambria Math" w:hAnsi="Cambria Math" w:cs="Times New Roman"/>
                  <w:sz w:val="24"/>
                  <w:szCs w:val="24"/>
                </w:rPr>
                <m:t>.</m:t>
              </m:r>
              <m:r>
                <w:rPr>
                  <w:rFonts w:ascii="Cambria Math" w:hAnsi="Cambria Math" w:cs="Times New Roman"/>
                  <w:sz w:val="24"/>
                  <w:szCs w:val="24"/>
                </w:rPr>
                <m:t>#(26)</m:t>
              </m:r>
            </m:e>
          </m:eqArr>
        </m:oMath>
      </m:oMathPara>
    </w:p>
    <w:p w14:paraId="6E61283F"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infection-associated eigenvalue is</w:t>
      </w:r>
    </w:p>
    <w:p w14:paraId="2051DFEA"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num>
                <m:den>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den>
              </m:f>
              <m:r>
                <m:rPr>
                  <m:sty m:val="p"/>
                </m:rPr>
                <w:rPr>
                  <w:rFonts w:ascii="Cambria Math" w:hAnsi="Cambria Math" w:cs="Times New Roman"/>
                  <w:sz w:val="24"/>
                  <w:szCs w:val="24"/>
                </w:rPr>
                <m:t>-</m:t>
              </m:r>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k</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-1</m:t>
                  </m:r>
                </m:e>
              </m:d>
              <m:r>
                <m:rPr>
                  <m:sty m:val="p"/>
                </m:rPr>
                <w:rPr>
                  <w:rFonts w:ascii="Cambria Math" w:hAnsi="Cambria Math" w:cs="Times New Roman"/>
                  <w:sz w:val="24"/>
                  <w:szCs w:val="24"/>
                </w:rPr>
                <m:t>.</m:t>
              </m:r>
              <m:r>
                <w:rPr>
                  <w:rFonts w:ascii="Cambria Math" w:hAnsi="Cambria Math" w:cs="Times New Roman"/>
                  <w:sz w:val="24"/>
                  <w:szCs w:val="24"/>
                </w:rPr>
                <m:t>#(27)</m:t>
              </m:r>
            </m:e>
          </m:eqArr>
        </m:oMath>
      </m:oMathPara>
    </w:p>
    <w:p w14:paraId="0007E48F"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remaining eigenvalues have negative real parts: one is </w:t>
      </w:r>
      <m:oMath>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oMath>
      <w:r w:rsidRPr="005405D4">
        <w:rPr>
          <w:rFonts w:ascii="Times New Roman" w:eastAsia="Georgia" w:hAnsi="Times New Roman" w:cs="Times New Roman"/>
          <w:sz w:val="24"/>
          <w:szCs w:val="24"/>
        </w:rPr>
        <w:t xml:space="preserve">, while the final two arise from a 2 × 2 block with negative trace and positive determinant </w:t>
      </w:r>
      <m:oMath>
        <m:r>
          <w:rPr>
            <w:rFonts w:ascii="Cambria Math" w:hAnsi="Cambria Math" w:cs="Times New Roman"/>
            <w:sz w:val="24"/>
            <w:szCs w:val="24"/>
          </w:rPr>
          <m:t>μ</m:t>
        </m:r>
        <m:d>
          <m:dPr>
            <m:ctrlPr>
              <w:rPr>
                <w:rFonts w:ascii="Cambria Math" w:hAnsi="Cambria Math" w:cs="Times New Roman"/>
                <w:sz w:val="24"/>
                <w:szCs w:val="24"/>
              </w:rPr>
            </m:ctrlPr>
          </m:dPr>
          <m:e>
            <m:r>
              <w:rPr>
                <w:rFonts w:ascii="Cambria Math" w:hAnsi="Cambria Math" w:cs="Times New Roman"/>
                <w:sz w:val="24"/>
                <w:szCs w:val="24"/>
              </w:rPr>
              <m:t>ν</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oMath>
      <w:r w:rsidRPr="005405D4">
        <w:rPr>
          <w:rFonts w:ascii="Times New Roman" w:hAnsi="Times New Roman" w:cs="Times New Roman"/>
          <w:sz w:val="24"/>
          <w:szCs w:val="24"/>
        </w:rPr>
        <w:t xml:space="preserve">. It follows that </w:t>
      </w:r>
      <m:oMath>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is locally asymptotically stable if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and unstable if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&gt;1</m:t>
        </m:r>
      </m:oMath>
      <w:r w:rsidRPr="005405D4">
        <w:rPr>
          <w:rFonts w:ascii="Times New Roman" w:hAnsi="Times New Roman" w:cs="Times New Roman"/>
          <w:sz w:val="24"/>
          <w:szCs w:val="24"/>
        </w:rPr>
        <w:t>.</w:t>
      </w:r>
    </w:p>
    <w:p w14:paraId="49D7FF8A" w14:textId="77777777" w:rsidR="00FE3703" w:rsidRPr="005405D4" w:rsidRDefault="00326151" w:rsidP="005405D4">
      <w:pPr>
        <w:spacing w:before="240" w:line="480" w:lineRule="auto"/>
        <w:rPr>
          <w:rFonts w:ascii="Times New Roman" w:hAnsi="Times New Roman" w:cs="Times New Roman"/>
          <w:sz w:val="24"/>
          <w:szCs w:val="24"/>
        </w:rPr>
      </w:pPr>
      <w:bookmarkStart w:id="15" w:name="bm_4_4_endemic_equilibrium"/>
      <w:r w:rsidRPr="005405D4">
        <w:rPr>
          <w:rFonts w:ascii="Times New Roman" w:hAnsi="Times New Roman" w:cs="Times New Roman"/>
          <w:b/>
          <w:sz w:val="24"/>
          <w:szCs w:val="24"/>
        </w:rPr>
        <w:lastRenderedPageBreak/>
        <w:t>4.4 Endemic equilibrium</w:t>
      </w:r>
      <w:bookmarkEnd w:id="15"/>
    </w:p>
    <w:p w14:paraId="7E7336CF"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Let </w:t>
      </w:r>
      <m:oMath>
        <m:sSup>
          <m:sSupPr>
            <m:ctrlPr>
              <w:rPr>
                <w:rFonts w:ascii="Cambria Math" w:hAnsi="Cambria Math" w:cs="Times New Roman"/>
                <w:sz w:val="24"/>
                <w:szCs w:val="24"/>
              </w:rPr>
            </m:ctrlPr>
          </m:sSupPr>
          <m:e>
            <m:r>
              <w:rPr>
                <w:rFonts w:ascii="Cambria Math" w:hAnsi="Cambria Math" w:cs="Times New Roman"/>
                <w:sz w:val="24"/>
                <w:szCs w:val="24"/>
              </w:rPr>
              <m:t>E</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d>
          <m:dPr>
            <m:ctrlPr>
              <w:rPr>
                <w:rFonts w:ascii="Cambria Math" w:hAnsi="Cambria Math" w:cs="Times New Roman"/>
                <w:sz w:val="24"/>
                <w:szCs w:val="24"/>
              </w:rPr>
            </m:ctrlPr>
          </m:dPr>
          <m:e>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m:t>
                </m:r>
              </m:sup>
            </m:sSup>
          </m:e>
        </m:d>
      </m:oMath>
      <w:r w:rsidRPr="005405D4">
        <w:rPr>
          <w:rFonts w:ascii="Times New Roman" w:hAnsi="Times New Roman" w:cs="Times New Roman"/>
          <w:sz w:val="24"/>
          <w:szCs w:val="24"/>
        </w:rPr>
        <w:t xml:space="preserve"> denote an equilibrium with </w:t>
      </w:r>
      <m:oMath>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&gt;0</m:t>
        </m:r>
      </m:oMath>
      <w:r w:rsidRPr="005405D4">
        <w:rPr>
          <w:rFonts w:ascii="Times New Roman" w:hAnsi="Times New Roman" w:cs="Times New Roman"/>
          <w:sz w:val="24"/>
          <w:szCs w:val="24"/>
        </w:rPr>
        <w:t>. Equation (16) implies</w:t>
      </w:r>
    </w:p>
    <w:p w14:paraId="250A9D56"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k</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num>
                <m:den>
                  <m:r>
                    <w:rPr>
                      <w:rFonts w:ascii="Cambria Math" w:hAnsi="Cambria Math" w:cs="Times New Roman"/>
                      <w:sz w:val="24"/>
                      <w:szCs w:val="24"/>
                    </w:rPr>
                    <m:t>β</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γ</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m:t>
              </m:r>
              <m:r>
                <w:rPr>
                  <w:rFonts w:ascii="Cambria Math" w:hAnsi="Cambria Math" w:cs="Times New Roman"/>
                  <w:sz w:val="24"/>
                  <w:szCs w:val="24"/>
                </w:rPr>
                <m:t>#(28)</m:t>
              </m:r>
            </m:e>
          </m:eqArr>
        </m:oMath>
      </m:oMathPara>
    </w:p>
    <w:p w14:paraId="2342A2B8"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Define</w:t>
      </w:r>
    </w:p>
    <w:p w14:paraId="4E692258"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q</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sSubSup>
                    <m:sSubSupPr>
                      <m:ctrlPr>
                        <w:rPr>
                          <w:rFonts w:ascii="Cambria Math" w:hAnsi="Cambria Math" w:cs="Times New Roman"/>
                          <w:sz w:val="24"/>
                          <w:szCs w:val="24"/>
                        </w:rPr>
                      </m:ctrlPr>
                    </m:sSubSup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up>
                      <m:r>
                        <m:rPr>
                          <m:sty m:val="p"/>
                        </m:rPr>
                        <w:rPr>
                          <w:rFonts w:ascii="Cambria Math" w:hAnsi="Cambria Math" w:cs="Times New Roman"/>
                          <w:sz w:val="24"/>
                          <w:szCs w:val="24"/>
                        </w:rPr>
                        <m:t>-1</m:t>
                      </m:r>
                    </m:sup>
                  </m:sSubSup>
                </m:num>
                <m:den>
                  <m:r>
                    <m:rPr>
                      <m:sty m:val="p"/>
                    </m:rPr>
                    <w:rPr>
                      <w:rFonts w:ascii="Cambria Math" w:hAnsi="Cambria Math" w:cs="Times New Roman"/>
                      <w:sz w:val="24"/>
                      <w:szCs w:val="24"/>
                    </w:rPr>
                    <m:t>1+</m:t>
                  </m:r>
                  <m:r>
                    <w:rPr>
                      <w:rFonts w:ascii="Cambria Math" w:hAnsi="Cambria Math" w:cs="Times New Roman"/>
                      <w:sz w:val="24"/>
                      <w:szCs w:val="24"/>
                    </w:rPr>
                    <m:t>γ</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den>
              </m:f>
              <m:r>
                <m:rPr>
                  <m:sty m:val="p"/>
                </m:rPr>
                <w:rPr>
                  <w:rFonts w:ascii="Cambria Math" w:hAnsi="Cambria Math" w:cs="Times New Roman"/>
                  <w:sz w:val="24"/>
                  <w:szCs w:val="24"/>
                </w:rPr>
                <m:t>.</m:t>
              </m:r>
              <m:r>
                <w:rPr>
                  <w:rFonts w:ascii="Cambria Math" w:hAnsi="Cambria Math" w:cs="Times New Roman"/>
                  <w:sz w:val="24"/>
                  <w:szCs w:val="24"/>
                </w:rPr>
                <m:t>#(29)</m:t>
              </m:r>
            </m:e>
          </m:eqArr>
        </m:oMath>
      </m:oMathPara>
    </w:p>
    <w:p w14:paraId="325757F8"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Using </w:t>
      </w:r>
      <m:oMath>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m:t>
            </m:r>
          </m:sup>
        </m:sSup>
      </m:oMath>
      <w:r w:rsidRPr="005405D4">
        <w:rPr>
          <w:rFonts w:ascii="Times New Roman" w:hAnsi="Times New Roman" w:cs="Times New Roman"/>
          <w:sz w:val="24"/>
          <w:szCs w:val="24"/>
        </w:rPr>
        <w:t xml:space="preserve"> gives </w:t>
      </w:r>
      <m:oMath>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q</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oMath>
      <w:r w:rsidRPr="005405D4">
        <w:rPr>
          <w:rFonts w:ascii="Times New Roman" w:hAnsi="Times New Roman" w:cs="Times New Roman"/>
          <w:sz w:val="24"/>
          <w:szCs w:val="24"/>
        </w:rPr>
        <w:t>. Equation (19) then yields</w:t>
      </w:r>
    </w:p>
    <w:p w14:paraId="5BD6A24E"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Λ</m:t>
                  </m:r>
                </m:num>
                <m:den>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δq</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q</m:t>
                  </m:r>
                  <m:r>
                    <m:rPr>
                      <m:sty m:val="p"/>
                    </m:rPr>
                    <w:rPr>
                      <w:rFonts w:ascii="Cambria Math" w:hAnsi="Cambria Math" w:cs="Times New Roman"/>
                      <w:sz w:val="24"/>
                      <w:szCs w:val="24"/>
                    </w:rPr>
                    <m:t>Λ</m:t>
                  </m:r>
                </m:num>
                <m:den>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δq</m:t>
                  </m:r>
                </m:den>
              </m:f>
              <m:r>
                <m:rPr>
                  <m:sty m:val="p"/>
                </m:rPr>
                <w:rPr>
                  <w:rFonts w:ascii="Cambria Math" w:hAnsi="Cambria Math" w:cs="Times New Roman"/>
                  <w:sz w:val="24"/>
                  <w:szCs w:val="24"/>
                </w:rPr>
                <m:t>.</m:t>
              </m:r>
              <m:r>
                <w:rPr>
                  <w:rFonts w:ascii="Cambria Math" w:hAnsi="Cambria Math" w:cs="Times New Roman"/>
                  <w:sz w:val="24"/>
                  <w:szCs w:val="24"/>
                </w:rPr>
                <m:t>#(30)</m:t>
              </m:r>
            </m:e>
          </m:eqArr>
        </m:oMath>
      </m:oMathPara>
    </w:p>
    <w:p w14:paraId="541D62AD"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Because </w:t>
      </w:r>
      <m:oMath>
        <m:r>
          <w:rPr>
            <w:rFonts w:ascii="Cambria Math" w:hAnsi="Cambria Math" w:cs="Times New Roman"/>
            <w:sz w:val="24"/>
            <w:szCs w:val="24"/>
          </w:rPr>
          <m:t>q</m:t>
        </m:r>
        <m:r>
          <m:rPr>
            <m:sty m:val="p"/>
          </m:rPr>
          <w:rPr>
            <w:rFonts w:ascii="Cambria Math" w:hAnsi="Cambria Math" w:cs="Times New Roman"/>
            <w:sz w:val="24"/>
            <w:szCs w:val="24"/>
          </w:rPr>
          <m:t>&gt;0</m:t>
        </m:r>
      </m:oMath>
      <w:r w:rsidRPr="005405D4">
        <w:rPr>
          <w:rFonts w:ascii="Times New Roman" w:hAnsi="Times New Roman" w:cs="Times New Roman"/>
          <w:sz w:val="24"/>
          <w:szCs w:val="24"/>
        </w:rPr>
        <w:t xml:space="preserve"> precisely when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&gt;1</m:t>
        </m:r>
      </m:oMath>
      <w:r w:rsidRPr="005405D4">
        <w:rPr>
          <w:rFonts w:ascii="Times New Roman" w:hAnsi="Times New Roman" w:cs="Times New Roman"/>
          <w:sz w:val="24"/>
          <w:szCs w:val="24"/>
        </w:rPr>
        <w:t>, a biologically meaningful endemic equilibrium exists above the invasion threshold.</w:t>
      </w:r>
    </w:p>
    <w:p w14:paraId="065F669C" w14:textId="77777777" w:rsidR="00FE3703" w:rsidRPr="005405D4" w:rsidRDefault="00326151" w:rsidP="005405D4">
      <w:pPr>
        <w:spacing w:before="240" w:line="480" w:lineRule="auto"/>
        <w:rPr>
          <w:rFonts w:ascii="Times New Roman" w:hAnsi="Times New Roman" w:cs="Times New Roman"/>
          <w:sz w:val="24"/>
          <w:szCs w:val="24"/>
        </w:rPr>
      </w:pPr>
      <w:bookmarkStart w:id="16" w:name="bm_4_5_sensitivity_analysis"/>
      <w:r w:rsidRPr="005405D4">
        <w:rPr>
          <w:rFonts w:ascii="Times New Roman" w:hAnsi="Times New Roman" w:cs="Times New Roman"/>
          <w:b/>
          <w:sz w:val="24"/>
          <w:szCs w:val="24"/>
        </w:rPr>
        <w:t>4.5 Sensitivity analysis</w:t>
      </w:r>
      <w:bookmarkEnd w:id="16"/>
    </w:p>
    <w:p w14:paraId="14F02765"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w:t>
      </w:r>
      <w:proofErr w:type="spellStart"/>
      <w:r w:rsidRPr="005405D4">
        <w:rPr>
          <w:rFonts w:ascii="Times New Roman" w:hAnsi="Times New Roman" w:cs="Times New Roman"/>
          <w:sz w:val="24"/>
          <w:szCs w:val="24"/>
        </w:rPr>
        <w:t>normalised</w:t>
      </w:r>
      <w:proofErr w:type="spellEnd"/>
      <w:r w:rsidRPr="005405D4">
        <w:rPr>
          <w:rFonts w:ascii="Times New Roman" w:hAnsi="Times New Roman" w:cs="Times New Roman"/>
          <w:sz w:val="24"/>
          <w:szCs w:val="24"/>
        </w:rPr>
        <w:t xml:space="preserve"> forward sensitivity index of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with respect to a parameter </w:t>
      </w:r>
      <m:oMath>
        <m:r>
          <w:rPr>
            <w:rFonts w:ascii="Cambria Math" w:hAnsi="Cambria Math" w:cs="Times New Roman"/>
            <w:sz w:val="24"/>
            <w:szCs w:val="24"/>
          </w:rPr>
          <m:t>p</m:t>
        </m:r>
      </m:oMath>
      <w:r w:rsidRPr="005405D4">
        <w:rPr>
          <w:rFonts w:ascii="Times New Roman" w:hAnsi="Times New Roman" w:cs="Times New Roman"/>
          <w:sz w:val="24"/>
          <w:szCs w:val="24"/>
        </w:rPr>
        <w:t xml:space="preserve"> is</w:t>
      </w:r>
    </w:p>
    <w:p w14:paraId="5C24146C"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p</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m:t>
                  </m:r>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num>
                <m:den>
                  <m:r>
                    <w:rPr>
                      <w:rFonts w:ascii="Cambria Math" w:hAnsi="Cambria Math" w:cs="Times New Roman"/>
                      <w:sz w:val="24"/>
                      <w:szCs w:val="24"/>
                    </w:rPr>
                    <m:t>∂p</m:t>
                  </m:r>
                </m:den>
              </m:f>
              <m:f>
                <m:fPr>
                  <m:ctrlPr>
                    <w:rPr>
                      <w:rFonts w:ascii="Cambria Math" w:hAnsi="Cambria Math" w:cs="Times New Roman"/>
                      <w:sz w:val="24"/>
                      <w:szCs w:val="24"/>
                    </w:rPr>
                  </m:ctrlPr>
                </m:fPr>
                <m:num>
                  <m:r>
                    <w:rPr>
                      <w:rFonts w:ascii="Cambria Math" w:hAnsi="Cambria Math" w:cs="Times New Roman"/>
                      <w:sz w:val="24"/>
                      <w:szCs w:val="24"/>
                    </w:rPr>
                    <m:t>p</m:t>
                  </m:r>
                </m:num>
                <m:den>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den>
              </m:f>
              <m:r>
                <m:rPr>
                  <m:sty m:val="p"/>
                </m:rPr>
                <w:rPr>
                  <w:rFonts w:ascii="Cambria Math" w:hAnsi="Cambria Math" w:cs="Times New Roman"/>
                  <w:sz w:val="24"/>
                  <w:szCs w:val="24"/>
                </w:rPr>
                <m:t>.</m:t>
              </m:r>
              <m:r>
                <w:rPr>
                  <w:rFonts w:ascii="Cambria Math" w:hAnsi="Cambria Math" w:cs="Times New Roman"/>
                  <w:sz w:val="24"/>
                  <w:szCs w:val="24"/>
                </w:rPr>
                <m:t>#(31)</m:t>
              </m:r>
            </m:e>
          </m:eqArr>
        </m:oMath>
      </m:oMathPara>
    </w:p>
    <w:p w14:paraId="6F305F0E"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From Equation (24),</w:t>
      </w:r>
    </w:p>
    <w:p w14:paraId="2DBB848A"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β</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=1</m:t>
              </m:r>
              <m:r>
                <w:rPr>
                  <w:rFonts w:ascii="Cambria Math" w:hAnsi="Cambria Math" w:cs="Times New Roman"/>
                  <w:sz w:val="24"/>
                  <w:szCs w:val="24"/>
                </w:rPr>
                <m:t>#(32)</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ν</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den>
              </m:f>
              <m:r>
                <w:rPr>
                  <w:rFonts w:ascii="Cambria Math" w:hAnsi="Cambria Math" w:cs="Times New Roman"/>
                  <w:sz w:val="24"/>
                  <w:szCs w:val="24"/>
                </w:rPr>
                <m:t>#(33)</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γ</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γ</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den>
              </m:f>
              <m:r>
                <w:rPr>
                  <w:rFonts w:ascii="Cambria Math" w:hAnsi="Cambria Math" w:cs="Times New Roman"/>
                  <w:sz w:val="24"/>
                  <w:szCs w:val="24"/>
                </w:rPr>
                <m:t>#(34)</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δ</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δ</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den>
              </m:f>
              <m:r>
                <w:rPr>
                  <w:rFonts w:ascii="Cambria Math" w:hAnsi="Cambria Math" w:cs="Times New Roman"/>
                  <w:sz w:val="24"/>
                  <w:szCs w:val="24"/>
                </w:rPr>
                <m:t>#(35)</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den>
                  </m:f>
                </m:e>
              </m:d>
              <m:r>
                <w:rPr>
                  <w:rFonts w:ascii="Cambria Math" w:hAnsi="Cambria Math" w:cs="Times New Roman"/>
                  <w:sz w:val="24"/>
                  <w:szCs w:val="24"/>
                </w:rPr>
                <m:t>#(36)</m:t>
              </m:r>
            </m:e>
          </m:eqArr>
        </m:oMath>
      </m:oMathPara>
    </w:p>
    <w:p w14:paraId="0DD85DB4"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unit elasticity with respect to </w:t>
      </w:r>
      <m:oMath>
        <m:r>
          <w:rPr>
            <w:rFonts w:ascii="Cambria Math" w:hAnsi="Cambria Math" w:cs="Times New Roman"/>
            <w:sz w:val="24"/>
            <w:szCs w:val="24"/>
          </w:rPr>
          <m:t>β</m:t>
        </m:r>
      </m:oMath>
      <w:r w:rsidRPr="005405D4">
        <w:rPr>
          <w:rFonts w:ascii="Times New Roman" w:hAnsi="Times New Roman" w:cs="Times New Roman"/>
          <w:sz w:val="24"/>
          <w:szCs w:val="24"/>
        </w:rPr>
        <w:t xml:space="preserve"> means that a given percentage change in transmission produces the same percentage change in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Vaccination and recovery have negative indices, whereas faster waning of vaccine protection increases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w:t>
      </w:r>
    </w:p>
    <w:p w14:paraId="408F8560" w14:textId="77777777" w:rsidR="00FE3703" w:rsidRPr="005405D4" w:rsidRDefault="00326151" w:rsidP="005405D4">
      <w:pPr>
        <w:spacing w:before="330" w:line="480" w:lineRule="auto"/>
        <w:rPr>
          <w:rFonts w:ascii="Times New Roman" w:hAnsi="Times New Roman" w:cs="Times New Roman"/>
          <w:sz w:val="24"/>
          <w:szCs w:val="24"/>
        </w:rPr>
      </w:pPr>
      <w:bookmarkStart w:id="17" w:name="bm_5_numerical_illustration"/>
      <w:r w:rsidRPr="005405D4">
        <w:rPr>
          <w:rFonts w:ascii="Times New Roman" w:hAnsi="Times New Roman" w:cs="Times New Roman"/>
          <w:b/>
          <w:sz w:val="24"/>
          <w:szCs w:val="24"/>
        </w:rPr>
        <w:t>5 Numerical illustration</w:t>
      </w:r>
      <w:bookmarkEnd w:id="17"/>
    </w:p>
    <w:p w14:paraId="5CFC9C8C"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numerical results in this section illustrate model </w:t>
      </w:r>
      <w:proofErr w:type="spellStart"/>
      <w:r w:rsidRPr="005405D4">
        <w:rPr>
          <w:rFonts w:ascii="Times New Roman" w:hAnsi="Times New Roman" w:cs="Times New Roman"/>
          <w:sz w:val="24"/>
          <w:szCs w:val="24"/>
        </w:rPr>
        <w:t>behaviour</w:t>
      </w:r>
      <w:proofErr w:type="spellEnd"/>
      <w:r w:rsidRPr="005405D4">
        <w:rPr>
          <w:rFonts w:ascii="Times New Roman" w:hAnsi="Times New Roman" w:cs="Times New Roman"/>
          <w:sz w:val="24"/>
          <w:szCs w:val="24"/>
        </w:rPr>
        <w:t xml:space="preserve">; they are not forecasts. We use </w:t>
      </w:r>
      <m:oMath>
        <m:r>
          <w:rPr>
            <w:rFonts w:ascii="Cambria Math" w:hAnsi="Cambria Math" w:cs="Times New Roman"/>
            <w:sz w:val="24"/>
            <w:szCs w:val="24"/>
          </w:rPr>
          <m:t>β</m:t>
        </m:r>
        <m:r>
          <m:rPr>
            <m:sty m:val="p"/>
          </m:rPr>
          <w:rPr>
            <w:rFonts w:ascii="Cambria Math" w:hAnsi="Cambria Math" w:cs="Times New Roman"/>
            <w:sz w:val="24"/>
            <w:szCs w:val="24"/>
          </w:rPr>
          <m:t>=0.5,</m:t>
        </m:r>
        <m:r>
          <w:rPr>
            <w:rFonts w:ascii="Cambria Math" w:hAnsi="Cambria Math" w:cs="Times New Roman"/>
            <w:sz w:val="24"/>
            <w:szCs w:val="24"/>
          </w:rPr>
          <m:t>γ</m:t>
        </m:r>
        <m:r>
          <m:rPr>
            <m:sty m:val="p"/>
          </m:rPr>
          <w:rPr>
            <w:rFonts w:ascii="Cambria Math" w:hAnsi="Cambria Math" w:cs="Times New Roman"/>
            <w:sz w:val="24"/>
            <w:szCs w:val="24"/>
          </w:rPr>
          <m:t>=0.15,</m:t>
        </m:r>
        <m:r>
          <w:rPr>
            <w:rFonts w:ascii="Cambria Math" w:hAnsi="Cambria Math" w:cs="Times New Roman"/>
            <w:sz w:val="24"/>
            <w:szCs w:val="24"/>
          </w:rPr>
          <m:t>δ</m:t>
        </m:r>
        <m:r>
          <m:rPr>
            <m:sty m:val="p"/>
          </m:rPr>
          <w:rPr>
            <w:rFonts w:ascii="Cambria Math" w:hAnsi="Cambria Math" w:cs="Times New Roman"/>
            <w:sz w:val="24"/>
            <w:szCs w:val="24"/>
          </w:rPr>
          <m:t>=0.02,</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=0.003,</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=0.001</m:t>
        </m:r>
      </m:oMath>
      <w:r w:rsidRPr="005405D4">
        <w:rPr>
          <w:rFonts w:ascii="Times New Roman" w:hAnsi="Times New Roman" w:cs="Times New Roman"/>
          <w:sz w:val="24"/>
          <w:szCs w:val="24"/>
        </w:rPr>
        <w:t xml:space="preserve">, and </w:t>
      </w:r>
      <m:oMath>
        <m:r>
          <w:rPr>
            <w:rFonts w:ascii="Cambria Math" w:hAnsi="Cambria Math" w:cs="Times New Roman"/>
            <w:sz w:val="24"/>
            <w:szCs w:val="24"/>
          </w:rPr>
          <m:t>μ</m:t>
        </m:r>
        <m:r>
          <m:rPr>
            <m:sty m:val="p"/>
          </m:rPr>
          <w:rPr>
            <w:rFonts w:ascii="Cambria Math" w:hAnsi="Cambria Math" w:cs="Times New Roman"/>
            <w:sz w:val="24"/>
            <w:szCs w:val="24"/>
          </w:rPr>
          <m:t>=0.00015</m:t>
        </m:r>
      </m:oMath>
      <w:r w:rsidRPr="005405D4">
        <w:rPr>
          <w:rFonts w:ascii="Times New Roman" w:hAnsi="Times New Roman" w:cs="Times New Roman"/>
          <w:sz w:val="24"/>
          <w:szCs w:val="24"/>
        </w:rPr>
        <w:t xml:space="preserve"> per day, with </w:t>
      </w:r>
      <m:oMath>
        <m:r>
          <m:rPr>
            <m:sty m:val="p"/>
          </m:rPr>
          <w:rPr>
            <w:rFonts w:ascii="Cambria Math" w:hAnsi="Cambria Math" w:cs="Times New Roman"/>
            <w:sz w:val="24"/>
            <w:szCs w:val="24"/>
          </w:rPr>
          <m:t>Λ=100</m:t>
        </m:r>
      </m:oMath>
      <w:r w:rsidRPr="005405D4">
        <w:rPr>
          <w:rFonts w:ascii="Times New Roman" w:hAnsi="Times New Roman" w:cs="Times New Roman"/>
          <w:sz w:val="24"/>
          <w:szCs w:val="24"/>
        </w:rPr>
        <w:t xml:space="preserve"> persons per day and initial state </w:t>
      </w:r>
      <m:oMath>
        <m:r>
          <m:rPr>
            <m:sty m:val="p"/>
          </m:rPr>
          <w:rPr>
            <w:rFonts w:ascii="Cambria Math" w:hAnsi="Cambria Math" w:cs="Times New Roman"/>
            <w:sz w:val="24"/>
            <w:szCs w:val="24"/>
          </w:rPr>
          <m:t>(</m:t>
        </m:r>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)=(90000,1000,0,9000)</m:t>
        </m:r>
      </m:oMath>
      <w:r w:rsidRPr="005405D4">
        <w:rPr>
          <w:rFonts w:ascii="Times New Roman" w:hAnsi="Times New Roman" w:cs="Times New Roman"/>
          <w:sz w:val="24"/>
          <w:szCs w:val="24"/>
        </w:rPr>
        <w:t xml:space="preserve">. Three vaccination rates are considered: low </w:t>
      </w:r>
      <m:oMath>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=0.005)</m:t>
        </m:r>
      </m:oMath>
      <w:r w:rsidRPr="005405D4">
        <w:rPr>
          <w:rFonts w:ascii="Times New Roman" w:hAnsi="Times New Roman" w:cs="Times New Roman"/>
          <w:sz w:val="24"/>
          <w:szCs w:val="24"/>
        </w:rPr>
        <w:t xml:space="preserve">, moderate </w:t>
      </w:r>
      <m:oMath>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=0.01)</m:t>
        </m:r>
      </m:oMath>
      <w:r w:rsidRPr="005405D4">
        <w:rPr>
          <w:rFonts w:ascii="Times New Roman" w:hAnsi="Times New Roman" w:cs="Times New Roman"/>
          <w:sz w:val="24"/>
          <w:szCs w:val="24"/>
        </w:rPr>
        <w:t xml:space="preserve">, and high </w:t>
      </w:r>
      <m:oMath>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=0.02)</m:t>
        </m:r>
      </m:oMath>
      <w:r w:rsidRPr="005405D4">
        <w:rPr>
          <w:rFonts w:ascii="Times New Roman" w:hAnsi="Times New Roman" w:cs="Times New Roman"/>
          <w:sz w:val="24"/>
          <w:szCs w:val="24"/>
        </w:rPr>
        <w:t xml:space="preserve"> per day.</w:t>
      </w:r>
    </w:p>
    <w:p w14:paraId="620E9D8B"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For these illustrative values, Equation (24) gives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≈0.549,0.303</m:t>
        </m:r>
      </m:oMath>
      <w:r w:rsidRPr="005405D4">
        <w:rPr>
          <w:rFonts w:ascii="Times New Roman" w:hAnsi="Times New Roman" w:cs="Times New Roman"/>
          <w:sz w:val="24"/>
          <w:szCs w:val="24"/>
        </w:rPr>
        <w:t xml:space="preserve">, and 0.160, respectively. The threshold from Equation (25) is </w:t>
      </w:r>
      <m:oMath>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r>
          <m:rPr>
            <m:sty m:val="p"/>
          </m:rPr>
          <w:rPr>
            <w:rFonts w:ascii="Cambria Math" w:hAnsi="Cambria Math" w:cs="Times New Roman"/>
            <w:sz w:val="24"/>
            <w:szCs w:val="24"/>
          </w:rPr>
          <m:t>≈0.00223</m:t>
        </m:r>
      </m:oMath>
      <w:r w:rsidRPr="005405D4">
        <w:rPr>
          <w:rFonts w:ascii="Times New Roman" w:hAnsi="Times New Roman" w:cs="Times New Roman"/>
          <w:sz w:val="24"/>
          <w:szCs w:val="24"/>
        </w:rPr>
        <w:t xml:space="preserve"> per day. Figure 2 shows the monotone decline in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as vaccination increases.</w:t>
      </w:r>
    </w:p>
    <w:p w14:paraId="65BED2E8" w14:textId="77777777" w:rsidR="00FE3703" w:rsidRPr="005405D4" w:rsidRDefault="00326151" w:rsidP="005405D4">
      <w:pPr>
        <w:spacing w:line="480" w:lineRule="auto"/>
        <w:jc w:val="center"/>
        <w:rPr>
          <w:rFonts w:ascii="Times New Roman" w:hAnsi="Times New Roman" w:cs="Times New Roman"/>
          <w:sz w:val="24"/>
          <w:szCs w:val="24"/>
        </w:rPr>
      </w:pPr>
      <w:r w:rsidRPr="005405D4">
        <w:rPr>
          <w:rFonts w:ascii="Times New Roman" w:hAnsi="Times New Roman" w:cs="Times New Roman"/>
          <w:noProof/>
          <w:sz w:val="24"/>
          <w:szCs w:val="24"/>
        </w:rPr>
        <w:lastRenderedPageBreak/>
        <w:drawing>
          <wp:inline distT="0" distB="0" distL="0" distR="0" wp14:anchorId="46EA80D0" wp14:editId="2D5C7A63">
            <wp:extent cx="5486400" cy="2777172"/>
            <wp:effectExtent l="0" t="0" r="0" b="0"/>
            <wp:docPr id="2" name="image-afcad8e35deebaa50854cf78a3c952ca4fa70614.jpg"/>
            <wp:cNvGraphicFramePr/>
            <a:graphic xmlns:a="http://schemas.openxmlformats.org/drawingml/2006/main">
              <a:graphicData uri="http://schemas.openxmlformats.org/drawingml/2006/picture">
                <pic:pic xmlns:pic="http://schemas.openxmlformats.org/drawingml/2006/picture">
                  <pic:nvPicPr>
                    <pic:cNvPr id="2" name="image-afcad8e35deebaa50854cf78a3c952ca4fa70614.jpg"/>
                    <pic:cNvPicPr/>
                  </pic:nvPicPr>
                  <pic:blipFill>
                    <a:blip r:embed="rId8" cstate="print"/>
                    <a:srcRect/>
                    <a:stretch>
                      <a:fillRect/>
                    </a:stretch>
                  </pic:blipFill>
                  <pic:spPr>
                    <a:xfrm>
                      <a:off x="0" y="0"/>
                      <a:ext cx="5486400" cy="2777172"/>
                    </a:xfrm>
                    <a:prstGeom prst="rect">
                      <a:avLst/>
                    </a:prstGeom>
                  </pic:spPr>
                </pic:pic>
              </a:graphicData>
            </a:graphic>
          </wp:inline>
        </w:drawing>
      </w:r>
    </w:p>
    <w:p w14:paraId="64AE0052" w14:textId="77777777" w:rsidR="00FE3703" w:rsidRPr="005405D4" w:rsidRDefault="00326151" w:rsidP="005405D4">
      <w:pPr>
        <w:spacing w:line="480" w:lineRule="auto"/>
        <w:rPr>
          <w:rFonts w:ascii="Times New Roman" w:hAnsi="Times New Roman" w:cs="Times New Roman"/>
          <w:sz w:val="24"/>
          <w:szCs w:val="24"/>
        </w:rPr>
      </w:pPr>
      <w:r w:rsidRPr="005405D4">
        <w:rPr>
          <w:rFonts w:ascii="Times New Roman" w:hAnsi="Times New Roman" w:cs="Times New Roman"/>
          <w:sz w:val="24"/>
          <w:szCs w:val="24"/>
        </w:rPr>
        <w:t xml:space="preserve">Figure 2: Relationship between vaccination rate and the basic reproduction number for the illustrative parameter set. The marked point is the threshold </w:t>
      </w:r>
      <m:oMath>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oMath>
      <w:r w:rsidRPr="005405D4">
        <w:rPr>
          <w:rFonts w:ascii="Times New Roman" w:hAnsi="Times New Roman" w:cs="Times New Roman"/>
          <w:sz w:val="24"/>
          <w:szCs w:val="24"/>
        </w:rPr>
        <w:t>.</w:t>
      </w:r>
    </w:p>
    <w:p w14:paraId="024F352A" w14:textId="77777777" w:rsidR="00FE3703" w:rsidRPr="005405D4" w:rsidRDefault="00326151" w:rsidP="005405D4">
      <w:pPr>
        <w:spacing w:before="240" w:line="480" w:lineRule="auto"/>
        <w:rPr>
          <w:rFonts w:ascii="Times New Roman" w:hAnsi="Times New Roman" w:cs="Times New Roman"/>
          <w:sz w:val="24"/>
          <w:szCs w:val="24"/>
        </w:rPr>
      </w:pPr>
      <w:bookmarkStart w:id="18" w:name="bm_5_1_calculations_underlying_figure_2"/>
      <w:r w:rsidRPr="005405D4">
        <w:rPr>
          <w:rFonts w:ascii="Times New Roman" w:hAnsi="Times New Roman" w:cs="Times New Roman"/>
          <w:b/>
          <w:sz w:val="24"/>
          <w:szCs w:val="24"/>
        </w:rPr>
        <w:t>5.1 Calculations underlying Figure 2</w:t>
      </w:r>
      <w:bookmarkEnd w:id="18"/>
    </w:p>
    <w:p w14:paraId="33B74AE6"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Figure 2 is obtained by substituting the illustrative parameter values into Equation (24). First, define</w:t>
      </w:r>
    </w:p>
    <w:p w14:paraId="19C12DB4"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a</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=0.001+0.00015=0.00115</m:t>
              </m:r>
              <m:r>
                <w:rPr>
                  <w:rFonts w:ascii="Cambria Math" w:hAnsi="Cambria Math" w:cs="Times New Roman"/>
                  <w:sz w:val="24"/>
                  <w:szCs w:val="24"/>
                </w:rPr>
                <m:t>#(37)</m:t>
              </m:r>
            </m:e>
          </m:eqArr>
        </m:oMath>
      </m:oMathPara>
    </w:p>
    <w:p w14:paraId="23031C32"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and</w:t>
      </w:r>
    </w:p>
    <w:p w14:paraId="495D80C8"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=0.15+0.02+0.00015=0.17015.</m:t>
              </m:r>
              <m:r>
                <w:rPr>
                  <w:rFonts w:ascii="Cambria Math" w:hAnsi="Cambria Math" w:cs="Times New Roman"/>
                  <w:sz w:val="24"/>
                  <w:szCs w:val="24"/>
                </w:rPr>
                <m:t>#(38)</m:t>
              </m:r>
            </m:e>
          </m:eqArr>
        </m:oMath>
      </m:oMathPara>
    </w:p>
    <w:p w14:paraId="23225199"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reproduction number can then be written as a function of the vaccination rate:</w:t>
      </w:r>
    </w:p>
    <w:p w14:paraId="76A1255C"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βa</m:t>
                  </m:r>
                </m:num>
                <m:den>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r>
                    <w:rPr>
                      <w:rFonts w:ascii="Cambria Math" w:hAnsi="Cambria Math" w:cs="Times New Roman"/>
                      <w:sz w:val="24"/>
                      <w:szCs w:val="24"/>
                    </w:rPr>
                    <m:t>k</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(0.00115+</m:t>
                  </m:r>
                  <m:r>
                    <w:rPr>
                      <w:rFonts w:ascii="Cambria Math" w:hAnsi="Cambria Math" w:cs="Times New Roman"/>
                      <w:sz w:val="24"/>
                      <w:szCs w:val="24"/>
                    </w:rPr>
                    <m:t>ν</m:t>
                  </m:r>
                  <m:r>
                    <m:rPr>
                      <m:sty m:val="p"/>
                    </m:rPr>
                    <w:rPr>
                      <w:rFonts w:ascii="Cambria Math" w:hAnsi="Cambria Math" w:cs="Times New Roman"/>
                      <w:sz w:val="24"/>
                      <w:szCs w:val="24"/>
                    </w:rPr>
                    <m:t>)(0.17015)</m:t>
                  </m:r>
                </m:den>
              </m:f>
              <m:r>
                <m:rPr>
                  <m:sty m:val="p"/>
                </m:rPr>
                <w:rPr>
                  <w:rFonts w:ascii="Cambria Math" w:hAnsi="Cambria Math" w:cs="Times New Roman"/>
                  <w:sz w:val="24"/>
                  <w:szCs w:val="24"/>
                </w:rPr>
                <m:t>.</m:t>
              </m:r>
              <m:r>
                <w:rPr>
                  <w:rFonts w:ascii="Cambria Math" w:hAnsi="Cambria Math" w:cs="Times New Roman"/>
                  <w:sz w:val="24"/>
                  <w:szCs w:val="24"/>
                </w:rPr>
                <m:t>#(39)</m:t>
              </m:r>
            </m:e>
          </m:eqArr>
        </m:oMath>
      </m:oMathPara>
    </w:p>
    <w:p w14:paraId="1F231EE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For example, in the absence of vaccination,</w:t>
      </w:r>
    </w:p>
    <w:p w14:paraId="21654DB9"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(0.00115)(0.17015)</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0.5</m:t>
                  </m:r>
                </m:num>
                <m:den>
                  <m:r>
                    <m:rPr>
                      <m:sty m:val="p"/>
                    </m:rPr>
                    <w:rPr>
                      <w:rFonts w:ascii="Cambria Math" w:hAnsi="Cambria Math" w:cs="Times New Roman"/>
                      <w:sz w:val="24"/>
                      <w:szCs w:val="24"/>
                    </w:rPr>
                    <m:t>0.17015</m:t>
                  </m:r>
                </m:den>
              </m:f>
              <m:r>
                <m:rPr>
                  <m:sty m:val="p"/>
                </m:rPr>
                <w:rPr>
                  <w:rFonts w:ascii="Cambria Math" w:hAnsi="Cambria Math" w:cs="Times New Roman"/>
                  <w:sz w:val="24"/>
                  <w:szCs w:val="24"/>
                </w:rPr>
                <m:t>≈2.938.</m:t>
              </m:r>
              <m:r>
                <w:rPr>
                  <w:rFonts w:ascii="Cambria Math" w:hAnsi="Cambria Math" w:cs="Times New Roman"/>
                  <w:sz w:val="24"/>
                  <w:szCs w:val="24"/>
                </w:rPr>
                <m:t>#(40)</m:t>
              </m:r>
            </m:e>
          </m:eqArr>
        </m:oMath>
      </m:oMathPara>
    </w:p>
    <w:p w14:paraId="466388D3"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Thus, without vaccination, one typical infectious individual would generate approximately 2.94 secondary infections under the model assumptions.</w:t>
      </w:r>
    </w:p>
    <w:p w14:paraId="7384DF97"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At the three vaccination rates considered in the numerical illustration,</w:t>
      </w:r>
    </w:p>
    <w:p w14:paraId="4B8294FF"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(0.005)=</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(0.00615)(0.17015)</m:t>
                  </m:r>
                </m:den>
              </m:f>
              <m:r>
                <m:rPr>
                  <m:sty m:val="p"/>
                </m:rPr>
                <w:rPr>
                  <w:rFonts w:ascii="Cambria Math" w:hAnsi="Cambria Math" w:cs="Times New Roman"/>
                  <w:sz w:val="24"/>
                  <w:szCs w:val="24"/>
                </w:rPr>
                <m:t>≈0.549,</m:t>
              </m:r>
              <m:r>
                <w:rPr>
                  <w:rFonts w:ascii="Cambria Math" w:hAnsi="Cambria Math" w:cs="Times New Roman"/>
                  <w:sz w:val="24"/>
                  <w:szCs w:val="24"/>
                </w:rPr>
                <m:t>#(41)</m:t>
              </m:r>
            </m:e>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(0.010)=</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(0.01115)(0.17015)</m:t>
                  </m:r>
                </m:den>
              </m:f>
              <m:r>
                <m:rPr>
                  <m:sty m:val="p"/>
                </m:rPr>
                <w:rPr>
                  <w:rFonts w:ascii="Cambria Math" w:hAnsi="Cambria Math" w:cs="Times New Roman"/>
                  <w:sz w:val="24"/>
                  <w:szCs w:val="24"/>
                </w:rPr>
                <m:t>≈0.303,</m:t>
              </m:r>
              <m:r>
                <w:rPr>
                  <w:rFonts w:ascii="Cambria Math" w:hAnsi="Cambria Math" w:cs="Times New Roman"/>
                  <w:sz w:val="24"/>
                  <w:szCs w:val="24"/>
                </w:rPr>
                <m:t>#(42)</m:t>
              </m:r>
            </m:e>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(0.020)=</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(0.02115)(0.17015)</m:t>
                  </m:r>
                </m:den>
              </m:f>
              <m:r>
                <m:rPr>
                  <m:sty m:val="p"/>
                </m:rPr>
                <w:rPr>
                  <w:rFonts w:ascii="Cambria Math" w:hAnsi="Cambria Math" w:cs="Times New Roman"/>
                  <w:sz w:val="24"/>
                  <w:szCs w:val="24"/>
                </w:rPr>
                <m:t>≈0.160.</m:t>
              </m:r>
              <m:r>
                <w:rPr>
                  <w:rFonts w:ascii="Cambria Math" w:hAnsi="Cambria Math" w:cs="Times New Roman"/>
                  <w:sz w:val="24"/>
                  <w:szCs w:val="24"/>
                </w:rPr>
                <m:t>#(43)</m:t>
              </m:r>
            </m:e>
          </m:eqArr>
        </m:oMath>
      </m:oMathPara>
    </w:p>
    <w:p w14:paraId="6B9ADF43"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These values correspond to reductions of approximately 81.3%, 89.7%, and 94.6%, respectively, relative to the no-vaccination value. In general, the proportional reduction is</w:t>
      </w:r>
    </w:p>
    <w:p w14:paraId="2F740B5F"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ty m:val="p"/>
                </m:rPr>
                <w:rPr>
                  <w:rFonts w:ascii="Cambria Math" w:hAnsi="Cambria Math" w:cs="Times New Roman"/>
                  <w:sz w:val="24"/>
                  <w:szCs w:val="24"/>
                </w:rPr>
                <m:t>1-</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num>
                <m:den>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m:t>
                  </m:r>
                </m:den>
              </m:f>
              <m:r>
                <m:rPr>
                  <m:sty m:val="p"/>
                </m:rPr>
                <w:rPr>
                  <w:rFonts w:ascii="Cambria Math" w:hAnsi="Cambria Math" w:cs="Times New Roman"/>
                  <w:sz w:val="24"/>
                  <w:szCs w:val="24"/>
                </w:rPr>
                <m:t>=1-</m:t>
              </m:r>
              <m:f>
                <m:fPr>
                  <m:ctrlPr>
                    <w:rPr>
                      <w:rFonts w:ascii="Cambria Math" w:hAnsi="Cambria Math" w:cs="Times New Roman"/>
                      <w:sz w:val="24"/>
                      <w:szCs w:val="24"/>
                    </w:rPr>
                  </m:ctrlPr>
                </m:fPr>
                <m:num>
                  <m:r>
                    <w:rPr>
                      <w:rFonts w:ascii="Cambria Math" w:hAnsi="Cambria Math" w:cs="Times New Roman"/>
                      <w:sz w:val="24"/>
                      <w:szCs w:val="24"/>
                    </w:rPr>
                    <m:t>a</m:t>
                  </m:r>
                </m:num>
                <m:den>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num>
                <m:den>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den>
              </m:f>
              <m:r>
                <m:rPr>
                  <m:sty m:val="p"/>
                </m:rPr>
                <w:rPr>
                  <w:rFonts w:ascii="Cambria Math" w:hAnsi="Cambria Math" w:cs="Times New Roman"/>
                  <w:sz w:val="24"/>
                  <w:szCs w:val="24"/>
                </w:rPr>
                <m:t>.</m:t>
              </m:r>
              <m:r>
                <w:rPr>
                  <w:rFonts w:ascii="Cambria Math" w:hAnsi="Cambria Math" w:cs="Times New Roman"/>
                  <w:sz w:val="24"/>
                  <w:szCs w:val="24"/>
                </w:rPr>
                <m:t>#(44)</m:t>
              </m:r>
            </m:e>
          </m:eqArr>
        </m:oMath>
      </m:oMathPara>
    </w:p>
    <w:p w14:paraId="11E50312"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black point in Figure 2 is found by setting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e>
        </m:d>
        <m:r>
          <m:rPr>
            <m:sty m:val="p"/>
          </m:rPr>
          <w:rPr>
            <w:rFonts w:ascii="Cambria Math" w:hAnsi="Cambria Math" w:cs="Times New Roman"/>
            <w:sz w:val="24"/>
            <w:szCs w:val="24"/>
          </w:rPr>
          <m:t>=1</m:t>
        </m:r>
      </m:oMath>
      <w:r w:rsidRPr="005405D4">
        <w:rPr>
          <w:rFonts w:ascii="Times New Roman" w:hAnsi="Times New Roman" w:cs="Times New Roman"/>
          <w:sz w:val="24"/>
          <w:szCs w:val="24"/>
        </w:rPr>
        <w:t xml:space="preserve"> :</w:t>
      </w:r>
    </w:p>
    <w:p w14:paraId="19B38EED"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ty m:val="p"/>
                </m:rPr>
                <w:rPr>
                  <w:rFonts w:ascii="Cambria Math" w:hAnsi="Cambria Math" w:cs="Times New Roman"/>
                  <w:sz w:val="24"/>
                  <w:szCs w:val="24"/>
                </w:rPr>
                <m:t>1</m:t>
              </m:r>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d>
                    <m:dPr>
                      <m:ctrlPr>
                        <w:rPr>
                          <w:rFonts w:ascii="Cambria Math" w:hAnsi="Cambria Math" w:cs="Times New Roman"/>
                          <w:sz w:val="24"/>
                          <w:szCs w:val="24"/>
                        </w:rPr>
                      </m:ctrlPr>
                    </m:dPr>
                    <m:e>
                      <m:r>
                        <m:rPr>
                          <m:sty m:val="p"/>
                        </m:rPr>
                        <w:rPr>
                          <w:rFonts w:ascii="Cambria Math" w:hAnsi="Cambria Math" w:cs="Times New Roman"/>
                          <w:sz w:val="24"/>
                          <w:szCs w:val="24"/>
                        </w:rPr>
                        <m:t>0.00115+</m:t>
                      </m:r>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e>
                  </m:d>
                  <m:r>
                    <m:rPr>
                      <m:sty m:val="p"/>
                    </m:rPr>
                    <w:rPr>
                      <w:rFonts w:ascii="Cambria Math" w:hAnsi="Cambria Math" w:cs="Times New Roman"/>
                      <w:sz w:val="24"/>
                      <w:szCs w:val="24"/>
                    </w:rPr>
                    <m:t>(0.17015)</m:t>
                  </m:r>
                </m:den>
              </m:f>
              <m:r>
                <w:rPr>
                  <w:rFonts w:ascii="Cambria Math" w:hAnsi="Cambria Math" w:cs="Times New Roman"/>
                  <w:sz w:val="24"/>
                  <w:szCs w:val="24"/>
                </w:rPr>
                <m:t>#(45)</m:t>
              </m:r>
            </m:e>
            <m:e>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r>
                <w:rPr>
                  <w:rFonts w:ascii="Cambria Math" w:hAnsi="Cambria Math" w:cs="Times New Roman"/>
                  <w:sz w:val="24"/>
                  <w:szCs w:val="24"/>
                </w:rPr>
                <m:t xml:space="preserve"> </m:t>
              </m:r>
              <m:r>
                <m:rPr>
                  <m:sty m:val="p"/>
                </m:rPr>
                <w:rPr>
                  <w:rFonts w:ascii="Cambria Math" w:hAnsi="Cambria Math" w:cs="Times New Roman"/>
                  <w:sz w:val="24"/>
                  <w:szCs w:val="24"/>
                </w:rPr>
                <m:t>=0.00115</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0.5</m:t>
                      </m:r>
                    </m:num>
                    <m:den>
                      <m:r>
                        <m:rPr>
                          <m:sty m:val="p"/>
                        </m:rPr>
                        <w:rPr>
                          <w:rFonts w:ascii="Cambria Math" w:hAnsi="Cambria Math" w:cs="Times New Roman"/>
                          <w:sz w:val="24"/>
                          <w:szCs w:val="24"/>
                        </w:rPr>
                        <m:t>0.17015</m:t>
                      </m:r>
                    </m:den>
                  </m:f>
                  <m:r>
                    <m:rPr>
                      <m:sty m:val="p"/>
                    </m:rPr>
                    <w:rPr>
                      <w:rFonts w:ascii="Cambria Math" w:hAnsi="Cambria Math" w:cs="Times New Roman"/>
                      <w:sz w:val="24"/>
                      <w:szCs w:val="24"/>
                    </w:rPr>
                    <m:t>-1</m:t>
                  </m:r>
                </m:e>
              </m:d>
              <m:r>
                <m:rPr>
                  <m:sty m:val="p"/>
                </m:rPr>
                <w:rPr>
                  <w:rFonts w:ascii="Cambria Math" w:hAnsi="Cambria Math" w:cs="Times New Roman"/>
                  <w:sz w:val="24"/>
                  <w:szCs w:val="24"/>
                </w:rPr>
                <m:t>≈0.00223</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r>
                <w:rPr>
                  <w:rFonts w:ascii="Cambria Math" w:hAnsi="Cambria Math" w:cs="Times New Roman"/>
                  <w:sz w:val="24"/>
                  <w:szCs w:val="24"/>
                </w:rPr>
                <m:t>#(46)</m:t>
              </m:r>
            </m:e>
          </m:eqArr>
        </m:oMath>
      </m:oMathPara>
    </w:p>
    <w:p w14:paraId="187ED538"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Therefore, the model predicts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when </w:t>
      </w:r>
      <m:oMath>
        <m:r>
          <w:rPr>
            <w:rFonts w:ascii="Cambria Math" w:hAnsi="Cambria Math" w:cs="Times New Roman"/>
            <w:sz w:val="24"/>
            <w:szCs w:val="24"/>
          </w:rPr>
          <m:t>ν</m:t>
        </m:r>
        <m:r>
          <m:rPr>
            <m:sty m:val="p"/>
          </m:rPr>
          <w:rPr>
            <w:rFonts w:ascii="Cambria Math" w:hAnsi="Cambria Math" w:cs="Times New Roman"/>
            <w:sz w:val="24"/>
            <w:szCs w:val="24"/>
          </w:rPr>
          <m:t>&gt;0.00223</m:t>
        </m:r>
      </m:oMath>
      <w:r w:rsidRPr="005405D4">
        <w:rPr>
          <w:rFonts w:ascii="Times New Roman" w:hAnsi="Times New Roman" w:cs="Times New Roman"/>
          <w:sz w:val="24"/>
          <w:szCs w:val="24"/>
        </w:rPr>
        <w:t xml:space="preserve"> day </w:t>
      </w:r>
      <m:oMath>
        <m:sSup>
          <m:sSupPr>
            <m:ctrlPr>
              <w:rPr>
                <w:rFonts w:ascii="Cambria Math" w:hAnsi="Cambria Math" w:cs="Times New Roman"/>
                <w:sz w:val="24"/>
                <w:szCs w:val="24"/>
              </w:rPr>
            </m:ctrlPr>
          </m:sSupPr>
          <m:e>
            <m:r>
              <w:rPr>
                <w:rFonts w:ascii="Cambria Math" w:hAnsi="Cambria Math" w:cs="Times New Roman"/>
                <w:sz w:val="24"/>
                <w:szCs w:val="24"/>
              </w:rPr>
              <m:t xml:space="preserve"> </m:t>
            </m:r>
          </m:e>
          <m:sup>
            <m:r>
              <m:rPr>
                <m:sty m:val="p"/>
              </m:rPr>
              <w:rPr>
                <w:rFonts w:ascii="Cambria Math" w:hAnsi="Cambria Math" w:cs="Times New Roman"/>
                <w:sz w:val="24"/>
                <w:szCs w:val="24"/>
              </w:rPr>
              <m:t>-1</m:t>
            </m:r>
          </m:sup>
        </m:sSup>
      </m:oMath>
      <w:r w:rsidRPr="005405D4">
        <w:rPr>
          <w:rFonts w:ascii="Times New Roman" w:hAnsi="Times New Roman" w:cs="Times New Roman"/>
          <w:sz w:val="24"/>
          <w:szCs w:val="24"/>
        </w:rPr>
        <w:t>, provided all other parameters remain fixed.</w:t>
      </w:r>
    </w:p>
    <w:p w14:paraId="54C684E2"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Finally, differentiating Equation (39) gives</w:t>
      </w:r>
    </w:p>
    <w:p w14:paraId="5EE4AD23" w14:textId="77777777" w:rsidR="00FE3703" w:rsidRPr="005405D4" w:rsidRDefault="00000000" w:rsidP="005405D4">
      <w:pPr>
        <w:spacing w:after="220" w:line="480" w:lineRule="auto"/>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ν</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βa</m:t>
                  </m:r>
                </m:num>
                <m:den>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den>
              </m:f>
              <m:r>
                <m:rPr>
                  <m:sty m:val="p"/>
                </m:rPr>
                <w:rPr>
                  <w:rFonts w:ascii="Cambria Math" w:hAnsi="Cambria Math" w:cs="Times New Roman"/>
                  <w:sz w:val="24"/>
                  <w:szCs w:val="24"/>
                </w:rPr>
                <m:t>&lt;0.</m:t>
              </m:r>
              <m:r>
                <w:rPr>
                  <w:rFonts w:ascii="Cambria Math" w:hAnsi="Cambria Math" w:cs="Times New Roman"/>
                  <w:sz w:val="24"/>
                  <w:szCs w:val="24"/>
                </w:rPr>
                <m:t>#(47)</m:t>
              </m:r>
            </m:e>
          </m:eqArr>
        </m:oMath>
      </m:oMathPara>
    </w:p>
    <w:p w14:paraId="05D30C28"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negative derivative explains the downward-sloping curve. Its magnitude decreases as </w:t>
      </w:r>
      <m:oMath>
        <m:r>
          <w:rPr>
            <w:rFonts w:ascii="Cambria Math" w:hAnsi="Cambria Math" w:cs="Times New Roman"/>
            <w:sz w:val="24"/>
            <w:szCs w:val="24"/>
          </w:rPr>
          <m:t>ν</m:t>
        </m:r>
      </m:oMath>
      <w:r w:rsidRPr="005405D4">
        <w:rPr>
          <w:rFonts w:ascii="Times New Roman" w:hAnsi="Times New Roman" w:cs="Times New Roman"/>
          <w:sz w:val="24"/>
          <w:szCs w:val="24"/>
        </w:rPr>
        <w:t xml:space="preserve"> increases, which accounts for the curve becoming progressively flatter at higher vaccination rates.</w:t>
      </w:r>
    </w:p>
    <w:p w14:paraId="0C86185A"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result has a direct interpretation. Raising </w:t>
      </w:r>
      <m:oMath>
        <m:r>
          <w:rPr>
            <w:rFonts w:ascii="Cambria Math" w:hAnsi="Cambria Math" w:cs="Times New Roman"/>
            <w:sz w:val="24"/>
            <w:szCs w:val="24"/>
          </w:rPr>
          <m:t>ν</m:t>
        </m:r>
      </m:oMath>
      <w:r w:rsidRPr="005405D4">
        <w:rPr>
          <w:rFonts w:ascii="Times New Roman" w:hAnsi="Times New Roman" w:cs="Times New Roman"/>
          <w:sz w:val="24"/>
          <w:szCs w:val="24"/>
        </w:rPr>
        <w:t xml:space="preserve"> moves susceptible individuals into the vaccinated class more quickly, so fewer remain available for infection. The marginal gain is largest when vaccination begins from a low rate; at higher values,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continues to fall but with diminishing absolute change. This pattern does not imply that every community has crossed the threshold, because the homogeneous model averages over local differences in coverage and contact.</w:t>
      </w:r>
    </w:p>
    <w:p w14:paraId="0F60E28E" w14:textId="77777777" w:rsidR="00FE3703" w:rsidRPr="005405D4" w:rsidRDefault="00326151" w:rsidP="005405D4">
      <w:pPr>
        <w:spacing w:before="330" w:line="480" w:lineRule="auto"/>
        <w:rPr>
          <w:rFonts w:ascii="Times New Roman" w:hAnsi="Times New Roman" w:cs="Times New Roman"/>
          <w:sz w:val="24"/>
          <w:szCs w:val="24"/>
        </w:rPr>
      </w:pPr>
      <w:bookmarkStart w:id="19" w:name="bm_6_discussion"/>
      <w:r w:rsidRPr="005405D4">
        <w:rPr>
          <w:rFonts w:ascii="Times New Roman" w:hAnsi="Times New Roman" w:cs="Times New Roman"/>
          <w:b/>
          <w:sz w:val="24"/>
          <w:szCs w:val="24"/>
        </w:rPr>
        <w:t>6 Discussion</w:t>
      </w:r>
      <w:bookmarkEnd w:id="19"/>
    </w:p>
    <w:p w14:paraId="12E01B5C"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model identifies vaccination as a central determinant of diphtheria transmission. At the DFE, the susceptible share is controlled by the competition between vaccination, waning vaccine protection, and demographic turnover. Increasing </w:t>
      </w:r>
      <m:oMath>
        <m:r>
          <w:rPr>
            <w:rFonts w:ascii="Cambria Math" w:hAnsi="Cambria Math" w:cs="Times New Roman"/>
            <w:sz w:val="24"/>
            <w:szCs w:val="24"/>
          </w:rPr>
          <m:t>ν</m:t>
        </m:r>
      </m:oMath>
      <w:r w:rsidRPr="005405D4">
        <w:rPr>
          <w:rFonts w:ascii="Times New Roman" w:hAnsi="Times New Roman" w:cs="Times New Roman"/>
          <w:sz w:val="24"/>
          <w:szCs w:val="24"/>
        </w:rPr>
        <w:t xml:space="preserve"> lowers that share and therefore lowers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Conversely, faster loss of vaccine-induced immunity returns people to susceptibility and raises the transmission potential.</w:t>
      </w:r>
    </w:p>
    <w:p w14:paraId="3A864D9F"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threshold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=1</m:t>
        </m:r>
      </m:oMath>
      <w:r w:rsidRPr="005405D4">
        <w:rPr>
          <w:rFonts w:ascii="Times New Roman" w:hAnsi="Times New Roman" w:cs="Times New Roman"/>
          <w:sz w:val="24"/>
          <w:szCs w:val="24"/>
        </w:rPr>
        <w:t xml:space="preserve"> should be interpreted as a population-level condition rather than a guarantee for every location. Even if a national average suggests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outbreaks may still occur in districts where coverage is low, immunity has waned, or contact patterns differ from the homogeneous-mixing assumption. This distinction is particularly relevant in settings with substantial geographical variation in service access.</w:t>
      </w:r>
    </w:p>
    <w:p w14:paraId="4D5CA540"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Recovery and mortality shorten the infectious period in the mathematical system and consequently reduce the number of secondary cases generated by an infectious person. Disease-induced mortality, </w:t>
      </w:r>
      <w:r w:rsidRPr="005405D4">
        <w:rPr>
          <w:rFonts w:ascii="Times New Roman" w:hAnsi="Times New Roman" w:cs="Times New Roman"/>
          <w:sz w:val="24"/>
          <w:szCs w:val="24"/>
        </w:rPr>
        <w:lastRenderedPageBreak/>
        <w:t>however, is not a desirable control mechanism; its negative sensitivity index reflects only its mathematical effect on infectious duration. Prevention, early diagnosis, appropriate treatment, case isolation, contact management, and vaccination remain the appropriate public-health responses.</w:t>
      </w:r>
    </w:p>
    <w:p w14:paraId="763C75F1"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analysis also underscores the importance of continuity. A temporary campaign may rapidly increase the vaccinated population, but waning protection and new recruitment can rebuild susceptibility. Routine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appropriate booster schedules, reliable vaccine supply, and surveillance capable of identifying immunity gaps are therefore complementary rather than competing interventions.</w:t>
      </w:r>
    </w:p>
    <w:p w14:paraId="08859BC2" w14:textId="77777777" w:rsidR="00FE3703" w:rsidRPr="005405D4" w:rsidRDefault="00326151" w:rsidP="005405D4">
      <w:pPr>
        <w:spacing w:before="240" w:line="480" w:lineRule="auto"/>
        <w:rPr>
          <w:rFonts w:ascii="Times New Roman" w:hAnsi="Times New Roman" w:cs="Times New Roman"/>
          <w:sz w:val="24"/>
          <w:szCs w:val="24"/>
        </w:rPr>
      </w:pPr>
      <w:bookmarkStart w:id="20" w:name="bm_6_1_policy_implications_for_nigeria"/>
      <w:r w:rsidRPr="005405D4">
        <w:rPr>
          <w:rFonts w:ascii="Times New Roman" w:hAnsi="Times New Roman" w:cs="Times New Roman"/>
          <w:b/>
          <w:sz w:val="24"/>
          <w:szCs w:val="24"/>
        </w:rPr>
        <w:t>6.1 Policy implications for Nigeria</w:t>
      </w:r>
      <w:bookmarkEnd w:id="20"/>
    </w:p>
    <w:p w14:paraId="08B52909"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The model supports five practical priorities:</w:t>
      </w:r>
    </w:p>
    <w:p w14:paraId="28F403A8" w14:textId="77777777" w:rsidR="00FE3703" w:rsidRPr="005405D4" w:rsidRDefault="00326151" w:rsidP="005405D4">
      <w:pPr>
        <w:numPr>
          <w:ilvl w:val="0"/>
          <w:numId w:val="4"/>
        </w:numPr>
        <w:spacing w:line="480" w:lineRule="auto"/>
        <w:rPr>
          <w:rFonts w:ascii="Times New Roman" w:hAnsi="Times New Roman" w:cs="Times New Roman"/>
          <w:sz w:val="24"/>
          <w:szCs w:val="24"/>
        </w:rPr>
      </w:pPr>
      <w:r w:rsidRPr="005405D4">
        <w:rPr>
          <w:rFonts w:ascii="Times New Roman" w:hAnsi="Times New Roman" w:cs="Times New Roman"/>
          <w:sz w:val="24"/>
          <w:szCs w:val="24"/>
        </w:rPr>
        <w:t>Close local coverage gaps. Resources should be directed not only toward increasing national coverage but also toward communities with persistently low uptake.</w:t>
      </w:r>
    </w:p>
    <w:p w14:paraId="343CFF27" w14:textId="77777777" w:rsidR="00FE3703" w:rsidRPr="005405D4" w:rsidRDefault="00326151" w:rsidP="005405D4">
      <w:pPr>
        <w:numPr>
          <w:ilvl w:val="0"/>
          <w:numId w:val="4"/>
        </w:numPr>
        <w:spacing w:line="480" w:lineRule="auto"/>
        <w:rPr>
          <w:rFonts w:ascii="Times New Roman" w:hAnsi="Times New Roman" w:cs="Times New Roman"/>
          <w:sz w:val="24"/>
          <w:szCs w:val="24"/>
        </w:rPr>
      </w:pPr>
      <w:r w:rsidRPr="005405D4">
        <w:rPr>
          <w:rFonts w:ascii="Times New Roman" w:hAnsi="Times New Roman" w:cs="Times New Roman"/>
          <w:sz w:val="24"/>
          <w:szCs w:val="24"/>
        </w:rPr>
        <w:t>Maintain protection over time. Booster policies should follow epidemiological evidence and national guidance, with systems in place to identify missed doses.</w:t>
      </w:r>
    </w:p>
    <w:p w14:paraId="23153AB6" w14:textId="77777777" w:rsidR="00FE3703" w:rsidRPr="005405D4" w:rsidRDefault="00326151" w:rsidP="005405D4">
      <w:pPr>
        <w:numPr>
          <w:ilvl w:val="0"/>
          <w:numId w:val="4"/>
        </w:numPr>
        <w:spacing w:line="480" w:lineRule="auto"/>
        <w:rPr>
          <w:rFonts w:ascii="Times New Roman" w:hAnsi="Times New Roman" w:cs="Times New Roman"/>
          <w:sz w:val="24"/>
          <w:szCs w:val="24"/>
        </w:rPr>
      </w:pPr>
      <w:r w:rsidRPr="005405D4">
        <w:rPr>
          <w:rFonts w:ascii="Times New Roman" w:hAnsi="Times New Roman" w:cs="Times New Roman"/>
          <w:sz w:val="24"/>
          <w:szCs w:val="24"/>
        </w:rPr>
        <w:t>Link surveillance to rapid response. Prompt detection, laboratory confirmation, case management, contact tracing, and targeted vaccination can prevent local transmission from expanding.</w:t>
      </w:r>
    </w:p>
    <w:p w14:paraId="007A0CCC" w14:textId="77777777" w:rsidR="00FE3703" w:rsidRPr="005405D4" w:rsidRDefault="00326151" w:rsidP="005405D4">
      <w:pPr>
        <w:numPr>
          <w:ilvl w:val="0"/>
          <w:numId w:val="4"/>
        </w:numPr>
        <w:spacing w:line="480" w:lineRule="auto"/>
        <w:rPr>
          <w:rFonts w:ascii="Times New Roman" w:hAnsi="Times New Roman" w:cs="Times New Roman"/>
          <w:sz w:val="24"/>
          <w:szCs w:val="24"/>
        </w:rPr>
      </w:pPr>
      <w:r w:rsidRPr="005405D4">
        <w:rPr>
          <w:rFonts w:ascii="Times New Roman" w:hAnsi="Times New Roman" w:cs="Times New Roman"/>
          <w:sz w:val="24"/>
          <w:szCs w:val="24"/>
        </w:rPr>
        <w:t>Strengthen delivery systems. Cold-chain capacity, dependable supply, trained health workers, and access in insecure or remote areas are necessary for effective coverage.</w:t>
      </w:r>
    </w:p>
    <w:p w14:paraId="654995D2" w14:textId="77777777" w:rsidR="00FE3703" w:rsidRPr="005405D4" w:rsidRDefault="00326151" w:rsidP="005405D4">
      <w:pPr>
        <w:numPr>
          <w:ilvl w:val="0"/>
          <w:numId w:val="6"/>
        </w:numPr>
        <w:spacing w:line="480" w:lineRule="auto"/>
        <w:rPr>
          <w:rFonts w:ascii="Times New Roman" w:hAnsi="Times New Roman" w:cs="Times New Roman"/>
          <w:sz w:val="24"/>
          <w:szCs w:val="24"/>
        </w:rPr>
      </w:pPr>
      <w:r w:rsidRPr="005405D4">
        <w:rPr>
          <w:rFonts w:ascii="Times New Roman" w:hAnsi="Times New Roman" w:cs="Times New Roman"/>
          <w:sz w:val="24"/>
          <w:szCs w:val="24"/>
        </w:rPr>
        <w:t>Build public confidence. Communication should be locally grounded, transparent, and responsive to concerns about vaccine safety and access.</w:t>
      </w:r>
    </w:p>
    <w:p w14:paraId="53057D78" w14:textId="77777777" w:rsidR="00FE3703" w:rsidRPr="005405D4" w:rsidRDefault="00326151" w:rsidP="005405D4">
      <w:pPr>
        <w:spacing w:before="330" w:line="480" w:lineRule="auto"/>
        <w:rPr>
          <w:rFonts w:ascii="Times New Roman" w:hAnsi="Times New Roman" w:cs="Times New Roman"/>
          <w:sz w:val="24"/>
          <w:szCs w:val="24"/>
        </w:rPr>
      </w:pPr>
      <w:bookmarkStart w:id="21" w:name="bm_7_limitations_and_future_work"/>
      <w:r w:rsidRPr="005405D4">
        <w:rPr>
          <w:rFonts w:ascii="Times New Roman" w:hAnsi="Times New Roman" w:cs="Times New Roman"/>
          <w:b/>
          <w:sz w:val="24"/>
          <w:szCs w:val="24"/>
        </w:rPr>
        <w:t>7 Limitations and future work</w:t>
      </w:r>
      <w:bookmarkEnd w:id="21"/>
    </w:p>
    <w:p w14:paraId="14AB4448"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lastRenderedPageBreak/>
        <w:t>Several limitations should guide interpretation. First, homogeneous mixing overlooks age-specific contact, household clustering, and regional variation. Second, the vaccinated class is assumed to be fully protected until immunity wanes; an extended model should allow partial vaccine efficacy, breakthrough infection, and multiple doses. Third, the model does not distinguish exposed, symptomatic, asymptomatic, treated, or carrier states. Fourth, all parameters are constant, although transmission and service delivery may vary over time. Fifth, the numerical values have not been estimated from a unified Nigerian dataset and therefore should not be treated as forecasts.</w:t>
      </w:r>
    </w:p>
    <w:p w14:paraId="09672FEA"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Future research should fit the model to Nigerian surveillance data and quantify parameter uncertainty. Useful extensions include age and dose structure, spatial coupling among states, stochastic outbreak dynamics, migration, vaccine hesitancy, time-dependent controls, and economic evaluation. An optimal-control formulation could compare the costs and effects of routine vaccination, booster delivery, case finding, and outbreak campaigns [14, 15].</w:t>
      </w:r>
    </w:p>
    <w:p w14:paraId="56A5C87F" w14:textId="77777777" w:rsidR="00FE3703" w:rsidRPr="005405D4" w:rsidRDefault="00326151" w:rsidP="005405D4">
      <w:pPr>
        <w:spacing w:before="330" w:line="480" w:lineRule="auto"/>
        <w:rPr>
          <w:rFonts w:ascii="Times New Roman" w:hAnsi="Times New Roman" w:cs="Times New Roman"/>
          <w:sz w:val="24"/>
          <w:szCs w:val="24"/>
        </w:rPr>
      </w:pPr>
      <w:bookmarkStart w:id="22" w:name="bm_8_conclusion"/>
      <w:r w:rsidRPr="005405D4">
        <w:rPr>
          <w:rFonts w:ascii="Times New Roman" w:hAnsi="Times New Roman" w:cs="Times New Roman"/>
          <w:b/>
          <w:sz w:val="24"/>
          <w:szCs w:val="24"/>
        </w:rPr>
        <w:t>8 Conclusion</w:t>
      </w:r>
      <w:bookmarkEnd w:id="22"/>
    </w:p>
    <w:p w14:paraId="31099B96" w14:textId="77777777" w:rsidR="00FE3703" w:rsidRPr="005405D4"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This study presents a transparent SIRV framework for examining vaccination control of diphtheria in Nigeria. The analysis shows that the disease-free equilibrium is locally asymptotically stable when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and that a positive endemic equilibrium emerges when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&gt;1</m:t>
        </m:r>
      </m:oMath>
      <w:r w:rsidRPr="005405D4">
        <w:rPr>
          <w:rFonts w:ascii="Times New Roman" w:hAnsi="Times New Roman" w:cs="Times New Roman"/>
          <w:sz w:val="24"/>
          <w:szCs w:val="24"/>
        </w:rPr>
        <w:t xml:space="preserve">. Vaccination lowers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by reducing the susceptible fraction, while waning protection acts in the opposite direction. The derived critical vaccination rate provides a concise theoretical target under the model assumptions.</w:t>
      </w:r>
    </w:p>
    <w:p w14:paraId="58A28F19" w14:textId="1B1244B7" w:rsidR="00FE3703" w:rsidRDefault="00326151" w:rsidP="005405D4">
      <w:pPr>
        <w:spacing w:after="220" w:line="480" w:lineRule="auto"/>
        <w:rPr>
          <w:rFonts w:ascii="Times New Roman" w:hAnsi="Times New Roman" w:cs="Times New Roman"/>
          <w:sz w:val="24"/>
          <w:szCs w:val="24"/>
        </w:rPr>
      </w:pPr>
      <w:r w:rsidRPr="005405D4">
        <w:rPr>
          <w:rFonts w:ascii="Times New Roman" w:hAnsi="Times New Roman" w:cs="Times New Roman"/>
          <w:sz w:val="24"/>
          <w:szCs w:val="24"/>
        </w:rPr>
        <w:t xml:space="preserve">The central policy message is that diphtheria control depends on sustained, equitable immunity rather than isolated increases in aggregate coverage. Routine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xml:space="preserve">, booster delivery where recommended, strong surveillance, rapid outbreak response, and public confidence must operate </w:t>
      </w:r>
      <w:r w:rsidRPr="005405D4">
        <w:rPr>
          <w:rFonts w:ascii="Times New Roman" w:hAnsi="Times New Roman" w:cs="Times New Roman"/>
          <w:sz w:val="24"/>
          <w:szCs w:val="24"/>
        </w:rPr>
        <w:lastRenderedPageBreak/>
        <w:t>together. Before the framework is used for prediction or resource allocation, its parameters should be calibrated and validated with current Nigerian data.</w:t>
      </w:r>
    </w:p>
    <w:p w14:paraId="26E2E6C4" w14:textId="69BBAF36" w:rsidR="00D75BE9" w:rsidRDefault="00D75BE9" w:rsidP="005405D4">
      <w:pPr>
        <w:spacing w:after="220" w:line="480" w:lineRule="auto"/>
        <w:rPr>
          <w:rFonts w:ascii="Times New Roman" w:hAnsi="Times New Roman" w:cs="Times New Roman"/>
          <w:sz w:val="24"/>
          <w:szCs w:val="24"/>
        </w:rPr>
      </w:pPr>
    </w:p>
    <w:p w14:paraId="5256CF65" w14:textId="77777777" w:rsidR="00D75BE9" w:rsidRDefault="00D75BE9" w:rsidP="00D75BE9">
      <w:pPr>
        <w:shd w:val="clear" w:color="auto" w:fill="FFFFFF"/>
        <w:spacing w:after="0" w:line="240" w:lineRule="auto"/>
        <w:rPr>
          <w:rFonts w:ascii="Arial" w:eastAsia="Times New Roman" w:hAnsi="Arial" w:cs="Arial"/>
          <w:color w:val="222222"/>
          <w:sz w:val="24"/>
          <w:szCs w:val="24"/>
          <w:lang w:val="en-IN" w:eastAsia="en-IN"/>
        </w:rPr>
      </w:pPr>
      <w:bookmarkStart w:id="23" w:name="_Hlk232854992"/>
      <w:bookmarkStart w:id="24" w:name="_Hlk238909442"/>
      <w:bookmarkStart w:id="25" w:name="_Hlk237857116"/>
    </w:p>
    <w:p w14:paraId="675F360C" w14:textId="77777777" w:rsidR="00D75BE9" w:rsidRPr="002D08AC" w:rsidRDefault="00D75BE9" w:rsidP="00D75BE9">
      <w:pPr>
        <w:spacing w:after="0" w:line="240" w:lineRule="auto"/>
        <w:rPr>
          <w:rFonts w:ascii="Arial" w:hAnsi="Arial" w:cs="Arial"/>
          <w:b/>
          <w:sz w:val="20"/>
          <w:szCs w:val="20"/>
        </w:rPr>
      </w:pPr>
      <w:bookmarkStart w:id="26" w:name="_Hlk238550938"/>
      <w:bookmarkStart w:id="27" w:name="_Hlk237856463"/>
      <w:bookmarkEnd w:id="23"/>
      <w:r w:rsidRPr="002D08AC">
        <w:rPr>
          <w:rFonts w:ascii="Arial" w:hAnsi="Arial" w:cs="Arial"/>
          <w:b/>
          <w:sz w:val="20"/>
          <w:szCs w:val="20"/>
        </w:rPr>
        <w:t>Declaration of AI Use</w:t>
      </w:r>
    </w:p>
    <w:p w14:paraId="4AA95AD4" w14:textId="77777777" w:rsidR="00D75BE9" w:rsidRPr="002D08AC" w:rsidRDefault="00D75BE9" w:rsidP="00D75BE9">
      <w:pPr>
        <w:spacing w:after="0" w:line="240" w:lineRule="auto"/>
        <w:rPr>
          <w:rFonts w:ascii="Arial" w:hAnsi="Arial" w:cs="Arial"/>
          <w:sz w:val="20"/>
          <w:szCs w:val="20"/>
        </w:rPr>
      </w:pPr>
      <w:bookmarkStart w:id="28" w:name="_Hlk239068730"/>
    </w:p>
    <w:p w14:paraId="5E0E4324" w14:textId="77777777" w:rsidR="00D75BE9" w:rsidRPr="002D08AC" w:rsidRDefault="00D75BE9" w:rsidP="00D75BE9">
      <w:pPr>
        <w:spacing w:after="0" w:line="240" w:lineRule="auto"/>
        <w:rPr>
          <w:rFonts w:ascii="Arial" w:hAnsi="Arial" w:cs="Arial"/>
          <w:sz w:val="20"/>
          <w:szCs w:val="20"/>
        </w:rPr>
      </w:pPr>
      <w:bookmarkStart w:id="29"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4"/>
      <w:bookmarkEnd w:id="26"/>
      <w:r w:rsidRPr="002D08AC">
        <w:rPr>
          <w:rFonts w:ascii="Arial" w:hAnsi="Arial" w:cs="Arial"/>
          <w:sz w:val="20"/>
          <w:szCs w:val="20"/>
        </w:rPr>
        <w:t>.</w:t>
      </w:r>
    </w:p>
    <w:bookmarkEnd w:id="25"/>
    <w:bookmarkEnd w:id="27"/>
    <w:bookmarkEnd w:id="28"/>
    <w:bookmarkEnd w:id="29"/>
    <w:p w14:paraId="603DABCB" w14:textId="77777777" w:rsidR="00D75BE9" w:rsidRPr="005405D4" w:rsidRDefault="00D75BE9" w:rsidP="005405D4">
      <w:pPr>
        <w:spacing w:after="220" w:line="480" w:lineRule="auto"/>
        <w:rPr>
          <w:rFonts w:ascii="Times New Roman" w:hAnsi="Times New Roman" w:cs="Times New Roman"/>
          <w:sz w:val="24"/>
          <w:szCs w:val="24"/>
        </w:rPr>
      </w:pPr>
    </w:p>
    <w:p w14:paraId="6F58A877" w14:textId="77777777" w:rsidR="00FE3703" w:rsidRPr="005405D4" w:rsidRDefault="00326151" w:rsidP="005405D4">
      <w:pPr>
        <w:spacing w:before="330" w:line="480" w:lineRule="auto"/>
        <w:rPr>
          <w:rFonts w:ascii="Times New Roman" w:hAnsi="Times New Roman" w:cs="Times New Roman"/>
          <w:sz w:val="24"/>
          <w:szCs w:val="24"/>
        </w:rPr>
      </w:pPr>
      <w:bookmarkStart w:id="30" w:name="references"/>
      <w:r w:rsidRPr="005405D4">
        <w:rPr>
          <w:rFonts w:ascii="Times New Roman" w:hAnsi="Times New Roman" w:cs="Times New Roman"/>
          <w:b/>
          <w:sz w:val="24"/>
          <w:szCs w:val="24"/>
        </w:rPr>
        <w:t>References</w:t>
      </w:r>
      <w:bookmarkEnd w:id="30"/>
    </w:p>
    <w:p w14:paraId="3743DD22" w14:textId="77777777" w:rsidR="00FE3703" w:rsidRPr="005405D4" w:rsidRDefault="00326151" w:rsidP="005405D4">
      <w:pPr>
        <w:numPr>
          <w:ilvl w:val="0"/>
          <w:numId w:val="8"/>
        </w:numPr>
        <w:spacing w:line="480" w:lineRule="auto"/>
        <w:rPr>
          <w:rFonts w:ascii="Times New Roman" w:hAnsi="Times New Roman" w:cs="Times New Roman"/>
          <w:sz w:val="24"/>
          <w:szCs w:val="24"/>
        </w:rPr>
      </w:pPr>
      <w:r w:rsidRPr="005405D4">
        <w:rPr>
          <w:rFonts w:ascii="Times New Roman" w:hAnsi="Times New Roman" w:cs="Times New Roman"/>
          <w:sz w:val="24"/>
          <w:szCs w:val="24"/>
        </w:rPr>
        <w:t>[1] R. M. Anderson and R. M. May, Infectious Diseases of Humans: Dynamics and Control. Oxford University Press, 1991.</w:t>
      </w:r>
    </w:p>
    <w:p w14:paraId="41873D97" w14:textId="77777777" w:rsidR="00FE3703" w:rsidRPr="005405D4" w:rsidRDefault="00326151" w:rsidP="005405D4">
      <w:pPr>
        <w:numPr>
          <w:ilvl w:val="0"/>
          <w:numId w:val="9"/>
        </w:numPr>
        <w:spacing w:line="480" w:lineRule="auto"/>
        <w:rPr>
          <w:rFonts w:ascii="Times New Roman" w:hAnsi="Times New Roman" w:cs="Times New Roman"/>
          <w:sz w:val="24"/>
          <w:szCs w:val="24"/>
        </w:rPr>
      </w:pPr>
      <w:r w:rsidRPr="005405D4">
        <w:rPr>
          <w:rFonts w:ascii="Times New Roman" w:hAnsi="Times New Roman" w:cs="Times New Roman"/>
          <w:sz w:val="24"/>
          <w:szCs w:val="24"/>
        </w:rPr>
        <w:t xml:space="preserve">[2] O. Diekmann, J. A. P. </w:t>
      </w:r>
      <w:proofErr w:type="spellStart"/>
      <w:r w:rsidRPr="005405D4">
        <w:rPr>
          <w:rFonts w:ascii="Times New Roman" w:hAnsi="Times New Roman" w:cs="Times New Roman"/>
          <w:sz w:val="24"/>
          <w:szCs w:val="24"/>
        </w:rPr>
        <w:t>Heesterbeek</w:t>
      </w:r>
      <w:proofErr w:type="spellEnd"/>
      <w:r w:rsidRPr="005405D4">
        <w:rPr>
          <w:rFonts w:ascii="Times New Roman" w:hAnsi="Times New Roman" w:cs="Times New Roman"/>
          <w:sz w:val="24"/>
          <w:szCs w:val="24"/>
        </w:rPr>
        <w:t xml:space="preserve">, and J. A. J. Metz, "On the definition and the computation of the basic reproduction ratio </w:t>
      </w:r>
      <m:oMath>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in models for infectious diseases in heterogeneous populations," Journal of Mathematical Biology, vol. 28, no. 4, pp. 365-382, 1990.</w:t>
      </w:r>
    </w:p>
    <w:p w14:paraId="7C529455" w14:textId="77777777" w:rsidR="00FE3703" w:rsidRPr="005405D4" w:rsidRDefault="00326151" w:rsidP="005405D4">
      <w:pPr>
        <w:numPr>
          <w:ilvl w:val="0"/>
          <w:numId w:val="10"/>
        </w:numPr>
        <w:spacing w:line="480" w:lineRule="auto"/>
        <w:rPr>
          <w:rFonts w:ascii="Times New Roman" w:hAnsi="Times New Roman" w:cs="Times New Roman"/>
          <w:sz w:val="24"/>
          <w:szCs w:val="24"/>
        </w:rPr>
      </w:pPr>
      <w:r w:rsidRPr="005405D4">
        <w:rPr>
          <w:rFonts w:ascii="Times New Roman" w:hAnsi="Times New Roman" w:cs="Times New Roman"/>
          <w:sz w:val="24"/>
          <w:szCs w:val="24"/>
        </w:rPr>
        <w:t>[3] H. W. Hethcote, "The mathematics of infectious diseases," SIAM Review, vol. 42, no. 4, pp. 599-653, 2000.</w:t>
      </w:r>
    </w:p>
    <w:p w14:paraId="07116FDA" w14:textId="77777777" w:rsidR="00FE3703" w:rsidRPr="005405D4" w:rsidRDefault="00326151" w:rsidP="005405D4">
      <w:pPr>
        <w:numPr>
          <w:ilvl w:val="0"/>
          <w:numId w:val="12"/>
        </w:numPr>
        <w:spacing w:line="480" w:lineRule="auto"/>
        <w:rPr>
          <w:rFonts w:ascii="Times New Roman" w:hAnsi="Times New Roman" w:cs="Times New Roman"/>
          <w:sz w:val="24"/>
          <w:szCs w:val="24"/>
        </w:rPr>
      </w:pPr>
      <w:r w:rsidRPr="005405D4">
        <w:rPr>
          <w:rFonts w:ascii="Times New Roman" w:hAnsi="Times New Roman" w:cs="Times New Roman"/>
          <w:sz w:val="24"/>
          <w:szCs w:val="24"/>
        </w:rPr>
        <w:t>[4] M. S. Rahman, M. Z. Islam, and M. S. Islam, "Mathematical modeling of diphtheria transmission with vaccination control," Mathematical Biosciences and Engineering, vol. 13, no. 5, pp. 947-963, 2016.</w:t>
      </w:r>
    </w:p>
    <w:p w14:paraId="42FCB21F" w14:textId="77777777" w:rsidR="00FE3703" w:rsidRPr="005405D4" w:rsidRDefault="00326151" w:rsidP="005405D4">
      <w:pPr>
        <w:numPr>
          <w:ilvl w:val="0"/>
          <w:numId w:val="13"/>
        </w:numPr>
        <w:spacing w:line="480" w:lineRule="auto"/>
        <w:rPr>
          <w:rFonts w:ascii="Times New Roman" w:hAnsi="Times New Roman" w:cs="Times New Roman"/>
          <w:sz w:val="24"/>
          <w:szCs w:val="24"/>
        </w:rPr>
      </w:pPr>
      <w:r w:rsidRPr="005405D4">
        <w:rPr>
          <w:rFonts w:ascii="Times New Roman" w:hAnsi="Times New Roman" w:cs="Times New Roman"/>
          <w:sz w:val="24"/>
          <w:szCs w:val="24"/>
        </w:rPr>
        <w:t>[5] X. Wang, Y. Li, K. L. O'Brien, et al., "Global burden of diphtheria and impact of vaccination," The Lancet Infectious Diseases, vol. 17, no. 4, pp. 389-394, 2017.</w:t>
      </w:r>
    </w:p>
    <w:p w14:paraId="734A2461" w14:textId="77777777" w:rsidR="00FE3703" w:rsidRPr="005405D4" w:rsidRDefault="00326151" w:rsidP="005405D4">
      <w:pPr>
        <w:numPr>
          <w:ilvl w:val="0"/>
          <w:numId w:val="14"/>
        </w:numPr>
        <w:spacing w:line="480" w:lineRule="auto"/>
        <w:rPr>
          <w:rFonts w:ascii="Times New Roman" w:hAnsi="Times New Roman" w:cs="Times New Roman"/>
          <w:sz w:val="24"/>
          <w:szCs w:val="24"/>
        </w:rPr>
      </w:pPr>
      <w:r w:rsidRPr="005405D4">
        <w:rPr>
          <w:rFonts w:ascii="Times New Roman" w:hAnsi="Times New Roman" w:cs="Times New Roman"/>
          <w:sz w:val="24"/>
          <w:szCs w:val="24"/>
        </w:rPr>
        <w:lastRenderedPageBreak/>
        <w:t xml:space="preserve">[6] S. A. </w:t>
      </w:r>
      <w:proofErr w:type="spellStart"/>
      <w:r w:rsidRPr="005405D4">
        <w:rPr>
          <w:rFonts w:ascii="Times New Roman" w:hAnsi="Times New Roman" w:cs="Times New Roman"/>
          <w:sz w:val="24"/>
          <w:szCs w:val="24"/>
        </w:rPr>
        <w:t>Kambai</w:t>
      </w:r>
      <w:proofErr w:type="spellEnd"/>
      <w:r w:rsidRPr="005405D4">
        <w:rPr>
          <w:rFonts w:ascii="Times New Roman" w:hAnsi="Times New Roman" w:cs="Times New Roman"/>
          <w:sz w:val="24"/>
          <w:szCs w:val="24"/>
        </w:rPr>
        <w:t xml:space="preserve"> et al., "A mathematical model and simulation of the impact of the proliferation of arms and weapons on kidnapping activities," Journal of Applied Mathematics and Statistics, 2023.</w:t>
      </w:r>
    </w:p>
    <w:p w14:paraId="7E628443" w14:textId="77777777" w:rsidR="00FE3703" w:rsidRPr="005405D4" w:rsidRDefault="00326151" w:rsidP="005405D4">
      <w:pPr>
        <w:numPr>
          <w:ilvl w:val="0"/>
          <w:numId w:val="15"/>
        </w:numPr>
        <w:spacing w:line="480" w:lineRule="auto"/>
        <w:rPr>
          <w:rFonts w:ascii="Times New Roman" w:hAnsi="Times New Roman" w:cs="Times New Roman"/>
          <w:sz w:val="24"/>
          <w:szCs w:val="24"/>
        </w:rPr>
      </w:pPr>
      <w:r w:rsidRPr="005405D4">
        <w:rPr>
          <w:rFonts w:ascii="Times New Roman" w:hAnsi="Times New Roman" w:cs="Times New Roman"/>
          <w:sz w:val="24"/>
          <w:szCs w:val="24"/>
        </w:rPr>
        <w:t>[7] World Health Organization, Diphtheria: Global Epidemiological Reports, 2022.</w:t>
      </w:r>
    </w:p>
    <w:p w14:paraId="2478F541" w14:textId="77777777" w:rsidR="00FE3703" w:rsidRPr="005405D4" w:rsidRDefault="00326151" w:rsidP="005405D4">
      <w:pPr>
        <w:numPr>
          <w:ilvl w:val="0"/>
          <w:numId w:val="16"/>
        </w:numPr>
        <w:spacing w:line="480" w:lineRule="auto"/>
        <w:rPr>
          <w:rFonts w:ascii="Times New Roman" w:hAnsi="Times New Roman" w:cs="Times New Roman"/>
          <w:sz w:val="24"/>
          <w:szCs w:val="24"/>
        </w:rPr>
      </w:pPr>
      <w:r w:rsidRPr="005405D4">
        <w:rPr>
          <w:rFonts w:ascii="Times New Roman" w:hAnsi="Times New Roman" w:cs="Times New Roman"/>
          <w:sz w:val="24"/>
          <w:szCs w:val="24"/>
        </w:rPr>
        <w:t>[8] Nigeria Centre for Disease Control and Prevention, Diphtheria Outbreak Report and Response Strategy, 2023.</w:t>
      </w:r>
    </w:p>
    <w:p w14:paraId="4F657C47" w14:textId="77777777" w:rsidR="00FE3703" w:rsidRPr="005405D4" w:rsidRDefault="00326151" w:rsidP="005405D4">
      <w:pPr>
        <w:numPr>
          <w:ilvl w:val="0"/>
          <w:numId w:val="17"/>
        </w:numPr>
        <w:spacing w:line="480" w:lineRule="auto"/>
        <w:rPr>
          <w:rFonts w:ascii="Times New Roman" w:hAnsi="Times New Roman" w:cs="Times New Roman"/>
          <w:sz w:val="24"/>
          <w:szCs w:val="24"/>
        </w:rPr>
      </w:pPr>
      <w:r w:rsidRPr="005405D4">
        <w:rPr>
          <w:rFonts w:ascii="Times New Roman" w:hAnsi="Times New Roman" w:cs="Times New Roman"/>
          <w:sz w:val="24"/>
          <w:szCs w:val="24"/>
        </w:rPr>
        <w:t xml:space="preserve">[9] Federal Ministry of Health, Nigeria, Expanded </w:t>
      </w:r>
      <w:proofErr w:type="spellStart"/>
      <w:r w:rsidRPr="005405D4">
        <w:rPr>
          <w:rFonts w:ascii="Times New Roman" w:hAnsi="Times New Roman" w:cs="Times New Roman"/>
          <w:sz w:val="24"/>
          <w:szCs w:val="24"/>
        </w:rPr>
        <w:t>Programme</w:t>
      </w:r>
      <w:proofErr w:type="spellEnd"/>
      <w:r w:rsidRPr="005405D4">
        <w:rPr>
          <w:rFonts w:ascii="Times New Roman" w:hAnsi="Times New Roman" w:cs="Times New Roman"/>
          <w:sz w:val="24"/>
          <w:szCs w:val="24"/>
        </w:rPr>
        <w:t xml:space="preserve"> on Immunization Coverage Survey Report, 2022.</w:t>
      </w:r>
    </w:p>
    <w:p w14:paraId="035D9C71" w14:textId="77777777" w:rsidR="00FE3703" w:rsidRPr="005405D4" w:rsidRDefault="00326151" w:rsidP="005405D4">
      <w:pPr>
        <w:numPr>
          <w:ilvl w:val="0"/>
          <w:numId w:val="18"/>
        </w:numPr>
        <w:spacing w:line="480" w:lineRule="auto"/>
        <w:rPr>
          <w:rFonts w:ascii="Times New Roman" w:hAnsi="Times New Roman" w:cs="Times New Roman"/>
          <w:sz w:val="24"/>
          <w:szCs w:val="24"/>
        </w:rPr>
      </w:pPr>
      <w:r w:rsidRPr="005405D4">
        <w:rPr>
          <w:rFonts w:ascii="Times New Roman" w:hAnsi="Times New Roman" w:cs="Times New Roman"/>
          <w:sz w:val="24"/>
          <w:szCs w:val="24"/>
        </w:rPr>
        <w:t>[10] United Nations Children's Fund, Nigeria's Immunization Progress and Challenges, 2023.</w:t>
      </w:r>
    </w:p>
    <w:p w14:paraId="39475D10" w14:textId="77777777" w:rsidR="00FE3703" w:rsidRPr="005405D4" w:rsidRDefault="00326151" w:rsidP="005405D4">
      <w:pPr>
        <w:numPr>
          <w:ilvl w:val="0"/>
          <w:numId w:val="19"/>
        </w:numPr>
        <w:spacing w:line="480" w:lineRule="auto"/>
        <w:rPr>
          <w:rFonts w:ascii="Times New Roman" w:hAnsi="Times New Roman" w:cs="Times New Roman"/>
          <w:sz w:val="24"/>
          <w:szCs w:val="24"/>
        </w:rPr>
      </w:pPr>
      <w:r w:rsidRPr="005405D4">
        <w:rPr>
          <w:rFonts w:ascii="Times New Roman" w:hAnsi="Times New Roman" w:cs="Times New Roman"/>
          <w:sz w:val="24"/>
          <w:szCs w:val="24"/>
        </w:rPr>
        <w:t>[11] World Bank, Nigeria Population and Health Indicators, 2023.</w:t>
      </w:r>
    </w:p>
    <w:p w14:paraId="01CA09A1" w14:textId="77777777" w:rsidR="00FE3703" w:rsidRPr="005405D4" w:rsidRDefault="00326151" w:rsidP="005405D4">
      <w:pPr>
        <w:numPr>
          <w:ilvl w:val="0"/>
          <w:numId w:val="20"/>
        </w:numPr>
        <w:spacing w:line="480" w:lineRule="auto"/>
        <w:rPr>
          <w:rFonts w:ascii="Times New Roman" w:hAnsi="Times New Roman" w:cs="Times New Roman"/>
          <w:sz w:val="24"/>
          <w:szCs w:val="24"/>
        </w:rPr>
      </w:pPr>
      <w:r w:rsidRPr="005405D4">
        <w:rPr>
          <w:rFonts w:ascii="Times New Roman" w:hAnsi="Times New Roman" w:cs="Times New Roman"/>
          <w:sz w:val="24"/>
          <w:szCs w:val="24"/>
        </w:rPr>
        <w:t>[12] Institute for Health Metrics and Evaluation, Diphtheria Burden Estimates in Nigeria, 2022.</w:t>
      </w:r>
    </w:p>
    <w:p w14:paraId="3EE01EA9" w14:textId="77777777" w:rsidR="00FE3703" w:rsidRPr="005405D4" w:rsidRDefault="00326151" w:rsidP="005405D4">
      <w:pPr>
        <w:numPr>
          <w:ilvl w:val="0"/>
          <w:numId w:val="21"/>
        </w:numPr>
        <w:spacing w:line="480" w:lineRule="auto"/>
        <w:rPr>
          <w:rFonts w:ascii="Times New Roman" w:hAnsi="Times New Roman" w:cs="Times New Roman"/>
          <w:sz w:val="24"/>
          <w:szCs w:val="24"/>
        </w:rPr>
      </w:pPr>
      <w:r w:rsidRPr="005405D4">
        <w:rPr>
          <w:rFonts w:ascii="Times New Roman" w:hAnsi="Times New Roman" w:cs="Times New Roman"/>
          <w:sz w:val="24"/>
          <w:szCs w:val="24"/>
        </w:rPr>
        <w:t>[13] SciPy Community, SciPy and NumPy Documentation, 2024.</w:t>
      </w:r>
    </w:p>
    <w:p w14:paraId="37050394" w14:textId="77777777" w:rsidR="00FE3703" w:rsidRPr="005405D4" w:rsidRDefault="00326151" w:rsidP="005405D4">
      <w:pPr>
        <w:numPr>
          <w:ilvl w:val="0"/>
          <w:numId w:val="22"/>
        </w:numPr>
        <w:spacing w:line="480" w:lineRule="auto"/>
        <w:rPr>
          <w:rFonts w:ascii="Times New Roman" w:hAnsi="Times New Roman" w:cs="Times New Roman"/>
          <w:sz w:val="24"/>
          <w:szCs w:val="24"/>
        </w:rPr>
      </w:pPr>
      <w:r w:rsidRPr="005405D4">
        <w:rPr>
          <w:rFonts w:ascii="Times New Roman" w:hAnsi="Times New Roman" w:cs="Times New Roman"/>
          <w:sz w:val="24"/>
          <w:szCs w:val="24"/>
        </w:rPr>
        <w:t>[14] O. Peter et al., "Mathematical model for the control of infectious disease," International Journal of Mathematics and Mathematical Sciences, 2018.</w:t>
      </w:r>
    </w:p>
    <w:p w14:paraId="56670880" w14:textId="77777777" w:rsidR="00FE3703" w:rsidRPr="005405D4" w:rsidRDefault="00326151" w:rsidP="005405D4">
      <w:pPr>
        <w:numPr>
          <w:ilvl w:val="0"/>
          <w:numId w:val="23"/>
        </w:numPr>
        <w:spacing w:line="480" w:lineRule="auto"/>
        <w:rPr>
          <w:rFonts w:ascii="Times New Roman" w:hAnsi="Times New Roman" w:cs="Times New Roman"/>
          <w:sz w:val="24"/>
          <w:szCs w:val="24"/>
        </w:rPr>
      </w:pPr>
      <w:r w:rsidRPr="005405D4">
        <w:rPr>
          <w:rFonts w:ascii="Times New Roman" w:hAnsi="Times New Roman" w:cs="Times New Roman"/>
          <w:sz w:val="24"/>
          <w:szCs w:val="24"/>
        </w:rPr>
        <w:t xml:space="preserve">[15] T. </w:t>
      </w:r>
      <w:proofErr w:type="spellStart"/>
      <w:r w:rsidRPr="005405D4">
        <w:rPr>
          <w:rFonts w:ascii="Times New Roman" w:hAnsi="Times New Roman" w:cs="Times New Roman"/>
          <w:sz w:val="24"/>
          <w:szCs w:val="24"/>
        </w:rPr>
        <w:t>Eegunjobi</w:t>
      </w:r>
      <w:proofErr w:type="spellEnd"/>
      <w:r w:rsidRPr="005405D4">
        <w:rPr>
          <w:rFonts w:ascii="Times New Roman" w:hAnsi="Times New Roman" w:cs="Times New Roman"/>
          <w:sz w:val="24"/>
          <w:szCs w:val="24"/>
        </w:rPr>
        <w:t>, "Modeling the transmission dynamics of COVID-19 in Nigeria: An optimal control approach," European Journal of Mathematical Sciences, 2023.</w:t>
      </w:r>
    </w:p>
    <w:sectPr w:rsidR="00FE3703" w:rsidRPr="005405D4" w:rsidSect="005405D4">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BF1E3" w14:textId="77777777" w:rsidR="00CF2625" w:rsidRDefault="00CF2625" w:rsidP="00AF5AF3">
      <w:pPr>
        <w:spacing w:after="0" w:line="240" w:lineRule="auto"/>
      </w:pPr>
      <w:r>
        <w:separator/>
      </w:r>
    </w:p>
  </w:endnote>
  <w:endnote w:type="continuationSeparator" w:id="0">
    <w:p w14:paraId="37E796E0" w14:textId="77777777" w:rsidR="00CF2625" w:rsidRDefault="00CF2625" w:rsidP="00AF5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81A0" w14:textId="77777777" w:rsidR="00AF5AF3" w:rsidRDefault="00AF5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26D3" w14:textId="77777777" w:rsidR="00AF5AF3" w:rsidRDefault="00AF5A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4DB4" w14:textId="77777777" w:rsidR="00AF5AF3" w:rsidRDefault="00AF5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0A780" w14:textId="77777777" w:rsidR="00CF2625" w:rsidRDefault="00CF2625" w:rsidP="00AF5AF3">
      <w:pPr>
        <w:spacing w:after="0" w:line="240" w:lineRule="auto"/>
      </w:pPr>
      <w:r>
        <w:separator/>
      </w:r>
    </w:p>
  </w:footnote>
  <w:footnote w:type="continuationSeparator" w:id="0">
    <w:p w14:paraId="0BF3076A" w14:textId="77777777" w:rsidR="00CF2625" w:rsidRDefault="00CF2625" w:rsidP="00AF5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4DCF5" w14:textId="3866DE2E" w:rsidR="00AF5AF3" w:rsidRDefault="00AF5AF3">
    <w:pPr>
      <w:pStyle w:val="Header"/>
    </w:pPr>
    <w:r>
      <w:rPr>
        <w:noProof/>
      </w:rPr>
      <w:pict w14:anchorId="34E460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59219" o:spid="_x0000_s1026" type="#_x0000_t136" style="position:absolute;margin-left:0;margin-top:0;width:642.95pt;height:67.65pt;rotation:315;z-index:-251655168;mso-position-horizontal:center;mso-position-horizontal-relative:margin;mso-position-vertical:center;mso-position-vertical-relative:margin" o:allowincell="f" fillcolor="silver" stroked="f">
          <v:fill opacity=".5"/>
          <v:textpath style="font-family:&quot;Georg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24143" w14:textId="24C7EC6B" w:rsidR="00AF5AF3" w:rsidRDefault="00AF5AF3">
    <w:pPr>
      <w:pStyle w:val="Header"/>
    </w:pPr>
    <w:r>
      <w:rPr>
        <w:noProof/>
      </w:rPr>
      <w:pict w14:anchorId="7EF8AB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59220" o:spid="_x0000_s1027" type="#_x0000_t136" style="position:absolute;margin-left:0;margin-top:0;width:642.95pt;height:67.65pt;rotation:315;z-index:-251653120;mso-position-horizontal:center;mso-position-horizontal-relative:margin;mso-position-vertical:center;mso-position-vertical-relative:margin" o:allowincell="f" fillcolor="silver" stroked="f">
          <v:fill opacity=".5"/>
          <v:textpath style="font-family:&quot;Georg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3631" w14:textId="33AF95DE" w:rsidR="00AF5AF3" w:rsidRDefault="00AF5AF3">
    <w:pPr>
      <w:pStyle w:val="Header"/>
    </w:pPr>
    <w:r>
      <w:rPr>
        <w:noProof/>
      </w:rPr>
      <w:pict w14:anchorId="6A32A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59218" o:spid="_x0000_s1025" type="#_x0000_t136" style="position:absolute;margin-left:0;margin-top:0;width:642.95pt;height:67.65pt;rotation:315;z-index:-251657216;mso-position-horizontal:center;mso-position-horizontal-relative:margin;mso-position-vertical:center;mso-position-vertical-relative:margin" o:allowincell="f" fillcolor="silver" stroked="f">
          <v:fill opacity=".5"/>
          <v:textpath style="font-family:&quot;Georg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7F9"/>
    <w:multiLevelType w:val="hybridMultilevel"/>
    <w:tmpl w:val="FA60FCBC"/>
    <w:lvl w:ilvl="0" w:tplc="5D7CE816">
      <w:start w:val="1"/>
      <w:numFmt w:val="none"/>
      <w:lvlText w:val=""/>
      <w:lvlJc w:val="left"/>
      <w:pPr>
        <w:tabs>
          <w:tab w:val="num" w:pos="720"/>
        </w:tabs>
        <w:ind w:left="360" w:firstLine="0"/>
      </w:pPr>
      <w:rPr>
        <w:rFonts w:ascii="Georgia" w:eastAsia="Georgia" w:hAnsi="Georgia" w:cs="Georgia"/>
      </w:rPr>
    </w:lvl>
    <w:lvl w:ilvl="1" w:tplc="53FC6702">
      <w:numFmt w:val="decimal"/>
      <w:lvlText w:val=""/>
      <w:lvlJc w:val="left"/>
    </w:lvl>
    <w:lvl w:ilvl="2" w:tplc="547EE7C8">
      <w:numFmt w:val="decimal"/>
      <w:lvlText w:val=""/>
      <w:lvlJc w:val="left"/>
    </w:lvl>
    <w:lvl w:ilvl="3" w:tplc="77CC27CC">
      <w:numFmt w:val="decimal"/>
      <w:lvlText w:val=""/>
      <w:lvlJc w:val="left"/>
    </w:lvl>
    <w:lvl w:ilvl="4" w:tplc="0EC4DDB2">
      <w:numFmt w:val="decimal"/>
      <w:lvlText w:val=""/>
      <w:lvlJc w:val="left"/>
    </w:lvl>
    <w:lvl w:ilvl="5" w:tplc="79EAAA32">
      <w:numFmt w:val="decimal"/>
      <w:lvlText w:val=""/>
      <w:lvlJc w:val="left"/>
    </w:lvl>
    <w:lvl w:ilvl="6" w:tplc="B9CA0466">
      <w:numFmt w:val="decimal"/>
      <w:lvlText w:val=""/>
      <w:lvlJc w:val="left"/>
    </w:lvl>
    <w:lvl w:ilvl="7" w:tplc="1F16E84C">
      <w:numFmt w:val="decimal"/>
      <w:lvlText w:val=""/>
      <w:lvlJc w:val="left"/>
    </w:lvl>
    <w:lvl w:ilvl="8" w:tplc="289E806C">
      <w:numFmt w:val="decimal"/>
      <w:lvlText w:val=""/>
      <w:lvlJc w:val="left"/>
    </w:lvl>
  </w:abstractNum>
  <w:abstractNum w:abstractNumId="1" w15:restartNumberingAfterBreak="0">
    <w:nsid w:val="067B558D"/>
    <w:multiLevelType w:val="hybridMultilevel"/>
    <w:tmpl w:val="8758D9A0"/>
    <w:lvl w:ilvl="0" w:tplc="6CEE6BEE">
      <w:numFmt w:val="decimal"/>
      <w:lvlText w:val=""/>
      <w:lvlJc w:val="left"/>
    </w:lvl>
    <w:lvl w:ilvl="1" w:tplc="2668B98E">
      <w:numFmt w:val="decimal"/>
      <w:lvlText w:val=""/>
      <w:lvlJc w:val="left"/>
    </w:lvl>
    <w:lvl w:ilvl="2" w:tplc="012A245C">
      <w:numFmt w:val="decimal"/>
      <w:lvlText w:val=""/>
      <w:lvlJc w:val="left"/>
    </w:lvl>
    <w:lvl w:ilvl="3" w:tplc="29CA6F5C">
      <w:numFmt w:val="decimal"/>
      <w:lvlText w:val=""/>
      <w:lvlJc w:val="left"/>
    </w:lvl>
    <w:lvl w:ilvl="4" w:tplc="949C9F52">
      <w:numFmt w:val="decimal"/>
      <w:lvlText w:val=""/>
      <w:lvlJc w:val="left"/>
    </w:lvl>
    <w:lvl w:ilvl="5" w:tplc="A7AC0E36">
      <w:numFmt w:val="decimal"/>
      <w:lvlText w:val=""/>
      <w:lvlJc w:val="left"/>
    </w:lvl>
    <w:lvl w:ilvl="6" w:tplc="ADB8E6E2">
      <w:numFmt w:val="decimal"/>
      <w:lvlText w:val=""/>
      <w:lvlJc w:val="left"/>
    </w:lvl>
    <w:lvl w:ilvl="7" w:tplc="FD0EBF4E">
      <w:numFmt w:val="decimal"/>
      <w:lvlText w:val=""/>
      <w:lvlJc w:val="left"/>
    </w:lvl>
    <w:lvl w:ilvl="8" w:tplc="BA84DB42">
      <w:numFmt w:val="decimal"/>
      <w:lvlText w:val=""/>
      <w:lvlJc w:val="left"/>
    </w:lvl>
  </w:abstractNum>
  <w:abstractNum w:abstractNumId="2" w15:restartNumberingAfterBreak="0">
    <w:nsid w:val="089F7DFA"/>
    <w:multiLevelType w:val="hybridMultilevel"/>
    <w:tmpl w:val="61E06C22"/>
    <w:lvl w:ilvl="0" w:tplc="F6441F74">
      <w:numFmt w:val="decimal"/>
      <w:lvlText w:val=""/>
      <w:lvlJc w:val="left"/>
    </w:lvl>
    <w:lvl w:ilvl="1" w:tplc="252430C8">
      <w:numFmt w:val="decimal"/>
      <w:lvlText w:val=""/>
      <w:lvlJc w:val="left"/>
    </w:lvl>
    <w:lvl w:ilvl="2" w:tplc="B99639B0">
      <w:numFmt w:val="decimal"/>
      <w:lvlText w:val=""/>
      <w:lvlJc w:val="left"/>
    </w:lvl>
    <w:lvl w:ilvl="3" w:tplc="A380F29C">
      <w:numFmt w:val="decimal"/>
      <w:lvlText w:val=""/>
      <w:lvlJc w:val="left"/>
    </w:lvl>
    <w:lvl w:ilvl="4" w:tplc="F0D00928">
      <w:numFmt w:val="decimal"/>
      <w:lvlText w:val=""/>
      <w:lvlJc w:val="left"/>
    </w:lvl>
    <w:lvl w:ilvl="5" w:tplc="9A5420C0">
      <w:numFmt w:val="decimal"/>
      <w:lvlText w:val=""/>
      <w:lvlJc w:val="left"/>
    </w:lvl>
    <w:lvl w:ilvl="6" w:tplc="F1607958">
      <w:numFmt w:val="decimal"/>
      <w:lvlText w:val=""/>
      <w:lvlJc w:val="left"/>
    </w:lvl>
    <w:lvl w:ilvl="7" w:tplc="A910582A">
      <w:numFmt w:val="decimal"/>
      <w:lvlText w:val=""/>
      <w:lvlJc w:val="left"/>
    </w:lvl>
    <w:lvl w:ilvl="8" w:tplc="A2B20138">
      <w:numFmt w:val="decimal"/>
      <w:lvlText w:val=""/>
      <w:lvlJc w:val="left"/>
    </w:lvl>
  </w:abstractNum>
  <w:abstractNum w:abstractNumId="3" w15:restartNumberingAfterBreak="0">
    <w:nsid w:val="0DE11518"/>
    <w:multiLevelType w:val="hybridMultilevel"/>
    <w:tmpl w:val="E5A0D482"/>
    <w:lvl w:ilvl="0" w:tplc="1B223834">
      <w:start w:val="1"/>
      <w:numFmt w:val="none"/>
      <w:lvlText w:val=""/>
      <w:lvlJc w:val="left"/>
      <w:pPr>
        <w:tabs>
          <w:tab w:val="num" w:pos="720"/>
        </w:tabs>
        <w:ind w:left="360" w:firstLine="0"/>
      </w:pPr>
      <w:rPr>
        <w:rFonts w:ascii="Georgia" w:eastAsia="Georgia" w:hAnsi="Georgia" w:cs="Georgia"/>
      </w:rPr>
    </w:lvl>
    <w:lvl w:ilvl="1" w:tplc="AAC6F7A8">
      <w:numFmt w:val="decimal"/>
      <w:lvlText w:val=""/>
      <w:lvlJc w:val="left"/>
    </w:lvl>
    <w:lvl w:ilvl="2" w:tplc="7EFE6CA8">
      <w:numFmt w:val="decimal"/>
      <w:lvlText w:val=""/>
      <w:lvlJc w:val="left"/>
    </w:lvl>
    <w:lvl w:ilvl="3" w:tplc="C9E264C0">
      <w:numFmt w:val="decimal"/>
      <w:lvlText w:val=""/>
      <w:lvlJc w:val="left"/>
    </w:lvl>
    <w:lvl w:ilvl="4" w:tplc="BAA26244">
      <w:numFmt w:val="decimal"/>
      <w:lvlText w:val=""/>
      <w:lvlJc w:val="left"/>
    </w:lvl>
    <w:lvl w:ilvl="5" w:tplc="3740E50A">
      <w:numFmt w:val="decimal"/>
      <w:lvlText w:val=""/>
      <w:lvlJc w:val="left"/>
    </w:lvl>
    <w:lvl w:ilvl="6" w:tplc="3D8204FC">
      <w:numFmt w:val="decimal"/>
      <w:lvlText w:val=""/>
      <w:lvlJc w:val="left"/>
    </w:lvl>
    <w:lvl w:ilvl="7" w:tplc="8C3202AA">
      <w:numFmt w:val="decimal"/>
      <w:lvlText w:val=""/>
      <w:lvlJc w:val="left"/>
    </w:lvl>
    <w:lvl w:ilvl="8" w:tplc="91F4D792">
      <w:numFmt w:val="decimal"/>
      <w:lvlText w:val=""/>
      <w:lvlJc w:val="left"/>
    </w:lvl>
  </w:abstractNum>
  <w:abstractNum w:abstractNumId="4" w15:restartNumberingAfterBreak="0">
    <w:nsid w:val="13C93BCA"/>
    <w:multiLevelType w:val="hybridMultilevel"/>
    <w:tmpl w:val="F43EA1FE"/>
    <w:lvl w:ilvl="0" w:tplc="35BE15FC">
      <w:start w:val="1"/>
      <w:numFmt w:val="none"/>
      <w:lvlText w:val=""/>
      <w:lvlJc w:val="left"/>
      <w:pPr>
        <w:tabs>
          <w:tab w:val="num" w:pos="720"/>
        </w:tabs>
        <w:ind w:left="360" w:firstLine="0"/>
      </w:pPr>
      <w:rPr>
        <w:rFonts w:ascii="Georgia" w:eastAsia="Georgia" w:hAnsi="Georgia" w:cs="Georgia"/>
      </w:rPr>
    </w:lvl>
    <w:lvl w:ilvl="1" w:tplc="E0E432CE">
      <w:numFmt w:val="decimal"/>
      <w:lvlText w:val=""/>
      <w:lvlJc w:val="left"/>
    </w:lvl>
    <w:lvl w:ilvl="2" w:tplc="5BE034C4">
      <w:numFmt w:val="decimal"/>
      <w:lvlText w:val=""/>
      <w:lvlJc w:val="left"/>
    </w:lvl>
    <w:lvl w:ilvl="3" w:tplc="BEBCBFBC">
      <w:numFmt w:val="decimal"/>
      <w:lvlText w:val=""/>
      <w:lvlJc w:val="left"/>
    </w:lvl>
    <w:lvl w:ilvl="4" w:tplc="1068E0D4">
      <w:numFmt w:val="decimal"/>
      <w:lvlText w:val=""/>
      <w:lvlJc w:val="left"/>
    </w:lvl>
    <w:lvl w:ilvl="5" w:tplc="E3BAED06">
      <w:numFmt w:val="decimal"/>
      <w:lvlText w:val=""/>
      <w:lvlJc w:val="left"/>
    </w:lvl>
    <w:lvl w:ilvl="6" w:tplc="A3DEE58A">
      <w:numFmt w:val="decimal"/>
      <w:lvlText w:val=""/>
      <w:lvlJc w:val="left"/>
    </w:lvl>
    <w:lvl w:ilvl="7" w:tplc="9A4851EA">
      <w:numFmt w:val="decimal"/>
      <w:lvlText w:val=""/>
      <w:lvlJc w:val="left"/>
    </w:lvl>
    <w:lvl w:ilvl="8" w:tplc="E4E0091E">
      <w:numFmt w:val="decimal"/>
      <w:lvlText w:val=""/>
      <w:lvlJc w:val="left"/>
    </w:lvl>
  </w:abstractNum>
  <w:abstractNum w:abstractNumId="5" w15:restartNumberingAfterBreak="0">
    <w:nsid w:val="17640ACA"/>
    <w:multiLevelType w:val="hybridMultilevel"/>
    <w:tmpl w:val="547EF812"/>
    <w:lvl w:ilvl="0" w:tplc="6F76602E">
      <w:start w:val="1"/>
      <w:numFmt w:val="none"/>
      <w:lvlText w:val=""/>
      <w:lvlJc w:val="left"/>
      <w:pPr>
        <w:tabs>
          <w:tab w:val="num" w:pos="720"/>
        </w:tabs>
        <w:ind w:left="360" w:firstLine="0"/>
      </w:pPr>
      <w:rPr>
        <w:rFonts w:ascii="Georgia" w:eastAsia="Georgia" w:hAnsi="Georgia" w:cs="Georgia"/>
      </w:rPr>
    </w:lvl>
    <w:lvl w:ilvl="1" w:tplc="1E7CE020">
      <w:numFmt w:val="decimal"/>
      <w:lvlText w:val=""/>
      <w:lvlJc w:val="left"/>
    </w:lvl>
    <w:lvl w:ilvl="2" w:tplc="EAC4006C">
      <w:numFmt w:val="decimal"/>
      <w:lvlText w:val=""/>
      <w:lvlJc w:val="left"/>
    </w:lvl>
    <w:lvl w:ilvl="3" w:tplc="870AEDD6">
      <w:numFmt w:val="decimal"/>
      <w:lvlText w:val=""/>
      <w:lvlJc w:val="left"/>
    </w:lvl>
    <w:lvl w:ilvl="4" w:tplc="B9663146">
      <w:numFmt w:val="decimal"/>
      <w:lvlText w:val=""/>
      <w:lvlJc w:val="left"/>
    </w:lvl>
    <w:lvl w:ilvl="5" w:tplc="C4EE61FA">
      <w:numFmt w:val="decimal"/>
      <w:lvlText w:val=""/>
      <w:lvlJc w:val="left"/>
    </w:lvl>
    <w:lvl w:ilvl="6" w:tplc="42B487B2">
      <w:numFmt w:val="decimal"/>
      <w:lvlText w:val=""/>
      <w:lvlJc w:val="left"/>
    </w:lvl>
    <w:lvl w:ilvl="7" w:tplc="59C6544E">
      <w:numFmt w:val="decimal"/>
      <w:lvlText w:val=""/>
      <w:lvlJc w:val="left"/>
    </w:lvl>
    <w:lvl w:ilvl="8" w:tplc="B2DA0C22">
      <w:numFmt w:val="decimal"/>
      <w:lvlText w:val=""/>
      <w:lvlJc w:val="left"/>
    </w:lvl>
  </w:abstractNum>
  <w:abstractNum w:abstractNumId="6" w15:restartNumberingAfterBreak="0">
    <w:nsid w:val="1CBE49B1"/>
    <w:multiLevelType w:val="hybridMultilevel"/>
    <w:tmpl w:val="AC385E74"/>
    <w:lvl w:ilvl="0" w:tplc="08FCE610">
      <w:numFmt w:val="decimal"/>
      <w:lvlText w:val=""/>
      <w:lvlJc w:val="left"/>
    </w:lvl>
    <w:lvl w:ilvl="1" w:tplc="A9BE5B14">
      <w:numFmt w:val="decimal"/>
      <w:lvlText w:val=""/>
      <w:lvlJc w:val="left"/>
    </w:lvl>
    <w:lvl w:ilvl="2" w:tplc="80548808">
      <w:numFmt w:val="decimal"/>
      <w:lvlText w:val=""/>
      <w:lvlJc w:val="left"/>
    </w:lvl>
    <w:lvl w:ilvl="3" w:tplc="1512BA88">
      <w:numFmt w:val="decimal"/>
      <w:lvlText w:val=""/>
      <w:lvlJc w:val="left"/>
    </w:lvl>
    <w:lvl w:ilvl="4" w:tplc="77823F24">
      <w:numFmt w:val="decimal"/>
      <w:lvlText w:val=""/>
      <w:lvlJc w:val="left"/>
    </w:lvl>
    <w:lvl w:ilvl="5" w:tplc="A76C7A90">
      <w:numFmt w:val="decimal"/>
      <w:lvlText w:val=""/>
      <w:lvlJc w:val="left"/>
    </w:lvl>
    <w:lvl w:ilvl="6" w:tplc="480ED8D2">
      <w:numFmt w:val="decimal"/>
      <w:lvlText w:val=""/>
      <w:lvlJc w:val="left"/>
    </w:lvl>
    <w:lvl w:ilvl="7" w:tplc="A3903D86">
      <w:numFmt w:val="decimal"/>
      <w:lvlText w:val=""/>
      <w:lvlJc w:val="left"/>
    </w:lvl>
    <w:lvl w:ilvl="8" w:tplc="AC72168C">
      <w:numFmt w:val="decimal"/>
      <w:lvlText w:val=""/>
      <w:lvlJc w:val="left"/>
    </w:lvl>
  </w:abstractNum>
  <w:abstractNum w:abstractNumId="7" w15:restartNumberingAfterBreak="0">
    <w:nsid w:val="2BBC75BA"/>
    <w:multiLevelType w:val="hybridMultilevel"/>
    <w:tmpl w:val="5572660E"/>
    <w:lvl w:ilvl="0" w:tplc="C8028B0C">
      <w:start w:val="1"/>
      <w:numFmt w:val="decimal"/>
      <w:lvlText w:val="%1."/>
      <w:lvlJc w:val="left"/>
      <w:pPr>
        <w:tabs>
          <w:tab w:val="num" w:pos="1080"/>
        </w:tabs>
        <w:ind w:left="720" w:hanging="360"/>
      </w:pPr>
    </w:lvl>
    <w:lvl w:ilvl="1" w:tplc="F78C5360">
      <w:numFmt w:val="decimal"/>
      <w:lvlText w:val=""/>
      <w:lvlJc w:val="left"/>
    </w:lvl>
    <w:lvl w:ilvl="2" w:tplc="1F4640E4">
      <w:numFmt w:val="decimal"/>
      <w:lvlText w:val=""/>
      <w:lvlJc w:val="left"/>
    </w:lvl>
    <w:lvl w:ilvl="3" w:tplc="00C499CA">
      <w:numFmt w:val="decimal"/>
      <w:lvlText w:val=""/>
      <w:lvlJc w:val="left"/>
    </w:lvl>
    <w:lvl w:ilvl="4" w:tplc="81D2C264">
      <w:numFmt w:val="decimal"/>
      <w:lvlText w:val=""/>
      <w:lvlJc w:val="left"/>
    </w:lvl>
    <w:lvl w:ilvl="5" w:tplc="F2D43D1E">
      <w:numFmt w:val="decimal"/>
      <w:lvlText w:val=""/>
      <w:lvlJc w:val="left"/>
    </w:lvl>
    <w:lvl w:ilvl="6" w:tplc="2612CA3A">
      <w:numFmt w:val="decimal"/>
      <w:lvlText w:val=""/>
      <w:lvlJc w:val="left"/>
    </w:lvl>
    <w:lvl w:ilvl="7" w:tplc="8B907D20">
      <w:numFmt w:val="decimal"/>
      <w:lvlText w:val=""/>
      <w:lvlJc w:val="left"/>
    </w:lvl>
    <w:lvl w:ilvl="8" w:tplc="9FC2796C">
      <w:numFmt w:val="decimal"/>
      <w:lvlText w:val=""/>
      <w:lvlJc w:val="left"/>
    </w:lvl>
  </w:abstractNum>
  <w:abstractNum w:abstractNumId="8" w15:restartNumberingAfterBreak="0">
    <w:nsid w:val="2FDB2620"/>
    <w:multiLevelType w:val="hybridMultilevel"/>
    <w:tmpl w:val="B1801EFE"/>
    <w:lvl w:ilvl="0" w:tplc="760AE5C2">
      <w:start w:val="1"/>
      <w:numFmt w:val="none"/>
      <w:lvlText w:val=""/>
      <w:lvlJc w:val="left"/>
      <w:pPr>
        <w:tabs>
          <w:tab w:val="num" w:pos="720"/>
        </w:tabs>
        <w:ind w:left="360" w:firstLine="0"/>
      </w:pPr>
      <w:rPr>
        <w:rFonts w:ascii="Georgia" w:eastAsia="Georgia" w:hAnsi="Georgia" w:cs="Georgia"/>
      </w:rPr>
    </w:lvl>
    <w:lvl w:ilvl="1" w:tplc="EB547E66">
      <w:numFmt w:val="decimal"/>
      <w:lvlText w:val=""/>
      <w:lvlJc w:val="left"/>
    </w:lvl>
    <w:lvl w:ilvl="2" w:tplc="9C2247F2">
      <w:numFmt w:val="decimal"/>
      <w:lvlText w:val=""/>
      <w:lvlJc w:val="left"/>
    </w:lvl>
    <w:lvl w:ilvl="3" w:tplc="874612E6">
      <w:numFmt w:val="decimal"/>
      <w:lvlText w:val=""/>
      <w:lvlJc w:val="left"/>
    </w:lvl>
    <w:lvl w:ilvl="4" w:tplc="74EC0B2A">
      <w:numFmt w:val="decimal"/>
      <w:lvlText w:val=""/>
      <w:lvlJc w:val="left"/>
    </w:lvl>
    <w:lvl w:ilvl="5" w:tplc="A56A5196">
      <w:numFmt w:val="decimal"/>
      <w:lvlText w:val=""/>
      <w:lvlJc w:val="left"/>
    </w:lvl>
    <w:lvl w:ilvl="6" w:tplc="38489510">
      <w:numFmt w:val="decimal"/>
      <w:lvlText w:val=""/>
      <w:lvlJc w:val="left"/>
    </w:lvl>
    <w:lvl w:ilvl="7" w:tplc="F61048FC">
      <w:numFmt w:val="decimal"/>
      <w:lvlText w:val=""/>
      <w:lvlJc w:val="left"/>
    </w:lvl>
    <w:lvl w:ilvl="8" w:tplc="4282F434">
      <w:numFmt w:val="decimal"/>
      <w:lvlText w:val=""/>
      <w:lvlJc w:val="left"/>
    </w:lvl>
  </w:abstractNum>
  <w:abstractNum w:abstractNumId="9" w15:restartNumberingAfterBreak="0">
    <w:nsid w:val="31775D29"/>
    <w:multiLevelType w:val="hybridMultilevel"/>
    <w:tmpl w:val="5A7E0D86"/>
    <w:lvl w:ilvl="0" w:tplc="40820C6E">
      <w:start w:val="1"/>
      <w:numFmt w:val="none"/>
      <w:lvlText w:val=""/>
      <w:lvlJc w:val="left"/>
      <w:pPr>
        <w:tabs>
          <w:tab w:val="num" w:pos="720"/>
        </w:tabs>
        <w:ind w:left="360" w:firstLine="0"/>
      </w:pPr>
      <w:rPr>
        <w:rFonts w:ascii="Georgia" w:eastAsia="Georgia" w:hAnsi="Georgia" w:cs="Georgia"/>
      </w:rPr>
    </w:lvl>
    <w:lvl w:ilvl="1" w:tplc="58367CBA">
      <w:numFmt w:val="decimal"/>
      <w:lvlText w:val=""/>
      <w:lvlJc w:val="left"/>
    </w:lvl>
    <w:lvl w:ilvl="2" w:tplc="6142798E">
      <w:numFmt w:val="decimal"/>
      <w:lvlText w:val=""/>
      <w:lvlJc w:val="left"/>
    </w:lvl>
    <w:lvl w:ilvl="3" w:tplc="9FAAE882">
      <w:numFmt w:val="decimal"/>
      <w:lvlText w:val=""/>
      <w:lvlJc w:val="left"/>
    </w:lvl>
    <w:lvl w:ilvl="4" w:tplc="825A4DFE">
      <w:numFmt w:val="decimal"/>
      <w:lvlText w:val=""/>
      <w:lvlJc w:val="left"/>
    </w:lvl>
    <w:lvl w:ilvl="5" w:tplc="57EEC4A6">
      <w:numFmt w:val="decimal"/>
      <w:lvlText w:val=""/>
      <w:lvlJc w:val="left"/>
    </w:lvl>
    <w:lvl w:ilvl="6" w:tplc="870A2570">
      <w:numFmt w:val="decimal"/>
      <w:lvlText w:val=""/>
      <w:lvlJc w:val="left"/>
    </w:lvl>
    <w:lvl w:ilvl="7" w:tplc="84B8E814">
      <w:numFmt w:val="decimal"/>
      <w:lvlText w:val=""/>
      <w:lvlJc w:val="left"/>
    </w:lvl>
    <w:lvl w:ilvl="8" w:tplc="097402F0">
      <w:numFmt w:val="decimal"/>
      <w:lvlText w:val=""/>
      <w:lvlJc w:val="left"/>
    </w:lvl>
  </w:abstractNum>
  <w:abstractNum w:abstractNumId="10" w15:restartNumberingAfterBreak="0">
    <w:nsid w:val="3AE63DEB"/>
    <w:multiLevelType w:val="hybridMultilevel"/>
    <w:tmpl w:val="2F92815E"/>
    <w:lvl w:ilvl="0" w:tplc="7B9C9434">
      <w:start w:val="1"/>
      <w:numFmt w:val="none"/>
      <w:lvlText w:val=""/>
      <w:lvlJc w:val="left"/>
      <w:pPr>
        <w:tabs>
          <w:tab w:val="num" w:pos="720"/>
        </w:tabs>
        <w:ind w:left="360" w:firstLine="0"/>
      </w:pPr>
      <w:rPr>
        <w:rFonts w:ascii="Georgia" w:eastAsia="Georgia" w:hAnsi="Georgia" w:cs="Georgia"/>
      </w:rPr>
    </w:lvl>
    <w:lvl w:ilvl="1" w:tplc="141491AA">
      <w:numFmt w:val="decimal"/>
      <w:lvlText w:val=""/>
      <w:lvlJc w:val="left"/>
    </w:lvl>
    <w:lvl w:ilvl="2" w:tplc="B832E94C">
      <w:numFmt w:val="decimal"/>
      <w:lvlText w:val=""/>
      <w:lvlJc w:val="left"/>
    </w:lvl>
    <w:lvl w:ilvl="3" w:tplc="8E04ACA2">
      <w:numFmt w:val="decimal"/>
      <w:lvlText w:val=""/>
      <w:lvlJc w:val="left"/>
    </w:lvl>
    <w:lvl w:ilvl="4" w:tplc="5D7AA704">
      <w:numFmt w:val="decimal"/>
      <w:lvlText w:val=""/>
      <w:lvlJc w:val="left"/>
    </w:lvl>
    <w:lvl w:ilvl="5" w:tplc="B0B0C880">
      <w:numFmt w:val="decimal"/>
      <w:lvlText w:val=""/>
      <w:lvlJc w:val="left"/>
    </w:lvl>
    <w:lvl w:ilvl="6" w:tplc="5EC665CA">
      <w:numFmt w:val="decimal"/>
      <w:lvlText w:val=""/>
      <w:lvlJc w:val="left"/>
    </w:lvl>
    <w:lvl w:ilvl="7" w:tplc="5B461A06">
      <w:numFmt w:val="decimal"/>
      <w:lvlText w:val=""/>
      <w:lvlJc w:val="left"/>
    </w:lvl>
    <w:lvl w:ilvl="8" w:tplc="B73876E6">
      <w:numFmt w:val="decimal"/>
      <w:lvlText w:val=""/>
      <w:lvlJc w:val="left"/>
    </w:lvl>
  </w:abstractNum>
  <w:abstractNum w:abstractNumId="11" w15:restartNumberingAfterBreak="0">
    <w:nsid w:val="3C3E6305"/>
    <w:multiLevelType w:val="hybridMultilevel"/>
    <w:tmpl w:val="067065D8"/>
    <w:lvl w:ilvl="0" w:tplc="7D885982">
      <w:start w:val="1"/>
      <w:numFmt w:val="none"/>
      <w:lvlText w:val=""/>
      <w:lvlJc w:val="left"/>
      <w:pPr>
        <w:tabs>
          <w:tab w:val="num" w:pos="720"/>
        </w:tabs>
        <w:ind w:left="360" w:firstLine="0"/>
      </w:pPr>
      <w:rPr>
        <w:rFonts w:ascii="Georgia" w:eastAsia="Georgia" w:hAnsi="Georgia" w:cs="Georgia"/>
      </w:rPr>
    </w:lvl>
    <w:lvl w:ilvl="1" w:tplc="417CAAC4">
      <w:numFmt w:val="decimal"/>
      <w:lvlText w:val=""/>
      <w:lvlJc w:val="left"/>
    </w:lvl>
    <w:lvl w:ilvl="2" w:tplc="ADD085D2">
      <w:numFmt w:val="decimal"/>
      <w:lvlText w:val=""/>
      <w:lvlJc w:val="left"/>
    </w:lvl>
    <w:lvl w:ilvl="3" w:tplc="4A446D84">
      <w:numFmt w:val="decimal"/>
      <w:lvlText w:val=""/>
      <w:lvlJc w:val="left"/>
    </w:lvl>
    <w:lvl w:ilvl="4" w:tplc="C4EAEE7E">
      <w:numFmt w:val="decimal"/>
      <w:lvlText w:val=""/>
      <w:lvlJc w:val="left"/>
    </w:lvl>
    <w:lvl w:ilvl="5" w:tplc="2188A330">
      <w:numFmt w:val="decimal"/>
      <w:lvlText w:val=""/>
      <w:lvlJc w:val="left"/>
    </w:lvl>
    <w:lvl w:ilvl="6" w:tplc="FC3C150C">
      <w:numFmt w:val="decimal"/>
      <w:lvlText w:val=""/>
      <w:lvlJc w:val="left"/>
    </w:lvl>
    <w:lvl w:ilvl="7" w:tplc="B39CF438">
      <w:numFmt w:val="decimal"/>
      <w:lvlText w:val=""/>
      <w:lvlJc w:val="left"/>
    </w:lvl>
    <w:lvl w:ilvl="8" w:tplc="8DE8980A">
      <w:numFmt w:val="decimal"/>
      <w:lvlText w:val=""/>
      <w:lvlJc w:val="left"/>
    </w:lvl>
  </w:abstractNum>
  <w:abstractNum w:abstractNumId="12" w15:restartNumberingAfterBreak="0">
    <w:nsid w:val="4C440B8F"/>
    <w:multiLevelType w:val="hybridMultilevel"/>
    <w:tmpl w:val="4AD41BBE"/>
    <w:lvl w:ilvl="0" w:tplc="D14E197E">
      <w:start w:val="1"/>
      <w:numFmt w:val="none"/>
      <w:lvlText w:val=""/>
      <w:lvlJc w:val="left"/>
      <w:pPr>
        <w:tabs>
          <w:tab w:val="num" w:pos="720"/>
        </w:tabs>
        <w:ind w:left="360" w:firstLine="0"/>
      </w:pPr>
      <w:rPr>
        <w:rFonts w:ascii="Georgia" w:eastAsia="Georgia" w:hAnsi="Georgia" w:cs="Georgia"/>
      </w:rPr>
    </w:lvl>
    <w:lvl w:ilvl="1" w:tplc="65A02160">
      <w:numFmt w:val="decimal"/>
      <w:lvlText w:val=""/>
      <w:lvlJc w:val="left"/>
    </w:lvl>
    <w:lvl w:ilvl="2" w:tplc="C8F8807E">
      <w:numFmt w:val="decimal"/>
      <w:lvlText w:val=""/>
      <w:lvlJc w:val="left"/>
    </w:lvl>
    <w:lvl w:ilvl="3" w:tplc="F4B69EAE">
      <w:numFmt w:val="decimal"/>
      <w:lvlText w:val=""/>
      <w:lvlJc w:val="left"/>
    </w:lvl>
    <w:lvl w:ilvl="4" w:tplc="1A00BD58">
      <w:numFmt w:val="decimal"/>
      <w:lvlText w:val=""/>
      <w:lvlJc w:val="left"/>
    </w:lvl>
    <w:lvl w:ilvl="5" w:tplc="6A9654F4">
      <w:numFmt w:val="decimal"/>
      <w:lvlText w:val=""/>
      <w:lvlJc w:val="left"/>
    </w:lvl>
    <w:lvl w:ilvl="6" w:tplc="7374CA3A">
      <w:numFmt w:val="decimal"/>
      <w:lvlText w:val=""/>
      <w:lvlJc w:val="left"/>
    </w:lvl>
    <w:lvl w:ilvl="7" w:tplc="8620EFEA">
      <w:numFmt w:val="decimal"/>
      <w:lvlText w:val=""/>
      <w:lvlJc w:val="left"/>
    </w:lvl>
    <w:lvl w:ilvl="8" w:tplc="899A7E74">
      <w:numFmt w:val="decimal"/>
      <w:lvlText w:val=""/>
      <w:lvlJc w:val="left"/>
    </w:lvl>
  </w:abstractNum>
  <w:abstractNum w:abstractNumId="13" w15:restartNumberingAfterBreak="0">
    <w:nsid w:val="57E36E6C"/>
    <w:multiLevelType w:val="hybridMultilevel"/>
    <w:tmpl w:val="D518945C"/>
    <w:lvl w:ilvl="0" w:tplc="3B0ED848">
      <w:start w:val="1"/>
      <w:numFmt w:val="none"/>
      <w:lvlText w:val=""/>
      <w:lvlJc w:val="left"/>
      <w:pPr>
        <w:tabs>
          <w:tab w:val="num" w:pos="720"/>
        </w:tabs>
        <w:ind w:left="360" w:firstLine="0"/>
      </w:pPr>
      <w:rPr>
        <w:rFonts w:ascii="Georgia" w:eastAsia="Georgia" w:hAnsi="Georgia" w:cs="Georgia"/>
      </w:rPr>
    </w:lvl>
    <w:lvl w:ilvl="1" w:tplc="D23285B0">
      <w:numFmt w:val="decimal"/>
      <w:lvlText w:val=""/>
      <w:lvlJc w:val="left"/>
    </w:lvl>
    <w:lvl w:ilvl="2" w:tplc="10004298">
      <w:numFmt w:val="decimal"/>
      <w:lvlText w:val=""/>
      <w:lvlJc w:val="left"/>
    </w:lvl>
    <w:lvl w:ilvl="3" w:tplc="42C61828">
      <w:numFmt w:val="decimal"/>
      <w:lvlText w:val=""/>
      <w:lvlJc w:val="left"/>
    </w:lvl>
    <w:lvl w:ilvl="4" w:tplc="10E20D6E">
      <w:numFmt w:val="decimal"/>
      <w:lvlText w:val=""/>
      <w:lvlJc w:val="left"/>
    </w:lvl>
    <w:lvl w:ilvl="5" w:tplc="A028A856">
      <w:numFmt w:val="decimal"/>
      <w:lvlText w:val=""/>
      <w:lvlJc w:val="left"/>
    </w:lvl>
    <w:lvl w:ilvl="6" w:tplc="8086FD3E">
      <w:numFmt w:val="decimal"/>
      <w:lvlText w:val=""/>
      <w:lvlJc w:val="left"/>
    </w:lvl>
    <w:lvl w:ilvl="7" w:tplc="F3D605C0">
      <w:numFmt w:val="decimal"/>
      <w:lvlText w:val=""/>
      <w:lvlJc w:val="left"/>
    </w:lvl>
    <w:lvl w:ilvl="8" w:tplc="DE7A9CB2">
      <w:numFmt w:val="decimal"/>
      <w:lvlText w:val=""/>
      <w:lvlJc w:val="left"/>
    </w:lvl>
  </w:abstractNum>
  <w:abstractNum w:abstractNumId="14" w15:restartNumberingAfterBreak="0">
    <w:nsid w:val="5D3B62D2"/>
    <w:multiLevelType w:val="hybridMultilevel"/>
    <w:tmpl w:val="CF462724"/>
    <w:lvl w:ilvl="0" w:tplc="D216517A">
      <w:start w:val="1"/>
      <w:numFmt w:val="none"/>
      <w:lvlText w:val=""/>
      <w:lvlJc w:val="left"/>
      <w:pPr>
        <w:tabs>
          <w:tab w:val="num" w:pos="720"/>
        </w:tabs>
        <w:ind w:left="360" w:firstLine="0"/>
      </w:pPr>
      <w:rPr>
        <w:rFonts w:ascii="Georgia" w:eastAsia="Georgia" w:hAnsi="Georgia" w:cs="Georgia"/>
      </w:rPr>
    </w:lvl>
    <w:lvl w:ilvl="1" w:tplc="20C6B190">
      <w:numFmt w:val="decimal"/>
      <w:lvlText w:val=""/>
      <w:lvlJc w:val="left"/>
    </w:lvl>
    <w:lvl w:ilvl="2" w:tplc="61F2F8A8">
      <w:numFmt w:val="decimal"/>
      <w:lvlText w:val=""/>
      <w:lvlJc w:val="left"/>
    </w:lvl>
    <w:lvl w:ilvl="3" w:tplc="D2A6D022">
      <w:numFmt w:val="decimal"/>
      <w:lvlText w:val=""/>
      <w:lvlJc w:val="left"/>
    </w:lvl>
    <w:lvl w:ilvl="4" w:tplc="3E5EE522">
      <w:numFmt w:val="decimal"/>
      <w:lvlText w:val=""/>
      <w:lvlJc w:val="left"/>
    </w:lvl>
    <w:lvl w:ilvl="5" w:tplc="CD967FDC">
      <w:numFmt w:val="decimal"/>
      <w:lvlText w:val=""/>
      <w:lvlJc w:val="left"/>
    </w:lvl>
    <w:lvl w:ilvl="6" w:tplc="807C798C">
      <w:numFmt w:val="decimal"/>
      <w:lvlText w:val=""/>
      <w:lvlJc w:val="left"/>
    </w:lvl>
    <w:lvl w:ilvl="7" w:tplc="8794BA18">
      <w:numFmt w:val="decimal"/>
      <w:lvlText w:val=""/>
      <w:lvlJc w:val="left"/>
    </w:lvl>
    <w:lvl w:ilvl="8" w:tplc="D2AA688E">
      <w:numFmt w:val="decimal"/>
      <w:lvlText w:val=""/>
      <w:lvlJc w:val="left"/>
    </w:lvl>
  </w:abstractNum>
  <w:abstractNum w:abstractNumId="15" w15:restartNumberingAfterBreak="0">
    <w:nsid w:val="63A333C3"/>
    <w:multiLevelType w:val="hybridMultilevel"/>
    <w:tmpl w:val="06D6B068"/>
    <w:lvl w:ilvl="0" w:tplc="FCA02D0A">
      <w:start w:val="1"/>
      <w:numFmt w:val="none"/>
      <w:lvlText w:val=""/>
      <w:lvlJc w:val="left"/>
      <w:pPr>
        <w:tabs>
          <w:tab w:val="num" w:pos="720"/>
        </w:tabs>
        <w:ind w:left="360" w:firstLine="0"/>
      </w:pPr>
      <w:rPr>
        <w:rFonts w:ascii="Georgia" w:eastAsia="Georgia" w:hAnsi="Georgia" w:cs="Georgia"/>
      </w:rPr>
    </w:lvl>
    <w:lvl w:ilvl="1" w:tplc="220EF0A2">
      <w:numFmt w:val="decimal"/>
      <w:lvlText w:val=""/>
      <w:lvlJc w:val="left"/>
    </w:lvl>
    <w:lvl w:ilvl="2" w:tplc="292CC3AC">
      <w:numFmt w:val="decimal"/>
      <w:lvlText w:val=""/>
      <w:lvlJc w:val="left"/>
    </w:lvl>
    <w:lvl w:ilvl="3" w:tplc="5346106A">
      <w:numFmt w:val="decimal"/>
      <w:lvlText w:val=""/>
      <w:lvlJc w:val="left"/>
    </w:lvl>
    <w:lvl w:ilvl="4" w:tplc="17462B2E">
      <w:numFmt w:val="decimal"/>
      <w:lvlText w:val=""/>
      <w:lvlJc w:val="left"/>
    </w:lvl>
    <w:lvl w:ilvl="5" w:tplc="CAF015C0">
      <w:numFmt w:val="decimal"/>
      <w:lvlText w:val=""/>
      <w:lvlJc w:val="left"/>
    </w:lvl>
    <w:lvl w:ilvl="6" w:tplc="C9729D8E">
      <w:numFmt w:val="decimal"/>
      <w:lvlText w:val=""/>
      <w:lvlJc w:val="left"/>
    </w:lvl>
    <w:lvl w:ilvl="7" w:tplc="D534B30E">
      <w:numFmt w:val="decimal"/>
      <w:lvlText w:val=""/>
      <w:lvlJc w:val="left"/>
    </w:lvl>
    <w:lvl w:ilvl="8" w:tplc="C2747220">
      <w:numFmt w:val="decimal"/>
      <w:lvlText w:val=""/>
      <w:lvlJc w:val="left"/>
    </w:lvl>
  </w:abstractNum>
  <w:abstractNum w:abstractNumId="16" w15:restartNumberingAfterBreak="0">
    <w:nsid w:val="67654948"/>
    <w:multiLevelType w:val="hybridMultilevel"/>
    <w:tmpl w:val="1A105B04"/>
    <w:lvl w:ilvl="0" w:tplc="187CB9C2">
      <w:start w:val="1"/>
      <w:numFmt w:val="none"/>
      <w:lvlText w:val=""/>
      <w:lvlJc w:val="left"/>
      <w:pPr>
        <w:tabs>
          <w:tab w:val="num" w:pos="720"/>
        </w:tabs>
        <w:ind w:left="360" w:firstLine="0"/>
      </w:pPr>
      <w:rPr>
        <w:rFonts w:ascii="Georgia" w:eastAsia="Georgia" w:hAnsi="Georgia" w:cs="Georgia"/>
      </w:rPr>
    </w:lvl>
    <w:lvl w:ilvl="1" w:tplc="CA9A0606">
      <w:numFmt w:val="decimal"/>
      <w:lvlText w:val=""/>
      <w:lvlJc w:val="left"/>
    </w:lvl>
    <w:lvl w:ilvl="2" w:tplc="7A4C3804">
      <w:numFmt w:val="decimal"/>
      <w:lvlText w:val=""/>
      <w:lvlJc w:val="left"/>
    </w:lvl>
    <w:lvl w:ilvl="3" w:tplc="3EE2DDD6">
      <w:numFmt w:val="decimal"/>
      <w:lvlText w:val=""/>
      <w:lvlJc w:val="left"/>
    </w:lvl>
    <w:lvl w:ilvl="4" w:tplc="DF0A1B7E">
      <w:numFmt w:val="decimal"/>
      <w:lvlText w:val=""/>
      <w:lvlJc w:val="left"/>
    </w:lvl>
    <w:lvl w:ilvl="5" w:tplc="05E6AD54">
      <w:numFmt w:val="decimal"/>
      <w:lvlText w:val=""/>
      <w:lvlJc w:val="left"/>
    </w:lvl>
    <w:lvl w:ilvl="6" w:tplc="FCB8D602">
      <w:numFmt w:val="decimal"/>
      <w:lvlText w:val=""/>
      <w:lvlJc w:val="left"/>
    </w:lvl>
    <w:lvl w:ilvl="7" w:tplc="87FC56B8">
      <w:numFmt w:val="decimal"/>
      <w:lvlText w:val=""/>
      <w:lvlJc w:val="left"/>
    </w:lvl>
    <w:lvl w:ilvl="8" w:tplc="25C0AD38">
      <w:numFmt w:val="decimal"/>
      <w:lvlText w:val=""/>
      <w:lvlJc w:val="left"/>
    </w:lvl>
  </w:abstractNum>
  <w:abstractNum w:abstractNumId="17" w15:restartNumberingAfterBreak="0">
    <w:nsid w:val="6B3D4E45"/>
    <w:multiLevelType w:val="hybridMultilevel"/>
    <w:tmpl w:val="08C0F59E"/>
    <w:lvl w:ilvl="0" w:tplc="6B786058">
      <w:numFmt w:val="decimal"/>
      <w:lvlText w:val=""/>
      <w:lvlJc w:val="left"/>
    </w:lvl>
    <w:lvl w:ilvl="1" w:tplc="94CCF170">
      <w:numFmt w:val="decimal"/>
      <w:lvlText w:val=""/>
      <w:lvlJc w:val="left"/>
    </w:lvl>
    <w:lvl w:ilvl="2" w:tplc="E09EC876">
      <w:numFmt w:val="decimal"/>
      <w:lvlText w:val=""/>
      <w:lvlJc w:val="left"/>
    </w:lvl>
    <w:lvl w:ilvl="3" w:tplc="E464744C">
      <w:numFmt w:val="decimal"/>
      <w:lvlText w:val=""/>
      <w:lvlJc w:val="left"/>
    </w:lvl>
    <w:lvl w:ilvl="4" w:tplc="1DE408D2">
      <w:numFmt w:val="decimal"/>
      <w:lvlText w:val=""/>
      <w:lvlJc w:val="left"/>
    </w:lvl>
    <w:lvl w:ilvl="5" w:tplc="CB4A55D0">
      <w:numFmt w:val="decimal"/>
      <w:lvlText w:val=""/>
      <w:lvlJc w:val="left"/>
    </w:lvl>
    <w:lvl w:ilvl="6" w:tplc="68144958">
      <w:numFmt w:val="decimal"/>
      <w:lvlText w:val=""/>
      <w:lvlJc w:val="left"/>
    </w:lvl>
    <w:lvl w:ilvl="7" w:tplc="40627382">
      <w:numFmt w:val="decimal"/>
      <w:lvlText w:val=""/>
      <w:lvlJc w:val="left"/>
    </w:lvl>
    <w:lvl w:ilvl="8" w:tplc="B1605A5C">
      <w:numFmt w:val="decimal"/>
      <w:lvlText w:val=""/>
      <w:lvlJc w:val="left"/>
    </w:lvl>
  </w:abstractNum>
  <w:abstractNum w:abstractNumId="18" w15:restartNumberingAfterBreak="0">
    <w:nsid w:val="6EFA2DD2"/>
    <w:multiLevelType w:val="hybridMultilevel"/>
    <w:tmpl w:val="2F0C6BD2"/>
    <w:lvl w:ilvl="0" w:tplc="CA223456">
      <w:start w:val="1"/>
      <w:numFmt w:val="none"/>
      <w:lvlText w:val=""/>
      <w:lvlJc w:val="left"/>
      <w:pPr>
        <w:tabs>
          <w:tab w:val="num" w:pos="720"/>
        </w:tabs>
        <w:ind w:left="360" w:firstLine="0"/>
      </w:pPr>
      <w:rPr>
        <w:rFonts w:ascii="Georgia" w:eastAsia="Georgia" w:hAnsi="Georgia" w:cs="Georgia"/>
      </w:rPr>
    </w:lvl>
    <w:lvl w:ilvl="1" w:tplc="395E5674">
      <w:numFmt w:val="decimal"/>
      <w:lvlText w:val=""/>
      <w:lvlJc w:val="left"/>
    </w:lvl>
    <w:lvl w:ilvl="2" w:tplc="F2F081B8">
      <w:numFmt w:val="decimal"/>
      <w:lvlText w:val=""/>
      <w:lvlJc w:val="left"/>
    </w:lvl>
    <w:lvl w:ilvl="3" w:tplc="EA0C8888">
      <w:numFmt w:val="decimal"/>
      <w:lvlText w:val=""/>
      <w:lvlJc w:val="left"/>
    </w:lvl>
    <w:lvl w:ilvl="4" w:tplc="57028308">
      <w:numFmt w:val="decimal"/>
      <w:lvlText w:val=""/>
      <w:lvlJc w:val="left"/>
    </w:lvl>
    <w:lvl w:ilvl="5" w:tplc="34D67906">
      <w:numFmt w:val="decimal"/>
      <w:lvlText w:val=""/>
      <w:lvlJc w:val="left"/>
    </w:lvl>
    <w:lvl w:ilvl="6" w:tplc="59E055CA">
      <w:numFmt w:val="decimal"/>
      <w:lvlText w:val=""/>
      <w:lvlJc w:val="left"/>
    </w:lvl>
    <w:lvl w:ilvl="7" w:tplc="794243EE">
      <w:numFmt w:val="decimal"/>
      <w:lvlText w:val=""/>
      <w:lvlJc w:val="left"/>
    </w:lvl>
    <w:lvl w:ilvl="8" w:tplc="511E72E8">
      <w:numFmt w:val="decimal"/>
      <w:lvlText w:val=""/>
      <w:lvlJc w:val="left"/>
    </w:lvl>
  </w:abstractNum>
  <w:abstractNum w:abstractNumId="19" w15:restartNumberingAfterBreak="0">
    <w:nsid w:val="707C2081"/>
    <w:multiLevelType w:val="hybridMultilevel"/>
    <w:tmpl w:val="377E68CA"/>
    <w:lvl w:ilvl="0" w:tplc="AE240FF0">
      <w:start w:val="1"/>
      <w:numFmt w:val="none"/>
      <w:lvlText w:val=""/>
      <w:lvlJc w:val="left"/>
      <w:pPr>
        <w:tabs>
          <w:tab w:val="num" w:pos="720"/>
        </w:tabs>
        <w:ind w:left="360" w:firstLine="0"/>
      </w:pPr>
      <w:rPr>
        <w:rFonts w:ascii="Georgia" w:eastAsia="Georgia" w:hAnsi="Georgia" w:cs="Georgia"/>
      </w:rPr>
    </w:lvl>
    <w:lvl w:ilvl="1" w:tplc="BFF817F2">
      <w:numFmt w:val="decimal"/>
      <w:lvlText w:val=""/>
      <w:lvlJc w:val="left"/>
    </w:lvl>
    <w:lvl w:ilvl="2" w:tplc="2534C55C">
      <w:numFmt w:val="decimal"/>
      <w:lvlText w:val=""/>
      <w:lvlJc w:val="left"/>
    </w:lvl>
    <w:lvl w:ilvl="3" w:tplc="E68E683E">
      <w:numFmt w:val="decimal"/>
      <w:lvlText w:val=""/>
      <w:lvlJc w:val="left"/>
    </w:lvl>
    <w:lvl w:ilvl="4" w:tplc="78363656">
      <w:numFmt w:val="decimal"/>
      <w:lvlText w:val=""/>
      <w:lvlJc w:val="left"/>
    </w:lvl>
    <w:lvl w:ilvl="5" w:tplc="CB6CA9DA">
      <w:numFmt w:val="decimal"/>
      <w:lvlText w:val=""/>
      <w:lvlJc w:val="left"/>
    </w:lvl>
    <w:lvl w:ilvl="6" w:tplc="96F26476">
      <w:numFmt w:val="decimal"/>
      <w:lvlText w:val=""/>
      <w:lvlJc w:val="left"/>
    </w:lvl>
    <w:lvl w:ilvl="7" w:tplc="707C9D84">
      <w:numFmt w:val="decimal"/>
      <w:lvlText w:val=""/>
      <w:lvlJc w:val="left"/>
    </w:lvl>
    <w:lvl w:ilvl="8" w:tplc="3A38073C">
      <w:numFmt w:val="decimal"/>
      <w:lvlText w:val=""/>
      <w:lvlJc w:val="left"/>
    </w:lvl>
  </w:abstractNum>
  <w:abstractNum w:abstractNumId="20" w15:restartNumberingAfterBreak="0">
    <w:nsid w:val="74315F15"/>
    <w:multiLevelType w:val="hybridMultilevel"/>
    <w:tmpl w:val="D83CF20A"/>
    <w:lvl w:ilvl="0" w:tplc="15386A36">
      <w:start w:val="1"/>
      <w:numFmt w:val="decimal"/>
      <w:lvlText w:val="%1."/>
      <w:lvlJc w:val="left"/>
      <w:pPr>
        <w:tabs>
          <w:tab w:val="num" w:pos="1080"/>
        </w:tabs>
        <w:ind w:left="720" w:hanging="360"/>
      </w:pPr>
    </w:lvl>
    <w:lvl w:ilvl="1" w:tplc="F968D01C">
      <w:numFmt w:val="decimal"/>
      <w:lvlText w:val=""/>
      <w:lvlJc w:val="left"/>
    </w:lvl>
    <w:lvl w:ilvl="2" w:tplc="4D089E2C">
      <w:numFmt w:val="decimal"/>
      <w:lvlText w:val=""/>
      <w:lvlJc w:val="left"/>
    </w:lvl>
    <w:lvl w:ilvl="3" w:tplc="8F149F58">
      <w:numFmt w:val="decimal"/>
      <w:lvlText w:val=""/>
      <w:lvlJc w:val="left"/>
    </w:lvl>
    <w:lvl w:ilvl="4" w:tplc="8A6A7CFE">
      <w:numFmt w:val="decimal"/>
      <w:lvlText w:val=""/>
      <w:lvlJc w:val="left"/>
    </w:lvl>
    <w:lvl w:ilvl="5" w:tplc="9C9E054C">
      <w:numFmt w:val="decimal"/>
      <w:lvlText w:val=""/>
      <w:lvlJc w:val="left"/>
    </w:lvl>
    <w:lvl w:ilvl="6" w:tplc="83FCBF96">
      <w:numFmt w:val="decimal"/>
      <w:lvlText w:val=""/>
      <w:lvlJc w:val="left"/>
    </w:lvl>
    <w:lvl w:ilvl="7" w:tplc="70944A08">
      <w:numFmt w:val="decimal"/>
      <w:lvlText w:val=""/>
      <w:lvlJc w:val="left"/>
    </w:lvl>
    <w:lvl w:ilvl="8" w:tplc="A8D696EC">
      <w:numFmt w:val="decimal"/>
      <w:lvlText w:val=""/>
      <w:lvlJc w:val="left"/>
    </w:lvl>
  </w:abstractNum>
  <w:abstractNum w:abstractNumId="21" w15:restartNumberingAfterBreak="0">
    <w:nsid w:val="7A3169A3"/>
    <w:multiLevelType w:val="hybridMultilevel"/>
    <w:tmpl w:val="9DB820E4"/>
    <w:lvl w:ilvl="0" w:tplc="3C8C5A18">
      <w:numFmt w:val="decimal"/>
      <w:lvlText w:val=""/>
      <w:lvlJc w:val="left"/>
    </w:lvl>
    <w:lvl w:ilvl="1" w:tplc="B6521FDA">
      <w:numFmt w:val="decimal"/>
      <w:lvlText w:val=""/>
      <w:lvlJc w:val="left"/>
    </w:lvl>
    <w:lvl w:ilvl="2" w:tplc="76A2CA74">
      <w:numFmt w:val="decimal"/>
      <w:lvlText w:val=""/>
      <w:lvlJc w:val="left"/>
    </w:lvl>
    <w:lvl w:ilvl="3" w:tplc="7436B212">
      <w:numFmt w:val="decimal"/>
      <w:lvlText w:val=""/>
      <w:lvlJc w:val="left"/>
    </w:lvl>
    <w:lvl w:ilvl="4" w:tplc="0010AF50">
      <w:numFmt w:val="decimal"/>
      <w:lvlText w:val=""/>
      <w:lvlJc w:val="left"/>
    </w:lvl>
    <w:lvl w:ilvl="5" w:tplc="1D50FFBE">
      <w:numFmt w:val="decimal"/>
      <w:lvlText w:val=""/>
      <w:lvlJc w:val="left"/>
    </w:lvl>
    <w:lvl w:ilvl="6" w:tplc="D2165254">
      <w:numFmt w:val="decimal"/>
      <w:lvlText w:val=""/>
      <w:lvlJc w:val="left"/>
    </w:lvl>
    <w:lvl w:ilvl="7" w:tplc="BE36AD84">
      <w:numFmt w:val="decimal"/>
      <w:lvlText w:val=""/>
      <w:lvlJc w:val="left"/>
    </w:lvl>
    <w:lvl w:ilvl="8" w:tplc="406CEA8E">
      <w:numFmt w:val="decimal"/>
      <w:lvlText w:val=""/>
      <w:lvlJc w:val="left"/>
    </w:lvl>
  </w:abstractNum>
  <w:abstractNum w:abstractNumId="22" w15:restartNumberingAfterBreak="0">
    <w:nsid w:val="7ED80914"/>
    <w:multiLevelType w:val="hybridMultilevel"/>
    <w:tmpl w:val="047671DC"/>
    <w:lvl w:ilvl="0" w:tplc="8FECEB16">
      <w:start w:val="5"/>
      <w:numFmt w:val="decimal"/>
      <w:lvlText w:val="%1."/>
      <w:lvlJc w:val="left"/>
      <w:pPr>
        <w:tabs>
          <w:tab w:val="num" w:pos="1080"/>
        </w:tabs>
        <w:ind w:left="720" w:hanging="360"/>
      </w:pPr>
    </w:lvl>
    <w:lvl w:ilvl="1" w:tplc="6BAC03C0">
      <w:numFmt w:val="decimal"/>
      <w:lvlText w:val=""/>
      <w:lvlJc w:val="left"/>
    </w:lvl>
    <w:lvl w:ilvl="2" w:tplc="432EA642">
      <w:numFmt w:val="decimal"/>
      <w:lvlText w:val=""/>
      <w:lvlJc w:val="left"/>
    </w:lvl>
    <w:lvl w:ilvl="3" w:tplc="DF0ED246">
      <w:numFmt w:val="decimal"/>
      <w:lvlText w:val=""/>
      <w:lvlJc w:val="left"/>
    </w:lvl>
    <w:lvl w:ilvl="4" w:tplc="4DFC516A">
      <w:numFmt w:val="decimal"/>
      <w:lvlText w:val=""/>
      <w:lvlJc w:val="left"/>
    </w:lvl>
    <w:lvl w:ilvl="5" w:tplc="E03A8A62">
      <w:numFmt w:val="decimal"/>
      <w:lvlText w:val=""/>
      <w:lvlJc w:val="left"/>
    </w:lvl>
    <w:lvl w:ilvl="6" w:tplc="56D0C3C2">
      <w:numFmt w:val="decimal"/>
      <w:lvlText w:val=""/>
      <w:lvlJc w:val="left"/>
    </w:lvl>
    <w:lvl w:ilvl="7" w:tplc="627E08E2">
      <w:numFmt w:val="decimal"/>
      <w:lvlText w:val=""/>
      <w:lvlJc w:val="left"/>
    </w:lvl>
    <w:lvl w:ilvl="8" w:tplc="362CA774">
      <w:numFmt w:val="decimal"/>
      <w:lvlText w:val=""/>
      <w:lvlJc w:val="left"/>
    </w:lvl>
  </w:abstractNum>
  <w:num w:numId="1" w16cid:durableId="1980912530">
    <w:abstractNumId w:val="6"/>
  </w:num>
  <w:num w:numId="2" w16cid:durableId="1902204975">
    <w:abstractNumId w:val="7"/>
  </w:num>
  <w:num w:numId="3" w16cid:durableId="2030375102">
    <w:abstractNumId w:val="21"/>
  </w:num>
  <w:num w:numId="4" w16cid:durableId="1070805901">
    <w:abstractNumId w:val="20"/>
  </w:num>
  <w:num w:numId="5" w16cid:durableId="470832796">
    <w:abstractNumId w:val="1"/>
  </w:num>
  <w:num w:numId="6" w16cid:durableId="1729256706">
    <w:abstractNumId w:val="22"/>
  </w:num>
  <w:num w:numId="7" w16cid:durableId="1361663776">
    <w:abstractNumId w:val="2"/>
  </w:num>
  <w:num w:numId="8" w16cid:durableId="1165972567">
    <w:abstractNumId w:val="5"/>
  </w:num>
  <w:num w:numId="9" w16cid:durableId="1853101713">
    <w:abstractNumId w:val="19"/>
  </w:num>
  <w:num w:numId="10" w16cid:durableId="538779293">
    <w:abstractNumId w:val="14"/>
  </w:num>
  <w:num w:numId="11" w16cid:durableId="281233144">
    <w:abstractNumId w:val="17"/>
  </w:num>
  <w:num w:numId="12" w16cid:durableId="1457214472">
    <w:abstractNumId w:val="15"/>
  </w:num>
  <w:num w:numId="13" w16cid:durableId="1607421732">
    <w:abstractNumId w:val="11"/>
  </w:num>
  <w:num w:numId="14" w16cid:durableId="1814178423">
    <w:abstractNumId w:val="16"/>
  </w:num>
  <w:num w:numId="15" w16cid:durableId="1153641008">
    <w:abstractNumId w:val="18"/>
  </w:num>
  <w:num w:numId="16" w16cid:durableId="218060540">
    <w:abstractNumId w:val="13"/>
  </w:num>
  <w:num w:numId="17" w16cid:durableId="40325134">
    <w:abstractNumId w:val="4"/>
  </w:num>
  <w:num w:numId="18" w16cid:durableId="410201458">
    <w:abstractNumId w:val="10"/>
  </w:num>
  <w:num w:numId="19" w16cid:durableId="504633021">
    <w:abstractNumId w:val="0"/>
  </w:num>
  <w:num w:numId="20" w16cid:durableId="1469322436">
    <w:abstractNumId w:val="9"/>
  </w:num>
  <w:num w:numId="21" w16cid:durableId="1285699414">
    <w:abstractNumId w:val="3"/>
  </w:num>
  <w:num w:numId="22" w16cid:durableId="1455980511">
    <w:abstractNumId w:val="8"/>
  </w:num>
  <w:num w:numId="23" w16cid:durableId="340431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703"/>
    <w:rsid w:val="00326151"/>
    <w:rsid w:val="005405D4"/>
    <w:rsid w:val="00721728"/>
    <w:rsid w:val="00920072"/>
    <w:rsid w:val="00A81374"/>
    <w:rsid w:val="00AF5AF3"/>
    <w:rsid w:val="00BD06DC"/>
    <w:rsid w:val="00CF2625"/>
    <w:rsid w:val="00D75BE9"/>
    <w:rsid w:val="00F204D9"/>
    <w:rsid w:val="00FE3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DFD9F"/>
  <w15:docId w15:val="{7C016BE2-E77E-4F1F-AB7E-3D4E9BB6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character" w:styleId="Hyperlink">
    <w:name w:val="Hyperlink"/>
    <w:basedOn w:val="DefaultParagraphFont"/>
    <w:uiPriority w:val="99"/>
    <w:semiHidden/>
    <w:unhideWhenUsed/>
    <w:rsid w:val="00BD06DC"/>
    <w:rPr>
      <w:color w:val="0000FF"/>
      <w:u w:val="single"/>
    </w:rPr>
  </w:style>
  <w:style w:type="paragraph" w:styleId="Header">
    <w:name w:val="header"/>
    <w:basedOn w:val="Normal"/>
    <w:link w:val="HeaderChar"/>
    <w:uiPriority w:val="99"/>
    <w:unhideWhenUsed/>
    <w:rsid w:val="00AF5A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AF3"/>
  </w:style>
  <w:style w:type="paragraph" w:styleId="Footer">
    <w:name w:val="footer"/>
    <w:basedOn w:val="Normal"/>
    <w:link w:val="FooterChar"/>
    <w:uiPriority w:val="99"/>
    <w:unhideWhenUsed/>
    <w:rsid w:val="00AF5A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3441</Words>
  <Characters>19619</Characters>
  <Application>Microsoft Office Word</Application>
  <DocSecurity>0</DocSecurity>
  <Lines>163</Lines>
  <Paragraphs>46</Paragraphs>
  <ScaleCrop>false</ScaleCrop>
  <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SDI 1166</cp:lastModifiedBy>
  <cp:revision>6</cp:revision>
  <dcterms:created xsi:type="dcterms:W3CDTF">2026-08-31T02:48:00Z</dcterms:created>
  <dcterms:modified xsi:type="dcterms:W3CDTF">2026-09-07T12:16:00Z</dcterms:modified>
</cp:coreProperties>
</file>