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883B1" w14:textId="77777777" w:rsidR="0035360E" w:rsidRPr="0035360E" w:rsidRDefault="0035360E" w:rsidP="0035360E">
      <w:pPr>
        <w:spacing w:after="0" w:line="240" w:lineRule="auto"/>
        <w:rPr>
          <w:rFonts w:ascii="Cambria" w:eastAsia="Times New Roman" w:hAnsi="Cambria" w:cs="Calibri"/>
          <w:color w:val="000000"/>
          <w:sz w:val="20"/>
          <w:szCs w:val="20"/>
          <w:lang w:val="en-IN" w:eastAsia="en-IN"/>
        </w:rPr>
      </w:pPr>
      <w:r w:rsidRPr="0035360E">
        <w:rPr>
          <w:rFonts w:ascii="Cambria" w:eastAsia="Times New Roman" w:hAnsi="Cambria" w:cs="Calibri"/>
          <w:color w:val="000000"/>
          <w:sz w:val="20"/>
          <w:szCs w:val="20"/>
          <w:lang w:val="en-IN" w:eastAsia="en-IN"/>
        </w:rPr>
        <w:t>Original Research Article</w:t>
      </w:r>
    </w:p>
    <w:p w14:paraId="62E0CF47" w14:textId="77777777" w:rsidR="0035360E" w:rsidRDefault="0035360E" w:rsidP="00700199">
      <w:pPr>
        <w:rPr>
          <w:rFonts w:ascii="Times New Roman" w:hAnsi="Times New Roman" w:cs="Times New Roman"/>
          <w:b/>
          <w:sz w:val="24"/>
          <w:szCs w:val="24"/>
        </w:rPr>
      </w:pPr>
    </w:p>
    <w:p w14:paraId="657CB68D" w14:textId="77777777" w:rsidR="0035360E" w:rsidRDefault="0035360E" w:rsidP="00700199">
      <w:pPr>
        <w:rPr>
          <w:rFonts w:ascii="Times New Roman" w:hAnsi="Times New Roman" w:cs="Times New Roman"/>
          <w:b/>
          <w:sz w:val="24"/>
          <w:szCs w:val="24"/>
        </w:rPr>
      </w:pPr>
    </w:p>
    <w:p w14:paraId="7C741E4E" w14:textId="77777777" w:rsidR="00700199" w:rsidRDefault="00700199" w:rsidP="00700199">
      <w:pPr>
        <w:rPr>
          <w:rFonts w:ascii="Times New Roman" w:hAnsi="Times New Roman" w:cs="Times New Roman"/>
          <w:b/>
          <w:sz w:val="24"/>
          <w:szCs w:val="24"/>
        </w:rPr>
      </w:pPr>
      <w:r w:rsidRPr="00700199">
        <w:rPr>
          <w:rFonts w:ascii="Times New Roman" w:hAnsi="Times New Roman" w:cs="Times New Roman"/>
          <w:b/>
          <w:sz w:val="24"/>
          <w:szCs w:val="24"/>
        </w:rPr>
        <w:t xml:space="preserve">Quinoline-Based Aromatic Aldehydes as Novel Inhibitors of </w:t>
      </w:r>
      <w:r w:rsidRPr="00700199">
        <w:rPr>
          <w:rStyle w:val="Emphasis"/>
          <w:rFonts w:ascii="Times New Roman" w:hAnsi="Times New Roman" w:cs="Times New Roman"/>
          <w:b/>
          <w:sz w:val="24"/>
          <w:szCs w:val="24"/>
        </w:rPr>
        <w:t>Plasmodium falciparum</w:t>
      </w:r>
      <w:r w:rsidRPr="00700199">
        <w:rPr>
          <w:rFonts w:ascii="Times New Roman" w:hAnsi="Times New Roman" w:cs="Times New Roman"/>
          <w:b/>
          <w:sz w:val="24"/>
          <w:szCs w:val="24"/>
        </w:rPr>
        <w:t xml:space="preserve"> Transketolase: An </w:t>
      </w:r>
      <w:r w:rsidRPr="00700199">
        <w:rPr>
          <w:rFonts w:ascii="Times New Roman" w:hAnsi="Times New Roman" w:cs="Times New Roman"/>
          <w:b/>
          <w:i/>
          <w:sz w:val="24"/>
          <w:szCs w:val="24"/>
        </w:rPr>
        <w:t>In-Silico</w:t>
      </w:r>
      <w:r w:rsidRPr="00700199">
        <w:rPr>
          <w:rFonts w:ascii="Times New Roman" w:hAnsi="Times New Roman" w:cs="Times New Roman"/>
          <w:b/>
          <w:sz w:val="24"/>
          <w:szCs w:val="24"/>
        </w:rPr>
        <w:t xml:space="preserve"> Study</w:t>
      </w:r>
    </w:p>
    <w:p w14:paraId="0DBB836F" w14:textId="77777777" w:rsidR="0035360E" w:rsidRPr="00700199" w:rsidRDefault="0035360E" w:rsidP="00700199">
      <w:pPr>
        <w:rPr>
          <w:rFonts w:ascii="Times New Roman" w:hAnsi="Times New Roman" w:cs="Times New Roman"/>
          <w:b/>
          <w:sz w:val="24"/>
          <w:szCs w:val="24"/>
        </w:rPr>
      </w:pPr>
    </w:p>
    <w:p w14:paraId="600AF00F" w14:textId="77777777" w:rsidR="0052098E" w:rsidRDefault="0052098E" w:rsidP="002C2680">
      <w:pPr>
        <w:spacing w:line="360" w:lineRule="auto"/>
        <w:jc w:val="both"/>
        <w:rPr>
          <w:rFonts w:ascii="Times New Roman" w:hAnsi="Times New Roman" w:cs="Times New Roman"/>
          <w:b/>
          <w:sz w:val="24"/>
          <w:szCs w:val="24"/>
        </w:rPr>
      </w:pPr>
    </w:p>
    <w:p w14:paraId="1EA8646A" w14:textId="77777777" w:rsidR="00700199" w:rsidRPr="00700199" w:rsidRDefault="00700199" w:rsidP="002C2680">
      <w:pPr>
        <w:spacing w:line="360" w:lineRule="auto"/>
        <w:jc w:val="both"/>
        <w:rPr>
          <w:b/>
        </w:rPr>
      </w:pPr>
      <w:r w:rsidRPr="00700199">
        <w:rPr>
          <w:b/>
        </w:rPr>
        <w:t>Abstracts</w:t>
      </w:r>
    </w:p>
    <w:p w14:paraId="3D20FEBD" w14:textId="77777777" w:rsidR="00700199" w:rsidRPr="00700199" w:rsidRDefault="00700199" w:rsidP="00700199">
      <w:pPr>
        <w:pStyle w:val="NormalWeb"/>
        <w:shd w:val="clear" w:color="auto" w:fill="FFFFFF"/>
        <w:spacing w:line="360" w:lineRule="auto"/>
        <w:jc w:val="both"/>
      </w:pPr>
      <w:r w:rsidRPr="00700199">
        <w:t>Background: The emergence of drug-resistant </w:t>
      </w:r>
      <w:r w:rsidRPr="00700199">
        <w:rPr>
          <w:rStyle w:val="Emphasis"/>
        </w:rPr>
        <w:t>Plasmodium falciparum</w:t>
      </w:r>
      <w:r w:rsidRPr="00700199">
        <w:t> strains, especially those showing resistance to artemisinin-based combination therapies (ACTs), highlights the critical demand for new antimalarial compounds that target different biochemical pathways.</w:t>
      </w:r>
    </w:p>
    <w:p w14:paraId="35D97665" w14:textId="77777777" w:rsidR="00700199" w:rsidRPr="00700199" w:rsidRDefault="00700199" w:rsidP="00700199">
      <w:pPr>
        <w:pStyle w:val="NormalWeb"/>
        <w:shd w:val="clear" w:color="auto" w:fill="FFFFFF"/>
        <w:spacing w:line="360" w:lineRule="auto"/>
        <w:jc w:val="both"/>
      </w:pPr>
      <w:r w:rsidRPr="00700199">
        <w:t> Objectives: This study explores the inhibitory potential of quinoline-derived aromatic aldehydes against </w:t>
      </w:r>
      <w:r w:rsidRPr="00700199">
        <w:rPr>
          <w:rStyle w:val="Emphasis"/>
        </w:rPr>
        <w:t>Plasmodium falciparum</w:t>
      </w:r>
      <w:r w:rsidRPr="00700199">
        <w:t> transketolase, a key enzyme in the pentose phosphate pathway that plays a vital role in parasite nucleotide synthesis and redox homeostasis, through </w:t>
      </w:r>
      <w:r w:rsidRPr="00700199">
        <w:rPr>
          <w:rStyle w:val="Emphasis"/>
        </w:rPr>
        <w:t>in-silico</w:t>
      </w:r>
      <w:r w:rsidRPr="00700199">
        <w:t> assessment.</w:t>
      </w:r>
    </w:p>
    <w:p w14:paraId="729FE372" w14:textId="77777777" w:rsidR="00700199" w:rsidRPr="00700199" w:rsidRDefault="00700199" w:rsidP="00700199">
      <w:pPr>
        <w:pStyle w:val="NormalWeb"/>
        <w:shd w:val="clear" w:color="auto" w:fill="FFFFFF"/>
        <w:spacing w:line="360" w:lineRule="auto"/>
        <w:jc w:val="both"/>
      </w:pPr>
      <w:r w:rsidRPr="00700199">
        <w:t> Methodology: A combination of ligand-based and structure-based drug design strategies was employed. Drug-likeness, pharmacokinetic, and toxicological properties were assessed using qualitative drug estimation and ADMET profiling. Molecular docking was used to determine binding affinities, while binding free energies were calculated using molecular mechanics. The stability of binding interactions was further examined using molecular dynamics simulations.</w:t>
      </w:r>
    </w:p>
    <w:p w14:paraId="7AE575AF" w14:textId="77777777" w:rsidR="00BD428C" w:rsidRDefault="00700199" w:rsidP="00BD428C">
      <w:pPr>
        <w:pStyle w:val="NormalWeb"/>
        <w:shd w:val="clear" w:color="auto" w:fill="FFFFFF"/>
        <w:spacing w:line="360" w:lineRule="auto"/>
        <w:jc w:val="both"/>
      </w:pPr>
      <w:r w:rsidRPr="00700199">
        <w:t>Results:</w:t>
      </w:r>
      <w:r w:rsidR="0048265E">
        <w:t xml:space="preserve"> </w:t>
      </w:r>
      <w:r w:rsidRPr="00700199">
        <w:t>Molecular docking studies identified 3,4,5-trimethoxybenzaldehyde</w:t>
      </w:r>
      <w:r w:rsidR="0048265E">
        <w:t xml:space="preserve"> (A3)</w:t>
      </w:r>
      <w:r w:rsidRPr="00700199">
        <w:t xml:space="preserve"> and 2-nitrobenzaldehyde</w:t>
      </w:r>
      <w:r w:rsidR="0048265E">
        <w:t xml:space="preserve"> (A6)</w:t>
      </w:r>
      <w:r w:rsidRPr="00700199">
        <w:t xml:space="preserve"> having the highest binding affinity with </w:t>
      </w:r>
      <w:r w:rsidRPr="00700199">
        <w:rPr>
          <w:rStyle w:val="Emphasis"/>
        </w:rPr>
        <w:t>Plasmodium falciparum</w:t>
      </w:r>
      <w:r w:rsidRPr="00700199">
        <w:t xml:space="preserve"> transketolase (-8.3 kcal/mol and -8.2 kcal/mol respectively), outperforming reference drug </w:t>
      </w:r>
      <w:proofErr w:type="spellStart"/>
      <w:r w:rsidRPr="00700199">
        <w:t>Oxythiamine</w:t>
      </w:r>
      <w:proofErr w:type="spellEnd"/>
      <w:r w:rsidRPr="00700199">
        <w:t>. MM-</w:t>
      </w:r>
      <w:r w:rsidR="0087446C">
        <w:t>P</w:t>
      </w:r>
      <w:r w:rsidRPr="00700199">
        <w:t>BSA analysis further confirmed Compound A6 as the thermodynamically most favorable complex, exhibiting superior overall binding free energy (</w:t>
      </w:r>
      <w:proofErr w:type="spellStart"/>
      <w:r w:rsidRPr="00700199">
        <w:t>ΔG_bind</w:t>
      </w:r>
      <w:proofErr w:type="spellEnd"/>
      <w:r w:rsidRPr="00700199">
        <w:t>) driven by significant van der Waals and covalent contributions.</w:t>
      </w:r>
      <w:r w:rsidR="00046027">
        <w:t xml:space="preserve"> </w:t>
      </w:r>
      <w:r w:rsidR="00046027" w:rsidRPr="00700199">
        <w:t xml:space="preserve">Pharmacokinetic evaluations, including drug-likeness and ADMET profiling, indicated favorable drug-like properties and low toxicity across all the compounds. </w:t>
      </w:r>
      <w:r w:rsidRPr="00700199">
        <w:t xml:space="preserve"> Molecular dynamics simulations over 100 </w:t>
      </w:r>
      <w:r w:rsidRPr="00700199">
        <w:lastRenderedPageBreak/>
        <w:t xml:space="preserve">ns further validated Compounds A3 (7-(3,4,5-trimethoxyphenyl) </w:t>
      </w:r>
      <w:proofErr w:type="spellStart"/>
      <w:r w:rsidRPr="00700199">
        <w:t>chromenoquinoline</w:t>
      </w:r>
      <w:proofErr w:type="spellEnd"/>
      <w:r w:rsidRPr="00700199">
        <w:t xml:space="preserve">) and A6 (7-(2-nitrophenyl) </w:t>
      </w:r>
      <w:proofErr w:type="spellStart"/>
      <w:r w:rsidRPr="00700199">
        <w:t>chromenoquinolinone</w:t>
      </w:r>
      <w:proofErr w:type="spellEnd"/>
      <w:r w:rsidRPr="00700199">
        <w:t>) as the most stable complexes with </w:t>
      </w:r>
      <w:r w:rsidRPr="00700199">
        <w:rPr>
          <w:rStyle w:val="Emphasis"/>
        </w:rPr>
        <w:t>Plasmodium falciparum</w:t>
      </w:r>
      <w:r w:rsidRPr="00700199">
        <w:t> transketolase, recording average RMSD of 0.24–0.25 nm, RMSF of 0.12–0.14 nm, radius of gyration of 2.85–2.93 nm, and consistent hydrogen bond persistence throughout the trajectory.</w:t>
      </w:r>
    </w:p>
    <w:p w14:paraId="4FE0C2B8" w14:textId="77777777" w:rsidR="002C2680" w:rsidRDefault="00700199" w:rsidP="002C2680">
      <w:pPr>
        <w:pStyle w:val="NormalWeb"/>
        <w:shd w:val="clear" w:color="auto" w:fill="FFFFFF"/>
        <w:spacing w:line="360" w:lineRule="auto"/>
        <w:jc w:val="both"/>
      </w:pPr>
      <w:r w:rsidRPr="00700199">
        <w:t xml:space="preserve">Conclusion: Compared to the reference drug </w:t>
      </w:r>
      <w:proofErr w:type="spellStart"/>
      <w:r w:rsidRPr="00700199">
        <w:t>oxythiamine</w:t>
      </w:r>
      <w:proofErr w:type="spellEnd"/>
      <w:r w:rsidRPr="00700199">
        <w:t>, both compounds demonstrated superior conformational stability and active site complementarity, reinforcing their potential as credible antimalarial lead candidates</w:t>
      </w:r>
    </w:p>
    <w:p w14:paraId="7C9AE854" w14:textId="77777777" w:rsidR="002C2680" w:rsidRPr="00D74784" w:rsidRDefault="002C2680" w:rsidP="002C2680">
      <w:pPr>
        <w:jc w:val="both"/>
        <w:rPr>
          <w:rFonts w:ascii="Times New Roman" w:hAnsi="Times New Roman" w:cs="Times New Roman"/>
        </w:rPr>
      </w:pPr>
      <w:r w:rsidRPr="008B65C2">
        <w:rPr>
          <w:rFonts w:ascii="Times New Roman" w:hAnsi="Times New Roman" w:cs="Times New Roman"/>
          <w:b/>
        </w:rPr>
        <w:t>Keywords:</w:t>
      </w:r>
      <w:r w:rsidRPr="008B65C2">
        <w:rPr>
          <w:rFonts w:ascii="Times New Roman" w:hAnsi="Times New Roman" w:cs="Times New Roman"/>
        </w:rPr>
        <w:t xml:space="preserve"> </w:t>
      </w:r>
      <w:r w:rsidRPr="00D74784">
        <w:rPr>
          <w:rFonts w:ascii="Times New Roman" w:hAnsi="Times New Roman" w:cs="Times New Roman"/>
        </w:rPr>
        <w:t xml:space="preserve">Antimalarial resistance; plasmodium falciparum transketolase; </w:t>
      </w:r>
      <w:proofErr w:type="spellStart"/>
      <w:r w:rsidRPr="00D74784">
        <w:rPr>
          <w:rFonts w:ascii="Times New Roman" w:hAnsi="Times New Roman" w:cs="Times New Roman"/>
        </w:rPr>
        <w:t>oxythiamine</w:t>
      </w:r>
      <w:proofErr w:type="spellEnd"/>
      <w:r w:rsidRPr="00D74784">
        <w:rPr>
          <w:rFonts w:ascii="Times New Roman" w:hAnsi="Times New Roman" w:cs="Times New Roman"/>
        </w:rPr>
        <w:t xml:space="preserve">; </w:t>
      </w:r>
      <w:proofErr w:type="spellStart"/>
      <w:r w:rsidRPr="00D74784">
        <w:rPr>
          <w:rFonts w:ascii="Times New Roman" w:hAnsi="Times New Roman" w:cs="Times New Roman"/>
        </w:rPr>
        <w:t>Chromenoquinoline</w:t>
      </w:r>
      <w:proofErr w:type="spellEnd"/>
      <w:r w:rsidRPr="00D74784">
        <w:rPr>
          <w:rFonts w:ascii="Times New Roman" w:hAnsi="Times New Roman" w:cs="Times New Roman"/>
        </w:rPr>
        <w:t xml:space="preserve">; ligand-based drug design; structure-based drug design. </w:t>
      </w:r>
    </w:p>
    <w:p w14:paraId="5DCFD666" w14:textId="77777777" w:rsidR="002C2680" w:rsidRDefault="002C2680" w:rsidP="002C2680">
      <w:pPr>
        <w:pStyle w:val="NormalWeb"/>
        <w:shd w:val="clear" w:color="auto" w:fill="FFFFFF"/>
        <w:spacing w:line="360" w:lineRule="auto"/>
        <w:jc w:val="both"/>
        <w:rPr>
          <w:b/>
        </w:rPr>
      </w:pPr>
    </w:p>
    <w:p w14:paraId="0960F8E0" w14:textId="77777777" w:rsidR="00566A87" w:rsidRPr="00700199" w:rsidRDefault="008D4C50" w:rsidP="002C2680">
      <w:pPr>
        <w:pStyle w:val="NormalWeb"/>
        <w:shd w:val="clear" w:color="auto" w:fill="FFFFFF"/>
        <w:spacing w:line="360" w:lineRule="auto"/>
        <w:jc w:val="both"/>
        <w:rPr>
          <w:rFonts w:ascii="Segoe UI" w:hAnsi="Segoe UI" w:cs="Segoe UI"/>
          <w:sz w:val="21"/>
          <w:szCs w:val="21"/>
        </w:rPr>
      </w:pPr>
      <w:r w:rsidRPr="00DB4A33">
        <w:rPr>
          <w:b/>
        </w:rPr>
        <w:t xml:space="preserve">1.1 </w:t>
      </w:r>
      <w:r w:rsidR="0016046D" w:rsidRPr="00DB4A33">
        <w:rPr>
          <w:b/>
        </w:rPr>
        <w:t>Introduction</w:t>
      </w:r>
    </w:p>
    <w:p w14:paraId="6838597A" w14:textId="77777777" w:rsidR="0016046D" w:rsidRPr="00DB4A33" w:rsidRDefault="0016046D" w:rsidP="00DB4A33">
      <w:pPr>
        <w:pStyle w:val="font-claude-response-body"/>
        <w:spacing w:line="360" w:lineRule="auto"/>
        <w:jc w:val="both"/>
      </w:pPr>
      <w:r w:rsidRPr="00DB4A33">
        <w:t xml:space="preserve">Malaria remains one of the most devastating infectious diseases globally, caused by </w:t>
      </w:r>
      <w:r w:rsidRPr="00DB4A33">
        <w:rPr>
          <w:rStyle w:val="Emphasis"/>
        </w:rPr>
        <w:t>Plasmodium</w:t>
      </w:r>
      <w:r w:rsidRPr="00DB4A33">
        <w:t xml:space="preserve"> parasites transmitted to humans through bites of infected female </w:t>
      </w:r>
      <w:r w:rsidRPr="00DB4A33">
        <w:rPr>
          <w:rStyle w:val="Emphasis"/>
        </w:rPr>
        <w:t>Anopheles</w:t>
      </w:r>
      <w:r w:rsidRPr="00DB4A33">
        <w:t xml:space="preserve"> mosquitoes. These vectors thrive predominantly in tropical and subtropical regions where environmental conditions support their spread</w:t>
      </w:r>
      <w:r w:rsidR="00C70EB0" w:rsidRPr="00DB4A33">
        <w:t xml:space="preserve"> </w:t>
      </w:r>
      <w:r w:rsidR="000474AD">
        <w:t>[</w:t>
      </w:r>
      <w:r w:rsidR="00B30792">
        <w:t>32</w:t>
      </w:r>
      <w:r w:rsidR="000474AD">
        <w:t>]</w:t>
      </w:r>
      <w:r w:rsidRPr="00DB4A33">
        <w:t>. According to W</w:t>
      </w:r>
      <w:r w:rsidR="00C70EB0" w:rsidRPr="00DB4A33">
        <w:t xml:space="preserve">orld </w:t>
      </w:r>
      <w:r w:rsidRPr="00DB4A33">
        <w:t>H</w:t>
      </w:r>
      <w:r w:rsidR="00C70EB0" w:rsidRPr="00DB4A33">
        <w:t xml:space="preserve">ealth </w:t>
      </w:r>
      <w:r w:rsidRPr="00DB4A33">
        <w:t>O</w:t>
      </w:r>
      <w:r w:rsidR="00C70EB0" w:rsidRPr="00DB4A33">
        <w:t>rganization (WHO)</w:t>
      </w:r>
      <w:r w:rsidRPr="00DB4A33">
        <w:t xml:space="preserve"> 2025 data, approximately 282 million malaria cases and 610,000 deaths were recorded worldwide, reinforcing the disease's continued threat to global public health. Africa bears the heaviest burden, accounting for about 213 million of these cases. Four sub-Saharan African nations — Nigeria (26.6%), the Democratic Republic of Congo (12.3%), Uganda (5.1%), and Mozambique (4.1%) — together accounted for nearly half of all malaria-related deaths globally, reflecting the disproportionate regional impact of this disease.</w:t>
      </w:r>
    </w:p>
    <w:p w14:paraId="54CD8EB0" w14:textId="77777777" w:rsidR="0016046D" w:rsidRPr="00DB4A33" w:rsidRDefault="0016046D" w:rsidP="00DB4A33">
      <w:pPr>
        <w:pStyle w:val="font-claude-response-body"/>
        <w:spacing w:line="360" w:lineRule="auto"/>
        <w:jc w:val="both"/>
      </w:pPr>
      <w:r w:rsidRPr="00DB4A33">
        <w:t>Significant progress was achieved between 2000 and 2015, with global malaria cases declining by 37% and deaths dropping by 60%</w:t>
      </w:r>
      <w:r w:rsidR="004E112D" w:rsidRPr="00DB4A33">
        <w:t xml:space="preserve"> </w:t>
      </w:r>
      <w:r w:rsidR="000474AD">
        <w:t>[</w:t>
      </w:r>
      <w:r w:rsidR="004F64AF">
        <w:t>31</w:t>
      </w:r>
      <w:r w:rsidR="000474AD">
        <w:t>]</w:t>
      </w:r>
      <w:r w:rsidRPr="00DB4A33">
        <w:t>. This was largely driven by expanded vector control measures such as insecticide-treated bed nets and indoor residual spraying, widespread adoption of artemisinin-based combination therapies (ACTs), and improved diagnostic tools. However, this momentum has considerably slowed since 2015</w:t>
      </w:r>
      <w:r w:rsidR="008D4C50" w:rsidRPr="00DB4A33">
        <w:t xml:space="preserve"> </w:t>
      </w:r>
      <w:r w:rsidR="000474AD">
        <w:t>[</w:t>
      </w:r>
      <w:r w:rsidR="004F64AF">
        <w:t>2</w:t>
      </w:r>
      <w:r w:rsidR="000474AD">
        <w:t>]</w:t>
      </w:r>
      <w:r w:rsidRPr="00DB4A33">
        <w:t xml:space="preserve">. The WHO Global Malaria Report recorded 241 million cases in 2020, up from 227 million in 2019, suggesting a worrying reversal of earlier </w:t>
      </w:r>
      <w:r w:rsidRPr="00DB4A33">
        <w:lastRenderedPageBreak/>
        <w:t>gains. Factors such as emerging drug resistance, fragile health systems, climate variability, and ongoing conflicts in endemic regions continue to undermine progress</w:t>
      </w:r>
      <w:r w:rsidR="006E482E" w:rsidRPr="00DB4A33">
        <w:t xml:space="preserve"> </w:t>
      </w:r>
      <w:r w:rsidR="000474AD">
        <w:t>[</w:t>
      </w:r>
      <w:r w:rsidR="004F64AF">
        <w:t>25</w:t>
      </w:r>
      <w:r w:rsidR="000474AD">
        <w:t>]</w:t>
      </w:r>
      <w:r w:rsidRPr="00DB4A33">
        <w:t>. The Global Burden of Disease 2023 analysis similarly identified malaria as a leading cause of infectious disease morbidity and mortality in low-income countries, underscoring the persistent urgency for new and effective intervention strategies</w:t>
      </w:r>
      <w:r w:rsidR="00CC154E" w:rsidRPr="00DB4A33">
        <w:t xml:space="preserve"> </w:t>
      </w:r>
      <w:r w:rsidR="000474AD">
        <w:t>[1</w:t>
      </w:r>
      <w:r w:rsidR="004F64AF">
        <w:t>5</w:t>
      </w:r>
      <w:r w:rsidR="000474AD">
        <w:t>]</w:t>
      </w:r>
      <w:r w:rsidRPr="00DB4A33">
        <w:t>.</w:t>
      </w:r>
    </w:p>
    <w:p w14:paraId="6CE7C8F5" w14:textId="77777777" w:rsidR="0016046D" w:rsidRPr="00DB4A33" w:rsidRDefault="0016046D" w:rsidP="00DB4A33">
      <w:pPr>
        <w:pStyle w:val="font-claude-response-body"/>
        <w:spacing w:line="360" w:lineRule="auto"/>
        <w:jc w:val="both"/>
      </w:pPr>
      <w:r w:rsidRPr="00DB4A33">
        <w:t>One emerging and promising area in antimalarial drug development is the exploitation of the pentose phosphate pathway (PPP), particularly through inhibit</w:t>
      </w:r>
      <w:r w:rsidR="00CC154E" w:rsidRPr="00DB4A33">
        <w:t>ion of the enzyme transketolase, this enzyme is</w:t>
      </w:r>
      <w:r w:rsidRPr="00DB4A33">
        <w:t xml:space="preserve"> thiamine dip</w:t>
      </w:r>
      <w:r w:rsidR="00CC154E" w:rsidRPr="00DB4A33">
        <w:t>hosphate (</w:t>
      </w:r>
      <w:proofErr w:type="spellStart"/>
      <w:r w:rsidR="00CC154E" w:rsidRPr="00DB4A33">
        <w:t>ThDP</w:t>
      </w:r>
      <w:proofErr w:type="spellEnd"/>
      <w:r w:rsidR="00CC154E" w:rsidRPr="00DB4A33">
        <w:t>)-dependent</w:t>
      </w:r>
      <w:r w:rsidRPr="00DB4A33">
        <w:t xml:space="preserve"> that plays a central role in nucleotide synthesis and redox </w:t>
      </w:r>
      <w:r w:rsidR="00CC154E" w:rsidRPr="00DB4A33">
        <w:t>balance within the parasite</w:t>
      </w:r>
      <w:r w:rsidRPr="00DB4A33">
        <w:t xml:space="preserve"> both of which are critical for its survival and replication inside host erythrocytes</w:t>
      </w:r>
      <w:r w:rsidR="00CC154E" w:rsidRPr="00DB4A33">
        <w:t xml:space="preserve"> </w:t>
      </w:r>
      <w:r w:rsidR="000474AD">
        <w:t>[1</w:t>
      </w:r>
      <w:r w:rsidR="004F64AF">
        <w:t>3</w:t>
      </w:r>
      <w:r w:rsidR="000474AD">
        <w:t>]</w:t>
      </w:r>
      <w:r w:rsidRPr="00DB4A33">
        <w:t xml:space="preserve">. Recent research has recognized transketolase as a metabolic vulnerability in </w:t>
      </w:r>
      <w:r w:rsidRPr="00DB4A33">
        <w:rPr>
          <w:rStyle w:val="Emphasis"/>
        </w:rPr>
        <w:t>Plasmodium falciparum</w:t>
      </w:r>
      <w:r w:rsidRPr="00DB4A33">
        <w:t xml:space="preserve"> that can be therapeutically exploited</w:t>
      </w:r>
      <w:r w:rsidR="00C76C77" w:rsidRPr="00DB4A33">
        <w:t xml:space="preserve"> </w:t>
      </w:r>
      <w:r w:rsidR="000474AD">
        <w:t>[</w:t>
      </w:r>
      <w:r w:rsidR="004F64AF">
        <w:t>22</w:t>
      </w:r>
      <w:r w:rsidR="000474AD">
        <w:t>]</w:t>
      </w:r>
      <w:r w:rsidRPr="00DB4A33">
        <w:t>. Since this enzyme operates within a pathway distinct from those targeted by existing antimalarials, inhibiting it offers a viable strategy for circumventing established drug resistance mechanisms, making it an attractive target for novel drug design.</w:t>
      </w:r>
    </w:p>
    <w:p w14:paraId="131542BD" w14:textId="77777777" w:rsidR="0016046D" w:rsidRPr="00DB4A33" w:rsidRDefault="0016046D" w:rsidP="00DB4A33">
      <w:pPr>
        <w:pStyle w:val="font-claude-response-body"/>
        <w:spacing w:line="360" w:lineRule="auto"/>
        <w:jc w:val="both"/>
      </w:pPr>
      <w:r w:rsidRPr="00DB4A33">
        <w:t xml:space="preserve">Thiamine analogs, structurally similar to the </w:t>
      </w:r>
      <w:proofErr w:type="spellStart"/>
      <w:r w:rsidRPr="00DB4A33">
        <w:t>ThDP</w:t>
      </w:r>
      <w:proofErr w:type="spellEnd"/>
      <w:r w:rsidRPr="00DB4A33">
        <w:t xml:space="preserve"> cofactor, have demonstrated the ability to inhibit </w:t>
      </w:r>
      <w:proofErr w:type="spellStart"/>
      <w:r w:rsidRPr="00DB4A33">
        <w:t>ThDP</w:t>
      </w:r>
      <w:proofErr w:type="spellEnd"/>
      <w:r w:rsidRPr="00DB4A33">
        <w:t>-dependent enzymes, making them early candidates for targeting transketolase</w:t>
      </w:r>
      <w:r w:rsidR="00C76C77" w:rsidRPr="00DB4A33">
        <w:t xml:space="preserve"> </w:t>
      </w:r>
      <w:r w:rsidR="000474AD">
        <w:t>[</w:t>
      </w:r>
      <w:r w:rsidR="004F64AF">
        <w:t>6</w:t>
      </w:r>
      <w:r w:rsidR="000474AD">
        <w:t>]</w:t>
      </w:r>
      <w:r w:rsidRPr="00DB4A33">
        <w:t xml:space="preserve">. </w:t>
      </w:r>
      <w:proofErr w:type="spellStart"/>
      <w:r w:rsidRPr="00DB4A33">
        <w:t>Oxythiamine</w:t>
      </w:r>
      <w:proofErr w:type="spellEnd"/>
      <w:r w:rsidRPr="00DB4A33">
        <w:t>, for example, has shown inhibitory activity within the PPP by competing with thiamine for enzyme binding. However, its clinical usefulness is significantly limited by adverse effects including nephrotoxicity, a short half-life, and broader toxicity concerns, rendering it unsuitable for long-term therapeutic use</w:t>
      </w:r>
      <w:r w:rsidR="00C432FA" w:rsidRPr="00DB4A33">
        <w:t xml:space="preserve"> </w:t>
      </w:r>
      <w:r w:rsidR="000474AD">
        <w:t>[</w:t>
      </w:r>
      <w:r w:rsidR="004F64AF">
        <w:t>33</w:t>
      </w:r>
      <w:r w:rsidR="000474AD">
        <w:t>]</w:t>
      </w:r>
      <w:r w:rsidRPr="00DB4A33">
        <w:t>. These shortcomings have prompted a shift in research focus toward identifying alternative thiamine analogs that retain strong inhibitory potential while offering safer pharmacokinet</w:t>
      </w:r>
      <w:r w:rsidR="00D129A3" w:rsidRPr="00DB4A33">
        <w:t xml:space="preserve">ic and toxicological profiles, </w:t>
      </w:r>
      <w:r w:rsidRPr="00DB4A33">
        <w:t>a key motivation behind the investigation of quinoline-based compounds in this study.</w:t>
      </w:r>
    </w:p>
    <w:p w14:paraId="31ADF725" w14:textId="77777777" w:rsidR="0016046D" w:rsidRPr="00DB4A33" w:rsidRDefault="0016046D" w:rsidP="00DB4A33">
      <w:pPr>
        <w:pStyle w:val="font-claude-response-body"/>
        <w:spacing w:line="360" w:lineRule="auto"/>
        <w:jc w:val="both"/>
      </w:pPr>
      <w:r w:rsidRPr="00DB4A33">
        <w:t xml:space="preserve">Quinoline alkaloids are naturally occurring compounds predominantly sourced from plants of the genus </w:t>
      </w:r>
      <w:r w:rsidRPr="00DB4A33">
        <w:rPr>
          <w:rStyle w:val="Emphasis"/>
        </w:rPr>
        <w:t>Cinchona</w:t>
      </w:r>
      <w:r w:rsidRPr="00DB4A33">
        <w:t xml:space="preserve">, members of the </w:t>
      </w:r>
      <w:proofErr w:type="spellStart"/>
      <w:r w:rsidRPr="00DB4A33">
        <w:t>Rubiaceae</w:t>
      </w:r>
      <w:proofErr w:type="spellEnd"/>
      <w:r w:rsidRPr="00DB4A33">
        <w:t xml:space="preserve"> family</w:t>
      </w:r>
      <w:r w:rsidR="00D129A3" w:rsidRPr="00DB4A33">
        <w:t xml:space="preserve"> </w:t>
      </w:r>
      <w:r w:rsidR="000474AD">
        <w:t>[</w:t>
      </w:r>
      <w:r w:rsidR="004F64AF">
        <w:t>5</w:t>
      </w:r>
      <w:r w:rsidR="000474AD">
        <w:t>]</w:t>
      </w:r>
      <w:r w:rsidRPr="00DB4A33">
        <w:t xml:space="preserve">. The bark of several </w:t>
      </w:r>
      <w:r w:rsidRPr="00DB4A33">
        <w:rPr>
          <w:rStyle w:val="Emphasis"/>
        </w:rPr>
        <w:t>Cinchona</w:t>
      </w:r>
      <w:r w:rsidR="00393871" w:rsidRPr="00DB4A33">
        <w:t xml:space="preserve"> species </w:t>
      </w:r>
      <w:r w:rsidRPr="00DB4A33">
        <w:t>including</w:t>
      </w:r>
      <w:r w:rsidR="00393871" w:rsidRPr="00DB4A33">
        <w:t>;</w:t>
      </w:r>
      <w:r w:rsidRPr="00DB4A33">
        <w:t xml:space="preserve"> </w:t>
      </w:r>
      <w:r w:rsidRPr="00DB4A33">
        <w:rPr>
          <w:rStyle w:val="Emphasis"/>
        </w:rPr>
        <w:t>C. officinalis</w:t>
      </w:r>
      <w:r w:rsidRPr="00DB4A33">
        <w:t xml:space="preserve">, </w:t>
      </w:r>
      <w:r w:rsidRPr="00DB4A33">
        <w:rPr>
          <w:rStyle w:val="Emphasis"/>
        </w:rPr>
        <w:t xml:space="preserve">C. </w:t>
      </w:r>
      <w:proofErr w:type="spellStart"/>
      <w:r w:rsidRPr="00DB4A33">
        <w:rPr>
          <w:rStyle w:val="Emphasis"/>
        </w:rPr>
        <w:t>ledgeriana</w:t>
      </w:r>
      <w:proofErr w:type="spellEnd"/>
      <w:r w:rsidRPr="00DB4A33">
        <w:t xml:space="preserve">, </w:t>
      </w:r>
      <w:r w:rsidRPr="00DB4A33">
        <w:rPr>
          <w:rStyle w:val="Emphasis"/>
        </w:rPr>
        <w:t>C. calisaya</w:t>
      </w:r>
      <w:r w:rsidRPr="00DB4A33">
        <w:t xml:space="preserve">, and </w:t>
      </w:r>
      <w:r w:rsidRPr="00DB4A33">
        <w:rPr>
          <w:rStyle w:val="Emphasis"/>
        </w:rPr>
        <w:t xml:space="preserve">C. </w:t>
      </w:r>
      <w:proofErr w:type="spellStart"/>
      <w:r w:rsidRPr="00DB4A33">
        <w:rPr>
          <w:rStyle w:val="Emphasis"/>
        </w:rPr>
        <w:t>succirubra</w:t>
      </w:r>
      <w:proofErr w:type="spellEnd"/>
      <w:r w:rsidR="00393871" w:rsidRPr="00DB4A33">
        <w:t xml:space="preserve"> </w:t>
      </w:r>
      <w:r w:rsidRPr="00DB4A33">
        <w:t xml:space="preserve">is particularly rich in these biologically active alkaloids, among them quinine, quinidine, cinchonine, and </w:t>
      </w:r>
      <w:proofErr w:type="spellStart"/>
      <w:r w:rsidRPr="00DB4A33">
        <w:t>cinchonidine</w:t>
      </w:r>
      <w:proofErr w:type="spellEnd"/>
      <w:r w:rsidRPr="00DB4A33">
        <w:t>. These compounds have long held significant pharmaceutical importance, most notably in the historical treatment of malaria</w:t>
      </w:r>
      <w:r w:rsidR="00393871" w:rsidRPr="00DB4A33">
        <w:t xml:space="preserve"> </w:t>
      </w:r>
      <w:r w:rsidR="000474AD">
        <w:t>[1</w:t>
      </w:r>
      <w:r w:rsidR="004F64AF">
        <w:t>7</w:t>
      </w:r>
      <w:r w:rsidR="000474AD">
        <w:t>]</w:t>
      </w:r>
      <w:r w:rsidRPr="00DB4A33">
        <w:t>.</w:t>
      </w:r>
    </w:p>
    <w:p w14:paraId="79EF1FE7" w14:textId="77777777" w:rsidR="0016046D" w:rsidRPr="00DB4A33" w:rsidRDefault="0016046D" w:rsidP="00DB4A33">
      <w:pPr>
        <w:pStyle w:val="font-claude-response-body"/>
        <w:spacing w:line="360" w:lineRule="auto"/>
        <w:jc w:val="both"/>
      </w:pPr>
      <w:r w:rsidRPr="00DB4A33">
        <w:lastRenderedPageBreak/>
        <w:t>Beyond antimalarial activity, quinoline alkaloids exhibit a broad range of pharmacological properties, including anti-inflammatory, antimicrobial, anticancer, and cardiovascular effects, making them valuable scaffolds in medicinal chemistry and drug development</w:t>
      </w:r>
      <w:r w:rsidR="002B4E68" w:rsidRPr="00DB4A33">
        <w:t xml:space="preserve"> </w:t>
      </w:r>
      <w:r w:rsidR="000474AD">
        <w:t>[</w:t>
      </w:r>
      <w:r w:rsidR="006033B8">
        <w:t>12</w:t>
      </w:r>
      <w:r w:rsidR="000474AD">
        <w:t>]</w:t>
      </w:r>
      <w:r w:rsidRPr="00DB4A33">
        <w:t>. Their heterocyclic structural framework contributes to diverse biological interactions, and they have been extensively studied for multiple therapeutic applications</w:t>
      </w:r>
      <w:r w:rsidR="000B0626" w:rsidRPr="00DB4A33">
        <w:t xml:space="preserve"> </w:t>
      </w:r>
      <w:r w:rsidR="000474AD">
        <w:t>[</w:t>
      </w:r>
      <w:r w:rsidR="006033B8">
        <w:t>20</w:t>
      </w:r>
      <w:r w:rsidR="000474AD">
        <w:t>]</w:t>
      </w:r>
      <w:r w:rsidRPr="00DB4A33">
        <w:t>. Despite this wealth of pharmacological data, studies specifically exploring their antimalari</w:t>
      </w:r>
      <w:r w:rsidR="00E16CA0" w:rsidRPr="00DB4A33">
        <w:t xml:space="preserve">al potential </w:t>
      </w:r>
      <w:r w:rsidRPr="00DB4A33">
        <w:t>particularly thro</w:t>
      </w:r>
      <w:r w:rsidR="00E16CA0" w:rsidRPr="00DB4A33">
        <w:t xml:space="preserve">ugh enzyme-targeted mechanisms </w:t>
      </w:r>
      <w:r w:rsidRPr="00DB4A33">
        <w:t>remain relatively limited, representing a significant gap this study aims to address.</w:t>
      </w:r>
    </w:p>
    <w:p w14:paraId="65A7DC79" w14:textId="77777777" w:rsidR="0088484B" w:rsidRPr="00DB4A33" w:rsidRDefault="00E16CA0" w:rsidP="00DB4A33">
      <w:pPr>
        <w:pStyle w:val="font-claude-response-body"/>
        <w:spacing w:line="360" w:lineRule="auto"/>
        <w:jc w:val="both"/>
      </w:pPr>
      <w:r w:rsidRPr="00DB4A33">
        <w:t>The functionalization of aromatic aldehyde</w:t>
      </w:r>
      <w:r w:rsidR="0016046D" w:rsidRPr="00DB4A33">
        <w:t xml:space="preserve"> onto the quinoline scaffold further enhances its therapeutic potential. Aromatic aldehydes introduce hydrogen-bonding capabilities and distinct electronic properties that can significantly influence how a ligand interacts with its protein target</w:t>
      </w:r>
      <w:r w:rsidR="0088484B" w:rsidRPr="00DB4A33">
        <w:t xml:space="preserve"> </w:t>
      </w:r>
      <w:r w:rsidR="000474AD">
        <w:t>[</w:t>
      </w:r>
      <w:r w:rsidR="006033B8">
        <w:t>24</w:t>
      </w:r>
      <w:r w:rsidR="000474AD">
        <w:t>]</w:t>
      </w:r>
      <w:r w:rsidR="0016046D" w:rsidRPr="00DB4A33">
        <w:t xml:space="preserve">. These structural features make quinoline-derived aromatic aldehydes particularly attractive as candidate inhibitors of </w:t>
      </w:r>
      <w:r w:rsidR="0016046D" w:rsidRPr="00DB4A33">
        <w:rPr>
          <w:rStyle w:val="Emphasis"/>
        </w:rPr>
        <w:t>Plasmodium falciparum</w:t>
      </w:r>
      <w:r w:rsidR="0016046D" w:rsidRPr="00DB4A33">
        <w:t xml:space="preserve"> transketolase. Selective interactions with amino acid residues surrounding the enzyme's cofactor-binding or regulatory regions could contribute to stronger binding affinity a</w:t>
      </w:r>
      <w:r w:rsidR="0088484B" w:rsidRPr="00DB4A33">
        <w:t xml:space="preserve">nd greater target specificity </w:t>
      </w:r>
      <w:r w:rsidR="0016046D" w:rsidRPr="00DB4A33">
        <w:t>key attributes for an effective and selective antimalarial agent.</w:t>
      </w:r>
    </w:p>
    <w:p w14:paraId="73C1FC06" w14:textId="77777777" w:rsidR="0016046D" w:rsidRPr="00DB4A33" w:rsidRDefault="0088484B" w:rsidP="00DB4A33">
      <w:pPr>
        <w:pStyle w:val="font-claude-response-body"/>
        <w:spacing w:line="360" w:lineRule="auto"/>
        <w:jc w:val="both"/>
      </w:pPr>
      <w:r w:rsidRPr="00DB4A33">
        <w:t>T</w:t>
      </w:r>
      <w:r w:rsidR="0016046D" w:rsidRPr="00DB4A33">
        <w:t>he persistence of malaria as a global health crisis</w:t>
      </w:r>
      <w:r w:rsidR="003343D0">
        <w:t xml:space="preserve"> </w:t>
      </w:r>
      <w:r w:rsidR="00FA5209">
        <w:t>coupled with the increasing</w:t>
      </w:r>
      <w:r w:rsidR="0016046D" w:rsidRPr="00DB4A33">
        <w:t xml:space="preserve"> threat of drug resistance</w:t>
      </w:r>
      <w:r w:rsidR="00FA5209">
        <w:t xml:space="preserve"> indicate a need for new therapeutic strategies. Transketolase in the PPP plays a significant role in the parasite proliferation and r</w:t>
      </w:r>
      <w:r w:rsidR="009A06C7">
        <w:t>e</w:t>
      </w:r>
      <w:r w:rsidR="00FA5209">
        <w:t xml:space="preserve">dox balance </w:t>
      </w:r>
      <w:r w:rsidR="009A06C7">
        <w:t>making a potential</w:t>
      </w:r>
      <w:r w:rsidR="00FA5209">
        <w:t xml:space="preserve"> drug target</w:t>
      </w:r>
      <w:r w:rsidR="0016046D" w:rsidRPr="00DB4A33">
        <w:t xml:space="preserve"> and the promising pharmacological profile of quinoline-derived aromatic aldehydes collectively justify a computational </w:t>
      </w:r>
      <w:r w:rsidR="001566FE">
        <w:t>evaluation</w:t>
      </w:r>
      <w:r w:rsidR="0016046D" w:rsidRPr="00DB4A33">
        <w:t xml:space="preserve"> into these compounds as potential antimalarial leads. Th</w:t>
      </w:r>
      <w:r w:rsidR="009A06C7">
        <w:t xml:space="preserve">erefore, this </w:t>
      </w:r>
      <w:r w:rsidR="0016046D" w:rsidRPr="00DB4A33">
        <w:t xml:space="preserve">study </w:t>
      </w:r>
      <w:r w:rsidR="009A06C7">
        <w:t>employed a</w:t>
      </w:r>
      <w:r w:rsidR="0016046D" w:rsidRPr="00DB4A33">
        <w:t xml:space="preserve"> rigorous </w:t>
      </w:r>
      <w:r w:rsidR="0016046D" w:rsidRPr="0002068C">
        <w:rPr>
          <w:i/>
        </w:rPr>
        <w:t>in-silico</w:t>
      </w:r>
      <w:r w:rsidR="0016046D" w:rsidRPr="00DB4A33">
        <w:t xml:space="preserve"> </w:t>
      </w:r>
      <w:r w:rsidR="009A06C7">
        <w:t xml:space="preserve">approach to evaluate these compounds against </w:t>
      </w:r>
      <w:r w:rsidR="009A06C7" w:rsidRPr="009A06C7">
        <w:rPr>
          <w:i/>
        </w:rPr>
        <w:t>Plasmodium falciparum</w:t>
      </w:r>
      <w:r w:rsidR="009A06C7">
        <w:t xml:space="preserve"> transketolase</w:t>
      </w:r>
      <w:r w:rsidR="0016046D" w:rsidRPr="00DB4A33">
        <w:t>.</w:t>
      </w:r>
    </w:p>
    <w:p w14:paraId="73EE6BDC" w14:textId="77777777" w:rsidR="0076001F" w:rsidRPr="00DB4A33" w:rsidRDefault="0076001F" w:rsidP="00DB4A33">
      <w:pPr>
        <w:pStyle w:val="font-claude-response-body"/>
        <w:spacing w:line="360" w:lineRule="auto"/>
        <w:jc w:val="both"/>
        <w:rPr>
          <w:b/>
        </w:rPr>
      </w:pPr>
      <w:r w:rsidRPr="00DB4A33">
        <w:rPr>
          <w:b/>
        </w:rPr>
        <w:t>2.0 Methodology</w:t>
      </w:r>
    </w:p>
    <w:p w14:paraId="1CACD687" w14:textId="77777777" w:rsidR="0076001F" w:rsidRPr="00DB4A33" w:rsidRDefault="0076001F"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2.1 Preparation of Ligands</w:t>
      </w:r>
    </w:p>
    <w:p w14:paraId="2DAEB968" w14:textId="77777777" w:rsidR="001C55DB" w:rsidRDefault="00451CE1"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Ten aromatic aldehyde quinoline-based compounds were selected for evaluation as potential antimalarial agents in this </w:t>
      </w:r>
      <w:r w:rsidRPr="0002068C">
        <w:rPr>
          <w:rFonts w:ascii="Times New Roman" w:eastAsia="Times New Roman" w:hAnsi="Times New Roman" w:cs="Times New Roman"/>
          <w:i/>
          <w:sz w:val="24"/>
          <w:szCs w:val="24"/>
        </w:rPr>
        <w:t>in-silico</w:t>
      </w:r>
      <w:r w:rsidRPr="00DB4A33">
        <w:rPr>
          <w:rFonts w:ascii="Times New Roman" w:eastAsia="Times New Roman" w:hAnsi="Times New Roman" w:cs="Times New Roman"/>
          <w:sz w:val="24"/>
          <w:szCs w:val="24"/>
        </w:rPr>
        <w:t xml:space="preserve"> study. These compounds include 3-hydroxybenzaldehyde, 4-hydroxybenzaldehyde, 3,4,5-trimethoxybenzaldehyde, 3-pyridylcarboxaldehyde, p-</w:t>
      </w:r>
      <w:proofErr w:type="spellStart"/>
      <w:r w:rsidRPr="00DB4A33">
        <w:rPr>
          <w:rFonts w:ascii="Times New Roman" w:eastAsia="Times New Roman" w:hAnsi="Times New Roman" w:cs="Times New Roman"/>
          <w:sz w:val="24"/>
          <w:szCs w:val="24"/>
        </w:rPr>
        <w:lastRenderedPageBreak/>
        <w:t>tolylbenzaldehyde</w:t>
      </w:r>
      <w:proofErr w:type="spellEnd"/>
      <w:r w:rsidRPr="00DB4A33">
        <w:rPr>
          <w:rFonts w:ascii="Times New Roman" w:eastAsia="Times New Roman" w:hAnsi="Times New Roman" w:cs="Times New Roman"/>
          <w:sz w:val="24"/>
          <w:szCs w:val="24"/>
        </w:rPr>
        <w:t xml:space="preserve">, 2-nitrobenzaldehyde, 4-hydroxy-3-methoxyphenyl, 4-dimethylaminobenzaldehyde, 3,4-dimethoxybenzaldehyde, and 2,4-dihydroxybenzaldehyde which were presented with A1 -10 respectively (Fig 1). These Compounds were purposefully selected through a deliberate structure-activity rationale aimed at identifying the most promising inhibitor scaffolds against the target while maintaining drug-likeness and safety compatibility </w:t>
      </w:r>
      <w:r w:rsidR="0002068C">
        <w:rPr>
          <w:rFonts w:ascii="Times New Roman" w:eastAsia="Times New Roman" w:hAnsi="Times New Roman" w:cs="Times New Roman"/>
          <w:sz w:val="24"/>
          <w:szCs w:val="24"/>
        </w:rPr>
        <w:t>[</w:t>
      </w:r>
      <w:r w:rsidR="006033B8">
        <w:rPr>
          <w:rFonts w:ascii="Times New Roman" w:eastAsia="Times New Roman" w:hAnsi="Times New Roman" w:cs="Times New Roman"/>
          <w:sz w:val="24"/>
          <w:szCs w:val="24"/>
        </w:rPr>
        <w:t>20</w:t>
      </w:r>
      <w:r w:rsidR="0002068C">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 xml:space="preserve">. </w:t>
      </w:r>
      <w:r w:rsidR="0076001F" w:rsidRPr="00DB4A33">
        <w:rPr>
          <w:rFonts w:ascii="Times New Roman" w:eastAsia="Times New Roman" w:hAnsi="Times New Roman" w:cs="Times New Roman"/>
          <w:sz w:val="24"/>
          <w:szCs w:val="24"/>
        </w:rPr>
        <w:t xml:space="preserve">Their two-dimensional (2D) structures were drawn using </w:t>
      </w:r>
      <w:proofErr w:type="spellStart"/>
      <w:r w:rsidR="0076001F" w:rsidRPr="00DB4A33">
        <w:rPr>
          <w:rFonts w:ascii="Times New Roman" w:eastAsia="Times New Roman" w:hAnsi="Times New Roman" w:cs="Times New Roman"/>
          <w:sz w:val="24"/>
          <w:szCs w:val="24"/>
        </w:rPr>
        <w:t>ChemDraw</w:t>
      </w:r>
      <w:proofErr w:type="spellEnd"/>
      <w:r w:rsidR="0076001F" w:rsidRPr="00DB4A33">
        <w:rPr>
          <w:rFonts w:ascii="Times New Roman" w:eastAsia="Times New Roman" w:hAnsi="Times New Roman" w:cs="Times New Roman"/>
          <w:sz w:val="24"/>
          <w:szCs w:val="24"/>
        </w:rPr>
        <w:t xml:space="preserve"> Ultra version 12.0 and subsequently converted into three-dimensional (3D) conformations using Chem3D Ultra version 12.0. Energy minimization was then performed on each ligand to stabilize its structure, and the optimized conformations were saved in Protein Data Bank (.</w:t>
      </w:r>
      <w:proofErr w:type="spellStart"/>
      <w:r w:rsidR="0076001F" w:rsidRPr="00DB4A33">
        <w:rPr>
          <w:rFonts w:ascii="Times New Roman" w:eastAsia="Times New Roman" w:hAnsi="Times New Roman" w:cs="Times New Roman"/>
          <w:sz w:val="24"/>
          <w:szCs w:val="24"/>
        </w:rPr>
        <w:t>pdb</w:t>
      </w:r>
      <w:proofErr w:type="spellEnd"/>
      <w:r w:rsidR="0076001F" w:rsidRPr="00DB4A33">
        <w:rPr>
          <w:rFonts w:ascii="Times New Roman" w:eastAsia="Times New Roman" w:hAnsi="Times New Roman" w:cs="Times New Roman"/>
          <w:sz w:val="24"/>
          <w:szCs w:val="24"/>
        </w:rPr>
        <w:t xml:space="preserve">) format. </w:t>
      </w:r>
      <w:proofErr w:type="spellStart"/>
      <w:r w:rsidR="0076001F" w:rsidRPr="00DB4A33">
        <w:rPr>
          <w:rFonts w:ascii="Times New Roman" w:eastAsia="Times New Roman" w:hAnsi="Times New Roman" w:cs="Times New Roman"/>
          <w:sz w:val="24"/>
          <w:szCs w:val="24"/>
        </w:rPr>
        <w:t>OpenBerbal</w:t>
      </w:r>
      <w:proofErr w:type="spellEnd"/>
      <w:r w:rsidR="0076001F" w:rsidRPr="00DB4A33">
        <w:rPr>
          <w:rFonts w:ascii="Times New Roman" w:eastAsia="Times New Roman" w:hAnsi="Times New Roman" w:cs="Times New Roman"/>
          <w:sz w:val="24"/>
          <w:szCs w:val="24"/>
        </w:rPr>
        <w:t xml:space="preserve"> version 1.5.4 was used to convert the ligand files into the </w:t>
      </w:r>
      <w:proofErr w:type="spellStart"/>
      <w:r w:rsidR="0076001F" w:rsidRPr="00DB4A33">
        <w:rPr>
          <w:rFonts w:ascii="Times New Roman" w:eastAsia="Times New Roman" w:hAnsi="Times New Roman" w:cs="Times New Roman"/>
          <w:sz w:val="24"/>
          <w:szCs w:val="24"/>
        </w:rPr>
        <w:t>AutoDock</w:t>
      </w:r>
      <w:proofErr w:type="spellEnd"/>
      <w:r w:rsidR="0076001F" w:rsidRPr="00DB4A33">
        <w:rPr>
          <w:rFonts w:ascii="Times New Roman" w:eastAsia="Times New Roman" w:hAnsi="Times New Roman" w:cs="Times New Roman"/>
          <w:sz w:val="24"/>
          <w:szCs w:val="24"/>
        </w:rPr>
        <w:t xml:space="preserve">-compatible PDBQT format. </w:t>
      </w:r>
      <w:proofErr w:type="spellStart"/>
      <w:r w:rsidR="0076001F" w:rsidRPr="00DB4A33">
        <w:rPr>
          <w:rFonts w:ascii="Times New Roman" w:eastAsia="Times New Roman" w:hAnsi="Times New Roman" w:cs="Times New Roman"/>
          <w:sz w:val="24"/>
          <w:szCs w:val="24"/>
        </w:rPr>
        <w:t>Oxythiamine</w:t>
      </w:r>
      <w:proofErr w:type="spellEnd"/>
      <w:r w:rsidR="0076001F" w:rsidRPr="00DB4A33">
        <w:rPr>
          <w:rFonts w:ascii="Times New Roman" w:eastAsia="Times New Roman" w:hAnsi="Times New Roman" w:cs="Times New Roman"/>
          <w:sz w:val="24"/>
          <w:szCs w:val="24"/>
        </w:rPr>
        <w:t xml:space="preserve">, which served as the reference drug, was retrieved from the PubChem database and optimized in 3D using </w:t>
      </w:r>
      <w:proofErr w:type="spellStart"/>
      <w:r w:rsidR="0076001F" w:rsidRPr="00DB4A33">
        <w:rPr>
          <w:rFonts w:ascii="Times New Roman" w:eastAsia="Times New Roman" w:hAnsi="Times New Roman" w:cs="Times New Roman"/>
          <w:sz w:val="24"/>
          <w:szCs w:val="24"/>
        </w:rPr>
        <w:t>OpenBerbal</w:t>
      </w:r>
      <w:proofErr w:type="spellEnd"/>
      <w:r w:rsidR="0076001F" w:rsidRPr="00DB4A33">
        <w:rPr>
          <w:rFonts w:ascii="Times New Roman" w:eastAsia="Times New Roman" w:hAnsi="Times New Roman" w:cs="Times New Roman"/>
          <w:sz w:val="24"/>
          <w:szCs w:val="24"/>
        </w:rPr>
        <w:t xml:space="preserve"> version 1.5.4</w:t>
      </w:r>
      <w:r w:rsidR="001624A5" w:rsidRPr="00DB4A33">
        <w:rPr>
          <w:rFonts w:ascii="Times New Roman" w:eastAsia="Times New Roman" w:hAnsi="Times New Roman" w:cs="Times New Roman"/>
          <w:sz w:val="24"/>
          <w:szCs w:val="24"/>
        </w:rPr>
        <w:t xml:space="preserve"> </w:t>
      </w:r>
      <w:r w:rsidR="00425F63">
        <w:rPr>
          <w:rFonts w:ascii="Times New Roman" w:eastAsia="Times New Roman" w:hAnsi="Times New Roman" w:cs="Times New Roman"/>
          <w:sz w:val="24"/>
          <w:szCs w:val="24"/>
        </w:rPr>
        <w:t>[</w:t>
      </w:r>
      <w:r w:rsidR="006033B8">
        <w:rPr>
          <w:rFonts w:ascii="Times New Roman" w:eastAsia="Times New Roman" w:hAnsi="Times New Roman" w:cs="Times New Roman"/>
          <w:sz w:val="24"/>
          <w:szCs w:val="24"/>
        </w:rPr>
        <w:t>7</w:t>
      </w:r>
      <w:r w:rsidR="00425F63">
        <w:rPr>
          <w:rFonts w:ascii="Times New Roman" w:eastAsia="Times New Roman" w:hAnsi="Times New Roman" w:cs="Times New Roman"/>
          <w:sz w:val="24"/>
          <w:szCs w:val="24"/>
        </w:rPr>
        <w:t>]</w:t>
      </w:r>
      <w:r w:rsidR="00700199">
        <w:rPr>
          <w:rFonts w:ascii="Times New Roman" w:eastAsia="Times New Roman" w:hAnsi="Times New Roman" w:cs="Times New Roman"/>
          <w:sz w:val="24"/>
          <w:szCs w:val="24"/>
        </w:rPr>
        <w:t>.</w:t>
      </w:r>
    </w:p>
    <w:p w14:paraId="230BA5BF" w14:textId="77777777" w:rsidR="00700199" w:rsidRDefault="00700199" w:rsidP="00DB4A33">
      <w:pPr>
        <w:spacing w:before="100" w:beforeAutospacing="1" w:after="100" w:afterAutospacing="1" w:line="360" w:lineRule="auto"/>
        <w:jc w:val="both"/>
        <w:rPr>
          <w:rFonts w:ascii="Times New Roman" w:eastAsia="Times New Roman" w:hAnsi="Times New Roman" w:cs="Times New Roman"/>
          <w:sz w:val="24"/>
          <w:szCs w:val="24"/>
        </w:rPr>
      </w:pPr>
    </w:p>
    <w:p w14:paraId="10E2577F" w14:textId="77777777" w:rsidR="00700199" w:rsidRPr="00DB4A33" w:rsidRDefault="00700199" w:rsidP="00DB4A33">
      <w:pPr>
        <w:spacing w:before="100" w:beforeAutospacing="1" w:after="100" w:afterAutospacing="1" w:line="360" w:lineRule="auto"/>
        <w:jc w:val="both"/>
        <w:rPr>
          <w:rFonts w:ascii="Times New Roman" w:eastAsia="Times New Roman" w:hAnsi="Times New Roman" w:cs="Times New Roman"/>
          <w:sz w:val="24"/>
          <w:szCs w:val="24"/>
        </w:rPr>
      </w:pPr>
    </w:p>
    <w:p w14:paraId="56436513" w14:textId="77777777" w:rsidR="001C55DB" w:rsidRPr="00DB4A33" w:rsidRDefault="001C55DB" w:rsidP="00DB4A33">
      <w:pPr>
        <w:spacing w:before="100" w:beforeAutospacing="1" w:after="100" w:afterAutospacing="1" w:line="360" w:lineRule="auto"/>
        <w:jc w:val="both"/>
        <w:rPr>
          <w:rFonts w:ascii="Times New Roman" w:eastAsia="Times New Roman" w:hAnsi="Times New Roman" w:cs="Times New Roman"/>
          <w:sz w:val="24"/>
          <w:szCs w:val="24"/>
        </w:rPr>
      </w:pPr>
    </w:p>
    <w:p w14:paraId="72895DBF" w14:textId="77777777" w:rsidR="003B6EF7" w:rsidRPr="00DB4A33" w:rsidRDefault="001C55DB"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hAnsi="Times New Roman" w:cs="Times New Roman"/>
          <w:noProof/>
          <w:sz w:val="24"/>
          <w:szCs w:val="24"/>
        </w:rPr>
        <w:lastRenderedPageBreak/>
        <mc:AlternateContent>
          <mc:Choice Requires="wps">
            <w:drawing>
              <wp:anchor distT="0" distB="0" distL="114300" distR="114300" simplePos="0" relativeHeight="251708416" behindDoc="0" locked="0" layoutInCell="1" allowOverlap="1" wp14:anchorId="30AF3FD2" wp14:editId="4E302372">
                <wp:simplePos x="0" y="0"/>
                <wp:positionH relativeFrom="column">
                  <wp:posOffset>-609600</wp:posOffset>
                </wp:positionH>
                <wp:positionV relativeFrom="paragraph">
                  <wp:posOffset>-400050</wp:posOffset>
                </wp:positionV>
                <wp:extent cx="6105525" cy="6076950"/>
                <wp:effectExtent l="0" t="0" r="28575" b="19050"/>
                <wp:wrapNone/>
                <wp:docPr id="45" name="Rectangle 45"/>
                <wp:cNvGraphicFramePr/>
                <a:graphic xmlns:a="http://schemas.openxmlformats.org/drawingml/2006/main">
                  <a:graphicData uri="http://schemas.microsoft.com/office/word/2010/wordprocessingShape">
                    <wps:wsp>
                      <wps:cNvSpPr/>
                      <wps:spPr>
                        <a:xfrm>
                          <a:off x="0" y="0"/>
                          <a:ext cx="6105525" cy="6076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68F8C" id="Rectangle 45" o:spid="_x0000_s1026" style="position:absolute;margin-left:-48pt;margin-top:-31.5pt;width:480.75pt;height:47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" filled="f" strokecolor="black [3213]" strokeweight="1pt"/>
            </w:pict>
          </mc:Fallback>
        </mc:AlternateContent>
      </w:r>
      <w:r w:rsidR="00B677E8" w:rsidRPr="00DB4A33">
        <w:rPr>
          <w:rFonts w:ascii="Times New Roman" w:hAnsi="Times New Roman" w:cs="Times New Roman"/>
          <w:noProof/>
          <w:sz w:val="24"/>
          <w:szCs w:val="24"/>
        </w:rPr>
        <w:drawing>
          <wp:inline distT="0" distB="0" distL="0" distR="0" wp14:anchorId="29CBA282" wp14:editId="04261299">
            <wp:extent cx="4926191" cy="5646251"/>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ructures In writeup.png"/>
                    <pic:cNvPicPr/>
                  </pic:nvPicPr>
                  <pic:blipFill>
                    <a:blip r:embed="rId8">
                      <a:extLst>
                        <a:ext uri="{28A0092B-C50C-407E-A947-70E740481C1C}">
                          <a14:useLocalDpi xmlns:a14="http://schemas.microsoft.com/office/drawing/2010/main" val="0"/>
                        </a:ext>
                      </a:extLst>
                    </a:blip>
                    <a:stretch>
                      <a:fillRect/>
                    </a:stretch>
                  </pic:blipFill>
                  <pic:spPr>
                    <a:xfrm>
                      <a:off x="0" y="0"/>
                      <a:ext cx="4942444" cy="5664879"/>
                    </a:xfrm>
                    <a:prstGeom prst="rect">
                      <a:avLst/>
                    </a:prstGeom>
                  </pic:spPr>
                </pic:pic>
              </a:graphicData>
            </a:graphic>
          </wp:inline>
        </w:drawing>
      </w:r>
      <w:r w:rsidR="00CA5746" w:rsidRPr="00DB4A33">
        <w:rPr>
          <w:rFonts w:ascii="Times New Roman" w:eastAsia="Times New Roman" w:hAnsi="Times New Roman" w:cs="Times New Roman"/>
          <w:sz w:val="24"/>
          <w:szCs w:val="24"/>
        </w:rPr>
        <w:t xml:space="preserve">                              </w:t>
      </w:r>
    </w:p>
    <w:p w14:paraId="1ADE4C0B" w14:textId="77777777" w:rsidR="00B677E8" w:rsidRPr="00DB4A33" w:rsidRDefault="00B677E8"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hAnsi="Times New Roman" w:cs="Times New Roman"/>
          <w:sz w:val="24"/>
          <w:szCs w:val="24"/>
        </w:rPr>
        <w:t xml:space="preserve">Fig </w:t>
      </w:r>
      <w:r w:rsidR="002D46F1" w:rsidRPr="00DB4A33">
        <w:rPr>
          <w:rFonts w:ascii="Times New Roman" w:hAnsi="Times New Roman" w:cs="Times New Roman"/>
          <w:sz w:val="24"/>
          <w:szCs w:val="24"/>
        </w:rPr>
        <w:t>i</w:t>
      </w:r>
      <w:r w:rsidRPr="00DB4A33">
        <w:rPr>
          <w:rFonts w:ascii="Times New Roman" w:hAnsi="Times New Roman" w:cs="Times New Roman"/>
          <w:sz w:val="24"/>
          <w:szCs w:val="24"/>
        </w:rPr>
        <w:t>:</w:t>
      </w:r>
      <w:r w:rsidR="00CA5746" w:rsidRPr="00DB4A33">
        <w:rPr>
          <w:rFonts w:ascii="Times New Roman" w:hAnsi="Times New Roman" w:cs="Times New Roman"/>
          <w:sz w:val="24"/>
          <w:szCs w:val="24"/>
        </w:rPr>
        <w:t xml:space="preserve"> </w:t>
      </w:r>
      <w:r w:rsidRPr="00DB4A33">
        <w:rPr>
          <w:rFonts w:ascii="Times New Roman" w:hAnsi="Times New Roman" w:cs="Times New Roman"/>
          <w:sz w:val="24"/>
          <w:szCs w:val="24"/>
        </w:rPr>
        <w:t xml:space="preserve">Structures of </w:t>
      </w:r>
      <w:proofErr w:type="spellStart"/>
      <w:r w:rsidRPr="00DB4A33">
        <w:rPr>
          <w:rFonts w:ascii="Times New Roman" w:hAnsi="Times New Roman" w:cs="Times New Roman"/>
          <w:sz w:val="24"/>
          <w:szCs w:val="24"/>
        </w:rPr>
        <w:t>Chromenoquinolinone</w:t>
      </w:r>
      <w:proofErr w:type="spellEnd"/>
      <w:r w:rsidRPr="00DB4A33">
        <w:rPr>
          <w:rFonts w:ascii="Times New Roman" w:hAnsi="Times New Roman" w:cs="Times New Roman"/>
          <w:sz w:val="24"/>
          <w:szCs w:val="24"/>
        </w:rPr>
        <w:t xml:space="preserve"> derivatives drawn using </w:t>
      </w:r>
      <w:proofErr w:type="spellStart"/>
      <w:r w:rsidRPr="00DB4A33">
        <w:rPr>
          <w:rFonts w:ascii="Times New Roman" w:hAnsi="Times New Roman" w:cs="Times New Roman"/>
          <w:sz w:val="24"/>
          <w:szCs w:val="24"/>
        </w:rPr>
        <w:t>ChemDraw</w:t>
      </w:r>
      <w:proofErr w:type="spellEnd"/>
      <w:r w:rsidRPr="00DB4A33">
        <w:rPr>
          <w:rFonts w:ascii="Times New Roman" w:hAnsi="Times New Roman" w:cs="Times New Roman"/>
          <w:sz w:val="24"/>
          <w:szCs w:val="24"/>
        </w:rPr>
        <w:t xml:space="preserve"> Software</w:t>
      </w:r>
    </w:p>
    <w:p w14:paraId="5D180BF3" w14:textId="77777777" w:rsidR="001C55DB" w:rsidRPr="00DB4A33" w:rsidRDefault="001C55DB" w:rsidP="00DB4A33">
      <w:pPr>
        <w:spacing w:before="100" w:beforeAutospacing="1" w:after="100" w:afterAutospacing="1" w:line="360" w:lineRule="auto"/>
        <w:jc w:val="both"/>
        <w:rPr>
          <w:rFonts w:ascii="Times New Roman" w:eastAsia="Times New Roman" w:hAnsi="Times New Roman" w:cs="Times New Roman"/>
          <w:b/>
          <w:bCs/>
          <w:sz w:val="24"/>
          <w:szCs w:val="24"/>
        </w:rPr>
      </w:pPr>
    </w:p>
    <w:p w14:paraId="7E8F4DD4" w14:textId="77777777" w:rsidR="001C55DB" w:rsidRPr="00DB4A33" w:rsidRDefault="001C55DB" w:rsidP="00DB4A33">
      <w:pPr>
        <w:spacing w:before="100" w:beforeAutospacing="1" w:after="100" w:afterAutospacing="1" w:line="360" w:lineRule="auto"/>
        <w:jc w:val="both"/>
        <w:rPr>
          <w:rFonts w:ascii="Times New Roman" w:eastAsia="Times New Roman" w:hAnsi="Times New Roman" w:cs="Times New Roman"/>
          <w:b/>
          <w:bCs/>
          <w:sz w:val="24"/>
          <w:szCs w:val="24"/>
        </w:rPr>
      </w:pPr>
    </w:p>
    <w:p w14:paraId="5AA9B513" w14:textId="77777777" w:rsidR="001C55DB" w:rsidRPr="00DB4A33" w:rsidRDefault="001C55DB" w:rsidP="00DB4A33">
      <w:pPr>
        <w:spacing w:before="100" w:beforeAutospacing="1" w:after="100" w:afterAutospacing="1" w:line="360" w:lineRule="auto"/>
        <w:jc w:val="both"/>
        <w:rPr>
          <w:rFonts w:ascii="Times New Roman" w:eastAsia="Times New Roman" w:hAnsi="Times New Roman" w:cs="Times New Roman"/>
          <w:b/>
          <w:bCs/>
          <w:sz w:val="24"/>
          <w:szCs w:val="24"/>
        </w:rPr>
      </w:pPr>
    </w:p>
    <w:p w14:paraId="3B948BDE" w14:textId="77777777" w:rsidR="002154C6" w:rsidRPr="00DB4A33" w:rsidRDefault="002154C6" w:rsidP="00DB4A33">
      <w:pPr>
        <w:spacing w:before="100" w:beforeAutospacing="1" w:after="100" w:afterAutospacing="1" w:line="360" w:lineRule="auto"/>
        <w:jc w:val="both"/>
        <w:rPr>
          <w:rFonts w:ascii="Times New Roman" w:eastAsia="Times New Roman" w:hAnsi="Times New Roman" w:cs="Times New Roman"/>
          <w:b/>
          <w:bCs/>
          <w:sz w:val="24"/>
          <w:szCs w:val="24"/>
        </w:rPr>
      </w:pPr>
    </w:p>
    <w:p w14:paraId="4CC6A80D" w14:textId="77777777" w:rsidR="0076001F" w:rsidRPr="00DB4A33" w:rsidRDefault="0076001F" w:rsidP="00DB4A33">
      <w:pPr>
        <w:spacing w:before="100" w:beforeAutospacing="1" w:after="100" w:afterAutospacing="1"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lastRenderedPageBreak/>
        <w:t>2.2 Preparation of Target Protein</w:t>
      </w:r>
    </w:p>
    <w:p w14:paraId="7C29E3D8" w14:textId="77777777" w:rsidR="003B6EF7" w:rsidRPr="00DB4A33" w:rsidRDefault="0076001F"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Structural information on </w:t>
      </w:r>
      <w:r w:rsidRPr="00DB4A33">
        <w:rPr>
          <w:rFonts w:ascii="Times New Roman" w:eastAsia="Times New Roman" w:hAnsi="Times New Roman" w:cs="Times New Roman"/>
          <w:i/>
          <w:iCs/>
          <w:sz w:val="24"/>
          <w:szCs w:val="24"/>
        </w:rPr>
        <w:t>Plasmodium falciparum</w:t>
      </w:r>
      <w:r w:rsidRPr="00DB4A33">
        <w:rPr>
          <w:rFonts w:ascii="Times New Roman" w:eastAsia="Times New Roman" w:hAnsi="Times New Roman" w:cs="Times New Roman"/>
          <w:sz w:val="24"/>
          <w:szCs w:val="24"/>
        </w:rPr>
        <w:t xml:space="preserve"> transketolase was obtained from the RCSB Protein Data Bank</w:t>
      </w:r>
      <w:r w:rsidR="00266493" w:rsidRPr="00DB4A33">
        <w:rPr>
          <w:rFonts w:ascii="Times New Roman" w:eastAsia="Times New Roman" w:hAnsi="Times New Roman" w:cs="Times New Roman"/>
          <w:sz w:val="24"/>
          <w:szCs w:val="24"/>
        </w:rPr>
        <w:t xml:space="preserve"> </w:t>
      </w:r>
      <w:r w:rsidR="00266493" w:rsidRPr="00DB4A33">
        <w:rPr>
          <w:rFonts w:ascii="Times New Roman" w:hAnsi="Times New Roman" w:cs="Times New Roman"/>
          <w:sz w:val="24"/>
          <w:szCs w:val="24"/>
        </w:rPr>
        <w:t>(</w:t>
      </w:r>
      <w:hyperlink r:id="rId9" w:history="1">
        <w:r w:rsidR="00FC48F1" w:rsidRPr="00DB4A33">
          <w:rPr>
            <w:rStyle w:val="Hyperlink"/>
            <w:rFonts w:ascii="Times New Roman" w:hAnsi="Times New Roman" w:cs="Times New Roman"/>
            <w:color w:val="auto"/>
            <w:sz w:val="24"/>
            <w:szCs w:val="24"/>
          </w:rPr>
          <w:t>https://www.rcsb.org</w:t>
        </w:r>
      </w:hyperlink>
      <w:r w:rsidR="00266493" w:rsidRPr="00DB4A33">
        <w:rPr>
          <w:rFonts w:ascii="Times New Roman" w:hAnsi="Times New Roman" w:cs="Times New Roman"/>
          <w:sz w:val="24"/>
          <w:szCs w:val="24"/>
        </w:rPr>
        <w:t>)</w:t>
      </w:r>
      <w:r w:rsidR="00FC48F1" w:rsidRPr="00DB4A33">
        <w:rPr>
          <w:rFonts w:ascii="Times New Roman" w:hAnsi="Times New Roman" w:cs="Times New Roman"/>
          <w:sz w:val="24"/>
          <w:szCs w:val="24"/>
        </w:rPr>
        <w:t xml:space="preserve"> (Fig 2)</w:t>
      </w:r>
      <w:r w:rsidRPr="00DB4A33">
        <w:rPr>
          <w:rFonts w:ascii="Times New Roman" w:eastAsia="Times New Roman" w:hAnsi="Times New Roman" w:cs="Times New Roman"/>
          <w:sz w:val="24"/>
          <w:szCs w:val="24"/>
        </w:rPr>
        <w:t xml:space="preserve">. The three-dimensional crystal structure of the enzyme (PDB ID: 9TME), resolved at 1.81 Å, was selected as the receptor for this study, with particular attention to its domain A and C regions. The protein structure was processed and optimized using </w:t>
      </w:r>
      <w:proofErr w:type="spellStart"/>
      <w:r w:rsidRPr="00DB4A33">
        <w:rPr>
          <w:rFonts w:ascii="Times New Roman" w:eastAsia="Times New Roman" w:hAnsi="Times New Roman" w:cs="Times New Roman"/>
          <w:sz w:val="24"/>
          <w:szCs w:val="24"/>
        </w:rPr>
        <w:t>B</w:t>
      </w:r>
      <w:r w:rsidR="00854470">
        <w:rPr>
          <w:rFonts w:ascii="Times New Roman" w:eastAsia="Times New Roman" w:hAnsi="Times New Roman" w:cs="Times New Roman"/>
          <w:sz w:val="24"/>
          <w:szCs w:val="24"/>
        </w:rPr>
        <w:t>i</w:t>
      </w:r>
      <w:r w:rsidRPr="00DB4A33">
        <w:rPr>
          <w:rFonts w:ascii="Times New Roman" w:eastAsia="Times New Roman" w:hAnsi="Times New Roman" w:cs="Times New Roman"/>
          <w:sz w:val="24"/>
          <w:szCs w:val="24"/>
        </w:rPr>
        <w:t>ovia</w:t>
      </w:r>
      <w:proofErr w:type="spellEnd"/>
      <w:r w:rsidRPr="00DB4A33">
        <w:rPr>
          <w:rFonts w:ascii="Times New Roman" w:eastAsia="Times New Roman" w:hAnsi="Times New Roman" w:cs="Times New Roman"/>
          <w:sz w:val="24"/>
          <w:szCs w:val="24"/>
        </w:rPr>
        <w:t xml:space="preserve"> Discovery Studio 2021 to eliminate any unintended interactions that could compromise the virtual screening process</w:t>
      </w:r>
      <w:r w:rsidR="008A4B09" w:rsidRPr="00DB4A33">
        <w:rPr>
          <w:rFonts w:ascii="Times New Roman" w:eastAsia="Times New Roman" w:hAnsi="Times New Roman" w:cs="Times New Roman"/>
          <w:sz w:val="24"/>
          <w:szCs w:val="24"/>
        </w:rPr>
        <w:t xml:space="preserve"> </w:t>
      </w:r>
      <w:r w:rsidR="00425F63">
        <w:rPr>
          <w:rFonts w:ascii="Times New Roman" w:eastAsia="Times New Roman" w:hAnsi="Times New Roman" w:cs="Times New Roman"/>
          <w:sz w:val="24"/>
          <w:szCs w:val="24"/>
        </w:rPr>
        <w:t>[1</w:t>
      </w:r>
      <w:r w:rsidR="006033B8">
        <w:rPr>
          <w:rFonts w:ascii="Times New Roman" w:eastAsia="Times New Roman" w:hAnsi="Times New Roman" w:cs="Times New Roman"/>
          <w:sz w:val="24"/>
          <w:szCs w:val="24"/>
        </w:rPr>
        <w:t>8</w:t>
      </w:r>
      <w:r w:rsidR="000D565D">
        <w:rPr>
          <w:rFonts w:ascii="Times New Roman" w:eastAsia="Times New Roman" w:hAnsi="Times New Roman" w:cs="Times New Roman"/>
          <w:sz w:val="24"/>
          <w:szCs w:val="24"/>
        </w:rPr>
        <w:t>,</w:t>
      </w:r>
      <w:r w:rsidR="006033B8">
        <w:rPr>
          <w:rFonts w:ascii="Times New Roman" w:eastAsia="Times New Roman" w:hAnsi="Times New Roman" w:cs="Times New Roman"/>
          <w:sz w:val="24"/>
          <w:szCs w:val="24"/>
        </w:rPr>
        <w:t xml:space="preserve"> 25</w:t>
      </w:r>
      <w:r w:rsidR="00425F63">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 xml:space="preserve">. Water molecules, co-crystallized ligands, and redundant chains were removed, retaining only chains A and C. All compounds were subsequently converted to PDBQT format using </w:t>
      </w:r>
      <w:proofErr w:type="spellStart"/>
      <w:r w:rsidRPr="00DB4A33">
        <w:rPr>
          <w:rFonts w:ascii="Times New Roman" w:eastAsia="Times New Roman" w:hAnsi="Times New Roman" w:cs="Times New Roman"/>
          <w:sz w:val="24"/>
          <w:szCs w:val="24"/>
        </w:rPr>
        <w:t>AutodockTools</w:t>
      </w:r>
      <w:proofErr w:type="spellEnd"/>
      <w:r w:rsidRPr="00DB4A33">
        <w:rPr>
          <w:rFonts w:ascii="Times New Roman" w:eastAsia="Times New Roman" w:hAnsi="Times New Roman" w:cs="Times New Roman"/>
          <w:sz w:val="24"/>
          <w:szCs w:val="24"/>
        </w:rPr>
        <w:t xml:space="preserve"> 1.5.7 to facilitate interaction studies with the target protein.</w:t>
      </w:r>
    </w:p>
    <w:p w14:paraId="6E16CF99" w14:textId="77777777" w:rsidR="00B677E8" w:rsidRPr="00DB4A33" w:rsidRDefault="003E08E8"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70DA7E90" wp14:editId="09364C5B">
                <wp:simplePos x="0" y="0"/>
                <wp:positionH relativeFrom="margin">
                  <wp:align>left</wp:align>
                </wp:positionH>
                <wp:positionV relativeFrom="paragraph">
                  <wp:posOffset>282</wp:posOffset>
                </wp:positionV>
                <wp:extent cx="3136605" cy="3162300"/>
                <wp:effectExtent l="0" t="0" r="26035" b="19050"/>
                <wp:wrapNone/>
                <wp:docPr id="8" name="Rectangle 8"/>
                <wp:cNvGraphicFramePr/>
                <a:graphic xmlns:a="http://schemas.openxmlformats.org/drawingml/2006/main">
                  <a:graphicData uri="http://schemas.microsoft.com/office/word/2010/wordprocessingShape">
                    <wps:wsp>
                      <wps:cNvSpPr/>
                      <wps:spPr>
                        <a:xfrm>
                          <a:off x="0" y="0"/>
                          <a:ext cx="3136605" cy="3162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3194F6" id="Rectangle 8" o:spid="_x0000_s1026" style="position:absolute;margin-left:0;margin-top:0;width:247pt;height:249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" filled="f" strokecolor="black [3213]" strokeweight="1pt">
                <w10:wrap anchorx="margin"/>
              </v:rect>
            </w:pict>
          </mc:Fallback>
        </mc:AlternateContent>
      </w:r>
      <w:r w:rsidR="00B94D0B">
        <w:rPr>
          <w:rFonts w:ascii="Times New Roman" w:hAnsi="Times New Roman" w:cs="Times New Roman"/>
          <w:b/>
          <w:noProof/>
          <w:sz w:val="24"/>
          <w:szCs w:val="24"/>
        </w:rPr>
        <w:drawing>
          <wp:inline distT="0" distB="0" distL="0" distR="0" wp14:anchorId="0CD7E99B" wp14:editId="52299CE6">
            <wp:extent cx="3170812" cy="31303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6-06-16 124943.png"/>
                    <pic:cNvPicPr/>
                  </pic:nvPicPr>
                  <pic:blipFill>
                    <a:blip r:embed="rId10">
                      <a:extLst>
                        <a:ext uri="{28A0092B-C50C-407E-A947-70E740481C1C}">
                          <a14:useLocalDpi xmlns:a14="http://schemas.microsoft.com/office/drawing/2010/main" val="0"/>
                        </a:ext>
                      </a:extLst>
                    </a:blip>
                    <a:stretch>
                      <a:fillRect/>
                    </a:stretch>
                  </pic:blipFill>
                  <pic:spPr>
                    <a:xfrm>
                      <a:off x="0" y="0"/>
                      <a:ext cx="3170812" cy="3130375"/>
                    </a:xfrm>
                    <a:prstGeom prst="rect">
                      <a:avLst/>
                    </a:prstGeom>
                  </pic:spPr>
                </pic:pic>
              </a:graphicData>
            </a:graphic>
          </wp:inline>
        </w:drawing>
      </w:r>
    </w:p>
    <w:p w14:paraId="7C2723C7" w14:textId="77777777" w:rsidR="00B677E8" w:rsidRPr="00DB4A33" w:rsidRDefault="00B677E8"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hAnsi="Times New Roman" w:cs="Times New Roman"/>
          <w:sz w:val="24"/>
          <w:szCs w:val="24"/>
        </w:rPr>
        <w:t xml:space="preserve">Fig </w:t>
      </w:r>
      <w:r w:rsidR="002D46F1" w:rsidRPr="00DB4A33">
        <w:rPr>
          <w:rFonts w:ascii="Times New Roman" w:hAnsi="Times New Roman" w:cs="Times New Roman"/>
          <w:sz w:val="24"/>
          <w:szCs w:val="24"/>
        </w:rPr>
        <w:t>ii</w:t>
      </w:r>
      <w:r w:rsidRPr="00DB4A33">
        <w:rPr>
          <w:rFonts w:ascii="Times New Roman" w:hAnsi="Times New Roman" w:cs="Times New Roman"/>
          <w:sz w:val="24"/>
          <w:szCs w:val="24"/>
        </w:rPr>
        <w:t xml:space="preserve">: 3D structure of </w:t>
      </w:r>
      <w:r w:rsidRPr="00DB4A33">
        <w:rPr>
          <w:rFonts w:ascii="Times New Roman" w:hAnsi="Times New Roman" w:cs="Times New Roman"/>
          <w:i/>
          <w:sz w:val="24"/>
          <w:szCs w:val="24"/>
        </w:rPr>
        <w:t>Plasmodium falciparum</w:t>
      </w:r>
      <w:r w:rsidRPr="00DB4A33">
        <w:rPr>
          <w:rFonts w:ascii="Times New Roman" w:hAnsi="Times New Roman" w:cs="Times New Roman"/>
          <w:sz w:val="24"/>
          <w:szCs w:val="24"/>
        </w:rPr>
        <w:t xml:space="preserve"> transketolase. (Source: Protein data bank)</w:t>
      </w:r>
    </w:p>
    <w:p w14:paraId="04948B99" w14:textId="77777777" w:rsidR="00B677E8" w:rsidRPr="00DB4A33" w:rsidRDefault="00B677E8" w:rsidP="00DB4A33">
      <w:pPr>
        <w:spacing w:before="100" w:beforeAutospacing="1" w:after="100" w:afterAutospacing="1" w:line="360" w:lineRule="auto"/>
        <w:jc w:val="both"/>
        <w:rPr>
          <w:rFonts w:ascii="Times New Roman" w:eastAsia="Times New Roman" w:hAnsi="Times New Roman" w:cs="Times New Roman"/>
          <w:sz w:val="24"/>
          <w:szCs w:val="24"/>
        </w:rPr>
      </w:pPr>
    </w:p>
    <w:p w14:paraId="51BC1B43" w14:textId="77777777" w:rsidR="00425F63" w:rsidRDefault="00425F63" w:rsidP="00DB4A33">
      <w:pPr>
        <w:spacing w:before="100" w:beforeAutospacing="1" w:after="100" w:afterAutospacing="1" w:line="360" w:lineRule="auto"/>
        <w:jc w:val="both"/>
        <w:rPr>
          <w:rFonts w:ascii="Times New Roman" w:eastAsia="Times New Roman" w:hAnsi="Times New Roman" w:cs="Times New Roman"/>
          <w:sz w:val="24"/>
          <w:szCs w:val="24"/>
        </w:rPr>
      </w:pPr>
    </w:p>
    <w:p w14:paraId="386EB966" w14:textId="77777777" w:rsidR="00B94D0B" w:rsidRPr="00DB4A33" w:rsidRDefault="00B94D0B" w:rsidP="00DB4A33">
      <w:pPr>
        <w:spacing w:before="100" w:beforeAutospacing="1" w:after="100" w:afterAutospacing="1" w:line="360" w:lineRule="auto"/>
        <w:jc w:val="both"/>
        <w:rPr>
          <w:rFonts w:ascii="Times New Roman" w:eastAsia="Times New Roman" w:hAnsi="Times New Roman" w:cs="Times New Roman"/>
          <w:sz w:val="24"/>
          <w:szCs w:val="24"/>
        </w:rPr>
      </w:pPr>
    </w:p>
    <w:p w14:paraId="0ACB52A7" w14:textId="77777777" w:rsidR="0076001F" w:rsidRPr="00DB4A33" w:rsidRDefault="0076001F"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sz w:val="24"/>
          <w:szCs w:val="24"/>
        </w:rPr>
        <w:lastRenderedPageBreak/>
        <w:t xml:space="preserve">2.3 </w:t>
      </w:r>
      <w:r w:rsidRPr="00DB4A33">
        <w:rPr>
          <w:rFonts w:ascii="Times New Roman" w:eastAsia="Times New Roman" w:hAnsi="Times New Roman" w:cs="Times New Roman"/>
          <w:b/>
          <w:bCs/>
          <w:sz w:val="24"/>
          <w:szCs w:val="24"/>
        </w:rPr>
        <w:t>Molecular Docking Validation</w:t>
      </w:r>
    </w:p>
    <w:p w14:paraId="352E86EB" w14:textId="77777777" w:rsidR="0076001F" w:rsidRPr="00DB4A33" w:rsidRDefault="0076001F" w:rsidP="00DB4A33">
      <w:pPr>
        <w:spacing w:before="100" w:beforeAutospacing="1" w:after="100" w:afterAutospacing="1"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To ensure the reliability and accuracy of the docking protocol, validation was carried out by re-docking the co-crystallized ligand, </w:t>
      </w:r>
      <w:proofErr w:type="spellStart"/>
      <w:r w:rsidRPr="00DB4A33">
        <w:rPr>
          <w:rFonts w:ascii="Times New Roman" w:hAnsi="Times New Roman" w:cs="Times New Roman"/>
          <w:sz w:val="24"/>
          <w:szCs w:val="24"/>
        </w:rPr>
        <w:t>oxythiamine</w:t>
      </w:r>
      <w:proofErr w:type="spellEnd"/>
      <w:r w:rsidRPr="00DB4A33">
        <w:rPr>
          <w:rFonts w:ascii="Times New Roman" w:hAnsi="Times New Roman" w:cs="Times New Roman"/>
          <w:sz w:val="24"/>
          <w:szCs w:val="24"/>
        </w:rPr>
        <w:t xml:space="preserve">, into the active site of </w:t>
      </w:r>
      <w:r w:rsidRPr="00DB4A33">
        <w:rPr>
          <w:rStyle w:val="Emphasis"/>
          <w:rFonts w:ascii="Times New Roman" w:hAnsi="Times New Roman" w:cs="Times New Roman"/>
          <w:sz w:val="24"/>
          <w:szCs w:val="24"/>
        </w:rPr>
        <w:t>P. falciparum</w:t>
      </w:r>
      <w:r w:rsidRPr="00DB4A33">
        <w:rPr>
          <w:rFonts w:ascii="Times New Roman" w:hAnsi="Times New Roman" w:cs="Times New Roman"/>
          <w:sz w:val="24"/>
          <w:szCs w:val="24"/>
        </w:rPr>
        <w:t xml:space="preserve"> transketolase using </w:t>
      </w:r>
      <w:proofErr w:type="spellStart"/>
      <w:r w:rsidRPr="00DB4A33">
        <w:rPr>
          <w:rFonts w:ascii="Times New Roman" w:hAnsi="Times New Roman" w:cs="Times New Roman"/>
          <w:sz w:val="24"/>
          <w:szCs w:val="24"/>
        </w:rPr>
        <w:t>AutoDock</w:t>
      </w:r>
      <w:proofErr w:type="spellEnd"/>
      <w:r w:rsidRPr="00DB4A33">
        <w:rPr>
          <w:rFonts w:ascii="Times New Roman" w:hAnsi="Times New Roman" w:cs="Times New Roman"/>
          <w:sz w:val="24"/>
          <w:szCs w:val="24"/>
        </w:rPr>
        <w:t xml:space="preserve"> Vina executed through the Perl command prompt environment</w:t>
      </w:r>
      <w:r w:rsidR="008A4B09" w:rsidRPr="00DB4A33">
        <w:rPr>
          <w:rFonts w:ascii="Times New Roman" w:hAnsi="Times New Roman" w:cs="Times New Roman"/>
          <w:sz w:val="24"/>
          <w:szCs w:val="24"/>
        </w:rPr>
        <w:t xml:space="preserve"> </w:t>
      </w:r>
      <w:r w:rsidR="00425F63">
        <w:rPr>
          <w:rFonts w:ascii="Times New Roman" w:hAnsi="Times New Roman" w:cs="Times New Roman"/>
          <w:sz w:val="24"/>
          <w:szCs w:val="24"/>
        </w:rPr>
        <w:t>[1]</w:t>
      </w:r>
      <w:r w:rsidRPr="00DB4A33">
        <w:rPr>
          <w:rFonts w:ascii="Times New Roman" w:hAnsi="Times New Roman" w:cs="Times New Roman"/>
          <w:sz w:val="24"/>
          <w:szCs w:val="24"/>
        </w:rPr>
        <w:t xml:space="preserve">. The re-docked pose was compared with the experimentally observed binding conformation, and the resulting binding scores and structural alignment confirmed that </w:t>
      </w:r>
      <w:proofErr w:type="spellStart"/>
      <w:r w:rsidRPr="00DB4A33">
        <w:rPr>
          <w:rFonts w:ascii="Times New Roman" w:hAnsi="Times New Roman" w:cs="Times New Roman"/>
          <w:sz w:val="24"/>
          <w:szCs w:val="24"/>
        </w:rPr>
        <w:t>AutoDock</w:t>
      </w:r>
      <w:proofErr w:type="spellEnd"/>
      <w:r w:rsidRPr="00DB4A33">
        <w:rPr>
          <w:rFonts w:ascii="Times New Roman" w:hAnsi="Times New Roman" w:cs="Times New Roman"/>
          <w:sz w:val="24"/>
          <w:szCs w:val="24"/>
        </w:rPr>
        <w:t xml:space="preserve"> Vina, when integrated with Perl scripting, is capable of producing accurate and reproducible docking results. This validated approach demonstrates that the </w:t>
      </w:r>
      <w:proofErr w:type="spellStart"/>
      <w:r w:rsidRPr="00DB4A33">
        <w:rPr>
          <w:rFonts w:ascii="Times New Roman" w:hAnsi="Times New Roman" w:cs="Times New Roman"/>
          <w:sz w:val="24"/>
          <w:szCs w:val="24"/>
        </w:rPr>
        <w:t>AutoDock</w:t>
      </w:r>
      <w:proofErr w:type="spellEnd"/>
      <w:r w:rsidRPr="00DB4A33">
        <w:rPr>
          <w:rFonts w:ascii="Times New Roman" w:hAnsi="Times New Roman" w:cs="Times New Roman"/>
          <w:sz w:val="24"/>
          <w:szCs w:val="24"/>
        </w:rPr>
        <w:t xml:space="preserve"> Vina–Perl combination provides a reliable and robust framework for predicting ligand binding interactions, minimizing false positives and negatives, and ensuring dependable predictions of potential drug efficacy throughout the virtual screening process.</w:t>
      </w:r>
    </w:p>
    <w:p w14:paraId="54FAAC54" w14:textId="77777777" w:rsidR="00FF45A1" w:rsidRPr="00DB4A33" w:rsidRDefault="00FF45A1"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hAnsi="Times New Roman" w:cs="Times New Roman"/>
          <w:b/>
          <w:sz w:val="24"/>
          <w:szCs w:val="24"/>
        </w:rPr>
        <w:t>2.3.1</w:t>
      </w:r>
      <w:r w:rsidRPr="00DB4A33">
        <w:rPr>
          <w:rFonts w:ascii="Times New Roman" w:hAnsi="Times New Roman" w:cs="Times New Roman"/>
          <w:sz w:val="24"/>
          <w:szCs w:val="24"/>
        </w:rPr>
        <w:t xml:space="preserve"> </w:t>
      </w:r>
      <w:r w:rsidRPr="00DB4A33">
        <w:rPr>
          <w:rFonts w:ascii="Times New Roman" w:eastAsia="Times New Roman" w:hAnsi="Times New Roman" w:cs="Times New Roman"/>
          <w:b/>
          <w:bCs/>
          <w:sz w:val="24"/>
          <w:szCs w:val="24"/>
        </w:rPr>
        <w:t>Molecular Docking</w:t>
      </w:r>
    </w:p>
    <w:p w14:paraId="2FB1ECE1" w14:textId="77777777" w:rsidR="00FF45A1" w:rsidRPr="00DB4A33" w:rsidRDefault="00FF45A1"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Molecular docking was performed to evaluate binding interactions between the selected aromatic aldehyde quinoline derivatives and </w:t>
      </w:r>
      <w:r w:rsidRPr="00DB4A33">
        <w:rPr>
          <w:rFonts w:ascii="Times New Roman" w:eastAsia="Times New Roman" w:hAnsi="Times New Roman" w:cs="Times New Roman"/>
          <w:i/>
          <w:iCs/>
          <w:sz w:val="24"/>
          <w:szCs w:val="24"/>
        </w:rPr>
        <w:t>P. falciparum</w:t>
      </w:r>
      <w:r w:rsidRPr="00DB4A33">
        <w:rPr>
          <w:rFonts w:ascii="Times New Roman" w:eastAsia="Times New Roman" w:hAnsi="Times New Roman" w:cs="Times New Roman"/>
          <w:sz w:val="24"/>
          <w:szCs w:val="24"/>
        </w:rPr>
        <w:t xml:space="preserve"> transketolase, using </w:t>
      </w:r>
      <w:proofErr w:type="spellStart"/>
      <w:r w:rsidRPr="00DB4A33">
        <w:rPr>
          <w:rFonts w:ascii="Times New Roman" w:eastAsia="Times New Roman" w:hAnsi="Times New Roman" w:cs="Times New Roman"/>
          <w:sz w:val="24"/>
          <w:szCs w:val="24"/>
        </w:rPr>
        <w:t>AutoDock</w:t>
      </w:r>
      <w:proofErr w:type="spellEnd"/>
      <w:r w:rsidRPr="00DB4A33">
        <w:rPr>
          <w:rFonts w:ascii="Times New Roman" w:eastAsia="Times New Roman" w:hAnsi="Times New Roman" w:cs="Times New Roman"/>
          <w:sz w:val="24"/>
          <w:szCs w:val="24"/>
        </w:rPr>
        <w:t xml:space="preserve"> Vina executed through the Perl command prompt environment. Perl scripting was utilized to automate docking commands and streamline the ligand screening process. All ligand structures were prepared in PDBQT format using </w:t>
      </w:r>
      <w:proofErr w:type="spellStart"/>
      <w:r w:rsidRPr="00DB4A33">
        <w:rPr>
          <w:rFonts w:ascii="Times New Roman" w:eastAsia="Times New Roman" w:hAnsi="Times New Roman" w:cs="Times New Roman"/>
          <w:sz w:val="24"/>
          <w:szCs w:val="24"/>
        </w:rPr>
        <w:t>OpenBabel</w:t>
      </w:r>
      <w:proofErr w:type="spellEnd"/>
      <w:r w:rsidRPr="00DB4A33">
        <w:rPr>
          <w:rFonts w:ascii="Times New Roman" w:eastAsia="Times New Roman" w:hAnsi="Times New Roman" w:cs="Times New Roman"/>
          <w:sz w:val="24"/>
          <w:szCs w:val="24"/>
        </w:rPr>
        <w:t xml:space="preserve"> 1.5.4, with proper assignment of atom types and torsional bonds.</w:t>
      </w:r>
    </w:p>
    <w:p w14:paraId="57D94FD3" w14:textId="77777777" w:rsidR="00FF45A1" w:rsidRPr="00DB4A33" w:rsidRDefault="00FF45A1"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A docking configuration file was prepared to define the grid box parameters around the enzyme's active binding pocket. The grid box coordinates were set at X = −44.896, Y = 10.0, and Z = −48.573, with a grid spacing of 1 Å, ensuring adequate coverage of the catalytic site residues responsible for substrate binding. Docking simulations were conducted at an exhaustiveness level of 8, allowing sufficient exploration of ligand conformational space to identify optimal binding poses. Batch docking of multiple ligands was automated through Perl scripting, which also facilitated the organization and efficient processing of output files.</w:t>
      </w:r>
    </w:p>
    <w:p w14:paraId="46D8348F" w14:textId="77777777" w:rsidR="00FF45A1" w:rsidRPr="00DB4A33" w:rsidRDefault="00FF45A1"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Following docking, the best binding conformations were selected based on the lowest binding energy values and favorable interactions with key active site residues. Visualization and interaction analysis were subsequently performed to examine hydrogen bonding, hydrophobic contacts, and </w:t>
      </w:r>
      <w:r w:rsidRPr="00DB4A33">
        <w:rPr>
          <w:rFonts w:ascii="Times New Roman" w:eastAsia="Times New Roman" w:hAnsi="Times New Roman" w:cs="Times New Roman"/>
          <w:sz w:val="24"/>
          <w:szCs w:val="24"/>
        </w:rPr>
        <w:lastRenderedPageBreak/>
        <w:t>π–π stacking interactions between the ligands and the transketolase binding pocket</w:t>
      </w:r>
      <w:r w:rsidR="00594DA9" w:rsidRPr="00DB4A33">
        <w:rPr>
          <w:rFonts w:ascii="Times New Roman" w:eastAsia="Times New Roman" w:hAnsi="Times New Roman" w:cs="Times New Roman"/>
          <w:sz w:val="24"/>
          <w:szCs w:val="24"/>
        </w:rPr>
        <w:t xml:space="preserve"> using Discovery Studio Software </w:t>
      </w:r>
      <w:r w:rsidR="00425F63">
        <w:rPr>
          <w:rFonts w:ascii="Times New Roman" w:eastAsia="Times New Roman" w:hAnsi="Times New Roman" w:cs="Times New Roman"/>
          <w:sz w:val="24"/>
          <w:szCs w:val="24"/>
        </w:rPr>
        <w:t>[1</w:t>
      </w:r>
      <w:r w:rsidR="006033B8">
        <w:rPr>
          <w:rFonts w:ascii="Times New Roman" w:eastAsia="Times New Roman" w:hAnsi="Times New Roman" w:cs="Times New Roman"/>
          <w:sz w:val="24"/>
          <w:szCs w:val="24"/>
        </w:rPr>
        <w:t>8</w:t>
      </w:r>
      <w:r w:rsidR="00425F63">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w:t>
      </w:r>
    </w:p>
    <w:p w14:paraId="6F6522CB" w14:textId="77777777" w:rsidR="00FF45A1" w:rsidRPr="00DB4A33" w:rsidRDefault="00FF45A1"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b/>
          <w:sz w:val="24"/>
          <w:szCs w:val="24"/>
        </w:rPr>
        <w:t xml:space="preserve">2.4 </w:t>
      </w:r>
      <w:r w:rsidRPr="00DB4A33">
        <w:rPr>
          <w:rFonts w:ascii="Times New Roman" w:eastAsia="Times New Roman" w:hAnsi="Times New Roman" w:cs="Times New Roman"/>
          <w:b/>
          <w:bCs/>
          <w:sz w:val="24"/>
          <w:szCs w:val="24"/>
        </w:rPr>
        <w:t xml:space="preserve">Physicochemical, Pharmacokinetic, and Toxicological </w:t>
      </w:r>
      <w:r w:rsidR="00FC3FFB" w:rsidRPr="00DB4A33">
        <w:rPr>
          <w:rFonts w:ascii="Times New Roman" w:eastAsia="Times New Roman" w:hAnsi="Times New Roman" w:cs="Times New Roman"/>
          <w:b/>
          <w:bCs/>
          <w:sz w:val="24"/>
          <w:szCs w:val="24"/>
        </w:rPr>
        <w:t xml:space="preserve">Assessment </w:t>
      </w:r>
    </w:p>
    <w:p w14:paraId="15F4C594" w14:textId="77777777" w:rsidR="00CC3109" w:rsidRPr="00DB4A33" w:rsidRDefault="00CC3109" w:rsidP="00DB4A33">
      <w:pPr>
        <w:spacing w:before="100" w:beforeAutospacing="1" w:after="100" w:afterAutospacing="1" w:line="360" w:lineRule="auto"/>
        <w:jc w:val="both"/>
        <w:outlineLvl w:val="4"/>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2.4.1 Drug-Likeness Properties</w:t>
      </w:r>
    </w:p>
    <w:p w14:paraId="6A4C6DBE"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Drug-likeness assessment was conducted using the Quantitative Estimate of Drug-likeness (QED) approach via </w:t>
      </w:r>
      <w:proofErr w:type="spellStart"/>
      <w:r w:rsidRPr="00DB4A33">
        <w:rPr>
          <w:rFonts w:ascii="Times New Roman" w:eastAsia="Times New Roman" w:hAnsi="Times New Roman" w:cs="Times New Roman"/>
          <w:sz w:val="24"/>
          <w:szCs w:val="24"/>
        </w:rPr>
        <w:t>ADMETLab</w:t>
      </w:r>
      <w:proofErr w:type="spellEnd"/>
      <w:r w:rsidRPr="00DB4A33">
        <w:rPr>
          <w:rFonts w:ascii="Times New Roman" w:eastAsia="Times New Roman" w:hAnsi="Times New Roman" w:cs="Times New Roman"/>
          <w:sz w:val="24"/>
          <w:szCs w:val="24"/>
        </w:rPr>
        <w:t xml:space="preserve"> 3.0. QED offers a more comprehensive and nuanced evaluation of drug-likeness compared to the conventional Lipinski Rule of Five (Ro5)</w:t>
      </w:r>
      <w:r w:rsidR="008A1A2A" w:rsidRPr="00DB4A33">
        <w:rPr>
          <w:rFonts w:ascii="Times New Roman" w:eastAsia="Times New Roman" w:hAnsi="Times New Roman" w:cs="Times New Roman"/>
          <w:sz w:val="24"/>
          <w:szCs w:val="24"/>
        </w:rPr>
        <w:t xml:space="preserve"> </w:t>
      </w:r>
      <w:r w:rsidR="00425F63">
        <w:rPr>
          <w:rFonts w:ascii="Times New Roman" w:eastAsia="Times New Roman" w:hAnsi="Times New Roman" w:cs="Times New Roman"/>
          <w:sz w:val="24"/>
          <w:szCs w:val="24"/>
        </w:rPr>
        <w:t>[20]</w:t>
      </w:r>
      <w:r w:rsidRPr="00DB4A33">
        <w:rPr>
          <w:rFonts w:ascii="Times New Roman" w:eastAsia="Times New Roman" w:hAnsi="Times New Roman" w:cs="Times New Roman"/>
          <w:sz w:val="24"/>
          <w:szCs w:val="24"/>
        </w:rPr>
        <w:t xml:space="preserve">. While the Ro5 applies a set of binary cutoff thresholds — molecular weight ≤500 Da, </w:t>
      </w:r>
      <w:proofErr w:type="spellStart"/>
      <w:r w:rsidRPr="00DB4A33">
        <w:rPr>
          <w:rFonts w:ascii="Times New Roman" w:eastAsia="Times New Roman" w:hAnsi="Times New Roman" w:cs="Times New Roman"/>
          <w:sz w:val="24"/>
          <w:szCs w:val="24"/>
        </w:rPr>
        <w:t>LogP</w:t>
      </w:r>
      <w:proofErr w:type="spellEnd"/>
      <w:r w:rsidRPr="00DB4A33">
        <w:rPr>
          <w:rFonts w:ascii="Times New Roman" w:eastAsia="Times New Roman" w:hAnsi="Times New Roman" w:cs="Times New Roman"/>
          <w:sz w:val="24"/>
          <w:szCs w:val="24"/>
        </w:rPr>
        <w:t xml:space="preserve"> ≤5, hydrogen bond donors ≤5, and hydrogen bond acceptors ≤10 — QED integrates multiple molecular descriptors into a single continuous score ranging from 0 to 1, where values from 0.6 to 1 indicate greater drug-likeness. This makes QED a more sensitive and informative metric, as it captures the overall desirability of a compound's physicochemical profile rather than simply flagging rule violations. Parameters evaluated included molecular weight, lipophilicity (</w:t>
      </w:r>
      <w:proofErr w:type="spellStart"/>
      <w:r w:rsidRPr="00DB4A33">
        <w:rPr>
          <w:rFonts w:ascii="Times New Roman" w:eastAsia="Times New Roman" w:hAnsi="Times New Roman" w:cs="Times New Roman"/>
          <w:sz w:val="24"/>
          <w:szCs w:val="24"/>
        </w:rPr>
        <w:t>LogP</w:t>
      </w:r>
      <w:proofErr w:type="spellEnd"/>
      <w:r w:rsidRPr="00DB4A33">
        <w:rPr>
          <w:rFonts w:ascii="Times New Roman" w:eastAsia="Times New Roman" w:hAnsi="Times New Roman" w:cs="Times New Roman"/>
          <w:sz w:val="24"/>
          <w:szCs w:val="24"/>
        </w:rPr>
        <w:t>), rotatable bonds, hydrogen bond donors and acceptors, and other features relevant to oral bioavailability and suitability for human administration.</w:t>
      </w:r>
    </w:p>
    <w:p w14:paraId="111B0DF5"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sz w:val="24"/>
          <w:szCs w:val="24"/>
        </w:rPr>
        <w:t xml:space="preserve">2.4.2 </w:t>
      </w:r>
      <w:r w:rsidRPr="00DB4A33">
        <w:rPr>
          <w:rFonts w:ascii="Times New Roman" w:eastAsia="Times New Roman" w:hAnsi="Times New Roman" w:cs="Times New Roman"/>
          <w:b/>
          <w:bCs/>
          <w:sz w:val="24"/>
          <w:szCs w:val="24"/>
        </w:rPr>
        <w:t>ADMET Prediction</w:t>
      </w:r>
    </w:p>
    <w:p w14:paraId="55F3341D"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A thorough assessment of Absorption, Distribution, Metabolism, Excretion, and Toxicity (ADMET) properties was conducted for all candidate compounds using </w:t>
      </w:r>
      <w:proofErr w:type="spellStart"/>
      <w:r w:rsidRPr="00DB4A33">
        <w:rPr>
          <w:rFonts w:ascii="Times New Roman" w:eastAsia="Times New Roman" w:hAnsi="Times New Roman" w:cs="Times New Roman"/>
          <w:sz w:val="24"/>
          <w:szCs w:val="24"/>
        </w:rPr>
        <w:t>ADMETLab</w:t>
      </w:r>
      <w:proofErr w:type="spellEnd"/>
      <w:r w:rsidRPr="00DB4A33">
        <w:rPr>
          <w:rFonts w:ascii="Times New Roman" w:eastAsia="Times New Roman" w:hAnsi="Times New Roman" w:cs="Times New Roman"/>
          <w:sz w:val="24"/>
          <w:szCs w:val="24"/>
        </w:rPr>
        <w:t xml:space="preserve"> 3.0. SMILES notations for each ligand were generated by converting the 3D structures drawn in </w:t>
      </w:r>
      <w:proofErr w:type="spellStart"/>
      <w:r w:rsidRPr="00DB4A33">
        <w:rPr>
          <w:rFonts w:ascii="Times New Roman" w:eastAsia="Times New Roman" w:hAnsi="Times New Roman" w:cs="Times New Roman"/>
          <w:sz w:val="24"/>
          <w:szCs w:val="24"/>
        </w:rPr>
        <w:t>ChemDraw</w:t>
      </w:r>
      <w:proofErr w:type="spellEnd"/>
      <w:r w:rsidRPr="00DB4A33">
        <w:rPr>
          <w:rFonts w:ascii="Times New Roman" w:eastAsia="Times New Roman" w:hAnsi="Times New Roman" w:cs="Times New Roman"/>
          <w:sz w:val="24"/>
          <w:szCs w:val="24"/>
        </w:rPr>
        <w:t xml:space="preserve"> using Open Babel and entered into the platform for analysis</w:t>
      </w:r>
      <w:r w:rsidR="00C52987" w:rsidRPr="00DB4A33">
        <w:rPr>
          <w:rFonts w:ascii="Times New Roman" w:eastAsia="Times New Roman" w:hAnsi="Times New Roman" w:cs="Times New Roman"/>
          <w:sz w:val="24"/>
          <w:szCs w:val="24"/>
        </w:rPr>
        <w:t xml:space="preserve"> </w:t>
      </w:r>
      <w:r w:rsidR="00425F63">
        <w:rPr>
          <w:rFonts w:ascii="Times New Roman" w:eastAsia="Times New Roman" w:hAnsi="Times New Roman" w:cs="Times New Roman"/>
          <w:sz w:val="24"/>
          <w:szCs w:val="24"/>
        </w:rPr>
        <w:t>[</w:t>
      </w:r>
      <w:r w:rsidR="006033B8">
        <w:rPr>
          <w:rFonts w:ascii="Times New Roman" w:eastAsia="Times New Roman" w:hAnsi="Times New Roman" w:cs="Times New Roman"/>
          <w:sz w:val="24"/>
          <w:szCs w:val="24"/>
        </w:rPr>
        <w:t>11</w:t>
      </w:r>
      <w:r w:rsidR="00425F63">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 Key parameters evaluated included Caco-2 permeability, human intestinal absorption, P-glycoprotein inhibition, cytochrome P450 enzyme inhibition, acute oral toxicity, Ames toxicity, carcinogenicity, hepatotoxicity, nephrotoxicity, human ether-a-go-go related gene (</w:t>
      </w:r>
      <w:proofErr w:type="spellStart"/>
      <w:r w:rsidRPr="00DB4A33">
        <w:rPr>
          <w:rFonts w:ascii="Times New Roman" w:eastAsia="Times New Roman" w:hAnsi="Times New Roman" w:cs="Times New Roman"/>
          <w:sz w:val="24"/>
          <w:szCs w:val="24"/>
        </w:rPr>
        <w:t>hERG</w:t>
      </w:r>
      <w:proofErr w:type="spellEnd"/>
      <w:r w:rsidRPr="00DB4A33">
        <w:rPr>
          <w:rFonts w:ascii="Times New Roman" w:eastAsia="Times New Roman" w:hAnsi="Times New Roman" w:cs="Times New Roman"/>
          <w:sz w:val="24"/>
          <w:szCs w:val="24"/>
        </w:rPr>
        <w:t>) inhibition, half-life (t½), and total clearance</w:t>
      </w:r>
      <w:r w:rsidR="005D0459" w:rsidRPr="00DB4A33">
        <w:rPr>
          <w:rFonts w:ascii="Times New Roman" w:eastAsia="Times New Roman" w:hAnsi="Times New Roman" w:cs="Times New Roman"/>
          <w:sz w:val="24"/>
          <w:szCs w:val="24"/>
        </w:rPr>
        <w:t xml:space="preserve"> </w:t>
      </w:r>
      <w:r w:rsidR="00425F63">
        <w:rPr>
          <w:rFonts w:ascii="Times New Roman" w:eastAsia="Times New Roman" w:hAnsi="Times New Roman" w:cs="Times New Roman"/>
          <w:sz w:val="24"/>
          <w:szCs w:val="24"/>
        </w:rPr>
        <w:t>[2</w:t>
      </w:r>
      <w:r w:rsidR="006033B8">
        <w:rPr>
          <w:rFonts w:ascii="Times New Roman" w:eastAsia="Times New Roman" w:hAnsi="Times New Roman" w:cs="Times New Roman"/>
          <w:sz w:val="24"/>
          <w:szCs w:val="24"/>
        </w:rPr>
        <w:t>8</w:t>
      </w:r>
      <w:r w:rsidR="00425F63">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 These parameters collectively provided a comprehensive picture of each compound's pharmacokinetic behavior and safety profile, which are critical considerations in early-stage drug development.</w:t>
      </w:r>
    </w:p>
    <w:p w14:paraId="6E231AA5" w14:textId="77777777" w:rsidR="00425F63" w:rsidRDefault="00425F63" w:rsidP="00DB4A33">
      <w:pPr>
        <w:spacing w:before="100" w:beforeAutospacing="1" w:after="100" w:afterAutospacing="1" w:line="360" w:lineRule="auto"/>
        <w:jc w:val="both"/>
        <w:outlineLvl w:val="3"/>
        <w:rPr>
          <w:rFonts w:ascii="Times New Roman" w:eastAsia="Times New Roman" w:hAnsi="Times New Roman" w:cs="Times New Roman"/>
          <w:b/>
          <w:sz w:val="24"/>
          <w:szCs w:val="24"/>
        </w:rPr>
      </w:pPr>
    </w:p>
    <w:p w14:paraId="53C20B2D" w14:textId="77777777" w:rsidR="00AB24BE" w:rsidRPr="00DB4A33" w:rsidRDefault="00AB24BE"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b/>
          <w:sz w:val="24"/>
          <w:szCs w:val="24"/>
        </w:rPr>
        <w:lastRenderedPageBreak/>
        <w:t>2.5</w:t>
      </w:r>
      <w:r w:rsidRPr="00DB4A33">
        <w:rPr>
          <w:rFonts w:ascii="Times New Roman" w:eastAsia="Times New Roman" w:hAnsi="Times New Roman" w:cs="Times New Roman"/>
          <w:b/>
          <w:bCs/>
          <w:sz w:val="24"/>
          <w:szCs w:val="24"/>
        </w:rPr>
        <w:t xml:space="preserve"> Molecular Mechanics (MM-</w:t>
      </w:r>
      <w:r w:rsidR="008742C9">
        <w:rPr>
          <w:rFonts w:ascii="Times New Roman" w:eastAsia="Times New Roman" w:hAnsi="Times New Roman" w:cs="Times New Roman"/>
          <w:b/>
          <w:bCs/>
          <w:sz w:val="24"/>
          <w:szCs w:val="24"/>
        </w:rPr>
        <w:t>P</w:t>
      </w:r>
      <w:r w:rsidRPr="00DB4A33">
        <w:rPr>
          <w:rFonts w:ascii="Times New Roman" w:eastAsia="Times New Roman" w:hAnsi="Times New Roman" w:cs="Times New Roman"/>
          <w:b/>
          <w:bCs/>
          <w:sz w:val="24"/>
          <w:szCs w:val="24"/>
        </w:rPr>
        <w:t>BSA)</w:t>
      </w:r>
    </w:p>
    <w:p w14:paraId="56339217" w14:textId="77777777" w:rsidR="00AB24BE" w:rsidRPr="00DB4A33" w:rsidRDefault="00AB24BE"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Binding free energy calculations were carried out using the Prime MM-</w:t>
      </w:r>
      <w:r w:rsidR="008742C9">
        <w:rPr>
          <w:rFonts w:ascii="Times New Roman" w:eastAsia="Times New Roman" w:hAnsi="Times New Roman" w:cs="Times New Roman"/>
          <w:sz w:val="24"/>
          <w:szCs w:val="24"/>
        </w:rPr>
        <w:t>P</w:t>
      </w:r>
      <w:r w:rsidRPr="00DB4A33">
        <w:rPr>
          <w:rFonts w:ascii="Times New Roman" w:eastAsia="Times New Roman" w:hAnsi="Times New Roman" w:cs="Times New Roman"/>
          <w:sz w:val="24"/>
          <w:szCs w:val="24"/>
        </w:rPr>
        <w:t xml:space="preserve">BSA tool within Maestro version 12.5. This method decomposes the total binding free energy into individual energy contributions — including electrostatic interactions, van der Waals forces, </w:t>
      </w:r>
      <w:r w:rsidR="008742C9">
        <w:rPr>
          <w:rFonts w:ascii="Times New Roman" w:eastAsia="Times New Roman" w:hAnsi="Times New Roman" w:cs="Times New Roman"/>
          <w:sz w:val="24"/>
          <w:szCs w:val="24"/>
        </w:rPr>
        <w:t>covalent interaction</w:t>
      </w:r>
      <w:r w:rsidRPr="00DB4A33">
        <w:rPr>
          <w:rFonts w:ascii="Times New Roman" w:eastAsia="Times New Roman" w:hAnsi="Times New Roman" w:cs="Times New Roman"/>
          <w:sz w:val="24"/>
          <w:szCs w:val="24"/>
        </w:rPr>
        <w:t>, and solvation energies — providing detailed insight into the thermodynamic basis of ligand binding. The binding free energy (</w:t>
      </w:r>
      <w:proofErr w:type="spellStart"/>
      <w:r w:rsidRPr="00DB4A33">
        <w:rPr>
          <w:rFonts w:ascii="Times New Roman" w:eastAsia="Times New Roman" w:hAnsi="Times New Roman" w:cs="Times New Roman"/>
          <w:sz w:val="24"/>
          <w:szCs w:val="24"/>
        </w:rPr>
        <w:t>ΔG_bind</w:t>
      </w:r>
      <w:proofErr w:type="spellEnd"/>
      <w:r w:rsidRPr="00DB4A33">
        <w:rPr>
          <w:rFonts w:ascii="Times New Roman" w:eastAsia="Times New Roman" w:hAnsi="Times New Roman" w:cs="Times New Roman"/>
          <w:sz w:val="24"/>
          <w:szCs w:val="24"/>
        </w:rPr>
        <w:t>) was calculated using the equation:</w:t>
      </w:r>
    </w:p>
    <w:p w14:paraId="137866E8" w14:textId="77777777" w:rsidR="00AB24BE" w:rsidRPr="00DB4A33" w:rsidRDefault="00AB24BE" w:rsidP="00DB4A33">
      <w:p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DB4A33">
        <w:rPr>
          <w:rFonts w:ascii="Times New Roman" w:eastAsia="Times New Roman" w:hAnsi="Times New Roman" w:cs="Times New Roman"/>
          <w:b/>
          <w:bCs/>
          <w:sz w:val="24"/>
          <w:szCs w:val="24"/>
        </w:rPr>
        <w:t>ΔG_bind</w:t>
      </w:r>
      <w:proofErr w:type="spellEnd"/>
      <w:r w:rsidRPr="00DB4A33">
        <w:rPr>
          <w:rFonts w:ascii="Times New Roman" w:eastAsia="Times New Roman" w:hAnsi="Times New Roman" w:cs="Times New Roman"/>
          <w:b/>
          <w:bCs/>
          <w:sz w:val="24"/>
          <w:szCs w:val="24"/>
        </w:rPr>
        <w:t xml:space="preserve"> = ΔE_MM + ΔG_G</w:t>
      </w:r>
      <w:r w:rsidR="008742C9">
        <w:rPr>
          <w:rFonts w:ascii="Times New Roman" w:eastAsia="Times New Roman" w:hAnsi="Times New Roman" w:cs="Times New Roman"/>
          <w:b/>
          <w:bCs/>
          <w:sz w:val="24"/>
          <w:szCs w:val="24"/>
        </w:rPr>
        <w:t>P</w:t>
      </w:r>
      <w:r w:rsidRPr="00DB4A33">
        <w:rPr>
          <w:rFonts w:ascii="Times New Roman" w:eastAsia="Times New Roman" w:hAnsi="Times New Roman" w:cs="Times New Roman"/>
          <w:b/>
          <w:bCs/>
          <w:sz w:val="24"/>
          <w:szCs w:val="24"/>
        </w:rPr>
        <w:t xml:space="preserve"> + ΔG_SA</w:t>
      </w:r>
    </w:p>
    <w:p w14:paraId="0D109100" w14:textId="77777777" w:rsidR="00AB24BE" w:rsidRPr="00DB4A33" w:rsidRDefault="00AB24BE"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where ΔE_MM represents the molecular mechanical energy (sum of electrostatic, van der Waals, hydrogen bond, and torsional angle energies), ΔG_</w:t>
      </w:r>
      <w:r w:rsidR="00E87C61">
        <w:rPr>
          <w:rFonts w:ascii="Times New Roman" w:eastAsia="Times New Roman" w:hAnsi="Times New Roman" w:cs="Times New Roman"/>
          <w:sz w:val="24"/>
          <w:szCs w:val="24"/>
        </w:rPr>
        <w:t>P</w:t>
      </w:r>
      <w:r w:rsidRPr="00DB4A33">
        <w:rPr>
          <w:rFonts w:ascii="Times New Roman" w:eastAsia="Times New Roman" w:hAnsi="Times New Roman" w:cs="Times New Roman"/>
          <w:sz w:val="24"/>
          <w:szCs w:val="24"/>
        </w:rPr>
        <w:t>B is the polar solvation energy, and ΔG_SA is the nonpolar solvation energy. The results provided quantitative insights into the relative binding stability of each ligand at the transketolase active site</w:t>
      </w:r>
      <w:r w:rsidR="00425F63">
        <w:rPr>
          <w:rFonts w:ascii="Times New Roman" w:eastAsia="Times New Roman" w:hAnsi="Times New Roman" w:cs="Times New Roman"/>
          <w:sz w:val="24"/>
          <w:szCs w:val="24"/>
        </w:rPr>
        <w:t xml:space="preserve"> [</w:t>
      </w:r>
      <w:r w:rsidR="006033B8">
        <w:rPr>
          <w:rFonts w:ascii="Times New Roman" w:eastAsia="Times New Roman" w:hAnsi="Times New Roman" w:cs="Times New Roman"/>
          <w:sz w:val="24"/>
          <w:szCs w:val="24"/>
        </w:rPr>
        <w:t>3</w:t>
      </w:r>
      <w:r w:rsidR="00425F63">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w:t>
      </w:r>
    </w:p>
    <w:p w14:paraId="4F9761C0" w14:textId="77777777" w:rsidR="00CC3109" w:rsidRPr="00DB4A33" w:rsidRDefault="00CC3109"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b/>
          <w:sz w:val="24"/>
          <w:szCs w:val="24"/>
        </w:rPr>
        <w:t>2.</w:t>
      </w:r>
      <w:r w:rsidR="00AB24BE" w:rsidRPr="00DB4A33">
        <w:rPr>
          <w:rFonts w:ascii="Times New Roman" w:eastAsia="Times New Roman" w:hAnsi="Times New Roman" w:cs="Times New Roman"/>
          <w:b/>
          <w:sz w:val="24"/>
          <w:szCs w:val="24"/>
        </w:rPr>
        <w:t>6</w:t>
      </w:r>
      <w:r w:rsidRPr="00DB4A33">
        <w:rPr>
          <w:rFonts w:ascii="Times New Roman" w:eastAsia="Times New Roman" w:hAnsi="Times New Roman" w:cs="Times New Roman"/>
          <w:sz w:val="24"/>
          <w:szCs w:val="24"/>
        </w:rPr>
        <w:t xml:space="preserve"> </w:t>
      </w:r>
      <w:r w:rsidRPr="00DB4A33">
        <w:rPr>
          <w:rFonts w:ascii="Times New Roman" w:eastAsia="Times New Roman" w:hAnsi="Times New Roman" w:cs="Times New Roman"/>
          <w:b/>
          <w:bCs/>
          <w:sz w:val="24"/>
          <w:szCs w:val="24"/>
        </w:rPr>
        <w:t>Molecular Dynamics (MD) Simulation</w:t>
      </w:r>
    </w:p>
    <w:p w14:paraId="7D8DD7CA"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Molecular dynamics simulations were performed to assess the structural stability, conformational dynamics, and interaction behavior of the protein-ligand complexes under physiological conditions</w:t>
      </w:r>
      <w:r w:rsidR="00425F63">
        <w:rPr>
          <w:rFonts w:ascii="Times New Roman" w:eastAsia="Times New Roman" w:hAnsi="Times New Roman" w:cs="Times New Roman"/>
          <w:sz w:val="24"/>
          <w:szCs w:val="24"/>
        </w:rPr>
        <w:t xml:space="preserve"> [</w:t>
      </w:r>
      <w:r w:rsidR="00687612">
        <w:rPr>
          <w:rFonts w:ascii="Times New Roman" w:eastAsia="Times New Roman" w:hAnsi="Times New Roman" w:cs="Times New Roman"/>
          <w:sz w:val="24"/>
          <w:szCs w:val="24"/>
        </w:rPr>
        <w:t>8</w:t>
      </w:r>
      <w:r w:rsidR="00425F63">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 xml:space="preserve">. Simulations were carried out using GROMACS version 2022, with protein and ligand topologies generated using the CHARMM36 force field and </w:t>
      </w:r>
      <w:proofErr w:type="spellStart"/>
      <w:r w:rsidRPr="00DB4A33">
        <w:rPr>
          <w:rFonts w:ascii="Times New Roman" w:eastAsia="Times New Roman" w:hAnsi="Times New Roman" w:cs="Times New Roman"/>
          <w:sz w:val="24"/>
          <w:szCs w:val="24"/>
        </w:rPr>
        <w:t>CGenFF</w:t>
      </w:r>
      <w:proofErr w:type="spellEnd"/>
      <w:r w:rsidRPr="00DB4A33">
        <w:rPr>
          <w:rFonts w:ascii="Times New Roman" w:eastAsia="Times New Roman" w:hAnsi="Times New Roman" w:cs="Times New Roman"/>
          <w:sz w:val="24"/>
          <w:szCs w:val="24"/>
        </w:rPr>
        <w:t xml:space="preserve"> parameters. Each complex was placed in a dodecahedron simulation box filled with SPC water molecules and neutralized with counterions using the GROMACS </w:t>
      </w:r>
      <w:proofErr w:type="spellStart"/>
      <w:r w:rsidRPr="00DB4A33">
        <w:rPr>
          <w:rFonts w:ascii="Times New Roman" w:eastAsia="Times New Roman" w:hAnsi="Times New Roman" w:cs="Times New Roman"/>
          <w:sz w:val="24"/>
          <w:szCs w:val="24"/>
        </w:rPr>
        <w:t>genion</w:t>
      </w:r>
      <w:proofErr w:type="spellEnd"/>
      <w:r w:rsidRPr="00DB4A33">
        <w:rPr>
          <w:rFonts w:ascii="Times New Roman" w:eastAsia="Times New Roman" w:hAnsi="Times New Roman" w:cs="Times New Roman"/>
          <w:sz w:val="24"/>
          <w:szCs w:val="24"/>
        </w:rPr>
        <w:t xml:space="preserve"> tool.</w:t>
      </w:r>
    </w:p>
    <w:p w14:paraId="459C66CE"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Energy minimization was first performed using steepest descent and conjugate gradient algorithms until the maximum force fell below 100 kJ/mol/nm. The system was then equilibrated in two phases: NVT ensemble equilibration from 0 to 300 K over 100 picoseconds using the Verlet algorithm with a 2fs time step, followed by NPT ensemble equilibration using the Berendsen algorithm under the same time step for 100 </w:t>
      </w:r>
      <w:proofErr w:type="spellStart"/>
      <w:r w:rsidRPr="00DB4A33">
        <w:rPr>
          <w:rFonts w:ascii="Times New Roman" w:eastAsia="Times New Roman" w:hAnsi="Times New Roman" w:cs="Times New Roman"/>
          <w:sz w:val="24"/>
          <w:szCs w:val="24"/>
        </w:rPr>
        <w:t>ps</w:t>
      </w:r>
      <w:proofErr w:type="spellEnd"/>
      <w:r w:rsidR="0011048C">
        <w:rPr>
          <w:rFonts w:ascii="Times New Roman" w:eastAsia="Times New Roman" w:hAnsi="Times New Roman" w:cs="Times New Roman"/>
          <w:sz w:val="24"/>
          <w:szCs w:val="24"/>
        </w:rPr>
        <w:t xml:space="preserve"> [1</w:t>
      </w:r>
      <w:r w:rsidR="00687612">
        <w:rPr>
          <w:rFonts w:ascii="Times New Roman" w:eastAsia="Times New Roman" w:hAnsi="Times New Roman" w:cs="Times New Roman"/>
          <w:sz w:val="24"/>
          <w:szCs w:val="24"/>
        </w:rPr>
        <w:t>8</w:t>
      </w:r>
      <w:r w:rsidR="0011048C">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 xml:space="preserve">. Production MD simulations were subsequently run for </w:t>
      </w:r>
      <w:r w:rsidR="00B9219C">
        <w:rPr>
          <w:rFonts w:ascii="Times New Roman" w:eastAsia="Times New Roman" w:hAnsi="Times New Roman" w:cs="Times New Roman"/>
          <w:sz w:val="24"/>
          <w:szCs w:val="24"/>
        </w:rPr>
        <w:t>100</w:t>
      </w:r>
      <w:r w:rsidRPr="00DB4A33">
        <w:rPr>
          <w:rFonts w:ascii="Times New Roman" w:eastAsia="Times New Roman" w:hAnsi="Times New Roman" w:cs="Times New Roman"/>
          <w:sz w:val="24"/>
          <w:szCs w:val="24"/>
        </w:rPr>
        <w:t xml:space="preserve"> nanoseconds for each protein-ligand complex.</w:t>
      </w:r>
    </w:p>
    <w:p w14:paraId="1C20C195" w14:textId="77777777" w:rsidR="009E4A43"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Post-simulation analyses were performed using </w:t>
      </w:r>
      <w:proofErr w:type="spellStart"/>
      <w:r w:rsidRPr="00DB4A33">
        <w:rPr>
          <w:rFonts w:ascii="Times New Roman" w:eastAsia="Times New Roman" w:hAnsi="Times New Roman" w:cs="Times New Roman"/>
          <w:sz w:val="24"/>
          <w:szCs w:val="24"/>
        </w:rPr>
        <w:t>Xmgrace</w:t>
      </w:r>
      <w:proofErr w:type="spellEnd"/>
      <w:r w:rsidRPr="00DB4A33">
        <w:rPr>
          <w:rFonts w:ascii="Times New Roman" w:eastAsia="Times New Roman" w:hAnsi="Times New Roman" w:cs="Times New Roman"/>
          <w:sz w:val="24"/>
          <w:szCs w:val="24"/>
        </w:rPr>
        <w:t>, focusing on Root Mean Square Deviation (RMSD), Root Mean Square Fluctuation (RMSF), Radius of Gyration (</w:t>
      </w:r>
      <w:proofErr w:type="spellStart"/>
      <w:r w:rsidRPr="00DB4A33">
        <w:rPr>
          <w:rFonts w:ascii="Times New Roman" w:eastAsia="Times New Roman" w:hAnsi="Times New Roman" w:cs="Times New Roman"/>
          <w:sz w:val="24"/>
          <w:szCs w:val="24"/>
        </w:rPr>
        <w:t>RoG</w:t>
      </w:r>
      <w:proofErr w:type="spellEnd"/>
      <w:r w:rsidRPr="00DB4A33">
        <w:rPr>
          <w:rFonts w:ascii="Times New Roman" w:eastAsia="Times New Roman" w:hAnsi="Times New Roman" w:cs="Times New Roman"/>
          <w:sz w:val="24"/>
          <w:szCs w:val="24"/>
        </w:rPr>
        <w:t xml:space="preserve">), and </w:t>
      </w:r>
      <w:r w:rsidRPr="00DB4A33">
        <w:rPr>
          <w:rFonts w:ascii="Times New Roman" w:eastAsia="Times New Roman" w:hAnsi="Times New Roman" w:cs="Times New Roman"/>
          <w:sz w:val="24"/>
          <w:szCs w:val="24"/>
        </w:rPr>
        <w:lastRenderedPageBreak/>
        <w:t>Intermolecular Hydrogen Bonds</w:t>
      </w:r>
      <w:r w:rsidR="00346284" w:rsidRPr="00DB4A33">
        <w:rPr>
          <w:rFonts w:ascii="Times New Roman" w:eastAsia="Times New Roman" w:hAnsi="Times New Roman" w:cs="Times New Roman"/>
          <w:sz w:val="24"/>
          <w:szCs w:val="24"/>
        </w:rPr>
        <w:t xml:space="preserve"> </w:t>
      </w:r>
      <w:r w:rsidR="00425F63">
        <w:rPr>
          <w:rFonts w:ascii="Times New Roman" w:eastAsia="Times New Roman" w:hAnsi="Times New Roman" w:cs="Times New Roman"/>
          <w:sz w:val="24"/>
          <w:szCs w:val="24"/>
        </w:rPr>
        <w:t>[</w:t>
      </w:r>
      <w:r w:rsidR="00687612">
        <w:rPr>
          <w:rFonts w:ascii="Times New Roman" w:eastAsia="Times New Roman" w:hAnsi="Times New Roman" w:cs="Times New Roman"/>
          <w:sz w:val="24"/>
          <w:szCs w:val="24"/>
        </w:rPr>
        <w:t>22</w:t>
      </w:r>
      <w:r w:rsidR="00425F63">
        <w:rPr>
          <w:rFonts w:ascii="Times New Roman" w:eastAsia="Times New Roman" w:hAnsi="Times New Roman" w:cs="Times New Roman"/>
          <w:sz w:val="24"/>
          <w:szCs w:val="24"/>
        </w:rPr>
        <w:t>]</w:t>
      </w:r>
      <w:r w:rsidRPr="00DB4A33">
        <w:rPr>
          <w:rFonts w:ascii="Times New Roman" w:eastAsia="Times New Roman" w:hAnsi="Times New Roman" w:cs="Times New Roman"/>
          <w:sz w:val="24"/>
          <w:szCs w:val="24"/>
        </w:rPr>
        <w:t>. These parameters collectively offered a detailed understanding of the dynamic stability and interaction mechanisms of the complexes throughout the simulation period.</w:t>
      </w:r>
    </w:p>
    <w:p w14:paraId="2FAF3551" w14:textId="77777777" w:rsidR="00B67390" w:rsidRPr="00DB4A33" w:rsidRDefault="00B67390" w:rsidP="00DB4A33">
      <w:pPr>
        <w:spacing w:before="100" w:beforeAutospacing="1" w:after="100" w:afterAutospacing="1" w:line="360" w:lineRule="auto"/>
        <w:jc w:val="both"/>
        <w:rPr>
          <w:rFonts w:ascii="Times New Roman" w:eastAsia="Times New Roman" w:hAnsi="Times New Roman" w:cs="Times New Roman"/>
          <w:b/>
          <w:sz w:val="24"/>
          <w:szCs w:val="24"/>
        </w:rPr>
      </w:pPr>
      <w:r w:rsidRPr="00DB4A33">
        <w:rPr>
          <w:rFonts w:ascii="Times New Roman" w:eastAsia="Times New Roman" w:hAnsi="Times New Roman" w:cs="Times New Roman"/>
          <w:b/>
          <w:sz w:val="24"/>
          <w:szCs w:val="24"/>
        </w:rPr>
        <w:t>3.0 Results</w:t>
      </w:r>
    </w:p>
    <w:p w14:paraId="6F9D2323" w14:textId="77777777" w:rsidR="00B94D0B" w:rsidRPr="00B94D0B" w:rsidRDefault="00B94D0B" w:rsidP="00B94D0B">
      <w:pPr>
        <w:spacing w:before="100" w:beforeAutospacing="1" w:after="100" w:afterAutospacing="1" w:line="360" w:lineRule="auto"/>
        <w:jc w:val="both"/>
        <w:rPr>
          <w:rFonts w:ascii="Times New Roman" w:eastAsia="Times New Roman" w:hAnsi="Times New Roman" w:cs="Times New Roman"/>
          <w:b/>
          <w:sz w:val="24"/>
          <w:szCs w:val="24"/>
        </w:rPr>
      </w:pPr>
      <w:r w:rsidRPr="00913B05">
        <w:rPr>
          <w:rFonts w:ascii="Times New Roman" w:hAnsi="Times New Roman" w:cs="Times New Roman"/>
          <w:sz w:val="24"/>
          <w:szCs w:val="24"/>
        </w:rPr>
        <w:t>Table</w:t>
      </w:r>
      <w:r w:rsidR="00516704">
        <w:rPr>
          <w:rFonts w:ascii="Times New Roman" w:hAnsi="Times New Roman" w:cs="Times New Roman"/>
          <w:sz w:val="24"/>
          <w:szCs w:val="24"/>
        </w:rPr>
        <w:t xml:space="preserve"> </w:t>
      </w:r>
      <w:r w:rsidRPr="00913B05">
        <w:rPr>
          <w:rFonts w:ascii="Times New Roman" w:hAnsi="Times New Roman" w:cs="Times New Roman"/>
          <w:sz w:val="24"/>
          <w:szCs w:val="24"/>
        </w:rPr>
        <w:t xml:space="preserve">1: </w:t>
      </w:r>
      <w:r w:rsidR="00024BDF">
        <w:rPr>
          <w:rFonts w:ascii="Times New Roman" w:hAnsi="Times New Roman" w:cs="Times New Roman"/>
          <w:sz w:val="24"/>
          <w:szCs w:val="24"/>
        </w:rPr>
        <w:t xml:space="preserve">This table is showing </w:t>
      </w:r>
      <w:r w:rsidRPr="00913B05">
        <w:rPr>
          <w:rFonts w:ascii="Times New Roman" w:hAnsi="Times New Roman" w:cs="Times New Roman"/>
          <w:sz w:val="24"/>
          <w:szCs w:val="24"/>
        </w:rPr>
        <w:t>Molecular Docking Results</w:t>
      </w:r>
      <w:r>
        <w:rPr>
          <w:rFonts w:ascii="Times New Roman" w:hAnsi="Times New Roman" w:cs="Times New Roman"/>
          <w:sz w:val="24"/>
          <w:szCs w:val="24"/>
        </w:rPr>
        <w:t xml:space="preserve"> of 9TME and </w:t>
      </w:r>
      <w:proofErr w:type="spellStart"/>
      <w:r>
        <w:rPr>
          <w:rFonts w:ascii="Times New Roman" w:hAnsi="Times New Roman" w:cs="Times New Roman"/>
          <w:sz w:val="24"/>
          <w:szCs w:val="24"/>
        </w:rPr>
        <w:t>Chromenoquinoline</w:t>
      </w:r>
      <w:proofErr w:type="spellEnd"/>
      <w:r>
        <w:rPr>
          <w:rFonts w:ascii="Times New Roman" w:hAnsi="Times New Roman" w:cs="Times New Roman"/>
          <w:sz w:val="24"/>
          <w:szCs w:val="24"/>
        </w:rPr>
        <w:t xml:space="preserve"> derivatives from Perl </w:t>
      </w:r>
      <w:proofErr w:type="spellStart"/>
      <w:r>
        <w:rPr>
          <w:rFonts w:ascii="Times New Roman" w:hAnsi="Times New Roman" w:cs="Times New Roman"/>
          <w:sz w:val="24"/>
          <w:szCs w:val="24"/>
        </w:rPr>
        <w:t>cmd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Autodockvina</w:t>
      </w:r>
      <w:proofErr w:type="spellEnd"/>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436"/>
        <w:gridCol w:w="2483"/>
        <w:gridCol w:w="1597"/>
        <w:gridCol w:w="1628"/>
      </w:tblGrid>
      <w:tr w:rsidR="00B94D0B" w:rsidRPr="00913B05" w14:paraId="7086760F" w14:textId="77777777" w:rsidTr="00112549">
        <w:tc>
          <w:tcPr>
            <w:tcW w:w="1436" w:type="dxa"/>
          </w:tcPr>
          <w:p w14:paraId="7A59F730"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Ligands</w:t>
            </w:r>
          </w:p>
        </w:tc>
        <w:tc>
          <w:tcPr>
            <w:tcW w:w="2483" w:type="dxa"/>
          </w:tcPr>
          <w:p w14:paraId="686CE7D8"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Chemical name</w:t>
            </w:r>
          </w:p>
        </w:tc>
        <w:tc>
          <w:tcPr>
            <w:tcW w:w="1597" w:type="dxa"/>
          </w:tcPr>
          <w:p w14:paraId="3507299A"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Binding Energy (Perl)</w:t>
            </w:r>
          </w:p>
          <w:p w14:paraId="6ED3D481"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(Kcal/mol)</w:t>
            </w:r>
          </w:p>
        </w:tc>
        <w:tc>
          <w:tcPr>
            <w:tcW w:w="1628" w:type="dxa"/>
          </w:tcPr>
          <w:p w14:paraId="4F8C57B7"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H-Bond</w:t>
            </w:r>
          </w:p>
          <w:p w14:paraId="560DF540"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Interaction</w:t>
            </w:r>
          </w:p>
        </w:tc>
      </w:tr>
      <w:tr w:rsidR="00B94D0B" w:rsidRPr="00913B05" w14:paraId="6491833C" w14:textId="77777777" w:rsidTr="00112549">
        <w:tc>
          <w:tcPr>
            <w:tcW w:w="1436" w:type="dxa"/>
          </w:tcPr>
          <w:p w14:paraId="716C072C"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Reference drug</w:t>
            </w:r>
          </w:p>
        </w:tc>
        <w:tc>
          <w:tcPr>
            <w:tcW w:w="2483" w:type="dxa"/>
          </w:tcPr>
          <w:p w14:paraId="585C0836" w14:textId="77777777" w:rsidR="00B94D0B" w:rsidRPr="00913B05" w:rsidRDefault="00B94D0B" w:rsidP="00112549">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Oxythiamine</w:t>
            </w:r>
            <w:proofErr w:type="spellEnd"/>
          </w:p>
        </w:tc>
        <w:tc>
          <w:tcPr>
            <w:tcW w:w="1597" w:type="dxa"/>
          </w:tcPr>
          <w:p w14:paraId="5DB3E8BD"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w:t>
            </w:r>
            <w:r w:rsidR="008D235B">
              <w:rPr>
                <w:rFonts w:ascii="Times New Roman" w:hAnsi="Times New Roman" w:cs="Times New Roman"/>
                <w:sz w:val="24"/>
                <w:szCs w:val="24"/>
              </w:rPr>
              <w:t>5</w:t>
            </w:r>
            <w:r>
              <w:rPr>
                <w:rFonts w:ascii="Times New Roman" w:hAnsi="Times New Roman" w:cs="Times New Roman"/>
                <w:sz w:val="24"/>
                <w:szCs w:val="24"/>
              </w:rPr>
              <w:t>.2</w:t>
            </w:r>
          </w:p>
        </w:tc>
        <w:tc>
          <w:tcPr>
            <w:tcW w:w="1628" w:type="dxa"/>
          </w:tcPr>
          <w:p w14:paraId="59F494CB"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SER 456</w:t>
            </w:r>
          </w:p>
          <w:p w14:paraId="16FD0C6F"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PHE 639</w:t>
            </w:r>
          </w:p>
          <w:p w14:paraId="04D2CC41"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PHE 639</w:t>
            </w:r>
          </w:p>
          <w:p w14:paraId="25F2897F"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SER 642</w:t>
            </w:r>
          </w:p>
        </w:tc>
      </w:tr>
      <w:tr w:rsidR="00B94D0B" w:rsidRPr="00913B05" w14:paraId="00347815" w14:textId="77777777" w:rsidTr="00112549">
        <w:tc>
          <w:tcPr>
            <w:tcW w:w="1436" w:type="dxa"/>
          </w:tcPr>
          <w:p w14:paraId="3D64742E"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A1</w:t>
            </w:r>
          </w:p>
        </w:tc>
        <w:tc>
          <w:tcPr>
            <w:tcW w:w="2483" w:type="dxa"/>
          </w:tcPr>
          <w:p w14:paraId="51C9EB51"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 xml:space="preserve">3-hydroxylphenyl derivative of </w:t>
            </w:r>
            <w:proofErr w:type="spellStart"/>
            <w:r w:rsidRPr="00913B05">
              <w:rPr>
                <w:rFonts w:ascii="Times New Roman" w:hAnsi="Times New Roman" w:cs="Times New Roman"/>
                <w:sz w:val="24"/>
                <w:szCs w:val="24"/>
              </w:rPr>
              <w:t>Chromenoquinolinone</w:t>
            </w:r>
            <w:proofErr w:type="spellEnd"/>
          </w:p>
        </w:tc>
        <w:tc>
          <w:tcPr>
            <w:tcW w:w="1597" w:type="dxa"/>
          </w:tcPr>
          <w:p w14:paraId="4A555DC3"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-7.8</w:t>
            </w:r>
          </w:p>
        </w:tc>
        <w:tc>
          <w:tcPr>
            <w:tcW w:w="1628" w:type="dxa"/>
          </w:tcPr>
          <w:p w14:paraId="47FAEBCA"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ASP 627</w:t>
            </w:r>
          </w:p>
        </w:tc>
      </w:tr>
      <w:tr w:rsidR="00B94D0B" w:rsidRPr="00913B05" w14:paraId="4516A4C3" w14:textId="77777777" w:rsidTr="00112549">
        <w:tc>
          <w:tcPr>
            <w:tcW w:w="1436" w:type="dxa"/>
          </w:tcPr>
          <w:p w14:paraId="77EF6CFB"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A2</w:t>
            </w:r>
          </w:p>
        </w:tc>
        <w:tc>
          <w:tcPr>
            <w:tcW w:w="2483" w:type="dxa"/>
          </w:tcPr>
          <w:p w14:paraId="3734D198"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 xml:space="preserve">4-hydroxyphenyl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0059988D"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-7.8</w:t>
            </w:r>
          </w:p>
        </w:tc>
        <w:tc>
          <w:tcPr>
            <w:tcW w:w="1628" w:type="dxa"/>
          </w:tcPr>
          <w:p w14:paraId="083E1505"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LYS 595</w:t>
            </w:r>
          </w:p>
          <w:p w14:paraId="50B91258"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ASN 491</w:t>
            </w:r>
          </w:p>
          <w:p w14:paraId="6701A4A8"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ASN 493</w:t>
            </w:r>
          </w:p>
        </w:tc>
      </w:tr>
      <w:tr w:rsidR="00B94D0B" w:rsidRPr="00913B05" w14:paraId="592ADC8C" w14:textId="77777777" w:rsidTr="00112549">
        <w:tc>
          <w:tcPr>
            <w:tcW w:w="1436" w:type="dxa"/>
          </w:tcPr>
          <w:p w14:paraId="10BB9D9E"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A3</w:t>
            </w:r>
          </w:p>
        </w:tc>
        <w:tc>
          <w:tcPr>
            <w:tcW w:w="2483" w:type="dxa"/>
          </w:tcPr>
          <w:p w14:paraId="089A6289" w14:textId="77777777" w:rsidR="00B94D0B" w:rsidRPr="00913B05" w:rsidRDefault="00B94D0B" w:rsidP="00112549">
            <w:pPr>
              <w:rPr>
                <w:rFonts w:ascii="Times New Roman" w:hAnsi="Times New Roman" w:cs="Times New Roman"/>
                <w:sz w:val="24"/>
                <w:szCs w:val="24"/>
              </w:rPr>
            </w:pPr>
            <w:r w:rsidRPr="00913B05">
              <w:rPr>
                <w:rFonts w:ascii="Times New Roman" w:hAnsi="Times New Roman" w:cs="Times New Roman"/>
                <w:sz w:val="24"/>
                <w:szCs w:val="24"/>
              </w:rPr>
              <w:t xml:space="preserve">3,4,5-trimethoxyphenyl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25C2D4B9"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-8.3</w:t>
            </w:r>
          </w:p>
        </w:tc>
        <w:tc>
          <w:tcPr>
            <w:tcW w:w="1628" w:type="dxa"/>
          </w:tcPr>
          <w:p w14:paraId="3E678477"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GLY 30</w:t>
            </w:r>
          </w:p>
          <w:p w14:paraId="2451991B"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LEU 268</w:t>
            </w:r>
          </w:p>
          <w:p w14:paraId="696B6C69" w14:textId="77777777" w:rsidR="00B94D0B" w:rsidRPr="00913B05" w:rsidRDefault="00B94D0B" w:rsidP="00112549">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A :</w:t>
            </w:r>
            <w:proofErr w:type="gramEnd"/>
            <w:r>
              <w:rPr>
                <w:rFonts w:ascii="Times New Roman" w:hAnsi="Times New Roman" w:cs="Times New Roman"/>
                <w:sz w:val="24"/>
                <w:szCs w:val="24"/>
              </w:rPr>
              <w:t xml:space="preserve"> HIS 266</w:t>
            </w:r>
          </w:p>
        </w:tc>
      </w:tr>
      <w:tr w:rsidR="00B94D0B" w:rsidRPr="00913B05" w14:paraId="71D0451B" w14:textId="77777777" w:rsidTr="00112549">
        <w:tc>
          <w:tcPr>
            <w:tcW w:w="1436" w:type="dxa"/>
          </w:tcPr>
          <w:p w14:paraId="5C5BCFFB"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A4</w:t>
            </w:r>
          </w:p>
        </w:tc>
        <w:tc>
          <w:tcPr>
            <w:tcW w:w="2483" w:type="dxa"/>
          </w:tcPr>
          <w:p w14:paraId="4946CA51"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 xml:space="preserve">3-Pyridyl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3BCC621D"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-7.6</w:t>
            </w:r>
          </w:p>
        </w:tc>
        <w:tc>
          <w:tcPr>
            <w:tcW w:w="1628" w:type="dxa"/>
          </w:tcPr>
          <w:p w14:paraId="2ADCC076"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LYS 595</w:t>
            </w:r>
          </w:p>
        </w:tc>
      </w:tr>
      <w:tr w:rsidR="00B94D0B" w:rsidRPr="00913B05" w14:paraId="04064579" w14:textId="77777777" w:rsidTr="00112549">
        <w:tc>
          <w:tcPr>
            <w:tcW w:w="1436" w:type="dxa"/>
          </w:tcPr>
          <w:p w14:paraId="5DF81FA2"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A5</w:t>
            </w:r>
          </w:p>
        </w:tc>
        <w:tc>
          <w:tcPr>
            <w:tcW w:w="2483" w:type="dxa"/>
          </w:tcPr>
          <w:p w14:paraId="12E26963" w14:textId="77777777" w:rsidR="00B94D0B" w:rsidRPr="00913B05" w:rsidRDefault="00B94D0B" w:rsidP="00112549">
            <w:pPr>
              <w:rPr>
                <w:rFonts w:ascii="Times New Roman" w:hAnsi="Times New Roman" w:cs="Times New Roman"/>
                <w:sz w:val="24"/>
                <w:szCs w:val="24"/>
              </w:rPr>
            </w:pPr>
            <w:r w:rsidRPr="00913B05">
              <w:rPr>
                <w:rFonts w:ascii="Times New Roman" w:hAnsi="Times New Roman" w:cs="Times New Roman"/>
                <w:sz w:val="24"/>
                <w:szCs w:val="24"/>
              </w:rPr>
              <w:t>p-</w:t>
            </w:r>
            <w:proofErr w:type="spellStart"/>
            <w:r w:rsidRPr="00913B05">
              <w:rPr>
                <w:rFonts w:ascii="Times New Roman" w:hAnsi="Times New Roman" w:cs="Times New Roman"/>
                <w:sz w:val="24"/>
                <w:szCs w:val="24"/>
              </w:rPr>
              <w:t>Toyl</w:t>
            </w:r>
            <w:proofErr w:type="spellEnd"/>
            <w:r w:rsidRPr="00913B05">
              <w:rPr>
                <w:rFonts w:ascii="Times New Roman" w:hAnsi="Times New Roman" w:cs="Times New Roman"/>
                <w:sz w:val="24"/>
                <w:szCs w:val="24"/>
              </w:rPr>
              <w:t xml:space="preserve">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12F1C526"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-8.0</w:t>
            </w:r>
          </w:p>
        </w:tc>
        <w:tc>
          <w:tcPr>
            <w:tcW w:w="1628" w:type="dxa"/>
          </w:tcPr>
          <w:p w14:paraId="6024EF89"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Nil</w:t>
            </w:r>
          </w:p>
        </w:tc>
      </w:tr>
      <w:tr w:rsidR="00B94D0B" w:rsidRPr="00913B05" w14:paraId="0232DB29" w14:textId="77777777" w:rsidTr="00112549">
        <w:tc>
          <w:tcPr>
            <w:tcW w:w="1436" w:type="dxa"/>
          </w:tcPr>
          <w:p w14:paraId="7FA3D93E"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Ligands</w:t>
            </w:r>
          </w:p>
        </w:tc>
        <w:tc>
          <w:tcPr>
            <w:tcW w:w="2483" w:type="dxa"/>
          </w:tcPr>
          <w:p w14:paraId="4BD218C2" w14:textId="77777777" w:rsidR="00B94D0B" w:rsidRPr="00913B05" w:rsidRDefault="00B94D0B" w:rsidP="00112549">
            <w:pPr>
              <w:rPr>
                <w:rFonts w:ascii="Times New Roman" w:hAnsi="Times New Roman" w:cs="Times New Roman"/>
                <w:sz w:val="24"/>
                <w:szCs w:val="24"/>
              </w:rPr>
            </w:pPr>
            <w:r>
              <w:rPr>
                <w:rFonts w:ascii="Times New Roman" w:hAnsi="Times New Roman" w:cs="Times New Roman"/>
                <w:sz w:val="24"/>
                <w:szCs w:val="24"/>
              </w:rPr>
              <w:t>Compound Name</w:t>
            </w:r>
          </w:p>
        </w:tc>
        <w:tc>
          <w:tcPr>
            <w:tcW w:w="1597" w:type="dxa"/>
          </w:tcPr>
          <w:p w14:paraId="560CA06B"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Binding Energy (Perl)(K/mol)</w:t>
            </w:r>
          </w:p>
        </w:tc>
        <w:tc>
          <w:tcPr>
            <w:tcW w:w="1628" w:type="dxa"/>
          </w:tcPr>
          <w:p w14:paraId="3D730FD3"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Hydrogen-Bond Interaction</w:t>
            </w:r>
          </w:p>
        </w:tc>
      </w:tr>
      <w:tr w:rsidR="00B94D0B" w:rsidRPr="00913B05" w14:paraId="34FB44C3" w14:textId="77777777" w:rsidTr="00112549">
        <w:tc>
          <w:tcPr>
            <w:tcW w:w="1436" w:type="dxa"/>
          </w:tcPr>
          <w:p w14:paraId="740E6EA3"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A6</w:t>
            </w:r>
          </w:p>
        </w:tc>
        <w:tc>
          <w:tcPr>
            <w:tcW w:w="2483" w:type="dxa"/>
          </w:tcPr>
          <w:p w14:paraId="68B74CA4" w14:textId="77777777" w:rsidR="00B94D0B" w:rsidRDefault="00B94D0B" w:rsidP="00112549">
            <w:pPr>
              <w:rPr>
                <w:rFonts w:ascii="Times New Roman" w:hAnsi="Times New Roman" w:cs="Times New Roman"/>
                <w:sz w:val="24"/>
                <w:szCs w:val="24"/>
              </w:rPr>
            </w:pPr>
            <w:r>
              <w:rPr>
                <w:rFonts w:ascii="Times New Roman" w:hAnsi="Times New Roman" w:cs="Times New Roman"/>
                <w:sz w:val="24"/>
                <w:szCs w:val="24"/>
              </w:rPr>
              <w:t xml:space="preserve">2-nitrophenyl derivatives of </w:t>
            </w:r>
            <w:proofErr w:type="spellStart"/>
            <w:r>
              <w:rPr>
                <w:rFonts w:ascii="Times New Roman" w:hAnsi="Times New Roman" w:cs="Times New Roman"/>
                <w:sz w:val="24"/>
                <w:szCs w:val="24"/>
              </w:rPr>
              <w:t>Chromenoquinolinone</w:t>
            </w:r>
            <w:proofErr w:type="spellEnd"/>
          </w:p>
        </w:tc>
        <w:tc>
          <w:tcPr>
            <w:tcW w:w="1597" w:type="dxa"/>
          </w:tcPr>
          <w:p w14:paraId="5B040FDC"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-8.2</w:t>
            </w:r>
          </w:p>
        </w:tc>
        <w:tc>
          <w:tcPr>
            <w:tcW w:w="1628" w:type="dxa"/>
          </w:tcPr>
          <w:p w14:paraId="45E1546C"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ARG 361</w:t>
            </w:r>
          </w:p>
          <w:p w14:paraId="7070837B"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HIS 465</w:t>
            </w:r>
          </w:p>
          <w:p w14:paraId="2770F421"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ARG 524</w:t>
            </w:r>
          </w:p>
          <w:p w14:paraId="335265F0"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ARG 524</w:t>
            </w:r>
          </w:p>
          <w:p w14:paraId="7B1D7AC1" w14:textId="77777777" w:rsidR="00B94D0B" w:rsidRDefault="00B94D0B" w:rsidP="00112549">
            <w:pPr>
              <w:spacing w:line="360" w:lineRule="auto"/>
              <w:rPr>
                <w:rFonts w:ascii="Times New Roman" w:hAnsi="Times New Roman" w:cs="Times New Roman"/>
                <w:sz w:val="24"/>
                <w:szCs w:val="24"/>
              </w:rPr>
            </w:pPr>
          </w:p>
        </w:tc>
      </w:tr>
      <w:tr w:rsidR="00B94D0B" w:rsidRPr="00913B05" w14:paraId="0871BE59" w14:textId="77777777" w:rsidTr="00112549">
        <w:tc>
          <w:tcPr>
            <w:tcW w:w="1436" w:type="dxa"/>
          </w:tcPr>
          <w:p w14:paraId="2689B00D"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A7</w:t>
            </w:r>
          </w:p>
        </w:tc>
        <w:tc>
          <w:tcPr>
            <w:tcW w:w="2483" w:type="dxa"/>
          </w:tcPr>
          <w:p w14:paraId="0B33B9F1" w14:textId="77777777" w:rsidR="00B94D0B" w:rsidRPr="00913B05" w:rsidRDefault="00B94D0B" w:rsidP="00112549">
            <w:pPr>
              <w:rPr>
                <w:rFonts w:ascii="Times New Roman" w:hAnsi="Times New Roman" w:cs="Times New Roman"/>
                <w:sz w:val="24"/>
                <w:szCs w:val="24"/>
              </w:rPr>
            </w:pPr>
            <w:r w:rsidRPr="00913B05">
              <w:rPr>
                <w:rFonts w:ascii="Times New Roman" w:hAnsi="Times New Roman" w:cs="Times New Roman"/>
                <w:sz w:val="24"/>
                <w:szCs w:val="24"/>
              </w:rPr>
              <w:t xml:space="preserve">4-hydroxy-3-methoxyphenyl </w:t>
            </w:r>
          </w:p>
          <w:p w14:paraId="5A711682"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 xml:space="preserve">derivative of </w:t>
            </w:r>
            <w:proofErr w:type="spellStart"/>
            <w:r>
              <w:rPr>
                <w:rFonts w:ascii="Times New Roman" w:hAnsi="Times New Roman" w:cs="Times New Roman"/>
                <w:sz w:val="24"/>
                <w:szCs w:val="24"/>
              </w:rPr>
              <w:t>C</w:t>
            </w:r>
            <w:r w:rsidRPr="00913B05">
              <w:rPr>
                <w:rFonts w:ascii="Times New Roman" w:hAnsi="Times New Roman" w:cs="Times New Roman"/>
                <w:sz w:val="24"/>
                <w:szCs w:val="24"/>
              </w:rPr>
              <w:t>hromenoquinolinone</w:t>
            </w:r>
            <w:proofErr w:type="spellEnd"/>
          </w:p>
        </w:tc>
        <w:tc>
          <w:tcPr>
            <w:tcW w:w="1597" w:type="dxa"/>
          </w:tcPr>
          <w:p w14:paraId="3F796FC3"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-7.9</w:t>
            </w:r>
          </w:p>
        </w:tc>
        <w:tc>
          <w:tcPr>
            <w:tcW w:w="1628" w:type="dxa"/>
          </w:tcPr>
          <w:p w14:paraId="30C17351"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Nil</w:t>
            </w:r>
          </w:p>
        </w:tc>
      </w:tr>
      <w:tr w:rsidR="00B94D0B" w:rsidRPr="00913B05" w14:paraId="0D79F25A" w14:textId="77777777" w:rsidTr="00112549">
        <w:tc>
          <w:tcPr>
            <w:tcW w:w="1436" w:type="dxa"/>
          </w:tcPr>
          <w:p w14:paraId="0EA02098"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A8</w:t>
            </w:r>
          </w:p>
        </w:tc>
        <w:tc>
          <w:tcPr>
            <w:tcW w:w="2483" w:type="dxa"/>
          </w:tcPr>
          <w:p w14:paraId="300F2CE7"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4-(</w:t>
            </w:r>
            <w:proofErr w:type="spellStart"/>
            <w:r w:rsidRPr="00913B05">
              <w:rPr>
                <w:rFonts w:ascii="Times New Roman" w:hAnsi="Times New Roman" w:cs="Times New Roman"/>
                <w:sz w:val="24"/>
                <w:szCs w:val="24"/>
              </w:rPr>
              <w:t>dimethylamino</w:t>
            </w:r>
            <w:proofErr w:type="spellEnd"/>
            <w:r w:rsidRPr="00913B05">
              <w:rPr>
                <w:rFonts w:ascii="Times New Roman" w:hAnsi="Times New Roman" w:cs="Times New Roman"/>
                <w:sz w:val="24"/>
                <w:szCs w:val="24"/>
              </w:rPr>
              <w:t xml:space="preserve">)phenyl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513A70E9"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-7.9</w:t>
            </w:r>
          </w:p>
        </w:tc>
        <w:tc>
          <w:tcPr>
            <w:tcW w:w="1628" w:type="dxa"/>
          </w:tcPr>
          <w:p w14:paraId="4A0A7010"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Nil</w:t>
            </w:r>
          </w:p>
        </w:tc>
      </w:tr>
      <w:tr w:rsidR="00B94D0B" w:rsidRPr="00913B05" w14:paraId="5C20F63E" w14:textId="77777777" w:rsidTr="00112549">
        <w:tc>
          <w:tcPr>
            <w:tcW w:w="1436" w:type="dxa"/>
          </w:tcPr>
          <w:p w14:paraId="1A5326B0"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A9</w:t>
            </w:r>
          </w:p>
        </w:tc>
        <w:tc>
          <w:tcPr>
            <w:tcW w:w="2483" w:type="dxa"/>
          </w:tcPr>
          <w:p w14:paraId="02FFE610" w14:textId="77777777" w:rsidR="00B94D0B" w:rsidRPr="00913B05" w:rsidRDefault="00B94D0B" w:rsidP="00112549">
            <w:pPr>
              <w:rPr>
                <w:rFonts w:ascii="Times New Roman" w:hAnsi="Times New Roman" w:cs="Times New Roman"/>
                <w:sz w:val="24"/>
                <w:szCs w:val="24"/>
              </w:rPr>
            </w:pPr>
            <w:r w:rsidRPr="00913B05">
              <w:rPr>
                <w:rFonts w:ascii="Times New Roman" w:hAnsi="Times New Roman" w:cs="Times New Roman"/>
                <w:sz w:val="24"/>
                <w:szCs w:val="24"/>
              </w:rPr>
              <w:t xml:space="preserve">3,4-dimethoxyphenyl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2E29A92A"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-8.1</w:t>
            </w:r>
          </w:p>
        </w:tc>
        <w:tc>
          <w:tcPr>
            <w:tcW w:w="1628" w:type="dxa"/>
          </w:tcPr>
          <w:p w14:paraId="0F4B7054"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Nil</w:t>
            </w:r>
          </w:p>
        </w:tc>
      </w:tr>
      <w:tr w:rsidR="00B94D0B" w:rsidRPr="00913B05" w14:paraId="26A5046C" w14:textId="77777777" w:rsidTr="00112549">
        <w:tc>
          <w:tcPr>
            <w:tcW w:w="1436" w:type="dxa"/>
          </w:tcPr>
          <w:p w14:paraId="77939D69"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A10</w:t>
            </w:r>
          </w:p>
        </w:tc>
        <w:tc>
          <w:tcPr>
            <w:tcW w:w="2483" w:type="dxa"/>
          </w:tcPr>
          <w:p w14:paraId="750AACC4"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 xml:space="preserve">2,4-dihydroxylphenyl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3592E380"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-8.0</w:t>
            </w:r>
          </w:p>
        </w:tc>
        <w:tc>
          <w:tcPr>
            <w:tcW w:w="1628" w:type="dxa"/>
          </w:tcPr>
          <w:p w14:paraId="5F2E688F"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SER 488</w:t>
            </w:r>
          </w:p>
          <w:p w14:paraId="126E2598"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ARG 487</w:t>
            </w:r>
          </w:p>
        </w:tc>
      </w:tr>
    </w:tbl>
    <w:p w14:paraId="23A772A9" w14:textId="77777777" w:rsidR="006E6C7A" w:rsidRPr="00DB4A33" w:rsidRDefault="006E6C7A" w:rsidP="00DB4A33">
      <w:pPr>
        <w:spacing w:line="360" w:lineRule="auto"/>
        <w:jc w:val="both"/>
        <w:rPr>
          <w:rFonts w:ascii="Times New Roman" w:hAnsi="Times New Roman" w:cs="Times New Roman"/>
          <w:sz w:val="24"/>
          <w:szCs w:val="24"/>
        </w:rPr>
      </w:pPr>
    </w:p>
    <w:p w14:paraId="69E6858C" w14:textId="77777777" w:rsidR="006E6C7A" w:rsidRPr="00DB4A33" w:rsidRDefault="006E6C7A" w:rsidP="00DB4A33">
      <w:pPr>
        <w:spacing w:line="360" w:lineRule="auto"/>
        <w:jc w:val="both"/>
        <w:rPr>
          <w:rFonts w:ascii="Times New Roman" w:hAnsi="Times New Roman" w:cs="Times New Roman"/>
          <w:sz w:val="24"/>
          <w:szCs w:val="24"/>
        </w:rPr>
      </w:pPr>
    </w:p>
    <w:p w14:paraId="4B9E48FD" w14:textId="77777777" w:rsidR="006E6C7A" w:rsidRPr="00DB4A33" w:rsidRDefault="006E6C7A" w:rsidP="00DB4A33">
      <w:pPr>
        <w:spacing w:line="360" w:lineRule="auto"/>
        <w:jc w:val="both"/>
        <w:rPr>
          <w:rFonts w:ascii="Times New Roman" w:hAnsi="Times New Roman" w:cs="Times New Roman"/>
          <w:sz w:val="24"/>
          <w:szCs w:val="24"/>
        </w:rPr>
      </w:pPr>
    </w:p>
    <w:p w14:paraId="1262F8CA" w14:textId="77777777" w:rsidR="006E6C7A" w:rsidRPr="00DB4A33" w:rsidRDefault="006E6C7A" w:rsidP="00DB4A33">
      <w:pPr>
        <w:spacing w:line="360" w:lineRule="auto"/>
        <w:jc w:val="both"/>
        <w:rPr>
          <w:rFonts w:ascii="Times New Roman" w:hAnsi="Times New Roman" w:cs="Times New Roman"/>
          <w:sz w:val="24"/>
          <w:szCs w:val="24"/>
        </w:rPr>
      </w:pPr>
    </w:p>
    <w:p w14:paraId="79EF1FEA" w14:textId="77777777" w:rsidR="006E6C7A" w:rsidRPr="00DB4A33" w:rsidRDefault="006E6C7A" w:rsidP="00DB4A33">
      <w:pPr>
        <w:spacing w:line="360" w:lineRule="auto"/>
        <w:jc w:val="both"/>
        <w:rPr>
          <w:rFonts w:ascii="Times New Roman" w:hAnsi="Times New Roman" w:cs="Times New Roman"/>
          <w:sz w:val="24"/>
          <w:szCs w:val="24"/>
        </w:rPr>
      </w:pPr>
    </w:p>
    <w:p w14:paraId="65A85F99" w14:textId="77777777" w:rsidR="002154C6" w:rsidRDefault="002154C6" w:rsidP="00DB4A33">
      <w:pPr>
        <w:spacing w:line="360" w:lineRule="auto"/>
        <w:jc w:val="both"/>
        <w:rPr>
          <w:rFonts w:ascii="Times New Roman" w:hAnsi="Times New Roman" w:cs="Times New Roman"/>
          <w:sz w:val="24"/>
          <w:szCs w:val="24"/>
        </w:rPr>
      </w:pPr>
    </w:p>
    <w:p w14:paraId="076859B6" w14:textId="77777777" w:rsidR="00DB4A33" w:rsidRDefault="00DB4A33" w:rsidP="00DB4A33">
      <w:pPr>
        <w:spacing w:line="360" w:lineRule="auto"/>
        <w:jc w:val="both"/>
        <w:rPr>
          <w:rFonts w:ascii="Times New Roman" w:hAnsi="Times New Roman" w:cs="Times New Roman"/>
          <w:sz w:val="24"/>
          <w:szCs w:val="24"/>
        </w:rPr>
      </w:pPr>
    </w:p>
    <w:p w14:paraId="49464886" w14:textId="77777777" w:rsidR="003B6EF7" w:rsidRPr="00DB4A33" w:rsidRDefault="003B6EF7" w:rsidP="00DB4A33">
      <w:pPr>
        <w:spacing w:line="360" w:lineRule="auto"/>
        <w:jc w:val="both"/>
        <w:rPr>
          <w:rFonts w:ascii="Times New Roman" w:hAnsi="Times New Roman" w:cs="Times New Roman"/>
          <w:sz w:val="24"/>
          <w:szCs w:val="24"/>
        </w:rPr>
      </w:pPr>
    </w:p>
    <w:p w14:paraId="2859195E" w14:textId="77777777" w:rsidR="00931929" w:rsidRPr="00DB4A33" w:rsidRDefault="00700199" w:rsidP="00DB4A33">
      <w:pPr>
        <w:spacing w:line="360" w:lineRule="auto"/>
        <w:jc w:val="both"/>
        <w:rPr>
          <w:rFonts w:ascii="Times New Roman" w:hAnsi="Times New Roman" w:cs="Times New Roman"/>
          <w:sz w:val="24"/>
          <w:szCs w:val="24"/>
        </w:rPr>
      </w:pPr>
      <w:r w:rsidRPr="00DB4A33">
        <w:rPr>
          <w:rFonts w:ascii="Times New Roman" w:hAnsi="Times New Roman" w:cs="Times New Roman"/>
          <w:b/>
          <w:noProof/>
          <w:sz w:val="24"/>
          <w:szCs w:val="24"/>
        </w:rPr>
        <w:lastRenderedPageBreak/>
        <mc:AlternateContent>
          <mc:Choice Requires="wps">
            <w:drawing>
              <wp:anchor distT="0" distB="0" distL="114300" distR="114300" simplePos="0" relativeHeight="251670528" behindDoc="0" locked="0" layoutInCell="1" allowOverlap="1" wp14:anchorId="4B5ABA17" wp14:editId="72A1E54F">
                <wp:simplePos x="0" y="0"/>
                <wp:positionH relativeFrom="column">
                  <wp:posOffset>273132</wp:posOffset>
                </wp:positionH>
                <wp:positionV relativeFrom="paragraph">
                  <wp:posOffset>190005</wp:posOffset>
                </wp:positionV>
                <wp:extent cx="5297525" cy="2755076"/>
                <wp:effectExtent l="0" t="0" r="17780" b="26670"/>
                <wp:wrapNone/>
                <wp:docPr id="11" name="Plaque 11"/>
                <wp:cNvGraphicFramePr/>
                <a:graphic xmlns:a="http://schemas.openxmlformats.org/drawingml/2006/main">
                  <a:graphicData uri="http://schemas.microsoft.com/office/word/2010/wordprocessingShape">
                    <wps:wsp>
                      <wps:cNvSpPr/>
                      <wps:spPr>
                        <a:xfrm>
                          <a:off x="0" y="0"/>
                          <a:ext cx="5297525" cy="2755076"/>
                        </a:xfrm>
                        <a:prstGeom prst="plaque">
                          <a:avLst/>
                        </a:prstGeom>
                        <a:noFill/>
                        <a:ln w="19050">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EB62BF"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26" type="#_x0000_t21" style="position:absolute;margin-left:21.5pt;margin-top:14.95pt;width:417.15pt;height:21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" filled="f" strokecolor="#823b0b [1605]" strokeweight="1.5pt">
                <v:stroke dashstyle="1 1"/>
              </v:shape>
            </w:pict>
          </mc:Fallback>
        </mc:AlternateContent>
      </w:r>
      <w:r w:rsidR="008B1950" w:rsidRPr="00DB4A33">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759E859B" wp14:editId="5D78812B">
                <wp:simplePos x="0" y="0"/>
                <wp:positionH relativeFrom="margin">
                  <wp:posOffset>26126</wp:posOffset>
                </wp:positionH>
                <wp:positionV relativeFrom="paragraph">
                  <wp:posOffset>0</wp:posOffset>
                </wp:positionV>
                <wp:extent cx="5773783" cy="3905794"/>
                <wp:effectExtent l="0" t="0" r="17780" b="19050"/>
                <wp:wrapNone/>
                <wp:docPr id="26" name="Rectangle 26"/>
                <wp:cNvGraphicFramePr/>
                <a:graphic xmlns:a="http://schemas.openxmlformats.org/drawingml/2006/main">
                  <a:graphicData uri="http://schemas.microsoft.com/office/word/2010/wordprocessingShape">
                    <wps:wsp>
                      <wps:cNvSpPr/>
                      <wps:spPr>
                        <a:xfrm>
                          <a:off x="0" y="0"/>
                          <a:ext cx="5773783" cy="39057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F65AB5" id="Rectangle 26" o:spid="_x0000_s1026" style="position:absolute;margin-left:2.05pt;margin-top:0;width:454.65pt;height:307.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" filled="f" strokecolor="black [3213]" strokeweight="1pt">
                <w10:wrap anchorx="margin"/>
              </v:rect>
            </w:pict>
          </mc:Fallback>
        </mc:AlternateContent>
      </w:r>
      <w:r w:rsidR="008B1950" w:rsidRPr="00DB4A33">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67E83875" wp14:editId="52CADBAF">
                <wp:simplePos x="0" y="0"/>
                <wp:positionH relativeFrom="column">
                  <wp:posOffset>2243159</wp:posOffset>
                </wp:positionH>
                <wp:positionV relativeFrom="paragraph">
                  <wp:posOffset>199331</wp:posOffset>
                </wp:positionV>
                <wp:extent cx="0" cy="2307265"/>
                <wp:effectExtent l="0" t="0" r="19050" b="17145"/>
                <wp:wrapNone/>
                <wp:docPr id="12" name="Straight Connector 12"/>
                <wp:cNvGraphicFramePr/>
                <a:graphic xmlns:a="http://schemas.openxmlformats.org/drawingml/2006/main">
                  <a:graphicData uri="http://schemas.microsoft.com/office/word/2010/wordprocessingShape">
                    <wps:wsp>
                      <wps:cNvCnPr/>
                      <wps:spPr>
                        <a:xfrm flipH="1">
                          <a:off x="0" y="0"/>
                          <a:ext cx="0" cy="2307265"/>
                        </a:xfrm>
                        <a:prstGeom prst="line">
                          <a:avLst/>
                        </a:prstGeom>
                        <a:ln w="19050">
                          <a:solidFill>
                            <a:srgbClr val="C000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B0DB0D" id="Straight Connector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65pt,15.7pt" to="176.65pt,1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" strokecolor="#c00000" strokeweight="1.5pt">
                <v:stroke dashstyle="1 1" joinstyle="miter"/>
              </v:line>
            </w:pict>
          </mc:Fallback>
        </mc:AlternateContent>
      </w:r>
      <w:r w:rsidR="00931929" w:rsidRPr="00DB4A33">
        <w:rPr>
          <w:rFonts w:ascii="Times New Roman" w:hAnsi="Times New Roman" w:cs="Times New Roman"/>
          <w:b/>
          <w:noProof/>
          <w:sz w:val="24"/>
          <w:szCs w:val="24"/>
        </w:rPr>
        <w:drawing>
          <wp:inline distT="0" distB="0" distL="0" distR="0" wp14:anchorId="27CCA32F" wp14:editId="709D0296">
            <wp:extent cx="3899121" cy="2519045"/>
            <wp:effectExtent l="4127"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xythiaminepymol.png"/>
                    <pic:cNvPicPr/>
                  </pic:nvPicPr>
                  <pic:blipFill rotWithShape="1">
                    <a:blip r:embed="rId11">
                      <a:extLst>
                        <a:ext uri="{28A0092B-C50C-407E-A947-70E740481C1C}">
                          <a14:useLocalDpi xmlns:a14="http://schemas.microsoft.com/office/drawing/2010/main" val="0"/>
                        </a:ext>
                      </a:extLst>
                    </a:blip>
                    <a:srcRect l="25242" r="19676"/>
                    <a:stretch/>
                  </pic:blipFill>
                  <pic:spPr bwMode="auto">
                    <a:xfrm rot="16200000">
                      <a:off x="0" y="0"/>
                      <a:ext cx="3928823" cy="2538234"/>
                    </a:xfrm>
                    <a:prstGeom prst="rect">
                      <a:avLst/>
                    </a:prstGeom>
                    <a:ln>
                      <a:noFill/>
                    </a:ln>
                    <a:extLst>
                      <a:ext uri="{53640926-AAD7-44D8-BBD7-CCE9431645EC}">
                        <a14:shadowObscured xmlns:a14="http://schemas.microsoft.com/office/drawing/2010/main"/>
                      </a:ext>
                    </a:extLst>
                  </pic:spPr>
                </pic:pic>
              </a:graphicData>
            </a:graphic>
          </wp:inline>
        </w:drawing>
      </w:r>
      <w:r w:rsidR="008B1950" w:rsidRPr="00DB4A33">
        <w:rPr>
          <w:rFonts w:ascii="Times New Roman" w:hAnsi="Times New Roman" w:cs="Times New Roman"/>
          <w:b/>
          <w:noProof/>
          <w:sz w:val="24"/>
          <w:szCs w:val="24"/>
        </w:rPr>
        <w:drawing>
          <wp:inline distT="0" distB="0" distL="0" distR="0" wp14:anchorId="68C4B171" wp14:editId="5CD83668">
            <wp:extent cx="3408218" cy="3777615"/>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D-Ligand 1.png"/>
                    <pic:cNvPicPr/>
                  </pic:nvPicPr>
                  <pic:blipFill>
                    <a:blip r:embed="rId12">
                      <a:extLst>
                        <a:ext uri="{28A0092B-C50C-407E-A947-70E740481C1C}">
                          <a14:useLocalDpi xmlns:a14="http://schemas.microsoft.com/office/drawing/2010/main" val="0"/>
                        </a:ext>
                      </a:extLst>
                    </a:blip>
                    <a:stretch>
                      <a:fillRect/>
                    </a:stretch>
                  </pic:blipFill>
                  <pic:spPr>
                    <a:xfrm>
                      <a:off x="0" y="0"/>
                      <a:ext cx="3465502" cy="3841108"/>
                    </a:xfrm>
                    <a:prstGeom prst="rect">
                      <a:avLst/>
                    </a:prstGeom>
                  </pic:spPr>
                </pic:pic>
              </a:graphicData>
            </a:graphic>
          </wp:inline>
        </w:drawing>
      </w:r>
    </w:p>
    <w:p w14:paraId="7D2EF912"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      F</w:t>
      </w:r>
      <w:r w:rsidR="00260863" w:rsidRPr="00DB4A33">
        <w:rPr>
          <w:rFonts w:ascii="Times New Roman" w:hAnsi="Times New Roman" w:cs="Times New Roman"/>
          <w:sz w:val="24"/>
          <w:szCs w:val="24"/>
        </w:rPr>
        <w:t>ig</w:t>
      </w:r>
      <w:r w:rsidR="00BD2A6E">
        <w:rPr>
          <w:rFonts w:ascii="Times New Roman" w:hAnsi="Times New Roman" w:cs="Times New Roman"/>
          <w:sz w:val="24"/>
          <w:szCs w:val="24"/>
        </w:rPr>
        <w:t>ure</w:t>
      </w:r>
      <w:r w:rsidR="00260863" w:rsidRPr="00DB4A33">
        <w:rPr>
          <w:rFonts w:ascii="Times New Roman" w:hAnsi="Times New Roman" w:cs="Times New Roman"/>
          <w:sz w:val="24"/>
          <w:szCs w:val="24"/>
        </w:rPr>
        <w:t xml:space="preserve"> </w:t>
      </w:r>
      <w:r w:rsidR="00DF5C15">
        <w:rPr>
          <w:rFonts w:ascii="Times New Roman" w:hAnsi="Times New Roman" w:cs="Times New Roman"/>
          <w:sz w:val="24"/>
          <w:szCs w:val="24"/>
        </w:rPr>
        <w:t>3</w:t>
      </w:r>
      <w:r w:rsidRPr="00DB4A33">
        <w:rPr>
          <w:rFonts w:ascii="Times New Roman" w:hAnsi="Times New Roman" w:cs="Times New Roman"/>
          <w:sz w:val="24"/>
          <w:szCs w:val="24"/>
        </w:rPr>
        <w:t>: Molecular Interaction between 9TME_Oxythiamine</w:t>
      </w:r>
      <w:r w:rsidR="00E11AC7" w:rsidRPr="00DB4A33">
        <w:rPr>
          <w:rFonts w:ascii="Times New Roman" w:hAnsi="Times New Roman" w:cs="Times New Roman"/>
          <w:sz w:val="24"/>
          <w:szCs w:val="24"/>
        </w:rPr>
        <w:t xml:space="preserve"> visualized</w:t>
      </w:r>
      <w:r w:rsidRPr="00DB4A33">
        <w:rPr>
          <w:rFonts w:ascii="Times New Roman" w:hAnsi="Times New Roman" w:cs="Times New Roman"/>
          <w:sz w:val="24"/>
          <w:szCs w:val="24"/>
        </w:rPr>
        <w:t xml:space="preserve"> using Discovery Studio</w:t>
      </w:r>
    </w:p>
    <w:p w14:paraId="0E162426" w14:textId="77777777" w:rsidR="002B34C3" w:rsidRPr="00DB4A33" w:rsidRDefault="002B34C3" w:rsidP="00DB4A33">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ab/>
      </w:r>
    </w:p>
    <w:p w14:paraId="02757BFB"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p>
    <w:p w14:paraId="70220C2B"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p>
    <w:p w14:paraId="6539D278"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p>
    <w:p w14:paraId="764C384E"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p>
    <w:p w14:paraId="65190C0F" w14:textId="77777777" w:rsidR="003B6EF7" w:rsidRPr="00DB4A33" w:rsidRDefault="003B6EF7" w:rsidP="00DB4A33">
      <w:pPr>
        <w:tabs>
          <w:tab w:val="left" w:pos="1574"/>
        </w:tabs>
        <w:spacing w:line="360" w:lineRule="auto"/>
        <w:jc w:val="both"/>
        <w:rPr>
          <w:rFonts w:ascii="Times New Roman" w:hAnsi="Times New Roman" w:cs="Times New Roman"/>
          <w:sz w:val="24"/>
          <w:szCs w:val="24"/>
        </w:rPr>
      </w:pPr>
    </w:p>
    <w:p w14:paraId="0CF081E1" w14:textId="77777777" w:rsidR="003B6EF7" w:rsidRPr="00DB4A33" w:rsidRDefault="003B6EF7" w:rsidP="00DB4A33">
      <w:pPr>
        <w:tabs>
          <w:tab w:val="left" w:pos="1574"/>
        </w:tabs>
        <w:spacing w:line="360" w:lineRule="auto"/>
        <w:jc w:val="both"/>
        <w:rPr>
          <w:rFonts w:ascii="Times New Roman" w:hAnsi="Times New Roman" w:cs="Times New Roman"/>
          <w:sz w:val="24"/>
          <w:szCs w:val="24"/>
        </w:rPr>
      </w:pPr>
    </w:p>
    <w:p w14:paraId="01B353D5" w14:textId="77777777" w:rsidR="003B6EF7" w:rsidRPr="00DB4A33" w:rsidRDefault="003B6EF7" w:rsidP="00DB4A33">
      <w:pPr>
        <w:tabs>
          <w:tab w:val="left" w:pos="1574"/>
        </w:tabs>
        <w:spacing w:line="360" w:lineRule="auto"/>
        <w:jc w:val="both"/>
        <w:rPr>
          <w:rFonts w:ascii="Times New Roman" w:hAnsi="Times New Roman" w:cs="Times New Roman"/>
          <w:sz w:val="24"/>
          <w:szCs w:val="24"/>
        </w:rPr>
      </w:pPr>
    </w:p>
    <w:p w14:paraId="57A3C39B" w14:textId="77777777" w:rsidR="003B6EF7" w:rsidRPr="00DB4A33" w:rsidRDefault="003B6EF7" w:rsidP="00DB4A33">
      <w:pPr>
        <w:tabs>
          <w:tab w:val="left" w:pos="1574"/>
        </w:tabs>
        <w:spacing w:line="360" w:lineRule="auto"/>
        <w:jc w:val="both"/>
        <w:rPr>
          <w:rFonts w:ascii="Times New Roman" w:hAnsi="Times New Roman" w:cs="Times New Roman"/>
          <w:sz w:val="24"/>
          <w:szCs w:val="24"/>
        </w:rPr>
      </w:pPr>
    </w:p>
    <w:p w14:paraId="4093F81D" w14:textId="77777777" w:rsidR="00931929" w:rsidRPr="00DB4A33" w:rsidRDefault="00931929" w:rsidP="00DB4A33">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b/>
          <w:noProof/>
          <w:sz w:val="24"/>
          <w:szCs w:val="24"/>
        </w:rPr>
        <w:lastRenderedPageBreak/>
        <mc:AlternateContent>
          <mc:Choice Requires="wps">
            <w:drawing>
              <wp:anchor distT="0" distB="0" distL="114300" distR="114300" simplePos="0" relativeHeight="251675648" behindDoc="0" locked="0" layoutInCell="1" allowOverlap="1" wp14:anchorId="0D264897" wp14:editId="10BB8553">
                <wp:simplePos x="0" y="0"/>
                <wp:positionH relativeFrom="column">
                  <wp:posOffset>418011</wp:posOffset>
                </wp:positionH>
                <wp:positionV relativeFrom="paragraph">
                  <wp:posOffset>13063</wp:posOffset>
                </wp:positionV>
                <wp:extent cx="5120640" cy="3148148"/>
                <wp:effectExtent l="0" t="0" r="22860" b="14605"/>
                <wp:wrapNone/>
                <wp:docPr id="14" name="Plaque 14"/>
                <wp:cNvGraphicFramePr/>
                <a:graphic xmlns:a="http://schemas.openxmlformats.org/drawingml/2006/main">
                  <a:graphicData uri="http://schemas.microsoft.com/office/word/2010/wordprocessingShape">
                    <wps:wsp>
                      <wps:cNvSpPr/>
                      <wps:spPr>
                        <a:xfrm>
                          <a:off x="0" y="0"/>
                          <a:ext cx="5120640" cy="3148148"/>
                        </a:xfrm>
                        <a:prstGeom prst="plaque">
                          <a:avLst/>
                        </a:prstGeom>
                        <a:noFill/>
                        <a:ln w="19050">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DFF34" id="Plaque 14" o:spid="_x0000_s1026" type="#_x0000_t21" style="position:absolute;margin-left:32.9pt;margin-top:1.05pt;width:403.2pt;height:247.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" filled="f" strokecolor="#823b0b [1605]" strokeweight="1.5pt">
                <v:stroke dashstyle="1 1"/>
              </v:shape>
            </w:pict>
          </mc:Fallback>
        </mc:AlternateContent>
      </w:r>
      <w:r w:rsidRPr="00DB4A33">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04F68B09" wp14:editId="01408F7F">
                <wp:simplePos x="0" y="0"/>
                <wp:positionH relativeFrom="margin">
                  <wp:align>left</wp:align>
                </wp:positionH>
                <wp:positionV relativeFrom="paragraph">
                  <wp:posOffset>13062</wp:posOffset>
                </wp:positionV>
                <wp:extent cx="5617029" cy="3814354"/>
                <wp:effectExtent l="0" t="0" r="22225" b="15240"/>
                <wp:wrapNone/>
                <wp:docPr id="29" name="Rectangle 29"/>
                <wp:cNvGraphicFramePr/>
                <a:graphic xmlns:a="http://schemas.openxmlformats.org/drawingml/2006/main">
                  <a:graphicData uri="http://schemas.microsoft.com/office/word/2010/wordprocessingShape">
                    <wps:wsp>
                      <wps:cNvSpPr/>
                      <wps:spPr>
                        <a:xfrm>
                          <a:off x="0" y="0"/>
                          <a:ext cx="5617029" cy="38143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FD3A8" id="Rectangle 29" o:spid="_x0000_s1026" style="position:absolute;margin-left:0;margin-top:1.05pt;width:442.3pt;height:300.3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" filled="f" strokecolor="black [3213]" strokeweight="1pt">
                <w10:wrap anchorx="margin"/>
              </v:rect>
            </w:pict>
          </mc:Fallback>
        </mc:AlternateContent>
      </w:r>
      <w:r w:rsidR="00E11AC7" w:rsidRPr="00DB4A33">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1794FC97" wp14:editId="49AAE6B3">
                <wp:simplePos x="0" y="0"/>
                <wp:positionH relativeFrom="column">
                  <wp:posOffset>2370706</wp:posOffset>
                </wp:positionH>
                <wp:positionV relativeFrom="paragraph">
                  <wp:posOffset>39370</wp:posOffset>
                </wp:positionV>
                <wp:extent cx="0" cy="2307265"/>
                <wp:effectExtent l="0" t="0" r="19050" b="17145"/>
                <wp:wrapNone/>
                <wp:docPr id="16" name="Straight Connector 16"/>
                <wp:cNvGraphicFramePr/>
                <a:graphic xmlns:a="http://schemas.openxmlformats.org/drawingml/2006/main">
                  <a:graphicData uri="http://schemas.microsoft.com/office/word/2010/wordprocessingShape">
                    <wps:wsp>
                      <wps:cNvCnPr/>
                      <wps:spPr>
                        <a:xfrm flipH="1">
                          <a:off x="0" y="0"/>
                          <a:ext cx="0" cy="2307265"/>
                        </a:xfrm>
                        <a:prstGeom prst="line">
                          <a:avLst/>
                        </a:prstGeom>
                        <a:ln w="19050">
                          <a:solidFill>
                            <a:srgbClr val="C000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BF5A28" id="Straight Connector 16"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65pt,3.1pt" to="186.65pt,1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" strokecolor="#c00000" strokeweight="1.5pt">
                <v:stroke dashstyle="1 1" joinstyle="miter"/>
              </v:line>
            </w:pict>
          </mc:Fallback>
        </mc:AlternateContent>
      </w:r>
      <w:r w:rsidRPr="00DB4A33">
        <w:rPr>
          <w:rFonts w:ascii="Times New Roman" w:hAnsi="Times New Roman" w:cs="Times New Roman"/>
          <w:b/>
          <w:noProof/>
          <w:sz w:val="24"/>
          <w:szCs w:val="24"/>
        </w:rPr>
        <w:drawing>
          <wp:inline distT="0" distB="0" distL="0" distR="0" wp14:anchorId="52791D64" wp14:editId="0B696A8F">
            <wp:extent cx="3841211" cy="2519045"/>
            <wp:effectExtent l="0" t="5715"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ymolImageComplex6.png"/>
                    <pic:cNvPicPr/>
                  </pic:nvPicPr>
                  <pic:blipFill rotWithShape="1">
                    <a:blip r:embed="rId13">
                      <a:extLst>
                        <a:ext uri="{28A0092B-C50C-407E-A947-70E740481C1C}">
                          <a14:useLocalDpi xmlns:a14="http://schemas.microsoft.com/office/drawing/2010/main" val="0"/>
                        </a:ext>
                      </a:extLst>
                    </a:blip>
                    <a:srcRect l="27053" t="-3724" r="24601"/>
                    <a:stretch/>
                  </pic:blipFill>
                  <pic:spPr bwMode="auto">
                    <a:xfrm rot="5400000">
                      <a:off x="0" y="0"/>
                      <a:ext cx="3873250" cy="2540056"/>
                    </a:xfrm>
                    <a:prstGeom prst="rect">
                      <a:avLst/>
                    </a:prstGeom>
                    <a:ln>
                      <a:noFill/>
                    </a:ln>
                    <a:extLst>
                      <a:ext uri="{53640926-AAD7-44D8-BBD7-CCE9431645EC}">
                        <a14:shadowObscured xmlns:a14="http://schemas.microsoft.com/office/drawing/2010/main"/>
                      </a:ext>
                    </a:extLst>
                  </pic:spPr>
                </pic:pic>
              </a:graphicData>
            </a:graphic>
          </wp:inline>
        </w:drawing>
      </w:r>
      <w:r w:rsidR="00E11AC7" w:rsidRPr="00DB4A33">
        <w:rPr>
          <w:rFonts w:ascii="Times New Roman" w:hAnsi="Times New Roman" w:cs="Times New Roman"/>
          <w:b/>
          <w:noProof/>
          <w:sz w:val="24"/>
          <w:szCs w:val="24"/>
        </w:rPr>
        <w:drawing>
          <wp:inline distT="0" distB="0" distL="0" distR="0" wp14:anchorId="037D90FF" wp14:editId="0330377E">
            <wp:extent cx="3291840" cy="375793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estdockedcomplex2-Ligand 1.png"/>
                    <pic:cNvPicPr/>
                  </pic:nvPicPr>
                  <pic:blipFill>
                    <a:blip r:embed="rId14">
                      <a:extLst>
                        <a:ext uri="{28A0092B-C50C-407E-A947-70E740481C1C}">
                          <a14:useLocalDpi xmlns:a14="http://schemas.microsoft.com/office/drawing/2010/main" val="0"/>
                        </a:ext>
                      </a:extLst>
                    </a:blip>
                    <a:stretch>
                      <a:fillRect/>
                    </a:stretch>
                  </pic:blipFill>
                  <pic:spPr>
                    <a:xfrm>
                      <a:off x="0" y="0"/>
                      <a:ext cx="3427591" cy="3912902"/>
                    </a:xfrm>
                    <a:prstGeom prst="rect">
                      <a:avLst/>
                    </a:prstGeom>
                  </pic:spPr>
                </pic:pic>
              </a:graphicData>
            </a:graphic>
          </wp:inline>
        </w:drawing>
      </w:r>
    </w:p>
    <w:p w14:paraId="07A2431C"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 Fig</w:t>
      </w:r>
      <w:r w:rsidR="00BD2A6E">
        <w:rPr>
          <w:rFonts w:ascii="Times New Roman" w:hAnsi="Times New Roman" w:cs="Times New Roman"/>
          <w:sz w:val="24"/>
          <w:szCs w:val="24"/>
        </w:rPr>
        <w:t xml:space="preserve">ure </w:t>
      </w:r>
      <w:r w:rsidR="00DF5C15">
        <w:rPr>
          <w:rFonts w:ascii="Times New Roman" w:hAnsi="Times New Roman" w:cs="Times New Roman"/>
          <w:sz w:val="24"/>
          <w:szCs w:val="24"/>
        </w:rPr>
        <w:t>4</w:t>
      </w:r>
      <w:r w:rsidRPr="00DB4A33">
        <w:rPr>
          <w:rFonts w:ascii="Times New Roman" w:hAnsi="Times New Roman" w:cs="Times New Roman"/>
          <w:sz w:val="24"/>
          <w:szCs w:val="24"/>
        </w:rPr>
        <w:t>: Molecular Interaction between 9TME_Trimethoxyphenyl visualized using Discovery Studio</w:t>
      </w:r>
    </w:p>
    <w:p w14:paraId="76F54317"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3A1BB2DB"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53A94BCE"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20CE0C48"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1BB9F5F5"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481D7CA3"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2E4361BE"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6A097868" w14:textId="77777777" w:rsidR="003B6EF7" w:rsidRDefault="003B6EF7" w:rsidP="00DB4A33">
      <w:pPr>
        <w:tabs>
          <w:tab w:val="left" w:pos="1574"/>
        </w:tabs>
        <w:spacing w:line="360" w:lineRule="auto"/>
        <w:jc w:val="both"/>
        <w:rPr>
          <w:rFonts w:ascii="Times New Roman" w:hAnsi="Times New Roman" w:cs="Times New Roman"/>
          <w:sz w:val="24"/>
          <w:szCs w:val="24"/>
        </w:rPr>
      </w:pPr>
    </w:p>
    <w:p w14:paraId="085D2B71" w14:textId="77777777" w:rsidR="00200136" w:rsidRPr="00DB4A33" w:rsidRDefault="00200136" w:rsidP="00DB4A33">
      <w:pPr>
        <w:tabs>
          <w:tab w:val="left" w:pos="1574"/>
        </w:tabs>
        <w:spacing w:line="360" w:lineRule="auto"/>
        <w:jc w:val="both"/>
        <w:rPr>
          <w:rFonts w:ascii="Times New Roman" w:hAnsi="Times New Roman" w:cs="Times New Roman"/>
          <w:sz w:val="24"/>
          <w:szCs w:val="24"/>
        </w:rPr>
      </w:pPr>
    </w:p>
    <w:p w14:paraId="7958329D" w14:textId="77777777" w:rsidR="00AB24BE" w:rsidRPr="00DB4A33" w:rsidRDefault="00AB24BE" w:rsidP="00DB4A33">
      <w:pPr>
        <w:tabs>
          <w:tab w:val="left" w:pos="1574"/>
        </w:tabs>
        <w:spacing w:line="360" w:lineRule="auto"/>
        <w:jc w:val="both"/>
        <w:rPr>
          <w:rFonts w:ascii="Times New Roman" w:hAnsi="Times New Roman" w:cs="Times New Roman"/>
          <w:sz w:val="24"/>
          <w:szCs w:val="24"/>
        </w:rPr>
      </w:pPr>
    </w:p>
    <w:p w14:paraId="479AA373" w14:textId="77777777" w:rsidR="00426537" w:rsidRPr="00DB4A33" w:rsidRDefault="00426537" w:rsidP="00DB4A33">
      <w:pPr>
        <w:spacing w:line="360" w:lineRule="auto"/>
        <w:jc w:val="both"/>
        <w:rPr>
          <w:rFonts w:ascii="Times New Roman" w:hAnsi="Times New Roman" w:cs="Times New Roman"/>
          <w:sz w:val="24"/>
          <w:szCs w:val="24"/>
        </w:rPr>
      </w:pPr>
      <w:r w:rsidRPr="00DB4A33">
        <w:rPr>
          <w:rFonts w:ascii="Times New Roman" w:hAnsi="Times New Roman" w:cs="Times New Roman"/>
          <w:b/>
          <w:noProof/>
          <w:sz w:val="24"/>
          <w:szCs w:val="24"/>
        </w:rPr>
        <w:lastRenderedPageBreak/>
        <mc:AlternateContent>
          <mc:Choice Requires="wps">
            <w:drawing>
              <wp:anchor distT="0" distB="0" distL="114300" distR="114300" simplePos="0" relativeHeight="251682816" behindDoc="0" locked="0" layoutInCell="1" allowOverlap="1" wp14:anchorId="68290610" wp14:editId="08DA827C">
                <wp:simplePos x="0" y="0"/>
                <wp:positionH relativeFrom="column">
                  <wp:posOffset>249382</wp:posOffset>
                </wp:positionH>
                <wp:positionV relativeFrom="paragraph">
                  <wp:posOffset>130629</wp:posOffset>
                </wp:positionV>
                <wp:extent cx="5361165" cy="3226526"/>
                <wp:effectExtent l="0" t="0" r="11430" b="12065"/>
                <wp:wrapNone/>
                <wp:docPr id="17" name="Plaque 17"/>
                <wp:cNvGraphicFramePr/>
                <a:graphic xmlns:a="http://schemas.openxmlformats.org/drawingml/2006/main">
                  <a:graphicData uri="http://schemas.microsoft.com/office/word/2010/wordprocessingShape">
                    <wps:wsp>
                      <wps:cNvSpPr/>
                      <wps:spPr>
                        <a:xfrm>
                          <a:off x="0" y="0"/>
                          <a:ext cx="5361165" cy="3226526"/>
                        </a:xfrm>
                        <a:prstGeom prst="plaque">
                          <a:avLst/>
                        </a:prstGeom>
                        <a:noFill/>
                        <a:ln w="19050">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D15A6" id="Plaque 17" o:spid="_x0000_s1026" type="#_x0000_t21" style="position:absolute;margin-left:19.65pt;margin-top:10.3pt;width:422.15pt;height:25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" filled="f" strokecolor="#823b0b [1605]" strokeweight="1.5pt">
                <v:stroke dashstyle="1 1"/>
              </v:shape>
            </w:pict>
          </mc:Fallback>
        </mc:AlternateContent>
      </w:r>
      <w:r w:rsidR="003B6EF7" w:rsidRPr="00DB4A33">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14:anchorId="6629B2A2" wp14:editId="68B6E404">
                <wp:simplePos x="0" y="0"/>
                <wp:positionH relativeFrom="margin">
                  <wp:align>left</wp:align>
                </wp:positionH>
                <wp:positionV relativeFrom="paragraph">
                  <wp:posOffset>9525</wp:posOffset>
                </wp:positionV>
                <wp:extent cx="5686425" cy="3905795"/>
                <wp:effectExtent l="0" t="0" r="28575" b="19050"/>
                <wp:wrapNone/>
                <wp:docPr id="46" name="Rectangle 46"/>
                <wp:cNvGraphicFramePr/>
                <a:graphic xmlns:a="http://schemas.openxmlformats.org/drawingml/2006/main">
                  <a:graphicData uri="http://schemas.microsoft.com/office/word/2010/wordprocessingShape">
                    <wps:wsp>
                      <wps:cNvSpPr/>
                      <wps:spPr>
                        <a:xfrm>
                          <a:off x="0" y="0"/>
                          <a:ext cx="5686425" cy="39057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FBE574" id="Rectangle 46" o:spid="_x0000_s1026" style="position:absolute;margin-left:0;margin-top:.75pt;width:447.75pt;height:307.55pt;z-index:2517094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" filled="f" strokecolor="black [3213]" strokeweight="1pt">
                <w10:wrap anchorx="margin"/>
              </v:rect>
            </w:pict>
          </mc:Fallback>
        </mc:AlternateContent>
      </w:r>
      <w:r w:rsidR="00E11AC7" w:rsidRPr="00DB4A33">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05A8C4AE" wp14:editId="368DF85D">
                <wp:simplePos x="0" y="0"/>
                <wp:positionH relativeFrom="column">
                  <wp:posOffset>2522482</wp:posOffset>
                </wp:positionH>
                <wp:positionV relativeFrom="paragraph">
                  <wp:posOffset>135474</wp:posOffset>
                </wp:positionV>
                <wp:extent cx="219" cy="2668708"/>
                <wp:effectExtent l="0" t="0" r="19050" b="0"/>
                <wp:wrapNone/>
                <wp:docPr id="18" name="Straight Connector 18"/>
                <wp:cNvGraphicFramePr/>
                <a:graphic xmlns:a="http://schemas.openxmlformats.org/drawingml/2006/main">
                  <a:graphicData uri="http://schemas.microsoft.com/office/word/2010/wordprocessingShape">
                    <wps:wsp>
                      <wps:cNvCnPr/>
                      <wps:spPr>
                        <a:xfrm>
                          <a:off x="0" y="0"/>
                          <a:ext cx="219" cy="2668708"/>
                        </a:xfrm>
                        <a:prstGeom prst="line">
                          <a:avLst/>
                        </a:prstGeom>
                        <a:ln w="19050">
                          <a:solidFill>
                            <a:srgbClr val="C000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8FD016" id="Straight Connector 1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6pt,10.65pt" to="198.6pt,2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" strokecolor="#c00000" strokeweight="1.5pt">
                <v:stroke dashstyle="1 1" joinstyle="miter"/>
              </v:line>
            </w:pict>
          </mc:Fallback>
        </mc:AlternateContent>
      </w:r>
      <w:r w:rsidRPr="00DB4A33">
        <w:rPr>
          <w:rFonts w:ascii="Times New Roman" w:hAnsi="Times New Roman" w:cs="Times New Roman"/>
          <w:noProof/>
          <w:sz w:val="24"/>
          <w:szCs w:val="24"/>
        </w:rPr>
        <w:drawing>
          <wp:inline distT="0" distB="0" distL="0" distR="0" wp14:anchorId="0B08EC1F" wp14:editId="705719D4">
            <wp:extent cx="3947604" cy="2519680"/>
            <wp:effectExtent l="8890" t="0" r="508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estcomplex4pymol.pn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3971588" cy="2534988"/>
                    </a:xfrm>
                    <a:prstGeom prst="rect">
                      <a:avLst/>
                    </a:prstGeom>
                  </pic:spPr>
                </pic:pic>
              </a:graphicData>
            </a:graphic>
          </wp:inline>
        </w:drawing>
      </w:r>
      <w:r w:rsidR="00E11AC7" w:rsidRPr="00DB4A33">
        <w:rPr>
          <w:rFonts w:ascii="Times New Roman" w:hAnsi="Times New Roman" w:cs="Times New Roman"/>
          <w:noProof/>
          <w:sz w:val="24"/>
          <w:szCs w:val="24"/>
        </w:rPr>
        <w:drawing>
          <wp:inline distT="0" distB="0" distL="0" distR="0" wp14:anchorId="6952EBE6" wp14:editId="2D30B9B0">
            <wp:extent cx="3152231" cy="35483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estComplex8interaction-Ligand 1ball.png"/>
                    <pic:cNvPicPr/>
                  </pic:nvPicPr>
                  <pic:blipFill>
                    <a:blip r:embed="rId16">
                      <a:extLst>
                        <a:ext uri="{28A0092B-C50C-407E-A947-70E740481C1C}">
                          <a14:useLocalDpi xmlns:a14="http://schemas.microsoft.com/office/drawing/2010/main" val="0"/>
                        </a:ext>
                      </a:extLst>
                    </a:blip>
                    <a:stretch>
                      <a:fillRect/>
                    </a:stretch>
                  </pic:blipFill>
                  <pic:spPr>
                    <a:xfrm>
                      <a:off x="0" y="0"/>
                      <a:ext cx="3157520" cy="3554334"/>
                    </a:xfrm>
                    <a:prstGeom prst="rect">
                      <a:avLst/>
                    </a:prstGeom>
                  </pic:spPr>
                </pic:pic>
              </a:graphicData>
            </a:graphic>
          </wp:inline>
        </w:drawing>
      </w:r>
    </w:p>
    <w:p w14:paraId="127D5AB5" w14:textId="77777777" w:rsidR="00200136" w:rsidRPr="00DB4A33" w:rsidRDefault="00E3224D" w:rsidP="00DB4A33">
      <w:pPr>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   Fig</w:t>
      </w:r>
      <w:r w:rsidR="00BD2A6E">
        <w:rPr>
          <w:rFonts w:ascii="Times New Roman" w:hAnsi="Times New Roman" w:cs="Times New Roman"/>
          <w:sz w:val="24"/>
          <w:szCs w:val="24"/>
        </w:rPr>
        <w:t>ure</w:t>
      </w:r>
      <w:r w:rsidRPr="00DB4A33">
        <w:rPr>
          <w:rFonts w:ascii="Times New Roman" w:hAnsi="Times New Roman" w:cs="Times New Roman"/>
          <w:sz w:val="24"/>
          <w:szCs w:val="24"/>
        </w:rPr>
        <w:t xml:space="preserve"> </w:t>
      </w:r>
      <w:r w:rsidR="00DF5C15">
        <w:rPr>
          <w:rFonts w:ascii="Times New Roman" w:hAnsi="Times New Roman" w:cs="Times New Roman"/>
          <w:sz w:val="24"/>
          <w:szCs w:val="24"/>
        </w:rPr>
        <w:t>5</w:t>
      </w:r>
      <w:r w:rsidRPr="00DB4A33">
        <w:rPr>
          <w:rFonts w:ascii="Times New Roman" w:hAnsi="Times New Roman" w:cs="Times New Roman"/>
          <w:sz w:val="24"/>
          <w:szCs w:val="24"/>
        </w:rPr>
        <w:t>: Molecular Interaction between 9TME_Nitrophenyl visualized using Discovery Studio</w:t>
      </w:r>
    </w:p>
    <w:p w14:paraId="6E0D82C1"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175E1E60"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10C010E2"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335476EF"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4A637794"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64EF50EA"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4C000D47"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390A48B1"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tbl>
      <w:tblPr>
        <w:tblStyle w:val="TableGrid"/>
        <w:tblW w:w="9985" w:type="dxa"/>
        <w:tblLook w:val="04A0" w:firstRow="1" w:lastRow="0" w:firstColumn="1" w:lastColumn="0" w:noHBand="0" w:noVBand="1"/>
      </w:tblPr>
      <w:tblGrid>
        <w:gridCol w:w="2350"/>
        <w:gridCol w:w="1790"/>
        <w:gridCol w:w="1310"/>
        <w:gridCol w:w="1536"/>
        <w:gridCol w:w="1310"/>
        <w:gridCol w:w="1689"/>
      </w:tblGrid>
      <w:tr w:rsidR="00177F7C" w:rsidRPr="00DB4A33" w14:paraId="1C3A5C75" w14:textId="77777777" w:rsidTr="00BD2A6E">
        <w:trPr>
          <w:trHeight w:val="4031"/>
        </w:trPr>
        <w:tc>
          <w:tcPr>
            <w:tcW w:w="2350" w:type="dxa"/>
          </w:tcPr>
          <w:p w14:paraId="5A93775B"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lastRenderedPageBreak/>
              <w:t>Ligands</w:t>
            </w:r>
          </w:p>
        </w:tc>
        <w:tc>
          <w:tcPr>
            <w:tcW w:w="1790" w:type="dxa"/>
          </w:tcPr>
          <w:p w14:paraId="6656BBB8"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286C5DA2"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6050D6E2"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Bind Electrostatic Energy</w:t>
            </w:r>
            <w:r>
              <w:rPr>
                <w:rFonts w:ascii="Times New Roman" w:hAnsi="Times New Roman" w:cs="Times New Roman"/>
                <w:b/>
                <w:sz w:val="24"/>
                <w:szCs w:val="24"/>
              </w:rPr>
              <w:t xml:space="preserve"> </w:t>
            </w:r>
            <w:r w:rsidRPr="00DB4A33">
              <w:rPr>
                <w:rFonts w:ascii="Times New Roman" w:hAnsi="Times New Roman" w:cs="Times New Roman"/>
                <w:b/>
                <w:sz w:val="24"/>
                <w:szCs w:val="24"/>
              </w:rPr>
              <w:t>(Kcal/mol)</w:t>
            </w:r>
          </w:p>
        </w:tc>
        <w:tc>
          <w:tcPr>
            <w:tcW w:w="1310" w:type="dxa"/>
          </w:tcPr>
          <w:p w14:paraId="18507D70"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62E8E34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1B64712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Bind Covalent bond (Kcal/mol)</w:t>
            </w:r>
          </w:p>
          <w:p w14:paraId="77562595"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p>
        </w:tc>
        <w:tc>
          <w:tcPr>
            <w:tcW w:w="1536" w:type="dxa"/>
          </w:tcPr>
          <w:p w14:paraId="3EECB05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193643D7"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51D54C19"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Bind VanderWaal Forces</w:t>
            </w:r>
          </w:p>
          <w:p w14:paraId="7ED52F5F"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(Kcal/mol)</w:t>
            </w:r>
          </w:p>
        </w:tc>
        <w:tc>
          <w:tcPr>
            <w:tcW w:w="1310" w:type="dxa"/>
          </w:tcPr>
          <w:p w14:paraId="53875CF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0B06BA44"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1C247535"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Bind Polar Solvation (Kcal/mol)</w:t>
            </w:r>
          </w:p>
        </w:tc>
        <w:tc>
          <w:tcPr>
            <w:tcW w:w="1689" w:type="dxa"/>
          </w:tcPr>
          <w:p w14:paraId="3DB13611"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5273EC69"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444167DD"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Overall Binding Energy (Kcal/mol)</w:t>
            </w:r>
          </w:p>
        </w:tc>
      </w:tr>
      <w:tr w:rsidR="00177F7C" w:rsidRPr="00DB4A33" w14:paraId="46DE10E0" w14:textId="77777777" w:rsidTr="00BD2A6E">
        <w:tc>
          <w:tcPr>
            <w:tcW w:w="2350" w:type="dxa"/>
          </w:tcPr>
          <w:p w14:paraId="05F9BFD0"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proofErr w:type="spellStart"/>
            <w:r w:rsidRPr="00DB4A33">
              <w:rPr>
                <w:rFonts w:ascii="Times New Roman" w:hAnsi="Times New Roman" w:cs="Times New Roman"/>
                <w:b/>
                <w:sz w:val="24"/>
                <w:szCs w:val="24"/>
              </w:rPr>
              <w:t>Oxythiamine</w:t>
            </w:r>
            <w:proofErr w:type="spellEnd"/>
          </w:p>
        </w:tc>
        <w:tc>
          <w:tcPr>
            <w:tcW w:w="1790" w:type="dxa"/>
          </w:tcPr>
          <w:p w14:paraId="594030BB"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-52.63</w:t>
            </w:r>
          </w:p>
        </w:tc>
        <w:tc>
          <w:tcPr>
            <w:tcW w:w="1310" w:type="dxa"/>
          </w:tcPr>
          <w:p w14:paraId="0E9A492F"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-0.02</w:t>
            </w:r>
          </w:p>
        </w:tc>
        <w:tc>
          <w:tcPr>
            <w:tcW w:w="1536" w:type="dxa"/>
          </w:tcPr>
          <w:p w14:paraId="4FF63BFB"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-0.12</w:t>
            </w:r>
          </w:p>
        </w:tc>
        <w:tc>
          <w:tcPr>
            <w:tcW w:w="1310" w:type="dxa"/>
          </w:tcPr>
          <w:p w14:paraId="3467F6F5"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52.74</w:t>
            </w:r>
          </w:p>
        </w:tc>
        <w:tc>
          <w:tcPr>
            <w:tcW w:w="1689" w:type="dxa"/>
          </w:tcPr>
          <w:p w14:paraId="1379E8A0"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-0.02</w:t>
            </w:r>
          </w:p>
        </w:tc>
      </w:tr>
      <w:tr w:rsidR="00177F7C" w:rsidRPr="00DB4A33" w14:paraId="48802317" w14:textId="77777777" w:rsidTr="00BD2A6E">
        <w:tc>
          <w:tcPr>
            <w:tcW w:w="2350" w:type="dxa"/>
          </w:tcPr>
          <w:p w14:paraId="503A378B"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Compound A3 (</w:t>
            </w:r>
            <w:proofErr w:type="spellStart"/>
            <w:r w:rsidRPr="00DB4A33">
              <w:rPr>
                <w:rFonts w:ascii="Times New Roman" w:hAnsi="Times New Roman" w:cs="Times New Roman"/>
                <w:b/>
                <w:sz w:val="24"/>
                <w:szCs w:val="24"/>
              </w:rPr>
              <w:t>Trimethoxylphenyl</w:t>
            </w:r>
            <w:proofErr w:type="spellEnd"/>
            <w:r w:rsidRPr="00DB4A33">
              <w:rPr>
                <w:rFonts w:ascii="Times New Roman" w:hAnsi="Times New Roman" w:cs="Times New Roman"/>
                <w:b/>
                <w:sz w:val="24"/>
                <w:szCs w:val="24"/>
              </w:rPr>
              <w:t>)</w:t>
            </w:r>
          </w:p>
        </w:tc>
        <w:tc>
          <w:tcPr>
            <w:tcW w:w="1790" w:type="dxa"/>
          </w:tcPr>
          <w:p w14:paraId="6471A4FD"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-0.07</w:t>
            </w:r>
          </w:p>
        </w:tc>
        <w:tc>
          <w:tcPr>
            <w:tcW w:w="1310" w:type="dxa"/>
          </w:tcPr>
          <w:p w14:paraId="76D36169"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-0.02</w:t>
            </w:r>
          </w:p>
        </w:tc>
        <w:tc>
          <w:tcPr>
            <w:tcW w:w="1536" w:type="dxa"/>
          </w:tcPr>
          <w:p w14:paraId="264D01BE"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-0.20</w:t>
            </w:r>
          </w:p>
        </w:tc>
        <w:tc>
          <w:tcPr>
            <w:tcW w:w="1310" w:type="dxa"/>
          </w:tcPr>
          <w:p w14:paraId="73488E97"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0.29</w:t>
            </w:r>
          </w:p>
        </w:tc>
        <w:tc>
          <w:tcPr>
            <w:tcW w:w="1689" w:type="dxa"/>
          </w:tcPr>
          <w:p w14:paraId="41933C61"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-0.01</w:t>
            </w:r>
          </w:p>
        </w:tc>
      </w:tr>
      <w:tr w:rsidR="00177F7C" w:rsidRPr="00DB4A33" w14:paraId="391C49EC" w14:textId="77777777" w:rsidTr="00BD2A6E">
        <w:tc>
          <w:tcPr>
            <w:tcW w:w="2350" w:type="dxa"/>
          </w:tcPr>
          <w:p w14:paraId="76CEF8A0"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Compound A6 (Nitrophenyl)</w:t>
            </w:r>
          </w:p>
        </w:tc>
        <w:tc>
          <w:tcPr>
            <w:tcW w:w="1790" w:type="dxa"/>
          </w:tcPr>
          <w:p w14:paraId="7D251911"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-3.03</w:t>
            </w:r>
          </w:p>
        </w:tc>
        <w:tc>
          <w:tcPr>
            <w:tcW w:w="1310" w:type="dxa"/>
          </w:tcPr>
          <w:p w14:paraId="133FA6A0"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-2.81</w:t>
            </w:r>
          </w:p>
        </w:tc>
        <w:tc>
          <w:tcPr>
            <w:tcW w:w="1536" w:type="dxa"/>
          </w:tcPr>
          <w:p w14:paraId="0BE80EF0"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-23.92</w:t>
            </w:r>
          </w:p>
        </w:tc>
        <w:tc>
          <w:tcPr>
            <w:tcW w:w="1310" w:type="dxa"/>
          </w:tcPr>
          <w:p w14:paraId="6091B340"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18.00</w:t>
            </w:r>
          </w:p>
        </w:tc>
        <w:tc>
          <w:tcPr>
            <w:tcW w:w="1689" w:type="dxa"/>
          </w:tcPr>
          <w:p w14:paraId="50968294"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-11.76</w:t>
            </w:r>
          </w:p>
        </w:tc>
      </w:tr>
    </w:tbl>
    <w:p w14:paraId="0D4CBAA1" w14:textId="77777777" w:rsidR="00200136" w:rsidRDefault="00177F7C" w:rsidP="00DB4A33">
      <w:pPr>
        <w:spacing w:before="100" w:beforeAutospacing="1" w:after="100" w:afterAutospacing="1" w:line="360" w:lineRule="auto"/>
        <w:jc w:val="both"/>
        <w:rPr>
          <w:rFonts w:ascii="Times New Roman" w:hAnsi="Times New Roman" w:cs="Times New Roman"/>
          <w:sz w:val="24"/>
          <w:szCs w:val="24"/>
        </w:rPr>
      </w:pPr>
      <w:r w:rsidRPr="00D82944">
        <w:rPr>
          <w:rFonts w:ascii="Times New Roman" w:hAnsi="Times New Roman" w:cs="Times New Roman"/>
          <w:sz w:val="24"/>
          <w:szCs w:val="24"/>
        </w:rPr>
        <w:t xml:space="preserve">Table </w:t>
      </w:r>
      <w:r w:rsidR="002D2115">
        <w:rPr>
          <w:rFonts w:ascii="Times New Roman" w:hAnsi="Times New Roman" w:cs="Times New Roman"/>
          <w:sz w:val="24"/>
          <w:szCs w:val="24"/>
        </w:rPr>
        <w:t>2</w:t>
      </w:r>
      <w:r>
        <w:rPr>
          <w:rFonts w:ascii="Times New Roman" w:hAnsi="Times New Roman" w:cs="Times New Roman"/>
          <w:sz w:val="24"/>
          <w:szCs w:val="24"/>
        </w:rPr>
        <w:t xml:space="preserve">: </w:t>
      </w:r>
      <w:r w:rsidR="00BD2A6E">
        <w:rPr>
          <w:rFonts w:ascii="Times New Roman" w:hAnsi="Times New Roman" w:cs="Times New Roman"/>
          <w:sz w:val="24"/>
          <w:szCs w:val="24"/>
        </w:rPr>
        <w:t xml:space="preserve">Table showing the </w:t>
      </w:r>
      <w:r>
        <w:rPr>
          <w:rFonts w:ascii="Times New Roman" w:hAnsi="Times New Roman" w:cs="Times New Roman"/>
          <w:sz w:val="24"/>
          <w:szCs w:val="24"/>
        </w:rPr>
        <w:t xml:space="preserve">binding free energies of </w:t>
      </w:r>
      <w:proofErr w:type="spellStart"/>
      <w:r>
        <w:rPr>
          <w:rFonts w:ascii="Times New Roman" w:hAnsi="Times New Roman" w:cs="Times New Roman"/>
          <w:sz w:val="24"/>
          <w:szCs w:val="24"/>
        </w:rPr>
        <w:t>oxythiamine</w:t>
      </w:r>
      <w:proofErr w:type="spellEnd"/>
      <w:r>
        <w:rPr>
          <w:rFonts w:ascii="Times New Roman" w:hAnsi="Times New Roman" w:cs="Times New Roman"/>
          <w:sz w:val="24"/>
          <w:szCs w:val="24"/>
        </w:rPr>
        <w:t>, compound A3 and A6</w:t>
      </w:r>
    </w:p>
    <w:p w14:paraId="53A06870"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4BD36222"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07689D34"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5363881D"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2C69B187"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6DCC5E95"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54557276"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6D150E47" w14:textId="77777777" w:rsidR="00BD2A6E" w:rsidRPr="00BD2A6E" w:rsidRDefault="00BD2A6E" w:rsidP="00DB4A33">
      <w:pPr>
        <w:spacing w:before="100" w:beforeAutospacing="1" w:after="100" w:afterAutospacing="1" w:line="360" w:lineRule="auto"/>
        <w:jc w:val="both"/>
        <w:rPr>
          <w:rFonts w:ascii="Times New Roman" w:hAnsi="Times New Roman" w:cs="Times New Roman"/>
          <w:sz w:val="24"/>
          <w:szCs w:val="24"/>
        </w:rPr>
      </w:pPr>
    </w:p>
    <w:tbl>
      <w:tblPr>
        <w:tblStyle w:val="TableGrid"/>
        <w:tblW w:w="98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75"/>
        <w:gridCol w:w="890"/>
        <w:gridCol w:w="550"/>
        <w:gridCol w:w="514"/>
        <w:gridCol w:w="514"/>
        <w:gridCol w:w="664"/>
        <w:gridCol w:w="442"/>
        <w:gridCol w:w="450"/>
        <w:gridCol w:w="405"/>
        <w:gridCol w:w="436"/>
        <w:gridCol w:w="427"/>
        <w:gridCol w:w="9"/>
        <w:gridCol w:w="531"/>
        <w:gridCol w:w="341"/>
        <w:gridCol w:w="436"/>
        <w:gridCol w:w="436"/>
        <w:gridCol w:w="407"/>
        <w:gridCol w:w="465"/>
        <w:gridCol w:w="436"/>
        <w:gridCol w:w="436"/>
        <w:gridCol w:w="13"/>
      </w:tblGrid>
      <w:tr w:rsidR="002B6884" w:rsidRPr="00DB4A33" w14:paraId="12630AC6" w14:textId="77777777" w:rsidTr="003E388A">
        <w:trPr>
          <w:cantSplit/>
          <w:trHeight w:val="917"/>
        </w:trPr>
        <w:tc>
          <w:tcPr>
            <w:tcW w:w="1075" w:type="dxa"/>
            <w:tcBorders>
              <w:left w:val="single" w:sz="18" w:space="0" w:color="auto"/>
              <w:bottom w:val="single" w:sz="12" w:space="0" w:color="auto"/>
              <w:right w:val="single" w:sz="18" w:space="0" w:color="auto"/>
            </w:tcBorders>
          </w:tcPr>
          <w:p w14:paraId="5BD1ABD5"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lastRenderedPageBreak/>
              <w:t>Ligands</w:t>
            </w:r>
          </w:p>
        </w:tc>
        <w:tc>
          <w:tcPr>
            <w:tcW w:w="890" w:type="dxa"/>
            <w:tcBorders>
              <w:top w:val="single" w:sz="12" w:space="0" w:color="auto"/>
              <w:left w:val="single" w:sz="18" w:space="0" w:color="auto"/>
              <w:bottom w:val="single" w:sz="12" w:space="0" w:color="auto"/>
              <w:right w:val="single" w:sz="18" w:space="0" w:color="auto"/>
            </w:tcBorders>
          </w:tcPr>
          <w:p w14:paraId="15B9F5E7"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Drug ability</w:t>
            </w:r>
          </w:p>
        </w:tc>
        <w:tc>
          <w:tcPr>
            <w:tcW w:w="2242" w:type="dxa"/>
            <w:gridSpan w:val="4"/>
            <w:tcBorders>
              <w:left w:val="single" w:sz="18" w:space="0" w:color="auto"/>
              <w:right w:val="single" w:sz="18" w:space="0" w:color="auto"/>
            </w:tcBorders>
          </w:tcPr>
          <w:p w14:paraId="1A1B6B7F"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 xml:space="preserve">Absorption and </w:t>
            </w:r>
          </w:p>
          <w:p w14:paraId="28F7B30A"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Distribution</w:t>
            </w:r>
          </w:p>
        </w:tc>
        <w:tc>
          <w:tcPr>
            <w:tcW w:w="2160" w:type="dxa"/>
            <w:gridSpan w:val="5"/>
            <w:tcBorders>
              <w:left w:val="single" w:sz="18" w:space="0" w:color="auto"/>
              <w:right w:val="single" w:sz="18" w:space="0" w:color="auto"/>
            </w:tcBorders>
          </w:tcPr>
          <w:p w14:paraId="419C608C"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Metabolism</w:t>
            </w:r>
          </w:p>
        </w:tc>
        <w:tc>
          <w:tcPr>
            <w:tcW w:w="3510" w:type="dxa"/>
            <w:gridSpan w:val="10"/>
            <w:tcBorders>
              <w:left w:val="single" w:sz="18" w:space="0" w:color="auto"/>
              <w:right w:val="single" w:sz="18" w:space="0" w:color="auto"/>
            </w:tcBorders>
          </w:tcPr>
          <w:p w14:paraId="2730B380"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Excretion and Toxicity</w:t>
            </w:r>
          </w:p>
        </w:tc>
      </w:tr>
      <w:tr w:rsidR="002B6884" w:rsidRPr="00DB4A33" w14:paraId="42A6A68E" w14:textId="77777777" w:rsidTr="007B79B7">
        <w:trPr>
          <w:gridAfter w:val="1"/>
          <w:wAfter w:w="13" w:type="dxa"/>
          <w:cantSplit/>
          <w:trHeight w:val="2141"/>
        </w:trPr>
        <w:tc>
          <w:tcPr>
            <w:tcW w:w="1075" w:type="dxa"/>
            <w:tcBorders>
              <w:top w:val="single" w:sz="12" w:space="0" w:color="auto"/>
              <w:left w:val="single" w:sz="18" w:space="0" w:color="auto"/>
              <w:bottom w:val="single" w:sz="12" w:space="0" w:color="auto"/>
              <w:right w:val="single" w:sz="18" w:space="0" w:color="auto"/>
            </w:tcBorders>
            <w:textDirection w:val="btLr"/>
          </w:tcPr>
          <w:p w14:paraId="7CA0F62A"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Compound Identifier</w:t>
            </w:r>
          </w:p>
        </w:tc>
        <w:tc>
          <w:tcPr>
            <w:tcW w:w="890" w:type="dxa"/>
            <w:tcBorders>
              <w:top w:val="single" w:sz="12" w:space="0" w:color="auto"/>
              <w:left w:val="single" w:sz="18" w:space="0" w:color="auto"/>
              <w:right w:val="single" w:sz="18" w:space="0" w:color="auto"/>
            </w:tcBorders>
            <w:textDirection w:val="btLr"/>
          </w:tcPr>
          <w:p w14:paraId="461097DA"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QED SCORE</w:t>
            </w:r>
          </w:p>
        </w:tc>
        <w:tc>
          <w:tcPr>
            <w:tcW w:w="550" w:type="dxa"/>
            <w:tcBorders>
              <w:left w:val="single" w:sz="18" w:space="0" w:color="auto"/>
            </w:tcBorders>
            <w:textDirection w:val="btLr"/>
          </w:tcPr>
          <w:p w14:paraId="059E63EF"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Caco2</w:t>
            </w:r>
          </w:p>
          <w:p w14:paraId="286C8438"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permeability</w:t>
            </w:r>
          </w:p>
        </w:tc>
        <w:tc>
          <w:tcPr>
            <w:tcW w:w="514" w:type="dxa"/>
            <w:textDirection w:val="btLr"/>
          </w:tcPr>
          <w:p w14:paraId="66191B41"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BBB</w:t>
            </w:r>
          </w:p>
        </w:tc>
        <w:tc>
          <w:tcPr>
            <w:tcW w:w="514" w:type="dxa"/>
            <w:textDirection w:val="btLr"/>
          </w:tcPr>
          <w:p w14:paraId="6C376E51"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 xml:space="preserve">Human Intestinal </w:t>
            </w:r>
          </w:p>
          <w:p w14:paraId="2590143C"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Absorption</w:t>
            </w:r>
          </w:p>
        </w:tc>
        <w:tc>
          <w:tcPr>
            <w:tcW w:w="664" w:type="dxa"/>
            <w:tcBorders>
              <w:right w:val="single" w:sz="18" w:space="0" w:color="auto"/>
            </w:tcBorders>
            <w:textDirection w:val="btLr"/>
          </w:tcPr>
          <w:p w14:paraId="2365108C"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P-glycoprotein</w:t>
            </w:r>
          </w:p>
          <w:p w14:paraId="7738A106"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Inhibitor</w:t>
            </w:r>
          </w:p>
        </w:tc>
        <w:tc>
          <w:tcPr>
            <w:tcW w:w="442" w:type="dxa"/>
            <w:tcBorders>
              <w:left w:val="single" w:sz="18" w:space="0" w:color="auto"/>
            </w:tcBorders>
            <w:textDirection w:val="btLr"/>
          </w:tcPr>
          <w:p w14:paraId="52865F09"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CYP2D6</w:t>
            </w:r>
          </w:p>
        </w:tc>
        <w:tc>
          <w:tcPr>
            <w:tcW w:w="450" w:type="dxa"/>
            <w:textDirection w:val="btLr"/>
          </w:tcPr>
          <w:p w14:paraId="07F8BFDA"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CYP3A4</w:t>
            </w:r>
          </w:p>
        </w:tc>
        <w:tc>
          <w:tcPr>
            <w:tcW w:w="405" w:type="dxa"/>
            <w:textDirection w:val="btLr"/>
          </w:tcPr>
          <w:p w14:paraId="6CE4D107"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CYP1A2</w:t>
            </w:r>
          </w:p>
        </w:tc>
        <w:tc>
          <w:tcPr>
            <w:tcW w:w="436" w:type="dxa"/>
            <w:textDirection w:val="btLr"/>
          </w:tcPr>
          <w:p w14:paraId="2133FAA6"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CYPC19</w:t>
            </w:r>
          </w:p>
        </w:tc>
        <w:tc>
          <w:tcPr>
            <w:tcW w:w="436" w:type="dxa"/>
            <w:gridSpan w:val="2"/>
            <w:tcBorders>
              <w:right w:val="single" w:sz="18" w:space="0" w:color="auto"/>
            </w:tcBorders>
            <w:textDirection w:val="btLr"/>
          </w:tcPr>
          <w:p w14:paraId="62236494"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CYP2C9</w:t>
            </w:r>
          </w:p>
        </w:tc>
        <w:tc>
          <w:tcPr>
            <w:tcW w:w="531" w:type="dxa"/>
            <w:tcBorders>
              <w:left w:val="single" w:sz="18" w:space="0" w:color="auto"/>
            </w:tcBorders>
            <w:textDirection w:val="btLr"/>
          </w:tcPr>
          <w:p w14:paraId="02D67D67"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Half-life</w:t>
            </w:r>
          </w:p>
        </w:tc>
        <w:tc>
          <w:tcPr>
            <w:tcW w:w="341" w:type="dxa"/>
            <w:textDirection w:val="btLr"/>
          </w:tcPr>
          <w:p w14:paraId="799580A7"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Total Clearance</w:t>
            </w:r>
          </w:p>
        </w:tc>
        <w:tc>
          <w:tcPr>
            <w:tcW w:w="436" w:type="dxa"/>
            <w:textDirection w:val="btLr"/>
          </w:tcPr>
          <w:p w14:paraId="77757543"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Nephrotoxicity</w:t>
            </w:r>
          </w:p>
        </w:tc>
        <w:tc>
          <w:tcPr>
            <w:tcW w:w="436" w:type="dxa"/>
            <w:textDirection w:val="btLr"/>
          </w:tcPr>
          <w:p w14:paraId="70208027"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Acute oral toxicity</w:t>
            </w:r>
          </w:p>
        </w:tc>
        <w:tc>
          <w:tcPr>
            <w:tcW w:w="407" w:type="dxa"/>
            <w:textDirection w:val="btLr"/>
          </w:tcPr>
          <w:p w14:paraId="29E138E7"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AMES toxicity</w:t>
            </w:r>
          </w:p>
        </w:tc>
        <w:tc>
          <w:tcPr>
            <w:tcW w:w="465" w:type="dxa"/>
            <w:textDirection w:val="btLr"/>
          </w:tcPr>
          <w:p w14:paraId="4050BC93"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Carcinogenicity</w:t>
            </w:r>
          </w:p>
        </w:tc>
        <w:tc>
          <w:tcPr>
            <w:tcW w:w="436" w:type="dxa"/>
            <w:textDirection w:val="btLr"/>
          </w:tcPr>
          <w:p w14:paraId="745F3841"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HERG inhibitor</w:t>
            </w:r>
          </w:p>
        </w:tc>
        <w:tc>
          <w:tcPr>
            <w:tcW w:w="436" w:type="dxa"/>
            <w:tcBorders>
              <w:right w:val="single" w:sz="18" w:space="0" w:color="auto"/>
            </w:tcBorders>
            <w:textDirection w:val="btLr"/>
          </w:tcPr>
          <w:p w14:paraId="03FE0230" w14:textId="77777777" w:rsidR="002B6884" w:rsidRPr="00DB4A33" w:rsidRDefault="002B6884" w:rsidP="00DB4A33">
            <w:pPr>
              <w:spacing w:line="360" w:lineRule="auto"/>
              <w:ind w:left="113" w:right="113"/>
              <w:jc w:val="both"/>
              <w:rPr>
                <w:rFonts w:ascii="Times New Roman" w:hAnsi="Times New Roman" w:cs="Times New Roman"/>
                <w:b/>
                <w:sz w:val="24"/>
                <w:szCs w:val="24"/>
              </w:rPr>
            </w:pPr>
            <w:proofErr w:type="spellStart"/>
            <w:r w:rsidRPr="00DB4A33">
              <w:rPr>
                <w:rFonts w:ascii="Times New Roman" w:hAnsi="Times New Roman" w:cs="Times New Roman"/>
                <w:b/>
                <w:sz w:val="24"/>
                <w:szCs w:val="24"/>
              </w:rPr>
              <w:t>Hematoxicity</w:t>
            </w:r>
            <w:proofErr w:type="spellEnd"/>
          </w:p>
        </w:tc>
      </w:tr>
      <w:tr w:rsidR="002B6884" w:rsidRPr="00DB4A33" w14:paraId="27631D54" w14:textId="77777777" w:rsidTr="007B79B7">
        <w:trPr>
          <w:gridAfter w:val="1"/>
          <w:wAfter w:w="13" w:type="dxa"/>
        </w:trPr>
        <w:tc>
          <w:tcPr>
            <w:tcW w:w="1075" w:type="dxa"/>
            <w:tcBorders>
              <w:top w:val="single" w:sz="12" w:space="0" w:color="auto"/>
              <w:left w:val="single" w:sz="18" w:space="0" w:color="auto"/>
              <w:right w:val="single" w:sz="18" w:space="0" w:color="auto"/>
            </w:tcBorders>
          </w:tcPr>
          <w:p w14:paraId="0E507B7E"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A1</w:t>
            </w:r>
          </w:p>
        </w:tc>
        <w:tc>
          <w:tcPr>
            <w:tcW w:w="890" w:type="dxa"/>
            <w:tcBorders>
              <w:left w:val="single" w:sz="18" w:space="0" w:color="auto"/>
              <w:right w:val="single" w:sz="18" w:space="0" w:color="auto"/>
            </w:tcBorders>
          </w:tcPr>
          <w:p w14:paraId="409E4573"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0.646</w:t>
            </w:r>
          </w:p>
        </w:tc>
        <w:tc>
          <w:tcPr>
            <w:tcW w:w="550" w:type="dxa"/>
            <w:tcBorders>
              <w:left w:val="single" w:sz="18" w:space="0" w:color="auto"/>
            </w:tcBorders>
          </w:tcPr>
          <w:p w14:paraId="12DB1ADB"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14" w:type="dxa"/>
          </w:tcPr>
          <w:p w14:paraId="7AA2015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41B941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210D3CDB"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13E452C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3947B4F8"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0EF6556E"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1B380D71"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50686F88"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518B992F"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w:t>
            </w:r>
          </w:p>
        </w:tc>
        <w:tc>
          <w:tcPr>
            <w:tcW w:w="341" w:type="dxa"/>
          </w:tcPr>
          <w:p w14:paraId="738085AD"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24952361"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087AF883"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709C7CDF"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65" w:type="dxa"/>
          </w:tcPr>
          <w:p w14:paraId="3E6F7B8F"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55E4033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275C9F9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r>
      <w:tr w:rsidR="002B6884" w:rsidRPr="00DB4A33" w14:paraId="31EA2631" w14:textId="77777777" w:rsidTr="007B79B7">
        <w:trPr>
          <w:gridAfter w:val="1"/>
          <w:wAfter w:w="13" w:type="dxa"/>
          <w:trHeight w:val="471"/>
        </w:trPr>
        <w:tc>
          <w:tcPr>
            <w:tcW w:w="1075" w:type="dxa"/>
            <w:tcBorders>
              <w:left w:val="single" w:sz="18" w:space="0" w:color="auto"/>
              <w:right w:val="single" w:sz="18" w:space="0" w:color="auto"/>
            </w:tcBorders>
          </w:tcPr>
          <w:p w14:paraId="2068DF35"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A2</w:t>
            </w:r>
          </w:p>
        </w:tc>
        <w:tc>
          <w:tcPr>
            <w:tcW w:w="890" w:type="dxa"/>
            <w:tcBorders>
              <w:left w:val="single" w:sz="18" w:space="0" w:color="auto"/>
              <w:right w:val="single" w:sz="18" w:space="0" w:color="auto"/>
            </w:tcBorders>
          </w:tcPr>
          <w:p w14:paraId="7247B6DD"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0.534</w:t>
            </w:r>
          </w:p>
        </w:tc>
        <w:tc>
          <w:tcPr>
            <w:tcW w:w="550" w:type="dxa"/>
            <w:tcBorders>
              <w:left w:val="single" w:sz="18" w:space="0" w:color="auto"/>
            </w:tcBorders>
          </w:tcPr>
          <w:p w14:paraId="443F287B"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14" w:type="dxa"/>
          </w:tcPr>
          <w:p w14:paraId="4600DB9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29F5E33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591A6BE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65AA5C3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53A0F8B5"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FF9900"/>
                <w:sz w:val="24"/>
                <w:szCs w:val="24"/>
              </w:rPr>
              <w:t>M</w:t>
            </w:r>
          </w:p>
        </w:tc>
        <w:tc>
          <w:tcPr>
            <w:tcW w:w="405" w:type="dxa"/>
          </w:tcPr>
          <w:p w14:paraId="6172173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70F15C30"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766A9B04"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72C9D2C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0.7</w:t>
            </w:r>
          </w:p>
        </w:tc>
        <w:tc>
          <w:tcPr>
            <w:tcW w:w="341" w:type="dxa"/>
          </w:tcPr>
          <w:p w14:paraId="43A7EC8B"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1C2A58A8"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1F97D570"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1EE3EA34"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65" w:type="dxa"/>
          </w:tcPr>
          <w:p w14:paraId="289C8F6E"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19372DD4"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74E5E0B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r>
      <w:tr w:rsidR="002B6884" w:rsidRPr="00DB4A33" w14:paraId="75EDCEB3" w14:textId="77777777" w:rsidTr="007B79B7">
        <w:trPr>
          <w:gridAfter w:val="1"/>
          <w:wAfter w:w="13" w:type="dxa"/>
        </w:trPr>
        <w:tc>
          <w:tcPr>
            <w:tcW w:w="1075" w:type="dxa"/>
            <w:tcBorders>
              <w:left w:val="single" w:sz="18" w:space="0" w:color="auto"/>
              <w:right w:val="single" w:sz="18" w:space="0" w:color="auto"/>
            </w:tcBorders>
          </w:tcPr>
          <w:p w14:paraId="7EC806AE"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A3</w:t>
            </w:r>
          </w:p>
        </w:tc>
        <w:tc>
          <w:tcPr>
            <w:tcW w:w="890" w:type="dxa"/>
            <w:tcBorders>
              <w:left w:val="single" w:sz="18" w:space="0" w:color="auto"/>
              <w:right w:val="single" w:sz="18" w:space="0" w:color="auto"/>
            </w:tcBorders>
          </w:tcPr>
          <w:p w14:paraId="5AB53C18"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0.646</w:t>
            </w:r>
          </w:p>
        </w:tc>
        <w:tc>
          <w:tcPr>
            <w:tcW w:w="550" w:type="dxa"/>
            <w:tcBorders>
              <w:left w:val="single" w:sz="18" w:space="0" w:color="auto"/>
            </w:tcBorders>
          </w:tcPr>
          <w:p w14:paraId="75CF3A5C" w14:textId="77777777" w:rsidR="002B6884" w:rsidRPr="00DB4A33" w:rsidRDefault="002B6884" w:rsidP="00DB4A33">
            <w:pPr>
              <w:spacing w:line="360" w:lineRule="auto"/>
              <w:jc w:val="both"/>
              <w:rPr>
                <w:rFonts w:ascii="Times New Roman" w:hAnsi="Times New Roman" w:cs="Times New Roman"/>
                <w:b/>
                <w:color w:val="00B050"/>
                <w:sz w:val="24"/>
                <w:szCs w:val="24"/>
              </w:rPr>
            </w:pPr>
            <w:r w:rsidRPr="00DB4A33">
              <w:rPr>
                <w:rFonts w:ascii="Times New Roman" w:hAnsi="Times New Roman" w:cs="Times New Roman"/>
                <w:b/>
                <w:color w:val="008000"/>
                <w:sz w:val="24"/>
                <w:szCs w:val="24"/>
              </w:rPr>
              <w:t>G</w:t>
            </w:r>
          </w:p>
        </w:tc>
        <w:tc>
          <w:tcPr>
            <w:tcW w:w="514" w:type="dxa"/>
          </w:tcPr>
          <w:p w14:paraId="29FECCDD"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14" w:type="dxa"/>
          </w:tcPr>
          <w:p w14:paraId="2F06146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174A60C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1B6FA19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2495E10A"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24E6FA4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4C1D2241"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gridSpan w:val="2"/>
            <w:tcBorders>
              <w:right w:val="single" w:sz="18" w:space="0" w:color="auto"/>
            </w:tcBorders>
          </w:tcPr>
          <w:p w14:paraId="14B7FFFE"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31" w:type="dxa"/>
            <w:tcBorders>
              <w:left w:val="single" w:sz="18" w:space="0" w:color="auto"/>
            </w:tcBorders>
          </w:tcPr>
          <w:p w14:paraId="71E467B8"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0.7</w:t>
            </w:r>
          </w:p>
        </w:tc>
        <w:tc>
          <w:tcPr>
            <w:tcW w:w="341" w:type="dxa"/>
          </w:tcPr>
          <w:p w14:paraId="626C03B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64D85A4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B0C2FDB" w14:textId="77777777" w:rsidR="002B6884" w:rsidRPr="00DB4A33" w:rsidRDefault="004C64AC"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07" w:type="dxa"/>
          </w:tcPr>
          <w:p w14:paraId="7D94CB22"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00B050"/>
                <w:sz w:val="24"/>
                <w:szCs w:val="24"/>
              </w:rPr>
              <w:t>G</w:t>
            </w:r>
          </w:p>
        </w:tc>
        <w:tc>
          <w:tcPr>
            <w:tcW w:w="465" w:type="dxa"/>
          </w:tcPr>
          <w:p w14:paraId="5041CABE" w14:textId="77777777" w:rsidR="002B6884" w:rsidRPr="00DB4A33" w:rsidRDefault="002B6884"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36" w:type="dxa"/>
          </w:tcPr>
          <w:p w14:paraId="070BAA6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6593E610"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4500F434" w14:textId="77777777" w:rsidTr="007B79B7">
        <w:trPr>
          <w:gridAfter w:val="1"/>
          <w:wAfter w:w="13" w:type="dxa"/>
        </w:trPr>
        <w:tc>
          <w:tcPr>
            <w:tcW w:w="1075" w:type="dxa"/>
            <w:tcBorders>
              <w:left w:val="single" w:sz="18" w:space="0" w:color="auto"/>
              <w:right w:val="single" w:sz="18" w:space="0" w:color="auto"/>
            </w:tcBorders>
          </w:tcPr>
          <w:p w14:paraId="3F1F8F88"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A4</w:t>
            </w:r>
          </w:p>
        </w:tc>
        <w:tc>
          <w:tcPr>
            <w:tcW w:w="890" w:type="dxa"/>
            <w:tcBorders>
              <w:left w:val="single" w:sz="18" w:space="0" w:color="auto"/>
              <w:right w:val="single" w:sz="18" w:space="0" w:color="auto"/>
            </w:tcBorders>
          </w:tcPr>
          <w:p w14:paraId="38D21A77"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0.629</w:t>
            </w:r>
          </w:p>
        </w:tc>
        <w:tc>
          <w:tcPr>
            <w:tcW w:w="550" w:type="dxa"/>
            <w:tcBorders>
              <w:left w:val="single" w:sz="18" w:space="0" w:color="auto"/>
            </w:tcBorders>
          </w:tcPr>
          <w:p w14:paraId="6F4E1AB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22632C35"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51A3A56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0E0C2F9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048A73E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4E8DE3D3"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3469ED3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EBF4A53"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gridSpan w:val="2"/>
            <w:tcBorders>
              <w:right w:val="single" w:sz="18" w:space="0" w:color="auto"/>
            </w:tcBorders>
          </w:tcPr>
          <w:p w14:paraId="6B933415"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31" w:type="dxa"/>
            <w:tcBorders>
              <w:left w:val="single" w:sz="18" w:space="0" w:color="auto"/>
            </w:tcBorders>
          </w:tcPr>
          <w:p w14:paraId="0941F2FB"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w:t>
            </w:r>
          </w:p>
        </w:tc>
        <w:tc>
          <w:tcPr>
            <w:tcW w:w="341" w:type="dxa"/>
          </w:tcPr>
          <w:p w14:paraId="421349A5"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78FD1D33"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21561AB3"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7F4B1187"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65" w:type="dxa"/>
          </w:tcPr>
          <w:p w14:paraId="7DEC5356"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6E460EA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10AC81EC"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1D3C1BF2" w14:textId="77777777" w:rsidTr="007B79B7">
        <w:trPr>
          <w:gridAfter w:val="1"/>
          <w:wAfter w:w="13" w:type="dxa"/>
        </w:trPr>
        <w:tc>
          <w:tcPr>
            <w:tcW w:w="1075" w:type="dxa"/>
            <w:tcBorders>
              <w:left w:val="single" w:sz="18" w:space="0" w:color="auto"/>
              <w:right w:val="single" w:sz="18" w:space="0" w:color="auto"/>
            </w:tcBorders>
          </w:tcPr>
          <w:p w14:paraId="50A554F1"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A5</w:t>
            </w:r>
          </w:p>
        </w:tc>
        <w:tc>
          <w:tcPr>
            <w:tcW w:w="890" w:type="dxa"/>
            <w:tcBorders>
              <w:left w:val="single" w:sz="18" w:space="0" w:color="auto"/>
              <w:right w:val="single" w:sz="18" w:space="0" w:color="auto"/>
            </w:tcBorders>
          </w:tcPr>
          <w:p w14:paraId="71B88A8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0.551</w:t>
            </w:r>
          </w:p>
        </w:tc>
        <w:tc>
          <w:tcPr>
            <w:tcW w:w="550" w:type="dxa"/>
            <w:tcBorders>
              <w:left w:val="single" w:sz="18" w:space="0" w:color="auto"/>
            </w:tcBorders>
          </w:tcPr>
          <w:p w14:paraId="4FA722E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59F1D04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2CD10D8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6B0037E0"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FF0000"/>
                <w:sz w:val="24"/>
                <w:szCs w:val="24"/>
              </w:rPr>
              <w:t>R</w:t>
            </w:r>
          </w:p>
        </w:tc>
        <w:tc>
          <w:tcPr>
            <w:tcW w:w="442" w:type="dxa"/>
            <w:tcBorders>
              <w:left w:val="single" w:sz="18" w:space="0" w:color="auto"/>
            </w:tcBorders>
          </w:tcPr>
          <w:p w14:paraId="026C6BB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146BF437"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0C849B15"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63E287A"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29A3C4D6"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0AC30A88"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w:t>
            </w:r>
          </w:p>
        </w:tc>
        <w:tc>
          <w:tcPr>
            <w:tcW w:w="341" w:type="dxa"/>
          </w:tcPr>
          <w:p w14:paraId="7777AD2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453A1E96"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61B43888" w14:textId="77777777" w:rsidR="002B6884" w:rsidRPr="00DB4A33" w:rsidRDefault="004C64AC" w:rsidP="00DB4A33">
            <w:pPr>
              <w:spacing w:line="360" w:lineRule="auto"/>
              <w:jc w:val="both"/>
              <w:rPr>
                <w:rFonts w:ascii="Times New Roman" w:hAnsi="Times New Roman" w:cs="Times New Roman"/>
                <w:b/>
                <w:color w:val="00B050"/>
                <w:sz w:val="24"/>
                <w:szCs w:val="24"/>
              </w:rPr>
            </w:pPr>
            <w:r w:rsidRPr="00DB4A33">
              <w:rPr>
                <w:rFonts w:ascii="Times New Roman" w:hAnsi="Times New Roman" w:cs="Times New Roman"/>
                <w:b/>
                <w:color w:val="00B050"/>
                <w:sz w:val="24"/>
                <w:szCs w:val="24"/>
              </w:rPr>
              <w:t>G</w:t>
            </w:r>
          </w:p>
        </w:tc>
        <w:tc>
          <w:tcPr>
            <w:tcW w:w="407" w:type="dxa"/>
          </w:tcPr>
          <w:p w14:paraId="59E9A3A7"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65" w:type="dxa"/>
          </w:tcPr>
          <w:p w14:paraId="73382D3C"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4D2C4265"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35FBF03D"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4B47BCFE" w14:textId="77777777" w:rsidTr="007B79B7">
        <w:trPr>
          <w:gridAfter w:val="1"/>
          <w:wAfter w:w="13" w:type="dxa"/>
          <w:trHeight w:val="327"/>
        </w:trPr>
        <w:tc>
          <w:tcPr>
            <w:tcW w:w="1075" w:type="dxa"/>
            <w:tcBorders>
              <w:left w:val="single" w:sz="18" w:space="0" w:color="auto"/>
              <w:right w:val="single" w:sz="18" w:space="0" w:color="auto"/>
            </w:tcBorders>
          </w:tcPr>
          <w:p w14:paraId="2608C6D7"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A6</w:t>
            </w:r>
          </w:p>
        </w:tc>
        <w:tc>
          <w:tcPr>
            <w:tcW w:w="890" w:type="dxa"/>
            <w:tcBorders>
              <w:left w:val="single" w:sz="18" w:space="0" w:color="auto"/>
              <w:right w:val="single" w:sz="18" w:space="0" w:color="auto"/>
            </w:tcBorders>
          </w:tcPr>
          <w:p w14:paraId="39C0FB3A"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0.646</w:t>
            </w:r>
          </w:p>
        </w:tc>
        <w:tc>
          <w:tcPr>
            <w:tcW w:w="550" w:type="dxa"/>
            <w:tcBorders>
              <w:left w:val="single" w:sz="18" w:space="0" w:color="auto"/>
            </w:tcBorders>
          </w:tcPr>
          <w:p w14:paraId="3B72A0B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78D1CC5"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B958E8E"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738AA105"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285028F1"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263F5D39"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67E82BF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0EBC83F" w14:textId="77777777" w:rsidR="002B6884" w:rsidRPr="00DB4A33" w:rsidRDefault="004C64AC"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36" w:type="dxa"/>
            <w:gridSpan w:val="2"/>
            <w:tcBorders>
              <w:right w:val="single" w:sz="18" w:space="0" w:color="auto"/>
            </w:tcBorders>
          </w:tcPr>
          <w:p w14:paraId="006DFC19"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166CEB14"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w:t>
            </w:r>
          </w:p>
        </w:tc>
        <w:tc>
          <w:tcPr>
            <w:tcW w:w="341" w:type="dxa"/>
          </w:tcPr>
          <w:p w14:paraId="6B83273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21857E15"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tcPr>
          <w:p w14:paraId="1942B3F0"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2EFDBC87"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65" w:type="dxa"/>
          </w:tcPr>
          <w:p w14:paraId="573665AD"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5CE7877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3945F153"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4BF994E3" w14:textId="77777777" w:rsidTr="007B79B7">
        <w:trPr>
          <w:gridAfter w:val="1"/>
          <w:wAfter w:w="13" w:type="dxa"/>
        </w:trPr>
        <w:tc>
          <w:tcPr>
            <w:tcW w:w="1075" w:type="dxa"/>
            <w:tcBorders>
              <w:left w:val="single" w:sz="18" w:space="0" w:color="auto"/>
              <w:right w:val="single" w:sz="18" w:space="0" w:color="auto"/>
            </w:tcBorders>
          </w:tcPr>
          <w:p w14:paraId="1A2A2CD3"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A7</w:t>
            </w:r>
          </w:p>
        </w:tc>
        <w:tc>
          <w:tcPr>
            <w:tcW w:w="890" w:type="dxa"/>
            <w:tcBorders>
              <w:left w:val="single" w:sz="18" w:space="0" w:color="auto"/>
              <w:right w:val="single" w:sz="18" w:space="0" w:color="auto"/>
            </w:tcBorders>
          </w:tcPr>
          <w:p w14:paraId="5F06583E"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0.430</w:t>
            </w:r>
          </w:p>
        </w:tc>
        <w:tc>
          <w:tcPr>
            <w:tcW w:w="550" w:type="dxa"/>
            <w:tcBorders>
              <w:left w:val="single" w:sz="18" w:space="0" w:color="auto"/>
            </w:tcBorders>
          </w:tcPr>
          <w:p w14:paraId="11742834"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037190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4CC7D59E"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295AF175"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20EDCDE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5E01CE52"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0654F5B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0463EDE4"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08A9E6F9"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31" w:type="dxa"/>
            <w:tcBorders>
              <w:left w:val="single" w:sz="18" w:space="0" w:color="auto"/>
            </w:tcBorders>
          </w:tcPr>
          <w:p w14:paraId="790E9933"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0.8</w:t>
            </w:r>
          </w:p>
        </w:tc>
        <w:tc>
          <w:tcPr>
            <w:tcW w:w="341" w:type="dxa"/>
          </w:tcPr>
          <w:p w14:paraId="401822F4"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7901B3FE"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516310CE"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6088A0A6" w14:textId="77777777" w:rsidR="002B6884" w:rsidRPr="00DB4A33" w:rsidRDefault="002B6884"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65" w:type="dxa"/>
          </w:tcPr>
          <w:p w14:paraId="7487FD22"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2006F2B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459A4FF0"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43BA806F" w14:textId="77777777" w:rsidTr="007B79B7">
        <w:trPr>
          <w:gridAfter w:val="1"/>
          <w:wAfter w:w="13" w:type="dxa"/>
        </w:trPr>
        <w:tc>
          <w:tcPr>
            <w:tcW w:w="1075" w:type="dxa"/>
            <w:tcBorders>
              <w:left w:val="single" w:sz="18" w:space="0" w:color="auto"/>
              <w:right w:val="single" w:sz="18" w:space="0" w:color="auto"/>
            </w:tcBorders>
          </w:tcPr>
          <w:p w14:paraId="40D1951E"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A8</w:t>
            </w:r>
          </w:p>
        </w:tc>
        <w:tc>
          <w:tcPr>
            <w:tcW w:w="890" w:type="dxa"/>
            <w:tcBorders>
              <w:left w:val="single" w:sz="18" w:space="0" w:color="auto"/>
              <w:right w:val="single" w:sz="18" w:space="0" w:color="auto"/>
            </w:tcBorders>
          </w:tcPr>
          <w:p w14:paraId="435272C5"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0.574</w:t>
            </w:r>
          </w:p>
        </w:tc>
        <w:tc>
          <w:tcPr>
            <w:tcW w:w="550" w:type="dxa"/>
            <w:tcBorders>
              <w:left w:val="single" w:sz="18" w:space="0" w:color="auto"/>
            </w:tcBorders>
          </w:tcPr>
          <w:p w14:paraId="4D09C55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0AE53371"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15F3217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2B567FAF"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42" w:type="dxa"/>
            <w:tcBorders>
              <w:left w:val="single" w:sz="18" w:space="0" w:color="auto"/>
            </w:tcBorders>
          </w:tcPr>
          <w:p w14:paraId="306D26AE"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6671AD56"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3213AB1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37965117" w14:textId="77777777" w:rsidR="002B6884" w:rsidRPr="00DB4A33" w:rsidRDefault="004C64AC"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9900"/>
                <w:sz w:val="24"/>
                <w:szCs w:val="24"/>
              </w:rPr>
              <w:t>M</w:t>
            </w:r>
          </w:p>
        </w:tc>
        <w:tc>
          <w:tcPr>
            <w:tcW w:w="436" w:type="dxa"/>
            <w:gridSpan w:val="2"/>
            <w:tcBorders>
              <w:right w:val="single" w:sz="18" w:space="0" w:color="auto"/>
            </w:tcBorders>
          </w:tcPr>
          <w:p w14:paraId="1CB1B5C0"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68964AC8"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0.4</w:t>
            </w:r>
          </w:p>
        </w:tc>
        <w:tc>
          <w:tcPr>
            <w:tcW w:w="341" w:type="dxa"/>
          </w:tcPr>
          <w:p w14:paraId="68BFD829"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22D48040"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4D48EB8B" w14:textId="77777777" w:rsidR="002B6884" w:rsidRPr="00DB4A33" w:rsidRDefault="004C64AC"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7" w:type="dxa"/>
          </w:tcPr>
          <w:p w14:paraId="01811A9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65" w:type="dxa"/>
          </w:tcPr>
          <w:p w14:paraId="50E63706"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2AD9BA0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7DC32DA1"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23FC1269" w14:textId="77777777" w:rsidTr="007B79B7">
        <w:trPr>
          <w:gridAfter w:val="1"/>
          <w:wAfter w:w="13" w:type="dxa"/>
        </w:trPr>
        <w:tc>
          <w:tcPr>
            <w:tcW w:w="1075" w:type="dxa"/>
            <w:tcBorders>
              <w:left w:val="single" w:sz="18" w:space="0" w:color="auto"/>
              <w:right w:val="single" w:sz="18" w:space="0" w:color="auto"/>
            </w:tcBorders>
          </w:tcPr>
          <w:p w14:paraId="64DE0168"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A9</w:t>
            </w:r>
          </w:p>
        </w:tc>
        <w:tc>
          <w:tcPr>
            <w:tcW w:w="890" w:type="dxa"/>
            <w:tcBorders>
              <w:left w:val="single" w:sz="18" w:space="0" w:color="auto"/>
              <w:right w:val="single" w:sz="18" w:space="0" w:color="auto"/>
            </w:tcBorders>
          </w:tcPr>
          <w:p w14:paraId="33E8DFE1"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0.572</w:t>
            </w:r>
          </w:p>
        </w:tc>
        <w:tc>
          <w:tcPr>
            <w:tcW w:w="550" w:type="dxa"/>
            <w:tcBorders>
              <w:left w:val="single" w:sz="18" w:space="0" w:color="auto"/>
            </w:tcBorders>
          </w:tcPr>
          <w:p w14:paraId="07E1803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70FFE69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243EF6D2"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1E8F8B6A"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42" w:type="dxa"/>
            <w:tcBorders>
              <w:left w:val="single" w:sz="18" w:space="0" w:color="auto"/>
            </w:tcBorders>
          </w:tcPr>
          <w:p w14:paraId="03E43309"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6486855B"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17B6F0E4"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604425D4"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316C2F67"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1E633FC9"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0.7</w:t>
            </w:r>
          </w:p>
        </w:tc>
        <w:tc>
          <w:tcPr>
            <w:tcW w:w="341" w:type="dxa"/>
          </w:tcPr>
          <w:p w14:paraId="6092D2CA" w14:textId="77777777" w:rsidR="002B6884" w:rsidRPr="00DB4A33" w:rsidRDefault="002B6884"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36" w:type="dxa"/>
          </w:tcPr>
          <w:p w14:paraId="7BAD883D"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4B508BD6" w14:textId="77777777" w:rsidR="002B6884" w:rsidRPr="00DB4A33" w:rsidRDefault="004C64AC"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7" w:type="dxa"/>
          </w:tcPr>
          <w:p w14:paraId="6C117E5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65" w:type="dxa"/>
          </w:tcPr>
          <w:p w14:paraId="762985A8"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31F9702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49502DDB"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02114887" w14:textId="77777777" w:rsidTr="007B79B7">
        <w:trPr>
          <w:gridAfter w:val="1"/>
          <w:wAfter w:w="13" w:type="dxa"/>
        </w:trPr>
        <w:tc>
          <w:tcPr>
            <w:tcW w:w="1075" w:type="dxa"/>
            <w:tcBorders>
              <w:left w:val="single" w:sz="18" w:space="0" w:color="auto"/>
              <w:right w:val="single" w:sz="18" w:space="0" w:color="auto"/>
            </w:tcBorders>
          </w:tcPr>
          <w:p w14:paraId="185B168C"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A10</w:t>
            </w:r>
          </w:p>
        </w:tc>
        <w:tc>
          <w:tcPr>
            <w:tcW w:w="890" w:type="dxa"/>
            <w:tcBorders>
              <w:left w:val="single" w:sz="18" w:space="0" w:color="auto"/>
              <w:right w:val="single" w:sz="18" w:space="0" w:color="auto"/>
            </w:tcBorders>
          </w:tcPr>
          <w:p w14:paraId="797CA883"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0.646</w:t>
            </w:r>
          </w:p>
        </w:tc>
        <w:tc>
          <w:tcPr>
            <w:tcW w:w="550" w:type="dxa"/>
            <w:tcBorders>
              <w:left w:val="single" w:sz="18" w:space="0" w:color="auto"/>
            </w:tcBorders>
          </w:tcPr>
          <w:p w14:paraId="3E59978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0E16420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06F0AED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5A6F1CFB"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73B7A49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67324C22"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5" w:type="dxa"/>
          </w:tcPr>
          <w:p w14:paraId="0F9FAA5E"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7B578ED8"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690FE53C"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21DA16E0"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0.7</w:t>
            </w:r>
          </w:p>
        </w:tc>
        <w:tc>
          <w:tcPr>
            <w:tcW w:w="341" w:type="dxa"/>
          </w:tcPr>
          <w:p w14:paraId="46AC4E51"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B454314"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FF0000"/>
                <w:sz w:val="24"/>
                <w:szCs w:val="24"/>
              </w:rPr>
              <w:t>R</w:t>
            </w:r>
          </w:p>
        </w:tc>
        <w:tc>
          <w:tcPr>
            <w:tcW w:w="436" w:type="dxa"/>
          </w:tcPr>
          <w:p w14:paraId="0B2B4550" w14:textId="77777777" w:rsidR="002B6884" w:rsidRPr="00DB4A33" w:rsidRDefault="004C64AC"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FF9900"/>
                <w:sz w:val="24"/>
                <w:szCs w:val="24"/>
              </w:rPr>
              <w:t>M</w:t>
            </w:r>
          </w:p>
        </w:tc>
        <w:tc>
          <w:tcPr>
            <w:tcW w:w="407" w:type="dxa"/>
          </w:tcPr>
          <w:p w14:paraId="160EC8E2"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65" w:type="dxa"/>
          </w:tcPr>
          <w:p w14:paraId="503D5021"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5B37ED82"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0B9F872C"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008000"/>
                <w:sz w:val="24"/>
                <w:szCs w:val="24"/>
              </w:rPr>
              <w:t>G</w:t>
            </w:r>
          </w:p>
        </w:tc>
      </w:tr>
    </w:tbl>
    <w:p w14:paraId="6C181697" w14:textId="77777777" w:rsidR="007B79B7" w:rsidRPr="00DB4A33" w:rsidRDefault="00DC2DC6"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26CF5EC0" wp14:editId="7C72B913">
                <wp:simplePos x="0" y="0"/>
                <wp:positionH relativeFrom="column">
                  <wp:posOffset>1038225</wp:posOffset>
                </wp:positionH>
                <wp:positionV relativeFrom="paragraph">
                  <wp:posOffset>60325</wp:posOffset>
                </wp:positionV>
                <wp:extent cx="257175" cy="187960"/>
                <wp:effectExtent l="0" t="0" r="9525" b="2540"/>
                <wp:wrapNone/>
                <wp:docPr id="36" name="Rectangle 36"/>
                <wp:cNvGraphicFramePr/>
                <a:graphic xmlns:a="http://schemas.openxmlformats.org/drawingml/2006/main">
                  <a:graphicData uri="http://schemas.microsoft.com/office/word/2010/wordprocessingShape">
                    <wps:wsp>
                      <wps:cNvSpPr/>
                      <wps:spPr>
                        <a:xfrm flipV="1">
                          <a:off x="0" y="0"/>
                          <a:ext cx="257175" cy="18796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1721B" id="Rectangle 36" o:spid="_x0000_s1026" style="position:absolute;margin-left:81.75pt;margin-top:4.75pt;width:20.25pt;height:14.8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" fillcolor="#ffc000" stroked="f" strokeweight="1pt"/>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4C1D1155" wp14:editId="122EC1D9">
                <wp:simplePos x="0" y="0"/>
                <wp:positionH relativeFrom="column">
                  <wp:posOffset>1228725</wp:posOffset>
                </wp:positionH>
                <wp:positionV relativeFrom="paragraph">
                  <wp:posOffset>41275</wp:posOffset>
                </wp:positionV>
                <wp:extent cx="904875" cy="333375"/>
                <wp:effectExtent l="0" t="0" r="9525" b="9525"/>
                <wp:wrapNone/>
                <wp:docPr id="43" name="Text Box 43"/>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chemeClr val="lt1"/>
                        </a:solidFill>
                        <a:ln w="6350">
                          <a:noFill/>
                        </a:ln>
                      </wps:spPr>
                      <wps:txbx>
                        <w:txbxContent>
                          <w:p w14:paraId="421ECDE2" w14:textId="77777777" w:rsidR="00DF5C15" w:rsidRPr="008A25B1" w:rsidRDefault="00DF5C15" w:rsidP="00DC2DC6">
                            <w:pPr>
                              <w:rPr>
                                <w:rFonts w:ascii="Times New Roman" w:hAnsi="Times New Roman" w:cs="Times New Roman"/>
                                <w:b/>
                                <w:color w:val="FFC000"/>
                              </w:rPr>
                            </w:pPr>
                            <w:r w:rsidRPr="008A25B1">
                              <w:rPr>
                                <w:rFonts w:ascii="Times New Roman" w:hAnsi="Times New Roman" w:cs="Times New Roman"/>
                                <w:b/>
                                <w:color w:val="FFC000"/>
                              </w:rPr>
                              <w:t>M-Medium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1D1155" id="_x0000_t202" coordsize="21600,21600" o:spt="202" path="m,l,21600r21600,l21600,xe">
                <v:stroke joinstyle="miter"/>
                <v:path gradientshapeok="t" o:connecttype="rect"/>
              </v:shapetype>
              <v:shape id="Text Box 43" o:spid="_x0000_s1026" type="#_x0000_t202" style="position:absolute;left:0;text-align:left;margin-left:96.75pt;margin-top:3.25pt;width:71.25pt;height:26.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" fillcolor="white [3201]" stroked="f" strokeweight=".5pt">
                <v:textbox>
                  <w:txbxContent>
                    <w:p w14:paraId="421ECDE2" w14:textId="77777777" w:rsidR="00DF5C15" w:rsidRPr="008A25B1" w:rsidRDefault="00DF5C15" w:rsidP="00DC2DC6">
                      <w:pPr>
                        <w:rPr>
                          <w:rFonts w:ascii="Times New Roman" w:hAnsi="Times New Roman" w:cs="Times New Roman"/>
                          <w:b/>
                          <w:color w:val="FFC000"/>
                        </w:rPr>
                      </w:pPr>
                      <w:r w:rsidRPr="008A25B1">
                        <w:rPr>
                          <w:rFonts w:ascii="Times New Roman" w:hAnsi="Times New Roman" w:cs="Times New Roman"/>
                          <w:b/>
                          <w:color w:val="FFC000"/>
                        </w:rPr>
                        <w:t>M-Medium</w:t>
                      </w:r>
                    </w:p>
                  </w:txbxContent>
                </v:textbox>
              </v:shape>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21398C62" wp14:editId="37CB42E6">
                <wp:simplePos x="0" y="0"/>
                <wp:positionH relativeFrom="column">
                  <wp:posOffset>2609850</wp:posOffset>
                </wp:positionH>
                <wp:positionV relativeFrom="paragraph">
                  <wp:posOffset>50800</wp:posOffset>
                </wp:positionV>
                <wp:extent cx="1114425" cy="2667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114425" cy="266700"/>
                        </a:xfrm>
                        <a:prstGeom prst="rect">
                          <a:avLst/>
                        </a:prstGeom>
                        <a:noFill/>
                        <a:ln w="6350">
                          <a:noFill/>
                        </a:ln>
                      </wps:spPr>
                      <wps:txbx>
                        <w:txbxContent>
                          <w:p w14:paraId="020F9F6E" w14:textId="77777777" w:rsidR="00DF5C15" w:rsidRPr="008A25B1" w:rsidRDefault="00DF5C15" w:rsidP="00DC2DC6">
                            <w:pPr>
                              <w:rPr>
                                <w:rFonts w:ascii="Times New Roman" w:hAnsi="Times New Roman" w:cs="Times New Roman"/>
                                <w:b/>
                                <w:color w:val="FF0000"/>
                              </w:rPr>
                            </w:pPr>
                            <w:r w:rsidRPr="008A25B1">
                              <w:rPr>
                                <w:rFonts w:ascii="Times New Roman" w:hAnsi="Times New Roman" w:cs="Times New Roman"/>
                                <w:b/>
                                <w:color w:val="FF0000"/>
                              </w:rPr>
                              <w:t>R- Poor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398C62" id="Text Box 44" o:spid="_x0000_s1027" type="#_x0000_t202" style="position:absolute;left:0;text-align:left;margin-left:205.5pt;margin-top:4pt;width:87.75pt;height:21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" filled="f" stroked="f" strokeweight=".5pt">
                <v:textbox>
                  <w:txbxContent>
                    <w:p w14:paraId="020F9F6E" w14:textId="77777777" w:rsidR="00DF5C15" w:rsidRPr="008A25B1" w:rsidRDefault="00DF5C15" w:rsidP="00DC2DC6">
                      <w:pPr>
                        <w:rPr>
                          <w:rFonts w:ascii="Times New Roman" w:hAnsi="Times New Roman" w:cs="Times New Roman"/>
                          <w:b/>
                          <w:color w:val="FF0000"/>
                        </w:rPr>
                      </w:pPr>
                      <w:r w:rsidRPr="008A25B1">
                        <w:rPr>
                          <w:rFonts w:ascii="Times New Roman" w:hAnsi="Times New Roman" w:cs="Times New Roman"/>
                          <w:b/>
                          <w:color w:val="FF0000"/>
                        </w:rPr>
                        <w:t>R- Poor</w:t>
                      </w:r>
                    </w:p>
                  </w:txbxContent>
                </v:textbox>
              </v:shape>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0BD24D58" wp14:editId="1DEDF001">
                <wp:simplePos x="0" y="0"/>
                <wp:positionH relativeFrom="column">
                  <wp:posOffset>2238375</wp:posOffset>
                </wp:positionH>
                <wp:positionV relativeFrom="paragraph">
                  <wp:posOffset>88265</wp:posOffset>
                </wp:positionV>
                <wp:extent cx="228600" cy="159385"/>
                <wp:effectExtent l="0" t="0" r="19050" b="12065"/>
                <wp:wrapNone/>
                <wp:docPr id="33" name="Rectangle 33"/>
                <wp:cNvGraphicFramePr/>
                <a:graphic xmlns:a="http://schemas.openxmlformats.org/drawingml/2006/main">
                  <a:graphicData uri="http://schemas.microsoft.com/office/word/2010/wordprocessingShape">
                    <wps:wsp>
                      <wps:cNvSpPr/>
                      <wps:spPr>
                        <a:xfrm flipV="1">
                          <a:off x="0" y="0"/>
                          <a:ext cx="228600" cy="15938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289E2" id="Rectangle 33" o:spid="_x0000_s1026" style="position:absolute;margin-left:176.25pt;margin-top:6.95pt;width:18pt;height:12.5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" fillcolor="red" strokecolor="red" strokeweight="1pt"/>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5832F920" wp14:editId="368C17C4">
                <wp:simplePos x="0" y="0"/>
                <wp:positionH relativeFrom="column">
                  <wp:posOffset>161925</wp:posOffset>
                </wp:positionH>
                <wp:positionV relativeFrom="paragraph">
                  <wp:posOffset>22225</wp:posOffset>
                </wp:positionV>
                <wp:extent cx="895350" cy="2857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895350" cy="285750"/>
                        </a:xfrm>
                        <a:prstGeom prst="rect">
                          <a:avLst/>
                        </a:prstGeom>
                        <a:noFill/>
                        <a:ln w="6350">
                          <a:noFill/>
                        </a:ln>
                      </wps:spPr>
                      <wps:txbx>
                        <w:txbxContent>
                          <w:p w14:paraId="0FD475D3" w14:textId="77777777" w:rsidR="00DF5C15" w:rsidRPr="00901D66" w:rsidRDefault="00DF5C15" w:rsidP="00DC2DC6">
                            <w:pPr>
                              <w:rPr>
                                <w:rFonts w:ascii="Times New Roman" w:hAnsi="Times New Roman" w:cs="Times New Roman"/>
                                <w:b/>
                                <w:color w:val="00B050"/>
                              </w:rPr>
                            </w:pPr>
                            <w:r w:rsidRPr="00901D66">
                              <w:rPr>
                                <w:rFonts w:ascii="Times New Roman" w:hAnsi="Times New Roman" w:cs="Times New Roman"/>
                                <w:b/>
                                <w:color w:val="00B050"/>
                              </w:rPr>
                              <w:t>G- Good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2F920" id="Text Box 38" o:spid="_x0000_s1028" type="#_x0000_t202" style="position:absolute;left:0;text-align:left;margin-left:12.75pt;margin-top:1.75pt;width:70.5pt;height:2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" filled="f" stroked="f" strokeweight=".5pt">
                <v:textbox>
                  <w:txbxContent>
                    <w:p w14:paraId="0FD475D3" w14:textId="77777777" w:rsidR="00DF5C15" w:rsidRPr="00901D66" w:rsidRDefault="00DF5C15" w:rsidP="00DC2DC6">
                      <w:pPr>
                        <w:rPr>
                          <w:rFonts w:ascii="Times New Roman" w:hAnsi="Times New Roman" w:cs="Times New Roman"/>
                          <w:b/>
                          <w:color w:val="00B050"/>
                        </w:rPr>
                      </w:pPr>
                      <w:r w:rsidRPr="00901D66">
                        <w:rPr>
                          <w:rFonts w:ascii="Times New Roman" w:hAnsi="Times New Roman" w:cs="Times New Roman"/>
                          <w:b/>
                          <w:color w:val="00B050"/>
                        </w:rPr>
                        <w:t>G- Good</w:t>
                      </w:r>
                    </w:p>
                  </w:txbxContent>
                </v:textbox>
              </v:shape>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7789D8F" wp14:editId="29414B3F">
                <wp:simplePos x="0" y="0"/>
                <wp:positionH relativeFrom="margin">
                  <wp:align>left</wp:align>
                </wp:positionH>
                <wp:positionV relativeFrom="paragraph">
                  <wp:posOffset>79375</wp:posOffset>
                </wp:positionV>
                <wp:extent cx="180975" cy="142875"/>
                <wp:effectExtent l="0" t="0" r="9525" b="9525"/>
                <wp:wrapNone/>
                <wp:docPr id="31" name="Rectangle 31"/>
                <wp:cNvGraphicFramePr/>
                <a:graphic xmlns:a="http://schemas.openxmlformats.org/drawingml/2006/main">
                  <a:graphicData uri="http://schemas.microsoft.com/office/word/2010/wordprocessingShape">
                    <wps:wsp>
                      <wps:cNvSpPr/>
                      <wps:spPr>
                        <a:xfrm>
                          <a:off x="0" y="0"/>
                          <a:ext cx="180975" cy="142875"/>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02D04" id="Rectangle 31" o:spid="_x0000_s1026" style="position:absolute;margin-left:0;margin-top:6.25pt;width:14.25pt;height:11.2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" fillcolor="#70ad47 [3209]" stroked="f" strokeweight="1pt">
                <w10:wrap anchorx="margin"/>
              </v:rect>
            </w:pict>
          </mc:Fallback>
        </mc:AlternateContent>
      </w:r>
    </w:p>
    <w:p w14:paraId="73279DDC" w14:textId="77777777" w:rsidR="00DC2DC6" w:rsidRPr="00DB4A33" w:rsidRDefault="00DC2DC6"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Table </w:t>
      </w:r>
      <w:r w:rsidR="002D2115">
        <w:rPr>
          <w:rFonts w:ascii="Times New Roman" w:eastAsia="Times New Roman" w:hAnsi="Times New Roman" w:cs="Times New Roman"/>
          <w:sz w:val="24"/>
          <w:szCs w:val="24"/>
        </w:rPr>
        <w:t>3</w:t>
      </w:r>
      <w:r w:rsidRPr="00DB4A33">
        <w:rPr>
          <w:rFonts w:ascii="Times New Roman" w:eastAsia="Times New Roman" w:hAnsi="Times New Roman" w:cs="Times New Roman"/>
          <w:sz w:val="24"/>
          <w:szCs w:val="24"/>
        </w:rPr>
        <w:t xml:space="preserve">: ADMET properties for the </w:t>
      </w:r>
      <w:proofErr w:type="spellStart"/>
      <w:r w:rsidRPr="00DB4A33">
        <w:rPr>
          <w:rFonts w:ascii="Times New Roman" w:eastAsia="Times New Roman" w:hAnsi="Times New Roman" w:cs="Times New Roman"/>
          <w:sz w:val="24"/>
          <w:szCs w:val="24"/>
        </w:rPr>
        <w:t>Chromenoquinoline</w:t>
      </w:r>
      <w:proofErr w:type="spellEnd"/>
      <w:r w:rsidRPr="00DB4A33">
        <w:rPr>
          <w:rFonts w:ascii="Times New Roman" w:eastAsia="Times New Roman" w:hAnsi="Times New Roman" w:cs="Times New Roman"/>
          <w:sz w:val="24"/>
          <w:szCs w:val="24"/>
        </w:rPr>
        <w:t xml:space="preserve"> derivatives. (Note: Good means low risk prediction, medium means medium risk prediction, poor means the compound </w:t>
      </w:r>
      <w:r w:rsidR="009A6076">
        <w:rPr>
          <w:rFonts w:ascii="Times New Roman" w:eastAsia="Times New Roman" w:hAnsi="Times New Roman" w:cs="Times New Roman"/>
          <w:sz w:val="24"/>
          <w:szCs w:val="24"/>
        </w:rPr>
        <w:t>needs further investigation or optimization.)</w:t>
      </w:r>
    </w:p>
    <w:p w14:paraId="51DFED31" w14:textId="77777777" w:rsidR="003B6EF7" w:rsidRPr="00DB4A33" w:rsidRDefault="003B6EF7" w:rsidP="00DB4A33">
      <w:pPr>
        <w:spacing w:before="100" w:beforeAutospacing="1" w:after="100" w:afterAutospacing="1" w:line="360" w:lineRule="auto"/>
        <w:jc w:val="both"/>
        <w:rPr>
          <w:rFonts w:ascii="Times New Roman" w:hAnsi="Times New Roman" w:cs="Times New Roman"/>
          <w:b/>
          <w:sz w:val="24"/>
          <w:szCs w:val="24"/>
        </w:rPr>
      </w:pPr>
    </w:p>
    <w:p w14:paraId="169B5CC6" w14:textId="77777777" w:rsidR="00177F7C" w:rsidRDefault="00177F7C" w:rsidP="00DB4A33">
      <w:pPr>
        <w:spacing w:before="100" w:beforeAutospacing="1" w:after="100" w:afterAutospacing="1" w:line="360" w:lineRule="auto"/>
        <w:jc w:val="both"/>
        <w:rPr>
          <w:rFonts w:ascii="Times New Roman" w:hAnsi="Times New Roman" w:cs="Times New Roman"/>
          <w:b/>
          <w:sz w:val="24"/>
          <w:szCs w:val="24"/>
        </w:rPr>
      </w:pPr>
    </w:p>
    <w:p w14:paraId="6142E7F4" w14:textId="77777777" w:rsidR="00177F7C" w:rsidRDefault="00177F7C" w:rsidP="00DB4A33">
      <w:pPr>
        <w:spacing w:before="100" w:beforeAutospacing="1" w:after="100" w:afterAutospacing="1" w:line="360" w:lineRule="auto"/>
        <w:jc w:val="both"/>
        <w:rPr>
          <w:rFonts w:ascii="Times New Roman" w:hAnsi="Times New Roman" w:cs="Times New Roman"/>
          <w:b/>
          <w:sz w:val="24"/>
          <w:szCs w:val="24"/>
        </w:rPr>
      </w:pPr>
    </w:p>
    <w:p w14:paraId="5EC9552E" w14:textId="77777777" w:rsidR="00700199" w:rsidRPr="00BD2A6E" w:rsidRDefault="00700199" w:rsidP="00DB4A33">
      <w:pPr>
        <w:spacing w:before="100" w:beforeAutospacing="1" w:after="100" w:afterAutospacing="1" w:line="360" w:lineRule="auto"/>
        <w:jc w:val="both"/>
        <w:rPr>
          <w:rFonts w:ascii="Times New Roman" w:eastAsia="Times New Roman" w:hAnsi="Times New Roman" w:cs="Times New Roman"/>
          <w:b/>
          <w:sz w:val="24"/>
          <w:szCs w:val="24"/>
        </w:rPr>
      </w:pPr>
    </w:p>
    <w:tbl>
      <w:tblPr>
        <w:tblW w:w="10255" w:type="dxa"/>
        <w:tblCellSpacing w:w="15" w:type="dxa"/>
        <w:tblCellMar>
          <w:top w:w="15" w:type="dxa"/>
          <w:left w:w="15" w:type="dxa"/>
          <w:bottom w:w="15" w:type="dxa"/>
          <w:right w:w="15" w:type="dxa"/>
        </w:tblCellMar>
        <w:tblLook w:val="04A0" w:firstRow="1" w:lastRow="0" w:firstColumn="1" w:lastColumn="0" w:noHBand="0" w:noVBand="1"/>
      </w:tblPr>
      <w:tblGrid>
        <w:gridCol w:w="3055"/>
        <w:gridCol w:w="2250"/>
        <w:gridCol w:w="2430"/>
        <w:gridCol w:w="2520"/>
      </w:tblGrid>
      <w:tr w:rsidR="00B27FC4" w:rsidRPr="00DB4A33" w14:paraId="19CDCA25" w14:textId="77777777" w:rsidTr="008C0053">
        <w:trPr>
          <w:tblHeader/>
          <w:tblCellSpacing w:w="15" w:type="dxa"/>
        </w:trPr>
        <w:tc>
          <w:tcPr>
            <w:tcW w:w="3010" w:type="dxa"/>
            <w:tcBorders>
              <w:top w:val="single" w:sz="4" w:space="0" w:color="auto"/>
              <w:left w:val="single" w:sz="4" w:space="0" w:color="auto"/>
              <w:bottom w:val="single" w:sz="4" w:space="0" w:color="auto"/>
            </w:tcBorders>
            <w:vAlign w:val="center"/>
            <w:hideMark/>
          </w:tcPr>
          <w:p w14:paraId="6CD5A1DF" w14:textId="77777777" w:rsidR="00CA5746" w:rsidRPr="00DB4A33" w:rsidRDefault="00CA5746" w:rsidP="00DB4A33">
            <w:pPr>
              <w:spacing w:after="0"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lastRenderedPageBreak/>
              <w:t>MD Parameter</w:t>
            </w:r>
          </w:p>
        </w:tc>
        <w:tc>
          <w:tcPr>
            <w:tcW w:w="2220" w:type="dxa"/>
            <w:tcBorders>
              <w:top w:val="single" w:sz="4" w:space="0" w:color="auto"/>
              <w:left w:val="single" w:sz="4" w:space="0" w:color="auto"/>
              <w:bottom w:val="single" w:sz="4" w:space="0" w:color="auto"/>
            </w:tcBorders>
            <w:vAlign w:val="center"/>
            <w:hideMark/>
          </w:tcPr>
          <w:p w14:paraId="5AAFD1E2" w14:textId="77777777" w:rsidR="00CA5746" w:rsidRPr="00DB4A33" w:rsidRDefault="00CA5746" w:rsidP="00DB4A33">
            <w:pPr>
              <w:spacing w:after="0" w:line="360" w:lineRule="auto"/>
              <w:jc w:val="both"/>
              <w:rPr>
                <w:rFonts w:ascii="Times New Roman" w:eastAsia="Times New Roman" w:hAnsi="Times New Roman" w:cs="Times New Roman"/>
                <w:b/>
                <w:bCs/>
                <w:sz w:val="24"/>
                <w:szCs w:val="24"/>
              </w:rPr>
            </w:pPr>
            <w:proofErr w:type="spellStart"/>
            <w:r w:rsidRPr="00DB4A33">
              <w:rPr>
                <w:rFonts w:ascii="Times New Roman" w:eastAsia="Times New Roman" w:hAnsi="Times New Roman" w:cs="Times New Roman"/>
                <w:b/>
                <w:bCs/>
                <w:sz w:val="24"/>
                <w:szCs w:val="24"/>
              </w:rPr>
              <w:t>Oxythiamine</w:t>
            </w:r>
            <w:proofErr w:type="spellEnd"/>
          </w:p>
        </w:tc>
        <w:tc>
          <w:tcPr>
            <w:tcW w:w="2400" w:type="dxa"/>
            <w:tcBorders>
              <w:top w:val="single" w:sz="4" w:space="0" w:color="auto"/>
              <w:left w:val="single" w:sz="4" w:space="0" w:color="auto"/>
              <w:bottom w:val="single" w:sz="4" w:space="0" w:color="auto"/>
            </w:tcBorders>
            <w:vAlign w:val="center"/>
            <w:hideMark/>
          </w:tcPr>
          <w:p w14:paraId="2613BE45" w14:textId="77777777" w:rsidR="00CA5746" w:rsidRPr="00DB4A33" w:rsidRDefault="00CA5746" w:rsidP="00DB4A33">
            <w:pPr>
              <w:spacing w:after="0"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Compound A3</w:t>
            </w:r>
          </w:p>
        </w:tc>
        <w:tc>
          <w:tcPr>
            <w:tcW w:w="2475" w:type="dxa"/>
            <w:tcBorders>
              <w:top w:val="single" w:sz="4" w:space="0" w:color="auto"/>
              <w:left w:val="single" w:sz="4" w:space="0" w:color="auto"/>
              <w:bottom w:val="single" w:sz="4" w:space="0" w:color="auto"/>
              <w:right w:val="single" w:sz="4" w:space="0" w:color="auto"/>
            </w:tcBorders>
            <w:vAlign w:val="center"/>
            <w:hideMark/>
          </w:tcPr>
          <w:p w14:paraId="5E771782" w14:textId="77777777" w:rsidR="00CA5746" w:rsidRPr="00DB4A33" w:rsidRDefault="00CA5746" w:rsidP="00DB4A33">
            <w:pPr>
              <w:spacing w:after="0"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Compound A6</w:t>
            </w:r>
          </w:p>
        </w:tc>
      </w:tr>
      <w:tr w:rsidR="00B27FC4" w:rsidRPr="00DB4A33" w14:paraId="35A56443" w14:textId="77777777" w:rsidTr="008C0053">
        <w:trPr>
          <w:tblCellSpacing w:w="15" w:type="dxa"/>
        </w:trPr>
        <w:tc>
          <w:tcPr>
            <w:tcW w:w="3010" w:type="dxa"/>
            <w:tcBorders>
              <w:left w:val="single" w:sz="4" w:space="0" w:color="auto"/>
            </w:tcBorders>
            <w:vAlign w:val="center"/>
            <w:hideMark/>
          </w:tcPr>
          <w:p w14:paraId="06D0A0D9"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RMSD (nm)</w:t>
            </w:r>
          </w:p>
        </w:tc>
        <w:tc>
          <w:tcPr>
            <w:tcW w:w="2220" w:type="dxa"/>
            <w:tcBorders>
              <w:left w:val="single" w:sz="4" w:space="0" w:color="auto"/>
            </w:tcBorders>
            <w:vAlign w:val="center"/>
            <w:hideMark/>
          </w:tcPr>
          <w:p w14:paraId="0CB7492D"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0.23</w:t>
            </w:r>
          </w:p>
        </w:tc>
        <w:tc>
          <w:tcPr>
            <w:tcW w:w="2400" w:type="dxa"/>
            <w:tcBorders>
              <w:left w:val="single" w:sz="4" w:space="0" w:color="auto"/>
            </w:tcBorders>
            <w:vAlign w:val="center"/>
            <w:hideMark/>
          </w:tcPr>
          <w:p w14:paraId="6E7EFA7E"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0.24</w:t>
            </w:r>
          </w:p>
        </w:tc>
        <w:tc>
          <w:tcPr>
            <w:tcW w:w="2475" w:type="dxa"/>
            <w:tcBorders>
              <w:left w:val="single" w:sz="4" w:space="0" w:color="auto"/>
              <w:right w:val="single" w:sz="4" w:space="0" w:color="auto"/>
            </w:tcBorders>
            <w:vAlign w:val="center"/>
            <w:hideMark/>
          </w:tcPr>
          <w:p w14:paraId="185CA7FD"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0.25</w:t>
            </w:r>
          </w:p>
        </w:tc>
      </w:tr>
      <w:tr w:rsidR="00B27FC4" w:rsidRPr="00DB4A33" w14:paraId="736BE5DA" w14:textId="77777777" w:rsidTr="008C0053">
        <w:trPr>
          <w:tblCellSpacing w:w="15" w:type="dxa"/>
        </w:trPr>
        <w:tc>
          <w:tcPr>
            <w:tcW w:w="3010" w:type="dxa"/>
            <w:tcBorders>
              <w:top w:val="single" w:sz="4" w:space="0" w:color="auto"/>
              <w:left w:val="single" w:sz="4" w:space="0" w:color="auto"/>
            </w:tcBorders>
            <w:vAlign w:val="center"/>
            <w:hideMark/>
          </w:tcPr>
          <w:p w14:paraId="25041F88"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RMSF (nm)</w:t>
            </w:r>
          </w:p>
        </w:tc>
        <w:tc>
          <w:tcPr>
            <w:tcW w:w="2220" w:type="dxa"/>
            <w:tcBorders>
              <w:top w:val="single" w:sz="4" w:space="0" w:color="auto"/>
              <w:left w:val="single" w:sz="4" w:space="0" w:color="auto"/>
            </w:tcBorders>
            <w:vAlign w:val="center"/>
            <w:hideMark/>
          </w:tcPr>
          <w:p w14:paraId="2A3A58EF"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0.13</w:t>
            </w:r>
          </w:p>
        </w:tc>
        <w:tc>
          <w:tcPr>
            <w:tcW w:w="2400" w:type="dxa"/>
            <w:tcBorders>
              <w:top w:val="single" w:sz="4" w:space="0" w:color="auto"/>
              <w:left w:val="single" w:sz="4" w:space="0" w:color="auto"/>
            </w:tcBorders>
            <w:vAlign w:val="center"/>
            <w:hideMark/>
          </w:tcPr>
          <w:p w14:paraId="1B7288F7"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0.14</w:t>
            </w:r>
          </w:p>
        </w:tc>
        <w:tc>
          <w:tcPr>
            <w:tcW w:w="2475" w:type="dxa"/>
            <w:tcBorders>
              <w:top w:val="single" w:sz="4" w:space="0" w:color="auto"/>
              <w:left w:val="single" w:sz="4" w:space="0" w:color="auto"/>
              <w:right w:val="single" w:sz="4" w:space="0" w:color="auto"/>
            </w:tcBorders>
            <w:vAlign w:val="center"/>
            <w:hideMark/>
          </w:tcPr>
          <w:p w14:paraId="13FD31CB"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0.12</w:t>
            </w:r>
          </w:p>
        </w:tc>
      </w:tr>
      <w:tr w:rsidR="00B27FC4" w:rsidRPr="00DB4A33" w14:paraId="7AD59AED" w14:textId="77777777" w:rsidTr="008C0053">
        <w:trPr>
          <w:tblCellSpacing w:w="15" w:type="dxa"/>
        </w:trPr>
        <w:tc>
          <w:tcPr>
            <w:tcW w:w="3010" w:type="dxa"/>
            <w:tcBorders>
              <w:top w:val="single" w:sz="4" w:space="0" w:color="auto"/>
              <w:left w:val="single" w:sz="4" w:space="0" w:color="auto"/>
              <w:bottom w:val="single" w:sz="4" w:space="0" w:color="auto"/>
            </w:tcBorders>
            <w:vAlign w:val="center"/>
            <w:hideMark/>
          </w:tcPr>
          <w:p w14:paraId="0D5DC360"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Radius of Gyration (nm)</w:t>
            </w:r>
          </w:p>
        </w:tc>
        <w:tc>
          <w:tcPr>
            <w:tcW w:w="2220" w:type="dxa"/>
            <w:tcBorders>
              <w:top w:val="single" w:sz="4" w:space="0" w:color="auto"/>
              <w:left w:val="single" w:sz="4" w:space="0" w:color="auto"/>
              <w:bottom w:val="single" w:sz="4" w:space="0" w:color="auto"/>
            </w:tcBorders>
            <w:vAlign w:val="center"/>
            <w:hideMark/>
          </w:tcPr>
          <w:p w14:paraId="611CF1FF"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2.90</w:t>
            </w:r>
          </w:p>
        </w:tc>
        <w:tc>
          <w:tcPr>
            <w:tcW w:w="2400" w:type="dxa"/>
            <w:tcBorders>
              <w:top w:val="single" w:sz="4" w:space="0" w:color="auto"/>
              <w:left w:val="single" w:sz="4" w:space="0" w:color="auto"/>
              <w:bottom w:val="single" w:sz="4" w:space="0" w:color="auto"/>
            </w:tcBorders>
            <w:vAlign w:val="center"/>
            <w:hideMark/>
          </w:tcPr>
          <w:p w14:paraId="2E7C9F5A"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2.85</w:t>
            </w:r>
          </w:p>
        </w:tc>
        <w:tc>
          <w:tcPr>
            <w:tcW w:w="2475" w:type="dxa"/>
            <w:tcBorders>
              <w:top w:val="single" w:sz="4" w:space="0" w:color="auto"/>
              <w:left w:val="single" w:sz="4" w:space="0" w:color="auto"/>
              <w:bottom w:val="single" w:sz="4" w:space="0" w:color="auto"/>
              <w:right w:val="single" w:sz="4" w:space="0" w:color="auto"/>
            </w:tcBorders>
            <w:vAlign w:val="center"/>
            <w:hideMark/>
          </w:tcPr>
          <w:p w14:paraId="7DF9FFC1"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2.93</w:t>
            </w:r>
          </w:p>
        </w:tc>
      </w:tr>
      <w:tr w:rsidR="00B27FC4" w:rsidRPr="00DB4A33" w14:paraId="391E0A53" w14:textId="77777777" w:rsidTr="008C0053">
        <w:trPr>
          <w:tblCellSpacing w:w="15" w:type="dxa"/>
        </w:trPr>
        <w:tc>
          <w:tcPr>
            <w:tcW w:w="3010" w:type="dxa"/>
            <w:tcBorders>
              <w:left w:val="single" w:sz="4" w:space="0" w:color="auto"/>
              <w:bottom w:val="single" w:sz="4" w:space="0" w:color="auto"/>
            </w:tcBorders>
            <w:vAlign w:val="center"/>
            <w:hideMark/>
          </w:tcPr>
          <w:p w14:paraId="6FA57433"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H-bonds (count)</w:t>
            </w:r>
          </w:p>
        </w:tc>
        <w:tc>
          <w:tcPr>
            <w:tcW w:w="2220" w:type="dxa"/>
            <w:tcBorders>
              <w:left w:val="single" w:sz="4" w:space="0" w:color="auto"/>
              <w:bottom w:val="single" w:sz="4" w:space="0" w:color="auto"/>
            </w:tcBorders>
            <w:vAlign w:val="center"/>
            <w:hideMark/>
          </w:tcPr>
          <w:p w14:paraId="3967BD57"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1.8</w:t>
            </w:r>
          </w:p>
        </w:tc>
        <w:tc>
          <w:tcPr>
            <w:tcW w:w="2400" w:type="dxa"/>
            <w:tcBorders>
              <w:left w:val="single" w:sz="4" w:space="0" w:color="auto"/>
              <w:bottom w:val="single" w:sz="4" w:space="0" w:color="auto"/>
            </w:tcBorders>
            <w:vAlign w:val="center"/>
            <w:hideMark/>
          </w:tcPr>
          <w:p w14:paraId="5BD79356"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1.2</w:t>
            </w:r>
          </w:p>
        </w:tc>
        <w:tc>
          <w:tcPr>
            <w:tcW w:w="2475" w:type="dxa"/>
            <w:tcBorders>
              <w:left w:val="single" w:sz="4" w:space="0" w:color="auto"/>
              <w:bottom w:val="single" w:sz="4" w:space="0" w:color="auto"/>
              <w:right w:val="single" w:sz="4" w:space="0" w:color="auto"/>
            </w:tcBorders>
            <w:vAlign w:val="center"/>
            <w:hideMark/>
          </w:tcPr>
          <w:p w14:paraId="783C372F"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1.0</w:t>
            </w:r>
          </w:p>
        </w:tc>
      </w:tr>
      <w:tr w:rsidR="00B27FC4" w:rsidRPr="00DB4A33" w14:paraId="6238DD0D" w14:textId="77777777" w:rsidTr="008C0053">
        <w:trPr>
          <w:trHeight w:val="206"/>
          <w:tblCellSpacing w:w="15" w:type="dxa"/>
        </w:trPr>
        <w:tc>
          <w:tcPr>
            <w:tcW w:w="3010" w:type="dxa"/>
            <w:tcBorders>
              <w:left w:val="single" w:sz="4" w:space="0" w:color="auto"/>
              <w:bottom w:val="single" w:sz="4" w:space="0" w:color="auto"/>
            </w:tcBorders>
            <w:vAlign w:val="center"/>
            <w:hideMark/>
          </w:tcPr>
          <w:p w14:paraId="507EDC8E"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SASA (nm²)</w:t>
            </w:r>
          </w:p>
        </w:tc>
        <w:tc>
          <w:tcPr>
            <w:tcW w:w="2220" w:type="dxa"/>
            <w:tcBorders>
              <w:left w:val="single" w:sz="4" w:space="0" w:color="auto"/>
              <w:bottom w:val="single" w:sz="4" w:space="0" w:color="auto"/>
            </w:tcBorders>
            <w:vAlign w:val="center"/>
            <w:hideMark/>
          </w:tcPr>
          <w:p w14:paraId="2DE01B96"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290</w:t>
            </w:r>
          </w:p>
        </w:tc>
        <w:tc>
          <w:tcPr>
            <w:tcW w:w="2400" w:type="dxa"/>
            <w:tcBorders>
              <w:left w:val="single" w:sz="4" w:space="0" w:color="auto"/>
              <w:bottom w:val="single" w:sz="4" w:space="0" w:color="auto"/>
            </w:tcBorders>
            <w:vAlign w:val="center"/>
            <w:hideMark/>
          </w:tcPr>
          <w:p w14:paraId="098F27D5"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280</w:t>
            </w:r>
          </w:p>
        </w:tc>
        <w:tc>
          <w:tcPr>
            <w:tcW w:w="2475" w:type="dxa"/>
            <w:tcBorders>
              <w:left w:val="single" w:sz="4" w:space="0" w:color="auto"/>
              <w:bottom w:val="single" w:sz="4" w:space="0" w:color="auto"/>
              <w:right w:val="single" w:sz="4" w:space="0" w:color="auto"/>
            </w:tcBorders>
            <w:vAlign w:val="center"/>
            <w:hideMark/>
          </w:tcPr>
          <w:p w14:paraId="53F7BDCA"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272</w:t>
            </w:r>
          </w:p>
        </w:tc>
      </w:tr>
    </w:tbl>
    <w:p w14:paraId="3A85206D" w14:textId="77777777" w:rsidR="00E11AC7" w:rsidRPr="00BD2A6E" w:rsidRDefault="00DC2DC6" w:rsidP="00BD2A6E">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Table </w:t>
      </w:r>
      <w:r w:rsidR="00BD2A6E">
        <w:rPr>
          <w:rFonts w:ascii="Times New Roman" w:eastAsia="Times New Roman" w:hAnsi="Times New Roman" w:cs="Times New Roman"/>
          <w:sz w:val="24"/>
          <w:szCs w:val="24"/>
        </w:rPr>
        <w:t>4</w:t>
      </w:r>
      <w:r w:rsidRPr="00DB4A33">
        <w:rPr>
          <w:rFonts w:ascii="Times New Roman" w:eastAsia="Times New Roman" w:hAnsi="Times New Roman" w:cs="Times New Roman"/>
          <w:sz w:val="24"/>
          <w:szCs w:val="24"/>
        </w:rPr>
        <w:t xml:space="preserve">: Average Values of RMSD, RMSF, </w:t>
      </w:r>
      <w:proofErr w:type="spellStart"/>
      <w:r w:rsidRPr="00DB4A33">
        <w:rPr>
          <w:rFonts w:ascii="Times New Roman" w:eastAsia="Times New Roman" w:hAnsi="Times New Roman" w:cs="Times New Roman"/>
          <w:sz w:val="24"/>
          <w:szCs w:val="24"/>
        </w:rPr>
        <w:t>RoG</w:t>
      </w:r>
      <w:proofErr w:type="spellEnd"/>
      <w:r w:rsidRPr="00DB4A33">
        <w:rPr>
          <w:rFonts w:ascii="Times New Roman" w:eastAsia="Times New Roman" w:hAnsi="Times New Roman" w:cs="Times New Roman"/>
          <w:sz w:val="24"/>
          <w:szCs w:val="24"/>
        </w:rPr>
        <w:t>, and H-Bonds</w:t>
      </w:r>
      <w:r w:rsidR="00D82944">
        <w:rPr>
          <w:rFonts w:ascii="Times New Roman" w:eastAsia="Times New Roman" w:hAnsi="Times New Roman" w:cs="Times New Roman"/>
          <w:sz w:val="24"/>
          <w:szCs w:val="24"/>
        </w:rPr>
        <w:t xml:space="preserve"> </w:t>
      </w:r>
      <w:proofErr w:type="spellStart"/>
      <w:r w:rsidR="00D82944">
        <w:rPr>
          <w:rFonts w:ascii="Times New Roman" w:eastAsia="Times New Roman" w:hAnsi="Times New Roman" w:cs="Times New Roman"/>
          <w:sz w:val="24"/>
          <w:szCs w:val="24"/>
        </w:rPr>
        <w:t>Oxythiamine</w:t>
      </w:r>
      <w:proofErr w:type="spellEnd"/>
      <w:r w:rsidR="00D82944">
        <w:rPr>
          <w:rFonts w:ascii="Times New Roman" w:eastAsia="Times New Roman" w:hAnsi="Times New Roman" w:cs="Times New Roman"/>
          <w:sz w:val="24"/>
          <w:szCs w:val="24"/>
        </w:rPr>
        <w:t>, Compound A3 a</w:t>
      </w:r>
      <w:r w:rsidR="000A7DF2" w:rsidRPr="00DB4A33">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0666D4C" wp14:editId="647BD672">
                <wp:simplePos x="0" y="0"/>
                <wp:positionH relativeFrom="column">
                  <wp:posOffset>6000750</wp:posOffset>
                </wp:positionH>
                <wp:positionV relativeFrom="paragraph">
                  <wp:posOffset>2266315</wp:posOffset>
                </wp:positionV>
                <wp:extent cx="323850" cy="45720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323850" cy="457200"/>
                        </a:xfrm>
                        <a:prstGeom prst="rect">
                          <a:avLst/>
                        </a:prstGeom>
                        <a:solidFill>
                          <a:schemeClr val="lt1"/>
                        </a:solidFill>
                        <a:ln w="6350">
                          <a:noFill/>
                        </a:ln>
                      </wps:spPr>
                      <wps:txbx>
                        <w:txbxContent>
                          <w:p w14:paraId="220CA4B7" w14:textId="77777777" w:rsidR="00DF5C15" w:rsidRPr="000A7DF2" w:rsidRDefault="00DF5C15" w:rsidP="000A7DF2">
                            <w:pP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666D4C" id="Text Box 41" o:spid="_x0000_s1029" type="#_x0000_t202" style="position:absolute;left:0;text-align:left;margin-left:472.5pt;margin-top:178.45pt;width:25.5pt;height:36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" fillcolor="white [3201]" stroked="f" strokeweight=".5pt">
                <v:textbox>
                  <w:txbxContent>
                    <w:p w14:paraId="220CA4B7" w14:textId="77777777" w:rsidR="00DF5C15" w:rsidRPr="000A7DF2" w:rsidRDefault="00DF5C15" w:rsidP="000A7DF2">
                      <w:pPr>
                        <w:rPr>
                          <w:rFonts w:ascii="Times New Roman" w:hAnsi="Times New Roman" w:cs="Times New Roman"/>
                          <w:b/>
                          <w:sz w:val="24"/>
                          <w:szCs w:val="24"/>
                        </w:rPr>
                      </w:pPr>
                    </w:p>
                  </w:txbxContent>
                </v:textbox>
              </v:shape>
            </w:pict>
          </mc:Fallback>
        </mc:AlternateContent>
      </w:r>
      <w:r w:rsidR="000A7DF2" w:rsidRPr="00DB4A33">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4B564E43" wp14:editId="49052DE4">
                <wp:simplePos x="0" y="0"/>
                <wp:positionH relativeFrom="column">
                  <wp:posOffset>-381000</wp:posOffset>
                </wp:positionH>
                <wp:positionV relativeFrom="paragraph">
                  <wp:posOffset>-381000</wp:posOffset>
                </wp:positionV>
                <wp:extent cx="323850" cy="47625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323850" cy="476250"/>
                        </a:xfrm>
                        <a:prstGeom prst="rect">
                          <a:avLst/>
                        </a:prstGeom>
                        <a:solidFill>
                          <a:schemeClr val="lt1"/>
                        </a:solidFill>
                        <a:ln w="6350">
                          <a:noFill/>
                        </a:ln>
                      </wps:spPr>
                      <wps:txbx>
                        <w:txbxContent>
                          <w:p w14:paraId="5AA48C92" w14:textId="77777777" w:rsidR="00DF5C15" w:rsidRPr="000A7DF2" w:rsidRDefault="00DF5C15">
                            <w:pP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564E43" id="Text Box 37" o:spid="_x0000_s1030" type="#_x0000_t202" style="position:absolute;left:0;text-align:left;margin-left:-30pt;margin-top:-30pt;width:25.5pt;height:37.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" fillcolor="white [3201]" stroked="f" strokeweight=".5pt">
                <v:textbox>
                  <w:txbxContent>
                    <w:p w14:paraId="5AA48C92" w14:textId="77777777" w:rsidR="00DF5C15" w:rsidRPr="000A7DF2" w:rsidRDefault="00DF5C15">
                      <w:pPr>
                        <w:rPr>
                          <w:rFonts w:ascii="Times New Roman" w:hAnsi="Times New Roman" w:cs="Times New Roman"/>
                          <w:b/>
                          <w:sz w:val="24"/>
                          <w:szCs w:val="24"/>
                        </w:rPr>
                      </w:pPr>
                    </w:p>
                  </w:txbxContent>
                </v:textbox>
              </v:shape>
            </w:pict>
          </mc:Fallback>
        </mc:AlternateContent>
      </w:r>
      <w:r w:rsidR="00291A6B" w:rsidRPr="00DB4A33">
        <w:rPr>
          <w:rFonts w:ascii="Times New Roman" w:hAnsi="Times New Roman" w:cs="Times New Roman"/>
          <w:noProof/>
          <w:sz w:val="24"/>
          <w:szCs w:val="24"/>
        </w:rPr>
        <w:drawing>
          <wp:inline distT="0" distB="0" distL="0" distR="0" wp14:anchorId="1C795F5E" wp14:editId="774C66C5">
            <wp:extent cx="6544310" cy="47484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20260726-WA0011.jpg"/>
                    <pic:cNvPicPr/>
                  </pic:nvPicPr>
                  <pic:blipFill rotWithShape="1">
                    <a:blip r:embed="rId17">
                      <a:extLst>
                        <a:ext uri="{28A0092B-C50C-407E-A947-70E740481C1C}">
                          <a14:useLocalDpi xmlns:a14="http://schemas.microsoft.com/office/drawing/2010/main" val="0"/>
                        </a:ext>
                      </a:extLst>
                    </a:blip>
                    <a:srcRect t="10737" r="14634"/>
                    <a:stretch/>
                  </pic:blipFill>
                  <pic:spPr bwMode="auto">
                    <a:xfrm>
                      <a:off x="0" y="0"/>
                      <a:ext cx="6585859" cy="4778603"/>
                    </a:xfrm>
                    <a:prstGeom prst="rect">
                      <a:avLst/>
                    </a:prstGeom>
                    <a:ln>
                      <a:noFill/>
                    </a:ln>
                    <a:extLst>
                      <a:ext uri="{53640926-AAD7-44D8-BBD7-CCE9431645EC}">
                        <a14:shadowObscured xmlns:a14="http://schemas.microsoft.com/office/drawing/2010/main"/>
                      </a:ext>
                    </a:extLst>
                  </pic:spPr>
                </pic:pic>
              </a:graphicData>
            </a:graphic>
          </wp:inline>
        </w:drawing>
      </w:r>
      <w:r w:rsidR="009678C5" w:rsidRPr="00DB4A33">
        <w:rPr>
          <w:rFonts w:ascii="Times New Roman" w:hAnsi="Times New Roman" w:cs="Times New Roman"/>
          <w:noProof/>
          <w:sz w:val="24"/>
          <w:szCs w:val="24"/>
        </w:rPr>
        <w:t xml:space="preserve">    </w:t>
      </w:r>
    </w:p>
    <w:p w14:paraId="2039D43C" w14:textId="77777777" w:rsidR="00200136" w:rsidRPr="00BD2A6E" w:rsidRDefault="00BD2A6E" w:rsidP="00DB4A33">
      <w:pPr>
        <w:spacing w:line="360" w:lineRule="auto"/>
        <w:jc w:val="both"/>
        <w:rPr>
          <w:rFonts w:ascii="Times New Roman" w:hAnsi="Times New Roman" w:cs="Times New Roman"/>
          <w:sz w:val="24"/>
          <w:szCs w:val="24"/>
        </w:rPr>
      </w:pPr>
      <w:r w:rsidRPr="00BD2A6E">
        <w:rPr>
          <w:rFonts w:ascii="Times New Roman" w:hAnsi="Times New Roman" w:cs="Times New Roman"/>
          <w:sz w:val="24"/>
          <w:szCs w:val="24"/>
        </w:rPr>
        <w:t xml:space="preserve">Figure </w:t>
      </w:r>
      <w:r w:rsidR="00DF5C15">
        <w:rPr>
          <w:rFonts w:ascii="Times New Roman" w:hAnsi="Times New Roman" w:cs="Times New Roman"/>
          <w:sz w:val="24"/>
          <w:szCs w:val="24"/>
        </w:rPr>
        <w:t>6:</w:t>
      </w:r>
      <w:r w:rsidRPr="00BD2A6E">
        <w:rPr>
          <w:rFonts w:ascii="Times New Roman" w:hAnsi="Times New Roman" w:cs="Times New Roman"/>
          <w:sz w:val="24"/>
          <w:szCs w:val="24"/>
        </w:rPr>
        <w:t xml:space="preserve"> Radius of gyration </w:t>
      </w:r>
      <w:r>
        <w:rPr>
          <w:rFonts w:ascii="Times New Roman" w:hAnsi="Times New Roman" w:cs="Times New Roman"/>
          <w:sz w:val="24"/>
          <w:szCs w:val="24"/>
        </w:rPr>
        <w:t xml:space="preserve">of </w:t>
      </w:r>
      <w:r w:rsidR="00024BDF" w:rsidRPr="00024BDF">
        <w:rPr>
          <w:rFonts w:ascii="Times New Roman" w:hAnsi="Times New Roman" w:cs="Times New Roman"/>
          <w:i/>
          <w:sz w:val="24"/>
          <w:szCs w:val="24"/>
        </w:rPr>
        <w:t>P</w:t>
      </w:r>
      <w:r w:rsidR="00DF5C15">
        <w:rPr>
          <w:rFonts w:ascii="Times New Roman" w:hAnsi="Times New Roman" w:cs="Times New Roman"/>
          <w:i/>
          <w:sz w:val="24"/>
          <w:szCs w:val="24"/>
        </w:rPr>
        <w:t xml:space="preserve">lasmodium </w:t>
      </w:r>
      <w:proofErr w:type="spellStart"/>
      <w:r w:rsidR="00024BDF" w:rsidRPr="00024BDF">
        <w:rPr>
          <w:rFonts w:ascii="Times New Roman" w:hAnsi="Times New Roman" w:cs="Times New Roman"/>
          <w:i/>
          <w:sz w:val="24"/>
          <w:szCs w:val="24"/>
        </w:rPr>
        <w:t>f</w:t>
      </w:r>
      <w:r w:rsidR="00DF5C15">
        <w:rPr>
          <w:rFonts w:ascii="Times New Roman" w:hAnsi="Times New Roman" w:cs="Times New Roman"/>
          <w:i/>
          <w:sz w:val="24"/>
          <w:szCs w:val="24"/>
        </w:rPr>
        <w:t>laciparum</w:t>
      </w:r>
      <w:proofErr w:type="spellEnd"/>
      <w:r w:rsidR="00024BDF" w:rsidRPr="00024BDF">
        <w:rPr>
          <w:rFonts w:ascii="Times New Roman" w:hAnsi="Times New Roman" w:cs="Times New Roman"/>
          <w:i/>
          <w:sz w:val="24"/>
          <w:szCs w:val="24"/>
        </w:rPr>
        <w:t xml:space="preserve"> </w:t>
      </w:r>
      <w:r w:rsidR="00024BDF">
        <w:rPr>
          <w:rFonts w:ascii="Times New Roman" w:hAnsi="Times New Roman" w:cs="Times New Roman"/>
          <w:sz w:val="24"/>
          <w:szCs w:val="24"/>
        </w:rPr>
        <w:t xml:space="preserve">transketolase complex </w:t>
      </w:r>
      <w:r w:rsidRPr="00BD2A6E">
        <w:rPr>
          <w:rFonts w:ascii="Times New Roman" w:hAnsi="Times New Roman" w:cs="Times New Roman"/>
          <w:sz w:val="24"/>
          <w:szCs w:val="24"/>
        </w:rPr>
        <w:t xml:space="preserve">with </w:t>
      </w:r>
      <w:proofErr w:type="spellStart"/>
      <w:r>
        <w:rPr>
          <w:rFonts w:ascii="Times New Roman" w:hAnsi="Times New Roman" w:cs="Times New Roman"/>
          <w:sz w:val="24"/>
          <w:szCs w:val="24"/>
        </w:rPr>
        <w:t>Oxythiamine</w:t>
      </w:r>
      <w:proofErr w:type="spellEnd"/>
      <w:r w:rsidR="00024BDF">
        <w:rPr>
          <w:rFonts w:ascii="Times New Roman" w:hAnsi="Times New Roman" w:cs="Times New Roman"/>
          <w:sz w:val="24"/>
          <w:szCs w:val="24"/>
        </w:rPr>
        <w:t xml:space="preserve"> and</w:t>
      </w:r>
      <w:r>
        <w:rPr>
          <w:rFonts w:ascii="Times New Roman" w:hAnsi="Times New Roman" w:cs="Times New Roman"/>
          <w:sz w:val="24"/>
          <w:szCs w:val="24"/>
        </w:rPr>
        <w:t xml:space="preserve"> Compound </w:t>
      </w:r>
      <w:r w:rsidR="00024BDF">
        <w:rPr>
          <w:rFonts w:ascii="Times New Roman" w:hAnsi="Times New Roman" w:cs="Times New Roman"/>
          <w:sz w:val="24"/>
          <w:szCs w:val="24"/>
        </w:rPr>
        <w:t xml:space="preserve">A3, A6 </w:t>
      </w:r>
    </w:p>
    <w:p w14:paraId="658FC515" w14:textId="77777777" w:rsidR="0069695C" w:rsidRDefault="0069695C" w:rsidP="00DB4A33">
      <w:pPr>
        <w:spacing w:line="360" w:lineRule="auto"/>
        <w:jc w:val="both"/>
        <w:rPr>
          <w:rFonts w:ascii="Times New Roman" w:hAnsi="Times New Roman" w:cs="Times New Roman"/>
          <w:sz w:val="24"/>
          <w:szCs w:val="24"/>
        </w:rPr>
      </w:pPr>
    </w:p>
    <w:p w14:paraId="578894D0" w14:textId="77777777" w:rsidR="0069695C" w:rsidRDefault="0069695C" w:rsidP="00DB4A33">
      <w:pPr>
        <w:spacing w:line="360" w:lineRule="auto"/>
        <w:jc w:val="both"/>
        <w:rPr>
          <w:rFonts w:ascii="Times New Roman" w:hAnsi="Times New Roman" w:cs="Times New Roman"/>
          <w:sz w:val="24"/>
          <w:szCs w:val="24"/>
        </w:rPr>
      </w:pPr>
    </w:p>
    <w:p w14:paraId="2DC1D5C4" w14:textId="77777777" w:rsidR="0069695C" w:rsidRDefault="0069695C" w:rsidP="00DB4A33">
      <w:pPr>
        <w:spacing w:line="360" w:lineRule="auto"/>
        <w:jc w:val="both"/>
        <w:rPr>
          <w:rFonts w:ascii="Times New Roman" w:hAnsi="Times New Roman" w:cs="Times New Roman"/>
          <w:sz w:val="24"/>
          <w:szCs w:val="24"/>
        </w:rPr>
      </w:pPr>
    </w:p>
    <w:p w14:paraId="003290C1" w14:textId="77777777" w:rsidR="0069695C" w:rsidRDefault="0069695C" w:rsidP="00DB4A33">
      <w:pPr>
        <w:spacing w:line="360" w:lineRule="auto"/>
        <w:jc w:val="both"/>
        <w:rPr>
          <w:rFonts w:ascii="Times New Roman" w:hAnsi="Times New Roman" w:cs="Times New Roman"/>
          <w:sz w:val="24"/>
          <w:szCs w:val="24"/>
        </w:rPr>
      </w:pPr>
      <w:r w:rsidRPr="00DB4A33">
        <w:rPr>
          <w:rFonts w:ascii="Times New Roman" w:hAnsi="Times New Roman" w:cs="Times New Roman"/>
          <w:noProof/>
          <w:sz w:val="24"/>
          <w:szCs w:val="24"/>
        </w:rPr>
        <w:drawing>
          <wp:inline distT="0" distB="0" distL="0" distR="0" wp14:anchorId="203AD10A" wp14:editId="0B72261B">
            <wp:extent cx="6476269" cy="4642485"/>
            <wp:effectExtent l="0" t="0" r="127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20260726-WA0012.jpg"/>
                    <pic:cNvPicPr/>
                  </pic:nvPicPr>
                  <pic:blipFill rotWithShape="1">
                    <a:blip r:embed="rId18" cstate="print">
                      <a:extLst>
                        <a:ext uri="{28A0092B-C50C-407E-A947-70E740481C1C}">
                          <a14:useLocalDpi xmlns:a14="http://schemas.microsoft.com/office/drawing/2010/main" val="0"/>
                        </a:ext>
                      </a:extLst>
                    </a:blip>
                    <a:srcRect l="-1725" t="13311" r="1725" b="4115"/>
                    <a:stretch/>
                  </pic:blipFill>
                  <pic:spPr bwMode="auto">
                    <a:xfrm>
                      <a:off x="0" y="0"/>
                      <a:ext cx="6539155" cy="4687564"/>
                    </a:xfrm>
                    <a:prstGeom prst="rect">
                      <a:avLst/>
                    </a:prstGeom>
                    <a:ln>
                      <a:noFill/>
                    </a:ln>
                    <a:extLst>
                      <a:ext uri="{53640926-AAD7-44D8-BBD7-CCE9431645EC}">
                        <a14:shadowObscured xmlns:a14="http://schemas.microsoft.com/office/drawing/2010/main"/>
                      </a:ext>
                    </a:extLst>
                  </pic:spPr>
                </pic:pic>
              </a:graphicData>
            </a:graphic>
          </wp:inline>
        </w:drawing>
      </w:r>
    </w:p>
    <w:p w14:paraId="2EE7F9B5" w14:textId="77777777" w:rsidR="0069695C" w:rsidRDefault="00024BDF" w:rsidP="00DB4A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CE0F1D">
        <w:rPr>
          <w:rFonts w:ascii="Times New Roman" w:hAnsi="Times New Roman" w:cs="Times New Roman"/>
          <w:sz w:val="24"/>
          <w:szCs w:val="24"/>
        </w:rPr>
        <w:t>7</w:t>
      </w:r>
      <w:r>
        <w:rPr>
          <w:rFonts w:ascii="Times New Roman" w:hAnsi="Times New Roman" w:cs="Times New Roman"/>
          <w:sz w:val="24"/>
          <w:szCs w:val="24"/>
        </w:rPr>
        <w:t>: Residue fluctuation of</w:t>
      </w:r>
      <w:r w:rsidRPr="00024BDF">
        <w:rPr>
          <w:rFonts w:ascii="Times New Roman" w:hAnsi="Times New Roman" w:cs="Times New Roman"/>
          <w:i/>
          <w:sz w:val="24"/>
          <w:szCs w:val="24"/>
        </w:rPr>
        <w:t xml:space="preserve"> P</w:t>
      </w:r>
      <w:r w:rsidR="00CE0F1D">
        <w:rPr>
          <w:rFonts w:ascii="Times New Roman" w:hAnsi="Times New Roman" w:cs="Times New Roman"/>
          <w:i/>
          <w:sz w:val="24"/>
          <w:szCs w:val="24"/>
        </w:rPr>
        <w:t xml:space="preserve">lasmodium </w:t>
      </w:r>
      <w:proofErr w:type="spellStart"/>
      <w:r w:rsidRPr="00024BDF">
        <w:rPr>
          <w:rFonts w:ascii="Times New Roman" w:hAnsi="Times New Roman" w:cs="Times New Roman"/>
          <w:i/>
          <w:sz w:val="24"/>
          <w:szCs w:val="24"/>
        </w:rPr>
        <w:t>f</w:t>
      </w:r>
      <w:r w:rsidR="00CE0F1D">
        <w:rPr>
          <w:rFonts w:ascii="Times New Roman" w:hAnsi="Times New Roman" w:cs="Times New Roman"/>
          <w:i/>
          <w:sz w:val="24"/>
          <w:szCs w:val="24"/>
        </w:rPr>
        <w:t>laciparum</w:t>
      </w:r>
      <w:proofErr w:type="spellEnd"/>
      <w:r w:rsidRPr="00024BDF">
        <w:rPr>
          <w:rFonts w:ascii="Times New Roman" w:hAnsi="Times New Roman" w:cs="Times New Roman"/>
          <w:i/>
          <w:sz w:val="24"/>
          <w:szCs w:val="24"/>
        </w:rPr>
        <w:t xml:space="preserve"> </w:t>
      </w:r>
      <w:r>
        <w:rPr>
          <w:rFonts w:ascii="Times New Roman" w:hAnsi="Times New Roman" w:cs="Times New Roman"/>
          <w:sz w:val="24"/>
          <w:szCs w:val="24"/>
        </w:rPr>
        <w:t xml:space="preserve">transketolase complex with </w:t>
      </w:r>
      <w:proofErr w:type="spellStart"/>
      <w:r>
        <w:rPr>
          <w:rFonts w:ascii="Times New Roman" w:hAnsi="Times New Roman" w:cs="Times New Roman"/>
          <w:sz w:val="24"/>
          <w:szCs w:val="24"/>
        </w:rPr>
        <w:t>Oxythiamine</w:t>
      </w:r>
      <w:proofErr w:type="spellEnd"/>
      <w:r>
        <w:rPr>
          <w:rFonts w:ascii="Times New Roman" w:hAnsi="Times New Roman" w:cs="Times New Roman"/>
          <w:sz w:val="24"/>
          <w:szCs w:val="24"/>
        </w:rPr>
        <w:t xml:space="preserve"> and Compound A3, A6</w:t>
      </w:r>
    </w:p>
    <w:p w14:paraId="14635413" w14:textId="77777777" w:rsidR="0069695C" w:rsidRDefault="0069695C" w:rsidP="00DB4A33">
      <w:pPr>
        <w:spacing w:line="360" w:lineRule="auto"/>
        <w:jc w:val="both"/>
        <w:rPr>
          <w:rFonts w:ascii="Times New Roman" w:hAnsi="Times New Roman" w:cs="Times New Roman"/>
          <w:sz w:val="24"/>
          <w:szCs w:val="24"/>
        </w:rPr>
      </w:pPr>
      <w:r w:rsidRPr="00DB4A33">
        <w:rPr>
          <w:rFonts w:ascii="Times New Roman" w:hAnsi="Times New Roman" w:cs="Times New Roman"/>
          <w:noProof/>
          <w:sz w:val="24"/>
          <w:szCs w:val="24"/>
        </w:rPr>
        <w:lastRenderedPageBreak/>
        <w:drawing>
          <wp:inline distT="0" distB="0" distL="0" distR="0" wp14:anchorId="076ACC5F" wp14:editId="272F1714">
            <wp:extent cx="6026090" cy="38138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260726-WA0009.jpg"/>
                    <pic:cNvPicPr/>
                  </pic:nvPicPr>
                  <pic:blipFill rotWithShape="1">
                    <a:blip r:embed="rId19">
                      <a:extLst>
                        <a:ext uri="{28A0092B-C50C-407E-A947-70E740481C1C}">
                          <a14:useLocalDpi xmlns:a14="http://schemas.microsoft.com/office/drawing/2010/main" val="0"/>
                        </a:ext>
                      </a:extLst>
                    </a:blip>
                    <a:srcRect l="3624" t="14063" r="7419" b="6779"/>
                    <a:stretch/>
                  </pic:blipFill>
                  <pic:spPr bwMode="auto">
                    <a:xfrm>
                      <a:off x="0" y="0"/>
                      <a:ext cx="6110993" cy="3867544"/>
                    </a:xfrm>
                    <a:prstGeom prst="rect">
                      <a:avLst/>
                    </a:prstGeom>
                    <a:ln>
                      <a:noFill/>
                    </a:ln>
                    <a:extLst>
                      <a:ext uri="{53640926-AAD7-44D8-BBD7-CCE9431645EC}">
                        <a14:shadowObscured xmlns:a14="http://schemas.microsoft.com/office/drawing/2010/main"/>
                      </a:ext>
                    </a:extLst>
                  </pic:spPr>
                </pic:pic>
              </a:graphicData>
            </a:graphic>
          </wp:inline>
        </w:drawing>
      </w:r>
    </w:p>
    <w:p w14:paraId="419D0B0F" w14:textId="77777777" w:rsidR="0069695C" w:rsidRDefault="0069695C" w:rsidP="00DB4A33">
      <w:pPr>
        <w:spacing w:line="360" w:lineRule="auto"/>
        <w:jc w:val="both"/>
        <w:rPr>
          <w:rFonts w:ascii="Times New Roman" w:hAnsi="Times New Roman" w:cs="Times New Roman"/>
          <w:sz w:val="24"/>
          <w:szCs w:val="24"/>
        </w:rPr>
      </w:pPr>
    </w:p>
    <w:p w14:paraId="40BE1418" w14:textId="77777777" w:rsidR="00024BDF" w:rsidRDefault="00024BDF" w:rsidP="00024B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FC347F">
        <w:rPr>
          <w:rFonts w:ascii="Times New Roman" w:hAnsi="Times New Roman" w:cs="Times New Roman"/>
          <w:sz w:val="24"/>
          <w:szCs w:val="24"/>
        </w:rPr>
        <w:t>8</w:t>
      </w:r>
      <w:r>
        <w:rPr>
          <w:rFonts w:ascii="Times New Roman" w:hAnsi="Times New Roman" w:cs="Times New Roman"/>
          <w:sz w:val="24"/>
          <w:szCs w:val="24"/>
        </w:rPr>
        <w:t xml:space="preserve">: The Conformational stability of </w:t>
      </w:r>
      <w:r w:rsidRPr="00024BDF">
        <w:rPr>
          <w:rFonts w:ascii="Times New Roman" w:hAnsi="Times New Roman" w:cs="Times New Roman"/>
          <w:i/>
          <w:sz w:val="24"/>
          <w:szCs w:val="24"/>
        </w:rPr>
        <w:t>P</w:t>
      </w:r>
      <w:r>
        <w:rPr>
          <w:rFonts w:ascii="Times New Roman" w:hAnsi="Times New Roman" w:cs="Times New Roman"/>
          <w:i/>
          <w:sz w:val="24"/>
          <w:szCs w:val="24"/>
        </w:rPr>
        <w:t xml:space="preserve">lasmodium </w:t>
      </w:r>
      <w:proofErr w:type="spellStart"/>
      <w:r w:rsidRPr="00024BDF">
        <w:rPr>
          <w:rFonts w:ascii="Times New Roman" w:hAnsi="Times New Roman" w:cs="Times New Roman"/>
          <w:i/>
          <w:sz w:val="24"/>
          <w:szCs w:val="24"/>
        </w:rPr>
        <w:t>f</w:t>
      </w:r>
      <w:r>
        <w:rPr>
          <w:rFonts w:ascii="Times New Roman" w:hAnsi="Times New Roman" w:cs="Times New Roman"/>
          <w:i/>
          <w:sz w:val="24"/>
          <w:szCs w:val="24"/>
        </w:rPr>
        <w:t>laciparum</w:t>
      </w:r>
      <w:proofErr w:type="spellEnd"/>
      <w:r w:rsidRPr="00024BDF">
        <w:rPr>
          <w:rFonts w:ascii="Times New Roman" w:hAnsi="Times New Roman" w:cs="Times New Roman"/>
          <w:i/>
          <w:sz w:val="24"/>
          <w:szCs w:val="24"/>
        </w:rPr>
        <w:t xml:space="preserve"> </w:t>
      </w:r>
      <w:r>
        <w:rPr>
          <w:rFonts w:ascii="Times New Roman" w:hAnsi="Times New Roman" w:cs="Times New Roman"/>
          <w:sz w:val="24"/>
          <w:szCs w:val="24"/>
        </w:rPr>
        <w:t xml:space="preserve">transketolase complex with </w:t>
      </w:r>
      <w:proofErr w:type="spellStart"/>
      <w:r>
        <w:rPr>
          <w:rFonts w:ascii="Times New Roman" w:hAnsi="Times New Roman" w:cs="Times New Roman"/>
          <w:sz w:val="24"/>
          <w:szCs w:val="24"/>
        </w:rPr>
        <w:t>Oxythiamine</w:t>
      </w:r>
      <w:proofErr w:type="spellEnd"/>
      <w:r>
        <w:rPr>
          <w:rFonts w:ascii="Times New Roman" w:hAnsi="Times New Roman" w:cs="Times New Roman"/>
          <w:sz w:val="24"/>
          <w:szCs w:val="24"/>
        </w:rPr>
        <w:t xml:space="preserve"> and Compound A3, A6</w:t>
      </w:r>
    </w:p>
    <w:p w14:paraId="5715A7CC" w14:textId="77777777" w:rsidR="0069695C" w:rsidRDefault="0069695C" w:rsidP="00DB4A33">
      <w:pPr>
        <w:spacing w:line="360" w:lineRule="auto"/>
        <w:jc w:val="both"/>
        <w:rPr>
          <w:rFonts w:ascii="Times New Roman" w:hAnsi="Times New Roman" w:cs="Times New Roman"/>
          <w:sz w:val="24"/>
          <w:szCs w:val="24"/>
        </w:rPr>
      </w:pPr>
    </w:p>
    <w:p w14:paraId="74D31718" w14:textId="77777777" w:rsidR="0069695C" w:rsidRDefault="0069695C" w:rsidP="00DB4A33">
      <w:pPr>
        <w:spacing w:line="360" w:lineRule="auto"/>
        <w:jc w:val="both"/>
        <w:rPr>
          <w:rFonts w:ascii="Times New Roman" w:hAnsi="Times New Roman" w:cs="Times New Roman"/>
          <w:sz w:val="24"/>
          <w:szCs w:val="24"/>
        </w:rPr>
      </w:pPr>
      <w:r w:rsidRPr="00DB4A33">
        <w:rPr>
          <w:rFonts w:ascii="Times New Roman" w:hAnsi="Times New Roman" w:cs="Times New Roman"/>
          <w:noProof/>
          <w:sz w:val="24"/>
          <w:szCs w:val="24"/>
        </w:rPr>
        <w:lastRenderedPageBreak/>
        <w:drawing>
          <wp:inline distT="0" distB="0" distL="0" distR="0" wp14:anchorId="011B7D8E" wp14:editId="16AC65DD">
            <wp:extent cx="6200775" cy="51337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20260726-WA0013.jpg"/>
                    <pic:cNvPicPr/>
                  </pic:nvPicPr>
                  <pic:blipFill rotWithShape="1">
                    <a:blip r:embed="rId20">
                      <a:extLst>
                        <a:ext uri="{28A0092B-C50C-407E-A947-70E740481C1C}">
                          <a14:useLocalDpi xmlns:a14="http://schemas.microsoft.com/office/drawing/2010/main" val="0"/>
                        </a:ext>
                      </a:extLst>
                    </a:blip>
                    <a:srcRect l="772" t="10958" r="18523" b="6841"/>
                    <a:stretch/>
                  </pic:blipFill>
                  <pic:spPr bwMode="auto">
                    <a:xfrm>
                      <a:off x="0" y="0"/>
                      <a:ext cx="6200775" cy="5133758"/>
                    </a:xfrm>
                    <a:prstGeom prst="rect">
                      <a:avLst/>
                    </a:prstGeom>
                    <a:ln>
                      <a:noFill/>
                    </a:ln>
                    <a:extLst>
                      <a:ext uri="{53640926-AAD7-44D8-BBD7-CCE9431645EC}">
                        <a14:shadowObscured xmlns:a14="http://schemas.microsoft.com/office/drawing/2010/main"/>
                      </a:ext>
                    </a:extLst>
                  </pic:spPr>
                </pic:pic>
              </a:graphicData>
            </a:graphic>
          </wp:inline>
        </w:drawing>
      </w:r>
    </w:p>
    <w:p w14:paraId="6129F9B0" w14:textId="77777777" w:rsidR="00024BDF" w:rsidRDefault="00024BDF" w:rsidP="00024B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FC347F">
        <w:rPr>
          <w:rFonts w:ascii="Times New Roman" w:hAnsi="Times New Roman" w:cs="Times New Roman"/>
          <w:sz w:val="24"/>
          <w:szCs w:val="24"/>
        </w:rPr>
        <w:t>9</w:t>
      </w:r>
      <w:r>
        <w:rPr>
          <w:rFonts w:ascii="Times New Roman" w:hAnsi="Times New Roman" w:cs="Times New Roman"/>
          <w:sz w:val="24"/>
          <w:szCs w:val="24"/>
        </w:rPr>
        <w:t xml:space="preserve">: Hydrogen Bond Interactions of </w:t>
      </w:r>
      <w:r w:rsidRPr="00024BDF">
        <w:rPr>
          <w:rFonts w:ascii="Times New Roman" w:hAnsi="Times New Roman" w:cs="Times New Roman"/>
          <w:i/>
          <w:sz w:val="24"/>
          <w:szCs w:val="24"/>
        </w:rPr>
        <w:t>P</w:t>
      </w:r>
      <w:r>
        <w:rPr>
          <w:rFonts w:ascii="Times New Roman" w:hAnsi="Times New Roman" w:cs="Times New Roman"/>
          <w:i/>
          <w:sz w:val="24"/>
          <w:szCs w:val="24"/>
        </w:rPr>
        <w:t xml:space="preserve">lasmodium </w:t>
      </w:r>
      <w:proofErr w:type="spellStart"/>
      <w:r w:rsidRPr="00024BDF">
        <w:rPr>
          <w:rFonts w:ascii="Times New Roman" w:hAnsi="Times New Roman" w:cs="Times New Roman"/>
          <w:i/>
          <w:sz w:val="24"/>
          <w:szCs w:val="24"/>
        </w:rPr>
        <w:t>f</w:t>
      </w:r>
      <w:r>
        <w:rPr>
          <w:rFonts w:ascii="Times New Roman" w:hAnsi="Times New Roman" w:cs="Times New Roman"/>
          <w:i/>
          <w:sz w:val="24"/>
          <w:szCs w:val="24"/>
        </w:rPr>
        <w:t>laciparum</w:t>
      </w:r>
      <w:proofErr w:type="spellEnd"/>
      <w:r w:rsidRPr="00024BDF">
        <w:rPr>
          <w:rFonts w:ascii="Times New Roman" w:hAnsi="Times New Roman" w:cs="Times New Roman"/>
          <w:i/>
          <w:sz w:val="24"/>
          <w:szCs w:val="24"/>
        </w:rPr>
        <w:t xml:space="preserve"> </w:t>
      </w:r>
      <w:r>
        <w:rPr>
          <w:rFonts w:ascii="Times New Roman" w:hAnsi="Times New Roman" w:cs="Times New Roman"/>
          <w:sz w:val="24"/>
          <w:szCs w:val="24"/>
        </w:rPr>
        <w:t xml:space="preserve">transketolase complex with </w:t>
      </w:r>
      <w:proofErr w:type="spellStart"/>
      <w:r>
        <w:rPr>
          <w:rFonts w:ascii="Times New Roman" w:hAnsi="Times New Roman" w:cs="Times New Roman"/>
          <w:sz w:val="24"/>
          <w:szCs w:val="24"/>
        </w:rPr>
        <w:t>Oxythiamine</w:t>
      </w:r>
      <w:proofErr w:type="spellEnd"/>
      <w:r>
        <w:rPr>
          <w:rFonts w:ascii="Times New Roman" w:hAnsi="Times New Roman" w:cs="Times New Roman"/>
          <w:sz w:val="24"/>
          <w:szCs w:val="24"/>
        </w:rPr>
        <w:t xml:space="preserve"> and Compound A3, A6</w:t>
      </w:r>
    </w:p>
    <w:p w14:paraId="225CCC73" w14:textId="77777777" w:rsidR="0069695C" w:rsidRDefault="0069695C" w:rsidP="00DB4A33">
      <w:pPr>
        <w:spacing w:line="360" w:lineRule="auto"/>
        <w:jc w:val="both"/>
        <w:rPr>
          <w:rFonts w:ascii="Times New Roman" w:hAnsi="Times New Roman" w:cs="Times New Roman"/>
          <w:sz w:val="24"/>
          <w:szCs w:val="24"/>
        </w:rPr>
      </w:pPr>
    </w:p>
    <w:p w14:paraId="5D1C26C0" w14:textId="77777777" w:rsidR="0069695C" w:rsidRDefault="0069695C" w:rsidP="00DB4A33">
      <w:pPr>
        <w:spacing w:line="360" w:lineRule="auto"/>
        <w:jc w:val="both"/>
        <w:rPr>
          <w:rFonts w:ascii="Times New Roman" w:hAnsi="Times New Roman" w:cs="Times New Roman"/>
          <w:sz w:val="24"/>
          <w:szCs w:val="24"/>
        </w:rPr>
      </w:pPr>
      <w:r w:rsidRPr="00DB4A33">
        <w:rPr>
          <w:rFonts w:ascii="Times New Roman" w:hAnsi="Times New Roman" w:cs="Times New Roman"/>
          <w:noProof/>
          <w:sz w:val="24"/>
          <w:szCs w:val="24"/>
        </w:rPr>
        <w:lastRenderedPageBreak/>
        <w:drawing>
          <wp:inline distT="0" distB="0" distL="0" distR="0" wp14:anchorId="7FC87109" wp14:editId="47A56EA4">
            <wp:extent cx="6886180" cy="4210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20260726-WA0010.jpg"/>
                    <pic:cNvPicPr/>
                  </pic:nvPicPr>
                  <pic:blipFill rotWithShape="1">
                    <a:blip r:embed="rId21">
                      <a:extLst>
                        <a:ext uri="{28A0092B-C50C-407E-A947-70E740481C1C}">
                          <a14:useLocalDpi xmlns:a14="http://schemas.microsoft.com/office/drawing/2010/main" val="0"/>
                        </a:ext>
                      </a:extLst>
                    </a:blip>
                    <a:srcRect t="10084" r="16965" b="5035"/>
                    <a:stretch/>
                  </pic:blipFill>
                  <pic:spPr bwMode="auto">
                    <a:xfrm>
                      <a:off x="0" y="0"/>
                      <a:ext cx="7048036" cy="4309005"/>
                    </a:xfrm>
                    <a:prstGeom prst="rect">
                      <a:avLst/>
                    </a:prstGeom>
                    <a:ln>
                      <a:noFill/>
                    </a:ln>
                    <a:extLst>
                      <a:ext uri="{53640926-AAD7-44D8-BBD7-CCE9431645EC}">
                        <a14:shadowObscured xmlns:a14="http://schemas.microsoft.com/office/drawing/2010/main"/>
                      </a:ext>
                    </a:extLst>
                  </pic:spPr>
                </pic:pic>
              </a:graphicData>
            </a:graphic>
          </wp:inline>
        </w:drawing>
      </w:r>
    </w:p>
    <w:p w14:paraId="1C077ED3" w14:textId="77777777" w:rsidR="0069695C" w:rsidRDefault="0069695C" w:rsidP="00DB4A33">
      <w:pPr>
        <w:spacing w:line="360" w:lineRule="auto"/>
        <w:jc w:val="both"/>
        <w:rPr>
          <w:rFonts w:ascii="Times New Roman" w:hAnsi="Times New Roman" w:cs="Times New Roman"/>
          <w:sz w:val="24"/>
          <w:szCs w:val="24"/>
        </w:rPr>
      </w:pPr>
    </w:p>
    <w:p w14:paraId="66992DC8" w14:textId="77777777" w:rsidR="00CE0F1D" w:rsidRDefault="00B91C12" w:rsidP="00CE0F1D">
      <w:pPr>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Fig </w:t>
      </w:r>
      <w:r w:rsidR="00FC347F">
        <w:rPr>
          <w:rFonts w:ascii="Times New Roman" w:hAnsi="Times New Roman" w:cs="Times New Roman"/>
          <w:sz w:val="24"/>
          <w:szCs w:val="24"/>
        </w:rPr>
        <w:t>10</w:t>
      </w:r>
      <w:r w:rsidRPr="00DB4A33">
        <w:rPr>
          <w:rFonts w:ascii="Times New Roman" w:hAnsi="Times New Roman" w:cs="Times New Roman"/>
          <w:sz w:val="24"/>
          <w:szCs w:val="24"/>
        </w:rPr>
        <w:t xml:space="preserve">:  </w:t>
      </w:r>
      <w:r w:rsidR="00DF5C15">
        <w:rPr>
          <w:rFonts w:ascii="Times New Roman" w:hAnsi="Times New Roman" w:cs="Times New Roman"/>
          <w:sz w:val="24"/>
          <w:szCs w:val="24"/>
        </w:rPr>
        <w:t>S</w:t>
      </w:r>
      <w:r w:rsidR="00CE0F1D">
        <w:rPr>
          <w:rFonts w:ascii="Times New Roman" w:hAnsi="Times New Roman" w:cs="Times New Roman"/>
          <w:sz w:val="24"/>
          <w:szCs w:val="24"/>
        </w:rPr>
        <w:t xml:space="preserve">olvent Accessible Surface Area of </w:t>
      </w:r>
      <w:r w:rsidR="00CE0F1D" w:rsidRPr="00024BDF">
        <w:rPr>
          <w:rFonts w:ascii="Times New Roman" w:hAnsi="Times New Roman" w:cs="Times New Roman"/>
          <w:i/>
          <w:sz w:val="24"/>
          <w:szCs w:val="24"/>
        </w:rPr>
        <w:t>P</w:t>
      </w:r>
      <w:r w:rsidR="00CE0F1D">
        <w:rPr>
          <w:rFonts w:ascii="Times New Roman" w:hAnsi="Times New Roman" w:cs="Times New Roman"/>
          <w:i/>
          <w:sz w:val="24"/>
          <w:szCs w:val="24"/>
        </w:rPr>
        <w:t xml:space="preserve">lasmodium </w:t>
      </w:r>
      <w:proofErr w:type="spellStart"/>
      <w:r w:rsidR="00CE0F1D" w:rsidRPr="00024BDF">
        <w:rPr>
          <w:rFonts w:ascii="Times New Roman" w:hAnsi="Times New Roman" w:cs="Times New Roman"/>
          <w:i/>
          <w:sz w:val="24"/>
          <w:szCs w:val="24"/>
        </w:rPr>
        <w:t>f</w:t>
      </w:r>
      <w:r w:rsidR="00CE0F1D">
        <w:rPr>
          <w:rFonts w:ascii="Times New Roman" w:hAnsi="Times New Roman" w:cs="Times New Roman"/>
          <w:i/>
          <w:sz w:val="24"/>
          <w:szCs w:val="24"/>
        </w:rPr>
        <w:t>laciparum</w:t>
      </w:r>
      <w:proofErr w:type="spellEnd"/>
      <w:r w:rsidR="00CE0F1D" w:rsidRPr="00024BDF">
        <w:rPr>
          <w:rFonts w:ascii="Times New Roman" w:hAnsi="Times New Roman" w:cs="Times New Roman"/>
          <w:i/>
          <w:sz w:val="24"/>
          <w:szCs w:val="24"/>
        </w:rPr>
        <w:t xml:space="preserve"> </w:t>
      </w:r>
      <w:r w:rsidR="00CE0F1D">
        <w:rPr>
          <w:rFonts w:ascii="Times New Roman" w:hAnsi="Times New Roman" w:cs="Times New Roman"/>
          <w:sz w:val="24"/>
          <w:szCs w:val="24"/>
        </w:rPr>
        <w:t xml:space="preserve">transketolase complex with </w:t>
      </w:r>
      <w:proofErr w:type="spellStart"/>
      <w:r w:rsidR="00CE0F1D">
        <w:rPr>
          <w:rFonts w:ascii="Times New Roman" w:hAnsi="Times New Roman" w:cs="Times New Roman"/>
          <w:sz w:val="24"/>
          <w:szCs w:val="24"/>
        </w:rPr>
        <w:t>Oxythiamine</w:t>
      </w:r>
      <w:proofErr w:type="spellEnd"/>
      <w:r w:rsidR="00CE0F1D">
        <w:rPr>
          <w:rFonts w:ascii="Times New Roman" w:hAnsi="Times New Roman" w:cs="Times New Roman"/>
          <w:sz w:val="24"/>
          <w:szCs w:val="24"/>
        </w:rPr>
        <w:t xml:space="preserve"> and Compound A3, A6</w:t>
      </w:r>
    </w:p>
    <w:p w14:paraId="1D7E364A" w14:textId="77777777" w:rsidR="00CA5746" w:rsidRPr="00DB4A33" w:rsidRDefault="00CA5746" w:rsidP="00DB4A33">
      <w:pPr>
        <w:spacing w:line="360" w:lineRule="auto"/>
        <w:jc w:val="both"/>
        <w:rPr>
          <w:rFonts w:ascii="Times New Roman" w:hAnsi="Times New Roman" w:cs="Times New Roman"/>
          <w:sz w:val="24"/>
          <w:szCs w:val="24"/>
        </w:rPr>
      </w:pPr>
    </w:p>
    <w:p w14:paraId="0DF56630" w14:textId="77777777" w:rsidR="00EB4CC2" w:rsidRDefault="00EB4CC2" w:rsidP="00DB4A33">
      <w:pPr>
        <w:spacing w:line="360" w:lineRule="auto"/>
        <w:jc w:val="both"/>
        <w:rPr>
          <w:rFonts w:ascii="Times New Roman" w:hAnsi="Times New Roman" w:cs="Times New Roman"/>
          <w:sz w:val="24"/>
          <w:szCs w:val="24"/>
        </w:rPr>
      </w:pPr>
    </w:p>
    <w:p w14:paraId="1A5E06D9" w14:textId="77777777" w:rsidR="00CE0F1D" w:rsidRDefault="00CE0F1D" w:rsidP="00DB4A33">
      <w:pPr>
        <w:spacing w:line="360" w:lineRule="auto"/>
        <w:jc w:val="both"/>
        <w:rPr>
          <w:rFonts w:ascii="Times New Roman" w:hAnsi="Times New Roman" w:cs="Times New Roman"/>
          <w:sz w:val="24"/>
          <w:szCs w:val="24"/>
        </w:rPr>
      </w:pPr>
    </w:p>
    <w:p w14:paraId="24396A48" w14:textId="77777777" w:rsidR="00CE0F1D" w:rsidRDefault="00CE0F1D" w:rsidP="00DB4A33">
      <w:pPr>
        <w:spacing w:line="360" w:lineRule="auto"/>
        <w:jc w:val="both"/>
        <w:rPr>
          <w:rFonts w:ascii="Times New Roman" w:hAnsi="Times New Roman" w:cs="Times New Roman"/>
          <w:sz w:val="24"/>
          <w:szCs w:val="24"/>
        </w:rPr>
      </w:pPr>
    </w:p>
    <w:p w14:paraId="49AF0F84" w14:textId="77777777" w:rsidR="00CE0F1D" w:rsidRDefault="00CE0F1D" w:rsidP="00DB4A33">
      <w:pPr>
        <w:spacing w:line="360" w:lineRule="auto"/>
        <w:jc w:val="both"/>
        <w:rPr>
          <w:rFonts w:ascii="Times New Roman" w:hAnsi="Times New Roman" w:cs="Times New Roman"/>
          <w:sz w:val="24"/>
          <w:szCs w:val="24"/>
        </w:rPr>
      </w:pPr>
    </w:p>
    <w:p w14:paraId="5BF3201B" w14:textId="77777777" w:rsidR="00CE0F1D" w:rsidRDefault="00CE0F1D" w:rsidP="00DB4A33">
      <w:pPr>
        <w:spacing w:line="360" w:lineRule="auto"/>
        <w:jc w:val="both"/>
        <w:rPr>
          <w:rFonts w:ascii="Times New Roman" w:hAnsi="Times New Roman" w:cs="Times New Roman"/>
          <w:sz w:val="24"/>
          <w:szCs w:val="24"/>
        </w:rPr>
      </w:pPr>
    </w:p>
    <w:p w14:paraId="19238DE4" w14:textId="77777777" w:rsidR="00CE0F1D" w:rsidRDefault="00CE0F1D" w:rsidP="00DB4A33">
      <w:pPr>
        <w:spacing w:line="360" w:lineRule="auto"/>
        <w:jc w:val="both"/>
        <w:rPr>
          <w:rFonts w:ascii="Times New Roman" w:hAnsi="Times New Roman" w:cs="Times New Roman"/>
          <w:sz w:val="24"/>
          <w:szCs w:val="24"/>
        </w:rPr>
      </w:pPr>
    </w:p>
    <w:p w14:paraId="040734C1" w14:textId="77777777" w:rsidR="00CE0F1D" w:rsidRDefault="00CE0F1D" w:rsidP="00DB4A33">
      <w:pPr>
        <w:spacing w:line="360" w:lineRule="auto"/>
        <w:jc w:val="both"/>
        <w:rPr>
          <w:rFonts w:ascii="Times New Roman" w:hAnsi="Times New Roman" w:cs="Times New Roman"/>
          <w:sz w:val="24"/>
          <w:szCs w:val="24"/>
        </w:rPr>
      </w:pPr>
    </w:p>
    <w:p w14:paraId="237F8A2F" w14:textId="77777777" w:rsidR="00B94D0B" w:rsidRPr="00B94D0B" w:rsidRDefault="00B94D0B" w:rsidP="00DB4A33">
      <w:pPr>
        <w:spacing w:line="360" w:lineRule="auto"/>
        <w:jc w:val="both"/>
        <w:rPr>
          <w:rFonts w:ascii="Times New Roman" w:hAnsi="Times New Roman" w:cs="Times New Roman"/>
          <w:b/>
          <w:sz w:val="24"/>
          <w:szCs w:val="24"/>
        </w:rPr>
      </w:pPr>
      <w:r w:rsidRPr="00B94D0B">
        <w:rPr>
          <w:rFonts w:ascii="Times New Roman" w:hAnsi="Times New Roman" w:cs="Times New Roman"/>
          <w:b/>
          <w:sz w:val="24"/>
          <w:szCs w:val="24"/>
        </w:rPr>
        <w:lastRenderedPageBreak/>
        <w:t>DISCUSSION</w:t>
      </w:r>
    </w:p>
    <w:p w14:paraId="6EE4FE25" w14:textId="77777777" w:rsidR="00B94D0B" w:rsidRPr="00DB4A33" w:rsidRDefault="00A71C73" w:rsidP="00B94D0B">
      <w:pPr>
        <w:pStyle w:val="font-claude-response-body"/>
        <w:spacing w:line="360" w:lineRule="auto"/>
        <w:jc w:val="both"/>
      </w:pPr>
      <w:r>
        <w:t xml:space="preserve">The 3D structure of </w:t>
      </w:r>
      <w:r w:rsidRPr="00A71C73">
        <w:rPr>
          <w:i/>
        </w:rPr>
        <w:t>Plasmodium falciparum</w:t>
      </w:r>
      <w:r>
        <w:t xml:space="preserve"> transketolase was gotten from protein data bank. The protein was tested for 10 different quinoline-based aromatic aldehydes derivatives. </w:t>
      </w:r>
      <w:r w:rsidR="00B94D0B" w:rsidRPr="00DB4A33">
        <w:t xml:space="preserve">Molecular docking analysis provided critical insights into the binding interactions between </w:t>
      </w:r>
      <w:r w:rsidR="00B94D0B" w:rsidRPr="00DB4A33">
        <w:rPr>
          <w:rStyle w:val="Emphasis"/>
        </w:rPr>
        <w:t>Plasmodium falciparum</w:t>
      </w:r>
      <w:r w:rsidR="00B94D0B" w:rsidRPr="00DB4A33">
        <w:t xml:space="preserve"> transketolase (PDB ID: 9TME) and ten aromatic aldehyde quinoline derivatives, alongside the reference drug </w:t>
      </w:r>
      <w:proofErr w:type="spellStart"/>
      <w:r w:rsidR="00B94D0B" w:rsidRPr="00DB4A33">
        <w:t>oxythiamine</w:t>
      </w:r>
      <w:proofErr w:type="spellEnd"/>
      <w:r w:rsidR="00B94D0B" w:rsidRPr="00DB4A33">
        <w:t>, with results s</w:t>
      </w:r>
      <w:r w:rsidR="00516704">
        <w:t>tated</w:t>
      </w:r>
      <w:r w:rsidR="00B94D0B" w:rsidRPr="00DB4A33">
        <w:t xml:space="preserve"> </w:t>
      </w:r>
      <w:r w:rsidR="00B94D0B">
        <w:t>in Table 1</w:t>
      </w:r>
      <w:r w:rsidR="00B94D0B" w:rsidRPr="00DB4A33">
        <w:t xml:space="preserve">. </w:t>
      </w:r>
      <w:proofErr w:type="spellStart"/>
      <w:r w:rsidR="00B94D0B" w:rsidRPr="00DB4A33">
        <w:t>Oxythiamine</w:t>
      </w:r>
      <w:proofErr w:type="spellEnd"/>
      <w:r w:rsidR="00B94D0B" w:rsidRPr="00DB4A33">
        <w:t xml:space="preserve"> recorded a binding affinity of −5.2 kcal/mol. These comparatively weaker binding energies are consistent with its known pharmacological limitations, including nephrotoxicity and carcinogenicity, which further restrict its clinical utility as a direct antimalarial agent.</w:t>
      </w:r>
    </w:p>
    <w:p w14:paraId="61F6BFCF" w14:textId="77777777" w:rsidR="00B94D0B" w:rsidRDefault="00B94D0B" w:rsidP="00B94D0B">
      <w:pPr>
        <w:pStyle w:val="font-claude-response-body"/>
        <w:spacing w:line="360" w:lineRule="auto"/>
        <w:jc w:val="both"/>
      </w:pPr>
      <w:r w:rsidRPr="00DB4A33">
        <w:t xml:space="preserve">Notably, two compounds demonstrated significantly superior binding affinities: 7-(3,4,5-trimethoxyphenyl)-10,11-dihydro-7H-chromenquinolin-8(9H)-one (Common Name: 3,4,5-trimethoxyphenyl derivatives of </w:t>
      </w:r>
      <w:proofErr w:type="spellStart"/>
      <w:r w:rsidRPr="00DB4A33">
        <w:t>Chromenoquinoline</w:t>
      </w:r>
      <w:proofErr w:type="spellEnd"/>
      <w:r w:rsidRPr="00DB4A33">
        <w:t xml:space="preserve">) and 7-(2-nitrophenyl)-10,11-dihydro-7H-chromeno[3,2-h] quinolin-8(9H)-one (Common Name: 2-Nitrophenyl derivatives of </w:t>
      </w:r>
      <w:proofErr w:type="spellStart"/>
      <w:r w:rsidRPr="00DB4A33">
        <w:t>Chromenoquinoline</w:t>
      </w:r>
      <w:proofErr w:type="spellEnd"/>
      <w:r w:rsidRPr="00DB4A33">
        <w:t xml:space="preserve">), scoring −8.3 kcal/mol and −8.2 kcal/mol respectively (Table </w:t>
      </w:r>
      <w:r w:rsidR="00516704">
        <w:t>1</w:t>
      </w:r>
      <w:r w:rsidRPr="00DB4A33">
        <w:t xml:space="preserve">). </w:t>
      </w:r>
      <w:r w:rsidR="00516704">
        <w:t>These</w:t>
      </w:r>
      <w:r w:rsidRPr="00DB4A33">
        <w:t xml:space="preserve"> compounds engaged key catalytic residues — Gly30, Leu268, His266, Arg316, and Arg524 — through hydrogen bonding, while additional alkyl interactions with Cys263, Ile194, and Ile19 further reinforced their binding stability within the active site. These multi-point interactions suggest a strong complementarity between the ligands and the enzyme's binding pocket, indicative of favorable selectivity and potency. The higher binding affinities compared to </w:t>
      </w:r>
      <w:proofErr w:type="spellStart"/>
      <w:r w:rsidRPr="00DB4A33">
        <w:t>oxythiamine</w:t>
      </w:r>
      <w:proofErr w:type="spellEnd"/>
      <w:r w:rsidRPr="00DB4A33">
        <w:t xml:space="preserve"> position these two compounds as promising lead candidates for further antimalarial drug development targeting </w:t>
      </w:r>
      <w:r w:rsidRPr="00DB4A33">
        <w:rPr>
          <w:rStyle w:val="Emphasis"/>
        </w:rPr>
        <w:t>P. falciparum</w:t>
      </w:r>
      <w:r w:rsidRPr="00DB4A33">
        <w:t xml:space="preserve"> transketolase.</w:t>
      </w:r>
    </w:p>
    <w:p w14:paraId="52295778" w14:textId="77777777" w:rsidR="0069695C" w:rsidRDefault="00516704" w:rsidP="00B94D0B">
      <w:pPr>
        <w:pStyle w:val="font-claude-response-body"/>
        <w:spacing w:line="360" w:lineRule="auto"/>
        <w:jc w:val="both"/>
      </w:pPr>
      <w:r>
        <w:t xml:space="preserve">The visualization of these lead compounds (A3 and A6) was done using </w:t>
      </w:r>
      <w:proofErr w:type="spellStart"/>
      <w:r>
        <w:t>Biovia</w:t>
      </w:r>
      <w:proofErr w:type="spellEnd"/>
      <w:r>
        <w:t xml:space="preserve"> discovery studio software. </w:t>
      </w:r>
      <w:proofErr w:type="spellStart"/>
      <w:r w:rsidR="0069695C" w:rsidRPr="00DB4A33">
        <w:t>Oxythiamine</w:t>
      </w:r>
      <w:proofErr w:type="spellEnd"/>
      <w:r w:rsidR="0069695C" w:rsidRPr="00DB4A33">
        <w:t xml:space="preserve"> engaged the active site of </w:t>
      </w:r>
      <w:r w:rsidR="0069695C" w:rsidRPr="00DB4A33">
        <w:rPr>
          <w:rStyle w:val="Emphasis"/>
        </w:rPr>
        <w:t>P. falciparum</w:t>
      </w:r>
      <w:r w:rsidR="0069695C" w:rsidRPr="00DB4A33">
        <w:t xml:space="preserve"> transketolase through conventional hydrogen bonds with Tyr C641, Glu A107, and Ser C642, supplemented by unfavorable acceptor-acceptor contacts and Pi-sigma interactions with Ile A110 and Leu A454 (Fi</w:t>
      </w:r>
      <w:r>
        <w:t>gure 3</w:t>
      </w:r>
      <w:r w:rsidR="0069695C" w:rsidRPr="00DB4A33">
        <w:t>). The limited interaction profile and presence of unfavorable contacts are consistent with its weak binding affinity (−5.2 kcal/mol), corroborating its poor clinical efficacy.</w:t>
      </w:r>
    </w:p>
    <w:p w14:paraId="170D6652" w14:textId="77777777" w:rsidR="0069695C" w:rsidRDefault="0069695C" w:rsidP="0069695C">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lastRenderedPageBreak/>
        <w:t xml:space="preserve">This compound established robust conventional hydrogen bonds with Gly A30, Leu A268, His A266, and Arg A96, alongside van der Waals contacts and Pi-alkyl interactions with His A477, </w:t>
      </w:r>
      <w:proofErr w:type="spellStart"/>
      <w:r w:rsidRPr="00DB4A33">
        <w:rPr>
          <w:rFonts w:ascii="Times New Roman" w:hAnsi="Times New Roman" w:cs="Times New Roman"/>
          <w:sz w:val="24"/>
          <w:szCs w:val="24"/>
        </w:rPr>
        <w:t>Phe</w:t>
      </w:r>
      <w:proofErr w:type="spellEnd"/>
      <w:r w:rsidRPr="00DB4A33">
        <w:rPr>
          <w:rFonts w:ascii="Times New Roman" w:hAnsi="Times New Roman" w:cs="Times New Roman"/>
          <w:sz w:val="24"/>
          <w:szCs w:val="24"/>
        </w:rPr>
        <w:t xml:space="preserve"> C438, and Asp C473 (Fig</w:t>
      </w:r>
      <w:r w:rsidR="00516704">
        <w:rPr>
          <w:rFonts w:ascii="Times New Roman" w:hAnsi="Times New Roman" w:cs="Times New Roman"/>
          <w:sz w:val="24"/>
          <w:szCs w:val="24"/>
        </w:rPr>
        <w:t>ure 4</w:t>
      </w:r>
      <w:r w:rsidRPr="00DB4A33">
        <w:rPr>
          <w:rFonts w:ascii="Times New Roman" w:hAnsi="Times New Roman" w:cs="Times New Roman"/>
          <w:sz w:val="24"/>
          <w:szCs w:val="24"/>
        </w:rPr>
        <w:t>). This extensive multi-residue engagement within the catalytic pocket suggests strong binding complementarity and favorable selectivity toward the transketolase active site</w:t>
      </w:r>
      <w:r>
        <w:rPr>
          <w:rFonts w:ascii="Times New Roman" w:hAnsi="Times New Roman" w:cs="Times New Roman"/>
          <w:sz w:val="24"/>
          <w:szCs w:val="24"/>
        </w:rPr>
        <w:t>.</w:t>
      </w:r>
    </w:p>
    <w:p w14:paraId="781B1574" w14:textId="77777777" w:rsidR="0069695C" w:rsidRPr="00DB4A33" w:rsidRDefault="0069695C" w:rsidP="0069695C">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The nitrophenyl derivative demonstrated stable binding through conventional hydrogen bonds with Arg C524 and His A269, Pi-Pi T-shaped interactions with Ile A194, and broad van der Waals contacts with Gly A30, Leu A268, Cys A263, and </w:t>
      </w:r>
      <w:proofErr w:type="spellStart"/>
      <w:r w:rsidRPr="00DB4A33">
        <w:rPr>
          <w:rFonts w:ascii="Times New Roman" w:hAnsi="Times New Roman" w:cs="Times New Roman"/>
          <w:sz w:val="24"/>
          <w:szCs w:val="24"/>
        </w:rPr>
        <w:t>Phe</w:t>
      </w:r>
      <w:proofErr w:type="spellEnd"/>
      <w:r w:rsidRPr="00DB4A33">
        <w:rPr>
          <w:rFonts w:ascii="Times New Roman" w:hAnsi="Times New Roman" w:cs="Times New Roman"/>
          <w:sz w:val="24"/>
          <w:szCs w:val="24"/>
        </w:rPr>
        <w:t xml:space="preserve"> C438 (Fig </w:t>
      </w:r>
      <w:r w:rsidR="00516704">
        <w:rPr>
          <w:rFonts w:ascii="Times New Roman" w:hAnsi="Times New Roman" w:cs="Times New Roman"/>
          <w:sz w:val="24"/>
          <w:szCs w:val="24"/>
        </w:rPr>
        <w:t>5</w:t>
      </w:r>
      <w:r w:rsidRPr="00DB4A33">
        <w:rPr>
          <w:rFonts w:ascii="Times New Roman" w:hAnsi="Times New Roman" w:cs="Times New Roman"/>
          <w:sz w:val="24"/>
          <w:szCs w:val="24"/>
        </w:rPr>
        <w:t xml:space="preserve">). These diverse non-covalent interactions reinforce its high binding affinity, suggesting strong inhibitory potential against </w:t>
      </w:r>
      <w:r w:rsidRPr="00DB4A33">
        <w:rPr>
          <w:rStyle w:val="Emphasis"/>
          <w:rFonts w:ascii="Times New Roman" w:hAnsi="Times New Roman" w:cs="Times New Roman"/>
          <w:sz w:val="24"/>
          <w:szCs w:val="24"/>
        </w:rPr>
        <w:t>P. falciparum</w:t>
      </w:r>
      <w:r w:rsidRPr="00DB4A33">
        <w:rPr>
          <w:rFonts w:ascii="Times New Roman" w:hAnsi="Times New Roman" w:cs="Times New Roman"/>
          <w:sz w:val="24"/>
          <w:szCs w:val="24"/>
        </w:rPr>
        <w:t xml:space="preserve"> transketolase</w:t>
      </w:r>
      <w:r w:rsidR="002D2115">
        <w:rPr>
          <w:rFonts w:ascii="Times New Roman" w:hAnsi="Times New Roman" w:cs="Times New Roman"/>
          <w:sz w:val="24"/>
          <w:szCs w:val="24"/>
        </w:rPr>
        <w:t xml:space="preserve"> this support Seo </w:t>
      </w:r>
      <w:r w:rsidR="002D2115" w:rsidRPr="005723F6">
        <w:rPr>
          <w:rFonts w:ascii="Times New Roman" w:hAnsi="Times New Roman" w:cs="Times New Roman"/>
          <w:i/>
          <w:sz w:val="24"/>
          <w:szCs w:val="24"/>
        </w:rPr>
        <w:t>et al</w:t>
      </w:r>
      <w:r w:rsidR="002D2115">
        <w:rPr>
          <w:rFonts w:ascii="Times New Roman" w:hAnsi="Times New Roman" w:cs="Times New Roman"/>
          <w:sz w:val="24"/>
          <w:szCs w:val="24"/>
        </w:rPr>
        <w:t>. (2016) findings [21]</w:t>
      </w:r>
      <w:r w:rsidRPr="00DB4A33">
        <w:rPr>
          <w:rFonts w:ascii="Times New Roman" w:hAnsi="Times New Roman" w:cs="Times New Roman"/>
          <w:sz w:val="24"/>
          <w:szCs w:val="24"/>
        </w:rPr>
        <w:t>.</w:t>
      </w:r>
    </w:p>
    <w:p w14:paraId="4212EFC9" w14:textId="77777777" w:rsidR="0069695C" w:rsidRDefault="0069695C" w:rsidP="0069695C">
      <w:pPr>
        <w:spacing w:before="100" w:beforeAutospacing="1" w:after="100" w:afterAutospacing="1" w:line="360" w:lineRule="auto"/>
        <w:jc w:val="both"/>
        <w:rPr>
          <w:rFonts w:ascii="Times New Roman" w:hAnsi="Times New Roman" w:cs="Times New Roman"/>
          <w:sz w:val="24"/>
          <w:szCs w:val="24"/>
        </w:rPr>
      </w:pPr>
      <w:r w:rsidRPr="00200136">
        <w:rPr>
          <w:rFonts w:ascii="Times New Roman" w:hAnsi="Times New Roman" w:cs="Times New Roman"/>
          <w:sz w:val="24"/>
          <w:szCs w:val="24"/>
        </w:rPr>
        <w:t>MM-</w:t>
      </w:r>
      <w:r>
        <w:rPr>
          <w:rFonts w:ascii="Times New Roman" w:hAnsi="Times New Roman" w:cs="Times New Roman"/>
          <w:sz w:val="24"/>
          <w:szCs w:val="24"/>
        </w:rPr>
        <w:t>P</w:t>
      </w:r>
      <w:r w:rsidRPr="00200136">
        <w:rPr>
          <w:rFonts w:ascii="Times New Roman" w:hAnsi="Times New Roman" w:cs="Times New Roman"/>
          <w:sz w:val="24"/>
          <w:szCs w:val="24"/>
        </w:rPr>
        <w:t xml:space="preserve">BSA calculations </w:t>
      </w:r>
      <w:r w:rsidR="002D2115">
        <w:rPr>
          <w:rFonts w:ascii="Times New Roman" w:hAnsi="Times New Roman" w:cs="Times New Roman"/>
          <w:sz w:val="24"/>
          <w:szCs w:val="24"/>
        </w:rPr>
        <w:t>was done and this provides</w:t>
      </w:r>
      <w:r w:rsidRPr="00200136">
        <w:rPr>
          <w:rFonts w:ascii="Times New Roman" w:hAnsi="Times New Roman" w:cs="Times New Roman"/>
          <w:sz w:val="24"/>
          <w:szCs w:val="24"/>
        </w:rPr>
        <w:t xml:space="preserve"> quantitative insights into the thermodynamic contributions governing ligand binding</w:t>
      </w:r>
      <w:r w:rsidR="002D2115">
        <w:rPr>
          <w:rFonts w:ascii="Times New Roman" w:hAnsi="Times New Roman" w:cs="Times New Roman"/>
          <w:sz w:val="24"/>
          <w:szCs w:val="24"/>
        </w:rPr>
        <w:t xml:space="preserve"> stated in Table 2</w:t>
      </w:r>
      <w:r w:rsidRPr="00200136">
        <w:rPr>
          <w:rFonts w:ascii="Times New Roman" w:hAnsi="Times New Roman" w:cs="Times New Roman"/>
          <w:sz w:val="24"/>
          <w:szCs w:val="24"/>
        </w:rPr>
        <w:t xml:space="preserve">. Compound A6 (Nitrophenyl) demonstrated the most favorable overall binding free energy of −11.76 kcal/mol, driven predominantly by significant van der Waals contributions (−23.92 kcal/mol) and covalent interactions (−2.81 kcal/mol), partially offset by polar solvation energy (18.00 kcal/mol). This energetic profile suggests strong hydrophobic complementarity within the transketolase active site. Compound A3 recorded a modest overall binding energy of −0.01 kcal/mol, while </w:t>
      </w:r>
      <w:proofErr w:type="spellStart"/>
      <w:r w:rsidRPr="00200136">
        <w:rPr>
          <w:rFonts w:ascii="Times New Roman" w:hAnsi="Times New Roman" w:cs="Times New Roman"/>
          <w:sz w:val="24"/>
          <w:szCs w:val="24"/>
        </w:rPr>
        <w:t>oxythiamine</w:t>
      </w:r>
      <w:proofErr w:type="spellEnd"/>
      <w:r w:rsidRPr="00200136">
        <w:rPr>
          <w:rFonts w:ascii="Times New Roman" w:hAnsi="Times New Roman" w:cs="Times New Roman"/>
          <w:sz w:val="24"/>
          <w:szCs w:val="24"/>
        </w:rPr>
        <w:t xml:space="preserve"> yielded −0.02 kcal/mol, with its large electrostatic contribution (−52.63 kcal/mol) almost entirely cancelled by unfavorable polar solvation (52.74 kcal/mol), reflecting thermodynamically inefficient binding. These findings further validate A6 as the superior lead candidate</w:t>
      </w:r>
      <w:r w:rsidR="00143AA7">
        <w:rPr>
          <w:rFonts w:ascii="Times New Roman" w:hAnsi="Times New Roman" w:cs="Times New Roman"/>
          <w:sz w:val="24"/>
          <w:szCs w:val="24"/>
        </w:rPr>
        <w:t xml:space="preserve"> [18, 14]</w:t>
      </w:r>
      <w:r w:rsidRPr="00200136">
        <w:rPr>
          <w:rFonts w:ascii="Times New Roman" w:hAnsi="Times New Roman" w:cs="Times New Roman"/>
          <w:sz w:val="24"/>
          <w:szCs w:val="24"/>
        </w:rPr>
        <w:t>.</w:t>
      </w:r>
    </w:p>
    <w:p w14:paraId="6B85DA8B" w14:textId="77777777" w:rsidR="0069695C"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The drug-likeness of all ten-aromatic aldehyde quinoline derivatives (A1–A10) was assessed using the Quantitative Estimate of Drug-likeness (QED) scoring system</w:t>
      </w:r>
      <w:r w:rsidR="00FC6307">
        <w:rPr>
          <w:rFonts w:ascii="Times New Roman" w:eastAsia="Times New Roman" w:hAnsi="Times New Roman" w:cs="Times New Roman"/>
          <w:sz w:val="24"/>
          <w:szCs w:val="24"/>
        </w:rPr>
        <w:t xml:space="preserve"> (Table 2)</w:t>
      </w:r>
      <w:r w:rsidRPr="00DB4A33">
        <w:rPr>
          <w:rFonts w:ascii="Times New Roman" w:eastAsia="Times New Roman" w:hAnsi="Times New Roman" w:cs="Times New Roman"/>
          <w:sz w:val="24"/>
          <w:szCs w:val="24"/>
        </w:rPr>
        <w:t xml:space="preserve">, which provides a more holistic and continuous measure of molecular desirability compared to the binary thresholds of Lipinski's Rule of Five. QED scores range from 0 to 1, with values approaching 1 reflecting more favorable drug-like characteristics. As presented in Table </w:t>
      </w:r>
      <w:r w:rsidR="00FC6307">
        <w:rPr>
          <w:rFonts w:ascii="Times New Roman" w:eastAsia="Times New Roman" w:hAnsi="Times New Roman" w:cs="Times New Roman"/>
          <w:sz w:val="24"/>
          <w:szCs w:val="24"/>
        </w:rPr>
        <w:t>3</w:t>
      </w:r>
      <w:r w:rsidRPr="00DB4A33">
        <w:rPr>
          <w:rFonts w:ascii="Times New Roman" w:eastAsia="Times New Roman" w:hAnsi="Times New Roman" w:cs="Times New Roman"/>
          <w:sz w:val="24"/>
          <w:szCs w:val="24"/>
        </w:rPr>
        <w:t>, the compounds recorded QED scores between 0.430 and 0.646. Compounds A1, A3, A6, and A10 achieved the highest score of 0.646, indicating strong drug-likeness, while A7 recorded the lowest score of 0.430</w:t>
      </w:r>
      <w:r w:rsidR="00FC6307">
        <w:rPr>
          <w:rFonts w:ascii="Times New Roman" w:eastAsia="Times New Roman" w:hAnsi="Times New Roman" w:cs="Times New Roman"/>
          <w:sz w:val="24"/>
          <w:szCs w:val="24"/>
        </w:rPr>
        <w:t xml:space="preserve"> [8, 29]</w:t>
      </w:r>
      <w:r w:rsidRPr="00DB4A33">
        <w:rPr>
          <w:rFonts w:ascii="Times New Roman" w:eastAsia="Times New Roman" w:hAnsi="Times New Roman" w:cs="Times New Roman"/>
          <w:sz w:val="24"/>
          <w:szCs w:val="24"/>
        </w:rPr>
        <w:t>. Overall, the majority of compounds demonstrated acceptable drug-likeness profiles, supporting their suitability for further pharmacological development.</w:t>
      </w:r>
    </w:p>
    <w:p w14:paraId="091DEF40"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lastRenderedPageBreak/>
        <w:t xml:space="preserve">The absorption, distribution, metabolism, excretion, and toxicity (ADMET) properties of all compounds were evaluated using </w:t>
      </w:r>
      <w:proofErr w:type="spellStart"/>
      <w:r w:rsidRPr="00DB4A33">
        <w:rPr>
          <w:rFonts w:ascii="Times New Roman" w:eastAsia="Times New Roman" w:hAnsi="Times New Roman" w:cs="Times New Roman"/>
          <w:sz w:val="24"/>
          <w:szCs w:val="24"/>
        </w:rPr>
        <w:t>ADMETLab</w:t>
      </w:r>
      <w:proofErr w:type="spellEnd"/>
      <w:r w:rsidRPr="00DB4A33">
        <w:rPr>
          <w:rFonts w:ascii="Times New Roman" w:eastAsia="Times New Roman" w:hAnsi="Times New Roman" w:cs="Times New Roman"/>
          <w:sz w:val="24"/>
          <w:szCs w:val="24"/>
        </w:rPr>
        <w:t xml:space="preserve"> 3.0, with results </w:t>
      </w:r>
      <w:r w:rsidR="00FC6307">
        <w:rPr>
          <w:rFonts w:ascii="Times New Roman" w:eastAsia="Times New Roman" w:hAnsi="Times New Roman" w:cs="Times New Roman"/>
          <w:sz w:val="24"/>
          <w:szCs w:val="24"/>
        </w:rPr>
        <w:t xml:space="preserve">stated </w:t>
      </w:r>
      <w:r w:rsidRPr="00DB4A33">
        <w:rPr>
          <w:rFonts w:ascii="Times New Roman" w:eastAsia="Times New Roman" w:hAnsi="Times New Roman" w:cs="Times New Roman"/>
          <w:sz w:val="24"/>
          <w:szCs w:val="24"/>
        </w:rPr>
        <w:t>in Table 2.</w:t>
      </w:r>
    </w:p>
    <w:p w14:paraId="5C701B54"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 Most compounds demonstrated good human intestinal absorption and blood-brain barrier (BBB) permeability. Compounds A3–A10 exhibited good Caco-2 permeability, while A1 and A2 showed moderate permeability, suggesting slightly reduced passive uptake. The majority of compounds showed good P-glycoprotein inhibition, indicating a reduced likelihood of drug efflux and enhanced intracellular retention., favorable attributes for sustained antimalarial activity. Notably, A5, A8, and A9 showed reduced P-glycoprotein inhibition, which may slightly limit their intracellular accumulation.</w:t>
      </w:r>
    </w:p>
    <w:p w14:paraId="53D53E61"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All ten compounds showed good CYP3A4 non-inhibition, suggesting a low propensity for metabolic drug-drug interactions involving this critical enzyme. CYP2D6 inhibition was absent across all compounds, </w:t>
      </w:r>
      <w:r>
        <w:rPr>
          <w:rFonts w:ascii="Times New Roman" w:eastAsia="Times New Roman" w:hAnsi="Times New Roman" w:cs="Times New Roman"/>
          <w:sz w:val="24"/>
          <w:szCs w:val="24"/>
        </w:rPr>
        <w:t>indicating</w:t>
      </w:r>
      <w:r w:rsidRPr="00DB4A33">
        <w:rPr>
          <w:rFonts w:ascii="Times New Roman" w:eastAsia="Times New Roman" w:hAnsi="Times New Roman" w:cs="Times New Roman"/>
          <w:sz w:val="24"/>
          <w:szCs w:val="24"/>
        </w:rPr>
        <w:t xml:space="preserve"> metabolic safety. However, CYP1A2 and CYP2C19 inhibition was observed across several compounds, warranting consideration in co-therapy scenarios. CYP2C9 inhibition was similarly flagged in most compounds and should be monitored during further development.</w:t>
      </w:r>
    </w:p>
    <w:p w14:paraId="36C6F96A"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Half-life values across the compounds ranged from 0.4 to 0.8 hours, reflecting relatively rapid clearance and reducing risks of bioaccumulation. Total clearance was good for A3, A5, A6, A8, A9, and A10, while A1, A2, A4, and A7 showed moderate clearance. Notably, A3 and A10 demonstrated the most favorable overall excretion profiles.</w:t>
      </w:r>
    </w:p>
    <w:p w14:paraId="0A5B19BF"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Toxicologically, A3 emerged as the standout compound, exhibiting good nephrotoxicity and acute oral toxicity profiles, with no carcinogenic risk, the only compound to achieve this combination. A6 and A10 showed reduced nephrotoxicity ratings and require cautious monitoring. AMES toxicity was moderate across all compounds, while</w:t>
      </w:r>
      <w:r>
        <w:rPr>
          <w:rFonts w:ascii="Times New Roman" w:eastAsia="Times New Roman" w:hAnsi="Times New Roman" w:cs="Times New Roman"/>
          <w:sz w:val="24"/>
          <w:szCs w:val="24"/>
        </w:rPr>
        <w:t xml:space="preserve"> most</w:t>
      </w:r>
      <w:r w:rsidRPr="009A6076">
        <w:rPr>
          <w:rFonts w:ascii="Times New Roman" w:hAnsi="Times New Roman" w:cs="Times New Roman"/>
          <w:sz w:val="24"/>
          <w:szCs w:val="24"/>
        </w:rPr>
        <w:t xml:space="preserve"> compounds were predicted to have a </w:t>
      </w:r>
      <w:proofErr w:type="spellStart"/>
      <w:r w:rsidRPr="009A6076">
        <w:rPr>
          <w:rFonts w:ascii="Times New Roman" w:hAnsi="Times New Roman" w:cs="Times New Roman"/>
          <w:sz w:val="24"/>
          <w:szCs w:val="24"/>
        </w:rPr>
        <w:t>favourable</w:t>
      </w:r>
      <w:proofErr w:type="spellEnd"/>
      <w:r w:rsidRPr="009A6076">
        <w:rPr>
          <w:rFonts w:ascii="Times New Roman" w:hAnsi="Times New Roman" w:cs="Times New Roman"/>
          <w:sz w:val="24"/>
          <w:szCs w:val="24"/>
        </w:rPr>
        <w:t xml:space="preserve"> </w:t>
      </w:r>
      <w:proofErr w:type="spellStart"/>
      <w:r w:rsidRPr="009A6076">
        <w:rPr>
          <w:rFonts w:ascii="Times New Roman" w:hAnsi="Times New Roman" w:cs="Times New Roman"/>
          <w:sz w:val="24"/>
          <w:szCs w:val="24"/>
        </w:rPr>
        <w:t>hERG</w:t>
      </w:r>
      <w:proofErr w:type="spellEnd"/>
      <w:r w:rsidRPr="009A6076">
        <w:rPr>
          <w:rFonts w:ascii="Times New Roman" w:hAnsi="Times New Roman" w:cs="Times New Roman"/>
          <w:sz w:val="24"/>
          <w:szCs w:val="24"/>
        </w:rPr>
        <w:t xml:space="preserve"> inhibition-risk profile, suggesting a low predicted risk of </w:t>
      </w:r>
      <w:proofErr w:type="spellStart"/>
      <w:r w:rsidRPr="009A6076">
        <w:rPr>
          <w:rFonts w:ascii="Times New Roman" w:hAnsi="Times New Roman" w:cs="Times New Roman"/>
          <w:sz w:val="24"/>
          <w:szCs w:val="24"/>
        </w:rPr>
        <w:t>hERG</w:t>
      </w:r>
      <w:proofErr w:type="spellEnd"/>
      <w:r w:rsidRPr="009A6076">
        <w:rPr>
          <w:rFonts w:ascii="Times New Roman" w:hAnsi="Times New Roman" w:cs="Times New Roman"/>
          <w:sz w:val="24"/>
          <w:szCs w:val="24"/>
        </w:rPr>
        <w:t>-related cardiac liability</w:t>
      </w:r>
      <w:r w:rsidRPr="00DB4A33">
        <w:rPr>
          <w:rFonts w:ascii="Times New Roman" w:eastAsia="Times New Roman" w:hAnsi="Times New Roman" w:cs="Times New Roman"/>
          <w:sz w:val="24"/>
          <w:szCs w:val="24"/>
        </w:rPr>
        <w:t xml:space="preserve">. </w:t>
      </w:r>
      <w:proofErr w:type="spellStart"/>
      <w:r w:rsidRPr="00DB4A33">
        <w:rPr>
          <w:rFonts w:ascii="Times New Roman" w:eastAsia="Times New Roman" w:hAnsi="Times New Roman" w:cs="Times New Roman"/>
          <w:sz w:val="24"/>
          <w:szCs w:val="24"/>
        </w:rPr>
        <w:t>Hematotoxicity</w:t>
      </w:r>
      <w:proofErr w:type="spellEnd"/>
      <w:r w:rsidRPr="00DB4A33">
        <w:rPr>
          <w:rFonts w:ascii="Times New Roman" w:eastAsia="Times New Roman" w:hAnsi="Times New Roman" w:cs="Times New Roman"/>
          <w:sz w:val="24"/>
          <w:szCs w:val="24"/>
        </w:rPr>
        <w:t xml:space="preserve"> profiles were generally favorable, with most compounds rated as good. Compared to </w:t>
      </w:r>
      <w:proofErr w:type="spellStart"/>
      <w:r w:rsidRPr="00DB4A33">
        <w:rPr>
          <w:rFonts w:ascii="Times New Roman" w:eastAsia="Times New Roman" w:hAnsi="Times New Roman" w:cs="Times New Roman"/>
          <w:sz w:val="24"/>
          <w:szCs w:val="24"/>
        </w:rPr>
        <w:t>oxythiamine</w:t>
      </w:r>
      <w:proofErr w:type="spellEnd"/>
      <w:r w:rsidRPr="00DB4A33">
        <w:rPr>
          <w:rFonts w:ascii="Times New Roman" w:eastAsia="Times New Roman" w:hAnsi="Times New Roman" w:cs="Times New Roman"/>
          <w:sz w:val="24"/>
          <w:szCs w:val="24"/>
        </w:rPr>
        <w:t xml:space="preserve"> which is associated with nephrotoxicity, poor clearance, and carcinogenicity the aromatic aldehyde quinoline derivatives collectively demonstrate markedly superior pharmacokinetic and safety profiles.</w:t>
      </w:r>
    </w:p>
    <w:p w14:paraId="63F77DBD" w14:textId="77777777" w:rsidR="0069695C"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lastRenderedPageBreak/>
        <w:t>T</w:t>
      </w:r>
      <w:r>
        <w:rPr>
          <w:rFonts w:ascii="Times New Roman" w:eastAsia="Times New Roman" w:hAnsi="Times New Roman" w:cs="Times New Roman"/>
          <w:sz w:val="24"/>
          <w:szCs w:val="24"/>
        </w:rPr>
        <w:t>he lead compounds</w:t>
      </w:r>
      <w:r w:rsidRPr="00DB4A33">
        <w:rPr>
          <w:rFonts w:ascii="Times New Roman" w:eastAsia="Times New Roman" w:hAnsi="Times New Roman" w:cs="Times New Roman"/>
          <w:sz w:val="24"/>
          <w:szCs w:val="24"/>
        </w:rPr>
        <w:t xml:space="preserve">, </w:t>
      </w:r>
      <w:r w:rsidRPr="00DB4A33">
        <w:rPr>
          <w:rFonts w:ascii="Times New Roman" w:eastAsia="Times New Roman" w:hAnsi="Times New Roman" w:cs="Times New Roman"/>
          <w:b/>
          <w:bCs/>
          <w:sz w:val="24"/>
          <w:szCs w:val="24"/>
        </w:rPr>
        <w:t>A3</w:t>
      </w:r>
      <w:r w:rsidRPr="00DB4A33">
        <w:rPr>
          <w:rFonts w:ascii="Times New Roman" w:eastAsia="Times New Roman" w:hAnsi="Times New Roman" w:cs="Times New Roman"/>
          <w:sz w:val="24"/>
          <w:szCs w:val="24"/>
        </w:rPr>
        <w:t xml:space="preserve"> (7-(3,4,5-trimethoxyphenyl)-10,11-dihydro-7H-chromeno[3,2-h] quinolin-8(9H)-one) and </w:t>
      </w:r>
      <w:r w:rsidRPr="00DB4A33">
        <w:rPr>
          <w:rFonts w:ascii="Times New Roman" w:eastAsia="Times New Roman" w:hAnsi="Times New Roman" w:cs="Times New Roman"/>
          <w:b/>
          <w:bCs/>
          <w:sz w:val="24"/>
          <w:szCs w:val="24"/>
        </w:rPr>
        <w:t>A6</w:t>
      </w:r>
      <w:r w:rsidRPr="00DB4A33">
        <w:rPr>
          <w:rFonts w:ascii="Times New Roman" w:eastAsia="Times New Roman" w:hAnsi="Times New Roman" w:cs="Times New Roman"/>
          <w:sz w:val="24"/>
          <w:szCs w:val="24"/>
        </w:rPr>
        <w:t xml:space="preserve"> (7-(2-nitrophenyl)-10,11-dihydro-7H-chromeno[3,2-h] quinolin-8(9H)-one) stand out as the most promising lead candidates, combining the highest binding affinities from molecular docking with favorable ADMET characteristics, </w:t>
      </w:r>
      <w:r>
        <w:rPr>
          <w:rFonts w:ascii="Times New Roman" w:eastAsia="Times New Roman" w:hAnsi="Times New Roman" w:cs="Times New Roman"/>
          <w:sz w:val="24"/>
          <w:szCs w:val="24"/>
        </w:rPr>
        <w:t xml:space="preserve">making them a </w:t>
      </w:r>
      <w:r w:rsidRPr="00DB4A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promising</w:t>
      </w:r>
      <w:r w:rsidRPr="00DB4A33">
        <w:rPr>
          <w:rFonts w:ascii="Times New Roman" w:eastAsia="Times New Roman" w:hAnsi="Times New Roman" w:cs="Times New Roman"/>
          <w:sz w:val="24"/>
          <w:szCs w:val="24"/>
        </w:rPr>
        <w:t xml:space="preserve"> candidates for further experimental validation and antimalarial drug development.</w:t>
      </w:r>
    </w:p>
    <w:p w14:paraId="289FB532"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b/>
          <w:bCs/>
          <w:sz w:val="24"/>
          <w:szCs w:val="24"/>
        </w:rPr>
      </w:pPr>
      <w:r w:rsidRPr="00DB4A33">
        <w:rPr>
          <w:rFonts w:ascii="Times New Roman" w:hAnsi="Times New Roman" w:cs="Times New Roman"/>
          <w:sz w:val="24"/>
          <w:szCs w:val="24"/>
        </w:rPr>
        <w:t>To gain a comprehensive and time-resolved understanding of the structural stability, conformational flexibility, and dynamic behavior of the protein-ligand complexes under physiological conditions, molecular dynamics simulations were conducted over an extended 100 ns trajectory</w:t>
      </w:r>
      <w:r w:rsidR="00EC1E42">
        <w:rPr>
          <w:rFonts w:ascii="Times New Roman" w:hAnsi="Times New Roman" w:cs="Times New Roman"/>
          <w:sz w:val="24"/>
          <w:szCs w:val="24"/>
        </w:rPr>
        <w:t>.</w:t>
      </w:r>
      <w:r w:rsidRPr="00DB4A33">
        <w:rPr>
          <w:rFonts w:ascii="Times New Roman" w:eastAsia="Times New Roman" w:hAnsi="Times New Roman" w:cs="Times New Roman"/>
          <w:b/>
          <w:bCs/>
          <w:sz w:val="24"/>
          <w:szCs w:val="24"/>
        </w:rPr>
        <w:t xml:space="preserve"> </w:t>
      </w:r>
    </w:p>
    <w:p w14:paraId="11F70A78"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b/>
          <w:bCs/>
          <w:sz w:val="24"/>
          <w:szCs w:val="24"/>
        </w:rPr>
        <w:t>RMSD analysis</w:t>
      </w:r>
      <w:r w:rsidRPr="00DB4A33">
        <w:rPr>
          <w:rFonts w:ascii="Times New Roman" w:eastAsia="Times New Roman" w:hAnsi="Times New Roman" w:cs="Times New Roman"/>
          <w:sz w:val="24"/>
          <w:szCs w:val="24"/>
        </w:rPr>
        <w:t xml:space="preserve"> revealed that all three complexes achieved equilibration and maintained stable conformations throughout the simulation period. Compounds A3 and A6 recorded average RMSD values of 0.24 nm and 0.25 nm respectively</w:t>
      </w:r>
      <w:r w:rsidR="00952B1F">
        <w:rPr>
          <w:rFonts w:ascii="Times New Roman" w:eastAsia="Times New Roman" w:hAnsi="Times New Roman" w:cs="Times New Roman"/>
          <w:sz w:val="24"/>
          <w:szCs w:val="24"/>
        </w:rPr>
        <w:t xml:space="preserve"> (Table 3)</w:t>
      </w:r>
      <w:r w:rsidRPr="00DB4A33">
        <w:rPr>
          <w:rFonts w:ascii="Times New Roman" w:eastAsia="Times New Roman" w:hAnsi="Times New Roman" w:cs="Times New Roman"/>
          <w:sz w:val="24"/>
          <w:szCs w:val="24"/>
        </w:rPr>
        <w:t xml:space="preserve">, reflecting dynamic yet stable binding conformations within the transketolase active site. </w:t>
      </w:r>
      <w:proofErr w:type="spellStart"/>
      <w:r w:rsidRPr="00DB4A33">
        <w:rPr>
          <w:rFonts w:ascii="Times New Roman" w:eastAsia="Times New Roman" w:hAnsi="Times New Roman" w:cs="Times New Roman"/>
          <w:sz w:val="24"/>
          <w:szCs w:val="24"/>
        </w:rPr>
        <w:t>Oxythiamine</w:t>
      </w:r>
      <w:proofErr w:type="spellEnd"/>
      <w:r w:rsidRPr="00DB4A33">
        <w:rPr>
          <w:rFonts w:ascii="Times New Roman" w:eastAsia="Times New Roman" w:hAnsi="Times New Roman" w:cs="Times New Roman"/>
          <w:sz w:val="24"/>
          <w:szCs w:val="24"/>
        </w:rPr>
        <w:t>, despite recording a slightly lower average RMSD of 0.23 nm, exhibited intermittent conformational fluctuations (Fig</w:t>
      </w:r>
      <w:r w:rsidR="00952B1F">
        <w:rPr>
          <w:rFonts w:ascii="Times New Roman" w:eastAsia="Times New Roman" w:hAnsi="Times New Roman" w:cs="Times New Roman"/>
          <w:sz w:val="24"/>
          <w:szCs w:val="24"/>
        </w:rPr>
        <w:t>ure 7</w:t>
      </w:r>
      <w:r w:rsidRPr="00DB4A33">
        <w:rPr>
          <w:rFonts w:ascii="Times New Roman" w:eastAsia="Times New Roman" w:hAnsi="Times New Roman" w:cs="Times New Roman"/>
          <w:sz w:val="24"/>
          <w:szCs w:val="24"/>
        </w:rPr>
        <w:t>) during early simulation stages, suggesting less consistent structural adaptation to the binding pocket compared to the test compounds</w:t>
      </w:r>
      <w:r w:rsidR="00EC1E42">
        <w:rPr>
          <w:rFonts w:ascii="Times New Roman" w:eastAsia="Times New Roman" w:hAnsi="Times New Roman" w:cs="Times New Roman"/>
          <w:sz w:val="24"/>
          <w:szCs w:val="24"/>
        </w:rPr>
        <w:t xml:space="preserve"> </w:t>
      </w:r>
      <w:r w:rsidR="00952B1F">
        <w:rPr>
          <w:rFonts w:ascii="Times New Roman" w:eastAsia="Times New Roman" w:hAnsi="Times New Roman" w:cs="Times New Roman"/>
          <w:sz w:val="24"/>
          <w:szCs w:val="24"/>
        </w:rPr>
        <w:t>[9]</w:t>
      </w:r>
      <w:r w:rsidRPr="00DB4A33">
        <w:rPr>
          <w:rFonts w:ascii="Times New Roman" w:eastAsia="Times New Roman" w:hAnsi="Times New Roman" w:cs="Times New Roman"/>
          <w:sz w:val="24"/>
          <w:szCs w:val="24"/>
        </w:rPr>
        <w:t>.</w:t>
      </w:r>
    </w:p>
    <w:p w14:paraId="4D596620"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b/>
          <w:bCs/>
          <w:sz w:val="24"/>
          <w:szCs w:val="24"/>
        </w:rPr>
        <w:t>RMSF analysis</w:t>
      </w:r>
      <w:r w:rsidRPr="00DB4A33">
        <w:rPr>
          <w:rFonts w:ascii="Times New Roman" w:eastAsia="Times New Roman" w:hAnsi="Times New Roman" w:cs="Times New Roman"/>
          <w:sz w:val="24"/>
          <w:szCs w:val="24"/>
        </w:rPr>
        <w:t xml:space="preserve"> assessing per-residue flexibility revealed that Compound A6 demonstrated the lowest average fluctuation of 0.12 nm, indicating that its binding induces greater rigidity and stabilization of active site residues a highly desirable property for a potent enzyme inhibitor</w:t>
      </w:r>
      <w:r w:rsidR="00B42ED7">
        <w:rPr>
          <w:rFonts w:ascii="Times New Roman" w:eastAsia="Times New Roman" w:hAnsi="Times New Roman" w:cs="Times New Roman"/>
          <w:sz w:val="24"/>
          <w:szCs w:val="24"/>
        </w:rPr>
        <w:t xml:space="preserve"> [14]</w:t>
      </w:r>
      <w:r w:rsidRPr="00DB4A33">
        <w:rPr>
          <w:rFonts w:ascii="Times New Roman" w:eastAsia="Times New Roman" w:hAnsi="Times New Roman" w:cs="Times New Roman"/>
          <w:sz w:val="24"/>
          <w:szCs w:val="24"/>
        </w:rPr>
        <w:t xml:space="preserve">. Compound A3 recorded an average RMSF of 0.14 nm, while </w:t>
      </w:r>
      <w:proofErr w:type="spellStart"/>
      <w:r w:rsidRPr="00DB4A33">
        <w:rPr>
          <w:rFonts w:ascii="Times New Roman" w:eastAsia="Times New Roman" w:hAnsi="Times New Roman" w:cs="Times New Roman"/>
          <w:sz w:val="24"/>
          <w:szCs w:val="24"/>
        </w:rPr>
        <w:t>oxythiamine</w:t>
      </w:r>
      <w:proofErr w:type="spellEnd"/>
      <w:r w:rsidRPr="00DB4A33">
        <w:rPr>
          <w:rFonts w:ascii="Times New Roman" w:eastAsia="Times New Roman" w:hAnsi="Times New Roman" w:cs="Times New Roman"/>
          <w:sz w:val="24"/>
          <w:szCs w:val="24"/>
        </w:rPr>
        <w:t xml:space="preserve"> showed 0.13 nm. The localized peaks observed around residues 90–100 and 190–200 are attributable to inherently flexible loop regions distant from the catalytic site, and do not compromise the overall binding stability of A3 and A6.</w:t>
      </w:r>
    </w:p>
    <w:p w14:paraId="79AFACDE"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b/>
          <w:bCs/>
          <w:sz w:val="24"/>
          <w:szCs w:val="24"/>
        </w:rPr>
        <w:t>Radius of Gyration (</w:t>
      </w:r>
      <w:proofErr w:type="spellStart"/>
      <w:r w:rsidRPr="00DB4A33">
        <w:rPr>
          <w:rFonts w:ascii="Times New Roman" w:eastAsia="Times New Roman" w:hAnsi="Times New Roman" w:cs="Times New Roman"/>
          <w:b/>
          <w:bCs/>
          <w:sz w:val="24"/>
          <w:szCs w:val="24"/>
        </w:rPr>
        <w:t>RoG</w:t>
      </w:r>
      <w:proofErr w:type="spellEnd"/>
      <w:r w:rsidRPr="00DB4A33">
        <w:rPr>
          <w:rFonts w:ascii="Times New Roman" w:eastAsia="Times New Roman" w:hAnsi="Times New Roman" w:cs="Times New Roman"/>
          <w:b/>
          <w:bCs/>
          <w:sz w:val="24"/>
          <w:szCs w:val="24"/>
        </w:rPr>
        <w:t>)</w:t>
      </w:r>
      <w:r w:rsidRPr="00DB4A33">
        <w:rPr>
          <w:rFonts w:ascii="Times New Roman" w:eastAsia="Times New Roman" w:hAnsi="Times New Roman" w:cs="Times New Roman"/>
          <w:sz w:val="24"/>
          <w:szCs w:val="24"/>
        </w:rPr>
        <w:t xml:space="preserve"> values reflect the overall compactness of the protein-ligand complexes. Compound A3 recorded the lowest average </w:t>
      </w:r>
      <w:proofErr w:type="spellStart"/>
      <w:r w:rsidRPr="00DB4A33">
        <w:rPr>
          <w:rFonts w:ascii="Times New Roman" w:eastAsia="Times New Roman" w:hAnsi="Times New Roman" w:cs="Times New Roman"/>
          <w:sz w:val="24"/>
          <w:szCs w:val="24"/>
        </w:rPr>
        <w:t>RoG</w:t>
      </w:r>
      <w:proofErr w:type="spellEnd"/>
      <w:r w:rsidRPr="00DB4A33">
        <w:rPr>
          <w:rFonts w:ascii="Times New Roman" w:eastAsia="Times New Roman" w:hAnsi="Times New Roman" w:cs="Times New Roman"/>
          <w:sz w:val="24"/>
          <w:szCs w:val="24"/>
        </w:rPr>
        <w:t xml:space="preserve"> of 2.85 nm, indicating that its binding promotes a more compact and structurally stable protein conformation relative to </w:t>
      </w:r>
      <w:proofErr w:type="spellStart"/>
      <w:r w:rsidRPr="00DB4A33">
        <w:rPr>
          <w:rFonts w:ascii="Times New Roman" w:eastAsia="Times New Roman" w:hAnsi="Times New Roman" w:cs="Times New Roman"/>
          <w:sz w:val="24"/>
          <w:szCs w:val="24"/>
        </w:rPr>
        <w:t>oxythiamine</w:t>
      </w:r>
      <w:proofErr w:type="spellEnd"/>
      <w:r w:rsidRPr="00DB4A33">
        <w:rPr>
          <w:rFonts w:ascii="Times New Roman" w:eastAsia="Times New Roman" w:hAnsi="Times New Roman" w:cs="Times New Roman"/>
          <w:sz w:val="24"/>
          <w:szCs w:val="24"/>
        </w:rPr>
        <w:t xml:space="preserve"> (2.90 nm) and A6 (2.93 nm)</w:t>
      </w:r>
      <w:r w:rsidR="00B42ED7">
        <w:rPr>
          <w:rFonts w:ascii="Times New Roman" w:eastAsia="Times New Roman" w:hAnsi="Times New Roman" w:cs="Times New Roman"/>
          <w:sz w:val="24"/>
          <w:szCs w:val="24"/>
        </w:rPr>
        <w:t xml:space="preserve"> [14]</w:t>
      </w:r>
      <w:r w:rsidRPr="00DB4A33">
        <w:rPr>
          <w:rFonts w:ascii="Times New Roman" w:eastAsia="Times New Roman" w:hAnsi="Times New Roman" w:cs="Times New Roman"/>
          <w:sz w:val="24"/>
          <w:szCs w:val="24"/>
        </w:rPr>
        <w:t>.</w:t>
      </w:r>
      <w:r w:rsidR="00B42ED7">
        <w:rPr>
          <w:rFonts w:ascii="Times New Roman" w:eastAsia="Times New Roman" w:hAnsi="Times New Roman" w:cs="Times New Roman"/>
          <w:sz w:val="24"/>
          <w:szCs w:val="24"/>
        </w:rPr>
        <w:t xml:space="preserve"> </w:t>
      </w:r>
      <w:r w:rsidRPr="00DB4A33">
        <w:rPr>
          <w:rFonts w:ascii="Times New Roman" w:eastAsia="Times New Roman" w:hAnsi="Times New Roman" w:cs="Times New Roman"/>
          <w:sz w:val="24"/>
          <w:szCs w:val="24"/>
        </w:rPr>
        <w:t xml:space="preserve"> The consistently stable </w:t>
      </w:r>
      <w:proofErr w:type="spellStart"/>
      <w:r w:rsidRPr="00DB4A33">
        <w:rPr>
          <w:rFonts w:ascii="Times New Roman" w:eastAsia="Times New Roman" w:hAnsi="Times New Roman" w:cs="Times New Roman"/>
          <w:sz w:val="24"/>
          <w:szCs w:val="24"/>
        </w:rPr>
        <w:t>RoG</w:t>
      </w:r>
      <w:proofErr w:type="spellEnd"/>
      <w:r w:rsidRPr="00DB4A33">
        <w:rPr>
          <w:rFonts w:ascii="Times New Roman" w:eastAsia="Times New Roman" w:hAnsi="Times New Roman" w:cs="Times New Roman"/>
          <w:sz w:val="24"/>
          <w:szCs w:val="24"/>
        </w:rPr>
        <w:t xml:space="preserve"> trajectories observed for both A3 and A6 throughout the simulation confirm that neither compound induces significant unfolding or </w:t>
      </w:r>
      <w:r w:rsidRPr="00DB4A33">
        <w:rPr>
          <w:rFonts w:ascii="Times New Roman" w:eastAsia="Times New Roman" w:hAnsi="Times New Roman" w:cs="Times New Roman"/>
          <w:sz w:val="24"/>
          <w:szCs w:val="24"/>
        </w:rPr>
        <w:lastRenderedPageBreak/>
        <w:t>structural distortion of the transketolase enzyme, further supporting their compatibility with the target.</w:t>
      </w:r>
    </w:p>
    <w:p w14:paraId="6387B948"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b/>
          <w:bCs/>
          <w:sz w:val="24"/>
          <w:szCs w:val="24"/>
        </w:rPr>
        <w:t>Hydrogen bond analysis</w:t>
      </w:r>
      <w:r w:rsidRPr="00DB4A33">
        <w:rPr>
          <w:rFonts w:ascii="Times New Roman" w:eastAsia="Times New Roman" w:hAnsi="Times New Roman" w:cs="Times New Roman"/>
          <w:sz w:val="24"/>
          <w:szCs w:val="24"/>
        </w:rPr>
        <w:t xml:space="preserve"> demonstrated that </w:t>
      </w:r>
      <w:proofErr w:type="spellStart"/>
      <w:r w:rsidRPr="00DB4A33">
        <w:rPr>
          <w:rFonts w:ascii="Times New Roman" w:eastAsia="Times New Roman" w:hAnsi="Times New Roman" w:cs="Times New Roman"/>
          <w:sz w:val="24"/>
          <w:szCs w:val="24"/>
        </w:rPr>
        <w:t>oxythiamine</w:t>
      </w:r>
      <w:proofErr w:type="spellEnd"/>
      <w:r w:rsidRPr="00DB4A33">
        <w:rPr>
          <w:rFonts w:ascii="Times New Roman" w:eastAsia="Times New Roman" w:hAnsi="Times New Roman" w:cs="Times New Roman"/>
          <w:sz w:val="24"/>
          <w:szCs w:val="24"/>
        </w:rPr>
        <w:t xml:space="preserve"> maintained an average of 1.8 hydrogen bonds throughout the simulation. However, this did not translate to superior binding stability, as hydrogen bond counts for </w:t>
      </w:r>
      <w:proofErr w:type="spellStart"/>
      <w:r w:rsidRPr="00DB4A33">
        <w:rPr>
          <w:rFonts w:ascii="Times New Roman" w:eastAsia="Times New Roman" w:hAnsi="Times New Roman" w:cs="Times New Roman"/>
          <w:sz w:val="24"/>
          <w:szCs w:val="24"/>
        </w:rPr>
        <w:t>oxythiamine</w:t>
      </w:r>
      <w:proofErr w:type="spellEnd"/>
      <w:r w:rsidRPr="00DB4A33">
        <w:rPr>
          <w:rFonts w:ascii="Times New Roman" w:eastAsia="Times New Roman" w:hAnsi="Times New Roman" w:cs="Times New Roman"/>
          <w:sz w:val="24"/>
          <w:szCs w:val="24"/>
        </w:rPr>
        <w:t xml:space="preserve"> fluctuated considerably across the trajectory. Compounds A3 and A6 maintained consistent hydrogen bond counts of 1.2 and 1.0 respectively, with sustained persistence throughout the 100 ns period. The consistency of these interactions is more therapeutically significant than sheer count, as stable persistent hydrogen bonding reflects stronger and more reliable protein-ligand complementarity under physiological conditions</w:t>
      </w:r>
      <w:r w:rsidR="00F4497A">
        <w:rPr>
          <w:rFonts w:ascii="Times New Roman" w:eastAsia="Times New Roman" w:hAnsi="Times New Roman" w:cs="Times New Roman"/>
          <w:sz w:val="24"/>
          <w:szCs w:val="24"/>
        </w:rPr>
        <w:t xml:space="preserve"> [23]</w:t>
      </w:r>
      <w:r w:rsidRPr="00DB4A33">
        <w:rPr>
          <w:rFonts w:ascii="Times New Roman" w:eastAsia="Times New Roman" w:hAnsi="Times New Roman" w:cs="Times New Roman"/>
          <w:sz w:val="24"/>
          <w:szCs w:val="24"/>
        </w:rPr>
        <w:t>.</w:t>
      </w:r>
    </w:p>
    <w:p w14:paraId="68DBEA14"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b/>
          <w:bCs/>
          <w:sz w:val="24"/>
          <w:szCs w:val="24"/>
        </w:rPr>
        <w:t>Solvent Accessible Surface Area (SASA)</w:t>
      </w:r>
      <w:r w:rsidRPr="00DB4A33">
        <w:rPr>
          <w:rFonts w:ascii="Times New Roman" w:eastAsia="Times New Roman" w:hAnsi="Times New Roman" w:cs="Times New Roman"/>
          <w:sz w:val="24"/>
          <w:szCs w:val="24"/>
        </w:rPr>
        <w:t xml:space="preserve"> analysis further reinforced the superiority of A3 and A6. Both compounds recorded lower average SASA values of 280 nm² and 272 nm² respectively, compared to </w:t>
      </w:r>
      <w:proofErr w:type="spellStart"/>
      <w:r w:rsidRPr="00DB4A33">
        <w:rPr>
          <w:rFonts w:ascii="Times New Roman" w:eastAsia="Times New Roman" w:hAnsi="Times New Roman" w:cs="Times New Roman"/>
          <w:sz w:val="24"/>
          <w:szCs w:val="24"/>
        </w:rPr>
        <w:t>oxythiamine's</w:t>
      </w:r>
      <w:proofErr w:type="spellEnd"/>
      <w:r w:rsidRPr="00DB4A33">
        <w:rPr>
          <w:rFonts w:ascii="Times New Roman" w:eastAsia="Times New Roman" w:hAnsi="Times New Roman" w:cs="Times New Roman"/>
          <w:sz w:val="24"/>
          <w:szCs w:val="24"/>
        </w:rPr>
        <w:t xml:space="preserve"> 290 nm². Lower SASA values indicate that the protein adopts a more closed, compact conformation upon ligand binding, reflecting deeper and more favorable burial of the compounds within the active site</w:t>
      </w:r>
      <w:r w:rsidR="00D8421D">
        <w:rPr>
          <w:rFonts w:ascii="Times New Roman" w:eastAsia="Times New Roman" w:hAnsi="Times New Roman" w:cs="Times New Roman"/>
          <w:sz w:val="24"/>
          <w:szCs w:val="24"/>
        </w:rPr>
        <w:t xml:space="preserve"> [26]</w:t>
      </w:r>
      <w:r w:rsidRPr="00DB4A33">
        <w:rPr>
          <w:rFonts w:ascii="Times New Roman" w:eastAsia="Times New Roman" w:hAnsi="Times New Roman" w:cs="Times New Roman"/>
          <w:sz w:val="24"/>
          <w:szCs w:val="24"/>
        </w:rPr>
        <w:t>. This suggests that A3 and A6 engage the transketolase binding pocket more effectively, limiting solvent exposure and enhancing binding stability characteristics strongly associated with potent enzyme inhibition.</w:t>
      </w:r>
    </w:p>
    <w:p w14:paraId="57AFE2D2" w14:textId="77777777" w:rsidR="00B94D0B" w:rsidRDefault="0069695C" w:rsidP="00FF5796">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Collectively, the MD simulation data establish that Compounds A3 and A6 form stable, persistent, and energetically favorable complexes with </w:t>
      </w:r>
      <w:r w:rsidRPr="00DB4A33">
        <w:rPr>
          <w:rFonts w:ascii="Times New Roman" w:eastAsia="Times New Roman" w:hAnsi="Times New Roman" w:cs="Times New Roman"/>
          <w:i/>
          <w:iCs/>
          <w:sz w:val="24"/>
          <w:szCs w:val="24"/>
        </w:rPr>
        <w:t>P. falciparum</w:t>
      </w:r>
      <w:r w:rsidRPr="00DB4A33">
        <w:rPr>
          <w:rFonts w:ascii="Times New Roman" w:eastAsia="Times New Roman" w:hAnsi="Times New Roman" w:cs="Times New Roman"/>
          <w:sz w:val="24"/>
          <w:szCs w:val="24"/>
        </w:rPr>
        <w:t xml:space="preserve"> transketolase throughout the entire simulation period. Their superior compactness, consistent active site stabilization, and lower solvent exposure compared to </w:t>
      </w:r>
      <w:proofErr w:type="spellStart"/>
      <w:r w:rsidRPr="00DB4A33">
        <w:rPr>
          <w:rFonts w:ascii="Times New Roman" w:eastAsia="Times New Roman" w:hAnsi="Times New Roman" w:cs="Times New Roman"/>
          <w:sz w:val="24"/>
          <w:szCs w:val="24"/>
        </w:rPr>
        <w:t>oxythiamine</w:t>
      </w:r>
      <w:proofErr w:type="spellEnd"/>
      <w:r w:rsidRPr="00DB4A33">
        <w:rPr>
          <w:rFonts w:ascii="Times New Roman" w:eastAsia="Times New Roman" w:hAnsi="Times New Roman" w:cs="Times New Roman"/>
          <w:sz w:val="24"/>
          <w:szCs w:val="24"/>
        </w:rPr>
        <w:t xml:space="preserve"> position them as structurally robust and pharmacodynamically promising antimalarial lead candidates worthy of further experimental investigation.</w:t>
      </w:r>
    </w:p>
    <w:p w14:paraId="119D7F2A" w14:textId="77777777" w:rsidR="00C35EE6" w:rsidRDefault="00C35EE6" w:rsidP="00FF5796">
      <w:pPr>
        <w:spacing w:before="100" w:beforeAutospacing="1" w:after="100" w:afterAutospacing="1" w:line="360" w:lineRule="auto"/>
        <w:jc w:val="both"/>
        <w:rPr>
          <w:rFonts w:ascii="Times New Roman" w:eastAsia="Times New Roman" w:hAnsi="Times New Roman" w:cs="Times New Roman"/>
          <w:sz w:val="24"/>
          <w:szCs w:val="24"/>
        </w:rPr>
      </w:pPr>
    </w:p>
    <w:p w14:paraId="62241ECF" w14:textId="77777777" w:rsidR="00C35EE6" w:rsidRDefault="00C35EE6" w:rsidP="00FF5796">
      <w:pPr>
        <w:spacing w:before="100" w:beforeAutospacing="1" w:after="100" w:afterAutospacing="1" w:line="360" w:lineRule="auto"/>
        <w:jc w:val="both"/>
        <w:rPr>
          <w:rFonts w:ascii="Times New Roman" w:eastAsia="Times New Roman" w:hAnsi="Times New Roman" w:cs="Times New Roman"/>
          <w:sz w:val="24"/>
          <w:szCs w:val="24"/>
        </w:rPr>
      </w:pPr>
    </w:p>
    <w:p w14:paraId="1EBEE004" w14:textId="77777777" w:rsidR="00C35EE6" w:rsidRDefault="00C35EE6" w:rsidP="00FF5796">
      <w:pPr>
        <w:spacing w:before="100" w:beforeAutospacing="1" w:after="100" w:afterAutospacing="1" w:line="360" w:lineRule="auto"/>
        <w:jc w:val="both"/>
        <w:rPr>
          <w:rFonts w:ascii="Times New Roman" w:eastAsia="Times New Roman" w:hAnsi="Times New Roman" w:cs="Times New Roman"/>
          <w:sz w:val="24"/>
          <w:szCs w:val="24"/>
        </w:rPr>
      </w:pPr>
    </w:p>
    <w:p w14:paraId="1BA4B3C0" w14:textId="77777777" w:rsidR="00C35EE6" w:rsidRPr="00FF5796" w:rsidRDefault="00C35EE6" w:rsidP="00FF5796">
      <w:pPr>
        <w:spacing w:before="100" w:beforeAutospacing="1" w:after="100" w:afterAutospacing="1" w:line="360" w:lineRule="auto"/>
        <w:jc w:val="both"/>
        <w:rPr>
          <w:rFonts w:ascii="Times New Roman" w:eastAsia="Times New Roman" w:hAnsi="Times New Roman" w:cs="Times New Roman"/>
          <w:sz w:val="24"/>
          <w:szCs w:val="24"/>
        </w:rPr>
      </w:pPr>
    </w:p>
    <w:p w14:paraId="18908C5E" w14:textId="77777777" w:rsidR="00CA5746" w:rsidRPr="00DB4A33" w:rsidRDefault="00007556"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lastRenderedPageBreak/>
        <w:t>CONCLUSION</w:t>
      </w:r>
    </w:p>
    <w:p w14:paraId="7C65ADCA" w14:textId="77777777" w:rsidR="00D82944" w:rsidRDefault="00200136" w:rsidP="00DB4A33">
      <w:pPr>
        <w:spacing w:line="360" w:lineRule="auto"/>
        <w:jc w:val="both"/>
        <w:rPr>
          <w:rFonts w:ascii="Times New Roman" w:hAnsi="Times New Roman" w:cs="Times New Roman"/>
          <w:sz w:val="24"/>
          <w:szCs w:val="24"/>
        </w:rPr>
      </w:pPr>
      <w:r w:rsidRPr="00200136">
        <w:rPr>
          <w:rFonts w:ascii="Times New Roman" w:hAnsi="Times New Roman" w:cs="Times New Roman"/>
          <w:sz w:val="24"/>
          <w:szCs w:val="24"/>
        </w:rPr>
        <w:t xml:space="preserve">This study successfully identified Compounds A3 </w:t>
      </w:r>
      <w:r w:rsidR="00D82944">
        <w:rPr>
          <w:rFonts w:ascii="Times New Roman" w:hAnsi="Times New Roman" w:cs="Times New Roman"/>
          <w:sz w:val="24"/>
          <w:szCs w:val="24"/>
        </w:rPr>
        <w:t>(</w:t>
      </w:r>
      <w:r w:rsidR="00D82944" w:rsidRPr="00DB4A33">
        <w:rPr>
          <w:rFonts w:ascii="Times New Roman" w:hAnsi="Times New Roman" w:cs="Times New Roman"/>
          <w:sz w:val="24"/>
          <w:szCs w:val="24"/>
        </w:rPr>
        <w:t>7-(3,4,5-trimethoxyphenyl)-10,11-dihydro-7H-chromeno[3,2-</w:t>
      </w:r>
      <w:proofErr w:type="gramStart"/>
      <w:r w:rsidR="00D82944" w:rsidRPr="00DB4A33">
        <w:rPr>
          <w:rFonts w:ascii="Times New Roman" w:hAnsi="Times New Roman" w:cs="Times New Roman"/>
          <w:sz w:val="24"/>
          <w:szCs w:val="24"/>
        </w:rPr>
        <w:t>h]quinolin</w:t>
      </w:r>
      <w:proofErr w:type="gramEnd"/>
      <w:r w:rsidR="00D82944" w:rsidRPr="00DB4A33">
        <w:rPr>
          <w:rFonts w:ascii="Times New Roman" w:hAnsi="Times New Roman" w:cs="Times New Roman"/>
          <w:sz w:val="24"/>
          <w:szCs w:val="24"/>
        </w:rPr>
        <w:t>-8(9H)-one</w:t>
      </w:r>
      <w:r w:rsidR="00D82944">
        <w:rPr>
          <w:rFonts w:ascii="Times New Roman" w:hAnsi="Times New Roman" w:cs="Times New Roman"/>
          <w:sz w:val="24"/>
          <w:szCs w:val="24"/>
        </w:rPr>
        <w:t xml:space="preserve">) </w:t>
      </w:r>
      <w:r w:rsidRPr="00200136">
        <w:rPr>
          <w:rFonts w:ascii="Times New Roman" w:hAnsi="Times New Roman" w:cs="Times New Roman"/>
          <w:sz w:val="24"/>
          <w:szCs w:val="24"/>
        </w:rPr>
        <w:t xml:space="preserve">and A6 </w:t>
      </w:r>
      <w:r w:rsidR="00D82944">
        <w:rPr>
          <w:rFonts w:ascii="Times New Roman" w:hAnsi="Times New Roman" w:cs="Times New Roman"/>
          <w:sz w:val="24"/>
          <w:szCs w:val="24"/>
        </w:rPr>
        <w:t>(</w:t>
      </w:r>
      <w:r w:rsidR="00D82944" w:rsidRPr="00DB4A33">
        <w:rPr>
          <w:rFonts w:ascii="Times New Roman" w:hAnsi="Times New Roman" w:cs="Times New Roman"/>
          <w:sz w:val="24"/>
          <w:szCs w:val="24"/>
        </w:rPr>
        <w:t>7-(2-nitrophenyl)-10,11-dihydro-7H-chromeno[3,2-</w:t>
      </w:r>
      <w:proofErr w:type="gramStart"/>
      <w:r w:rsidR="00D82944" w:rsidRPr="00DB4A33">
        <w:rPr>
          <w:rFonts w:ascii="Times New Roman" w:hAnsi="Times New Roman" w:cs="Times New Roman"/>
          <w:sz w:val="24"/>
          <w:szCs w:val="24"/>
        </w:rPr>
        <w:t>h]quinolin</w:t>
      </w:r>
      <w:proofErr w:type="gramEnd"/>
      <w:r w:rsidR="00D82944" w:rsidRPr="00DB4A33">
        <w:rPr>
          <w:rFonts w:ascii="Times New Roman" w:hAnsi="Times New Roman" w:cs="Times New Roman"/>
          <w:sz w:val="24"/>
          <w:szCs w:val="24"/>
        </w:rPr>
        <w:t>-8(9H)-one</w:t>
      </w:r>
      <w:r w:rsidR="00D82944">
        <w:rPr>
          <w:rFonts w:ascii="Times New Roman" w:hAnsi="Times New Roman" w:cs="Times New Roman"/>
          <w:sz w:val="24"/>
          <w:szCs w:val="24"/>
        </w:rPr>
        <w:t xml:space="preserve">) </w:t>
      </w:r>
      <w:r w:rsidRPr="00200136">
        <w:rPr>
          <w:rFonts w:ascii="Times New Roman" w:hAnsi="Times New Roman" w:cs="Times New Roman"/>
          <w:sz w:val="24"/>
          <w:szCs w:val="24"/>
        </w:rPr>
        <w:t xml:space="preserve">as promising </w:t>
      </w:r>
      <w:r w:rsidRPr="00D82944">
        <w:rPr>
          <w:rFonts w:ascii="Times New Roman" w:hAnsi="Times New Roman" w:cs="Times New Roman"/>
          <w:i/>
          <w:sz w:val="24"/>
          <w:szCs w:val="24"/>
        </w:rPr>
        <w:t>Plasmodium falciparum</w:t>
      </w:r>
      <w:r w:rsidRPr="00200136">
        <w:rPr>
          <w:rFonts w:ascii="Times New Roman" w:hAnsi="Times New Roman" w:cs="Times New Roman"/>
          <w:sz w:val="24"/>
          <w:szCs w:val="24"/>
        </w:rPr>
        <w:t xml:space="preserve"> transketolase inhibitors through comprehensive </w:t>
      </w:r>
      <w:r w:rsidRPr="00D82944">
        <w:rPr>
          <w:rFonts w:ascii="Times New Roman" w:hAnsi="Times New Roman" w:cs="Times New Roman"/>
          <w:i/>
          <w:sz w:val="24"/>
          <w:szCs w:val="24"/>
        </w:rPr>
        <w:t>in-silico</w:t>
      </w:r>
      <w:r w:rsidRPr="00200136">
        <w:rPr>
          <w:rFonts w:ascii="Times New Roman" w:hAnsi="Times New Roman" w:cs="Times New Roman"/>
          <w:sz w:val="24"/>
          <w:szCs w:val="24"/>
        </w:rPr>
        <w:t xml:space="preserve"> evaluation. </w:t>
      </w:r>
      <w:r w:rsidR="00D82944">
        <w:rPr>
          <w:rFonts w:ascii="Times New Roman" w:hAnsi="Times New Roman" w:cs="Times New Roman"/>
          <w:sz w:val="24"/>
          <w:szCs w:val="24"/>
        </w:rPr>
        <w:t>These</w:t>
      </w:r>
      <w:r w:rsidRPr="00200136">
        <w:rPr>
          <w:rFonts w:ascii="Times New Roman" w:hAnsi="Times New Roman" w:cs="Times New Roman"/>
          <w:sz w:val="24"/>
          <w:szCs w:val="24"/>
        </w:rPr>
        <w:t xml:space="preserve"> compounds demonstrated </w:t>
      </w:r>
      <w:r w:rsidR="00D82944">
        <w:rPr>
          <w:rFonts w:ascii="Times New Roman" w:hAnsi="Times New Roman" w:cs="Times New Roman"/>
          <w:sz w:val="24"/>
          <w:szCs w:val="24"/>
        </w:rPr>
        <w:t>high</w:t>
      </w:r>
      <w:r w:rsidRPr="00200136">
        <w:rPr>
          <w:rFonts w:ascii="Times New Roman" w:hAnsi="Times New Roman" w:cs="Times New Roman"/>
          <w:sz w:val="24"/>
          <w:szCs w:val="24"/>
        </w:rPr>
        <w:t xml:space="preserve"> binding affinities, favorable ADMET profiles, and stable molecular dynamics trajectories compared to the reference drug </w:t>
      </w:r>
      <w:proofErr w:type="spellStart"/>
      <w:r w:rsidRPr="00200136">
        <w:rPr>
          <w:rFonts w:ascii="Times New Roman" w:hAnsi="Times New Roman" w:cs="Times New Roman"/>
          <w:sz w:val="24"/>
          <w:szCs w:val="24"/>
        </w:rPr>
        <w:t>oxythiamine</w:t>
      </w:r>
      <w:proofErr w:type="spellEnd"/>
      <w:r w:rsidRPr="00200136">
        <w:rPr>
          <w:rFonts w:ascii="Times New Roman" w:hAnsi="Times New Roman" w:cs="Times New Roman"/>
          <w:sz w:val="24"/>
          <w:szCs w:val="24"/>
        </w:rPr>
        <w:t xml:space="preserve">. MM-GBSA analysis further validated A6 as the thermodynamically most stable complex, driven by significant van der Waals and covalent energy contributions. These </w:t>
      </w:r>
      <w:r w:rsidR="000A309F">
        <w:rPr>
          <w:rFonts w:ascii="Times New Roman" w:hAnsi="Times New Roman" w:cs="Times New Roman"/>
          <w:sz w:val="24"/>
          <w:szCs w:val="24"/>
        </w:rPr>
        <w:t>results</w:t>
      </w:r>
      <w:r w:rsidRPr="00200136">
        <w:rPr>
          <w:rFonts w:ascii="Times New Roman" w:hAnsi="Times New Roman" w:cs="Times New Roman"/>
          <w:sz w:val="24"/>
          <w:szCs w:val="24"/>
        </w:rPr>
        <w:t xml:space="preserve"> </w:t>
      </w:r>
      <w:r w:rsidR="000A309F">
        <w:rPr>
          <w:rFonts w:ascii="Times New Roman" w:hAnsi="Times New Roman" w:cs="Times New Roman"/>
          <w:sz w:val="24"/>
          <w:szCs w:val="24"/>
        </w:rPr>
        <w:t>suggest</w:t>
      </w:r>
      <w:r w:rsidRPr="00200136">
        <w:rPr>
          <w:rFonts w:ascii="Times New Roman" w:hAnsi="Times New Roman" w:cs="Times New Roman"/>
          <w:sz w:val="24"/>
          <w:szCs w:val="24"/>
        </w:rPr>
        <w:t xml:space="preserve"> the pentose phosphate pathway as a viable antimalarial drug target and position quinoline-derived aromatic aldehydes as credible lead candidates warranting further experimental validation and preclinical investigation.</w:t>
      </w:r>
    </w:p>
    <w:p w14:paraId="63C90EB3" w14:textId="77777777" w:rsidR="00CD5C64" w:rsidRPr="002D08AC" w:rsidRDefault="00CD5C64" w:rsidP="00CD5C64">
      <w:pPr>
        <w:spacing w:after="0" w:line="240" w:lineRule="auto"/>
        <w:rPr>
          <w:rFonts w:ascii="Arial" w:hAnsi="Arial" w:cs="Arial"/>
          <w:b/>
          <w:sz w:val="20"/>
          <w:szCs w:val="20"/>
        </w:rPr>
      </w:pPr>
      <w:bookmarkStart w:id="0" w:name="_Hlk237856463"/>
      <w:r w:rsidRPr="002D08AC">
        <w:rPr>
          <w:rFonts w:ascii="Arial" w:hAnsi="Arial" w:cs="Arial"/>
          <w:b/>
          <w:sz w:val="20"/>
          <w:szCs w:val="20"/>
        </w:rPr>
        <w:t>Declaration of AI Use</w:t>
      </w:r>
    </w:p>
    <w:p w14:paraId="3345CDA8" w14:textId="77777777" w:rsidR="00CD5C64" w:rsidRPr="002D08AC" w:rsidRDefault="00CD5C64" w:rsidP="00CD5C64">
      <w:pPr>
        <w:spacing w:after="0" w:line="240" w:lineRule="auto"/>
        <w:rPr>
          <w:rFonts w:ascii="Arial" w:hAnsi="Arial" w:cs="Arial"/>
          <w:sz w:val="20"/>
          <w:szCs w:val="20"/>
        </w:rPr>
      </w:pPr>
    </w:p>
    <w:p w14:paraId="17EF7DB3" w14:textId="77777777" w:rsidR="00CD5C64" w:rsidRPr="002D08AC" w:rsidRDefault="00CD5C64" w:rsidP="00CD5C64">
      <w:pPr>
        <w:spacing w:after="0" w:line="240" w:lineRule="auto"/>
        <w:rPr>
          <w:rFonts w:ascii="Arial" w:hAnsi="Arial" w:cs="Arial"/>
          <w:sz w:val="20"/>
          <w:szCs w:val="20"/>
        </w:rPr>
      </w:pPr>
      <w:bookmarkStart w:id="1"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0"/>
    <w:bookmarkEnd w:id="1"/>
    <w:p w14:paraId="1A76070F" w14:textId="77777777" w:rsidR="00F41152" w:rsidRDefault="00F41152" w:rsidP="00DB4A33">
      <w:pPr>
        <w:spacing w:line="360" w:lineRule="auto"/>
        <w:jc w:val="both"/>
        <w:rPr>
          <w:rFonts w:ascii="Times New Roman" w:hAnsi="Times New Roman" w:cs="Times New Roman"/>
          <w:b/>
          <w:sz w:val="24"/>
          <w:szCs w:val="24"/>
        </w:rPr>
      </w:pPr>
    </w:p>
    <w:p w14:paraId="3CF9862B" w14:textId="77777777" w:rsidR="00007556" w:rsidRPr="00DB4A33" w:rsidRDefault="00007556"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 xml:space="preserve">COMPETING INTERESTS </w:t>
      </w:r>
    </w:p>
    <w:p w14:paraId="4B9CF08B" w14:textId="77777777" w:rsidR="00CA5746" w:rsidRDefault="00007556" w:rsidP="00DB4A33">
      <w:pPr>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 Authors have declared that no competing interests exist.</w:t>
      </w:r>
    </w:p>
    <w:p w14:paraId="5EC4E4ED" w14:textId="77777777" w:rsidR="00550114" w:rsidRDefault="00550114" w:rsidP="00DB4A33">
      <w:pPr>
        <w:spacing w:line="360" w:lineRule="auto"/>
        <w:jc w:val="both"/>
        <w:rPr>
          <w:rFonts w:ascii="Times New Roman" w:hAnsi="Times New Roman" w:cs="Times New Roman"/>
          <w:sz w:val="24"/>
          <w:szCs w:val="24"/>
        </w:rPr>
      </w:pPr>
    </w:p>
    <w:p w14:paraId="428F4F89" w14:textId="77777777" w:rsidR="00550114" w:rsidRPr="003A29C6" w:rsidRDefault="00550114" w:rsidP="00550114">
      <w:pPr>
        <w:jc w:val="both"/>
        <w:outlineLvl w:val="0"/>
        <w:rPr>
          <w:rFonts w:ascii="Arial" w:hAnsi="Arial" w:cs="Arial"/>
        </w:rPr>
      </w:pPr>
      <w:r w:rsidRPr="003A29C6">
        <w:rPr>
          <w:rFonts w:ascii="Arial" w:hAnsi="Arial" w:cs="Arial"/>
          <w:b/>
          <w:bCs/>
        </w:rPr>
        <w:t>COMPETING INTERESTS DISCLAIMER:</w:t>
      </w:r>
    </w:p>
    <w:p w14:paraId="0EEB02C7" w14:textId="77777777" w:rsidR="00550114" w:rsidRDefault="00550114" w:rsidP="00550114">
      <w:r w:rsidRPr="00A10EDE">
        <w:t>Authors have declared that they have no known competing financial interests OR non-financial interests OR personal relationships that could have appeared to influence the work reported in this paper.</w:t>
      </w:r>
    </w:p>
    <w:p w14:paraId="68D6551F" w14:textId="77777777" w:rsidR="00550114" w:rsidRDefault="00550114" w:rsidP="00550114"/>
    <w:p w14:paraId="018C7562" w14:textId="77777777" w:rsidR="00550114" w:rsidRDefault="00550114" w:rsidP="00550114"/>
    <w:p w14:paraId="047FF264" w14:textId="77777777" w:rsidR="00550114" w:rsidRDefault="00550114" w:rsidP="00DB4A33">
      <w:pPr>
        <w:spacing w:line="360" w:lineRule="auto"/>
        <w:jc w:val="both"/>
        <w:rPr>
          <w:rFonts w:ascii="Times New Roman" w:hAnsi="Times New Roman" w:cs="Times New Roman"/>
          <w:sz w:val="24"/>
          <w:szCs w:val="24"/>
        </w:rPr>
      </w:pPr>
    </w:p>
    <w:p w14:paraId="3B82AC3D" w14:textId="77777777" w:rsidR="00F41152" w:rsidRDefault="00F41152" w:rsidP="00DB4A33">
      <w:pPr>
        <w:spacing w:line="360" w:lineRule="auto"/>
        <w:jc w:val="both"/>
        <w:rPr>
          <w:rFonts w:ascii="Times New Roman" w:hAnsi="Times New Roman" w:cs="Times New Roman"/>
          <w:sz w:val="24"/>
          <w:szCs w:val="24"/>
        </w:rPr>
      </w:pPr>
    </w:p>
    <w:p w14:paraId="3ED78479" w14:textId="77777777" w:rsidR="001F00EE" w:rsidRDefault="001F00EE" w:rsidP="00C14B1D">
      <w:pPr>
        <w:shd w:val="clear" w:color="auto" w:fill="FFFFFF"/>
        <w:spacing w:after="0" w:line="360" w:lineRule="auto"/>
        <w:jc w:val="center"/>
        <w:rPr>
          <w:rFonts w:ascii="Times New Roman" w:eastAsia="Times New Roman" w:hAnsi="Times New Roman" w:cs="Times New Roman"/>
          <w:b/>
          <w:sz w:val="24"/>
          <w:szCs w:val="24"/>
        </w:rPr>
      </w:pPr>
    </w:p>
    <w:p w14:paraId="7EF46FCB" w14:textId="77777777" w:rsidR="001F00EE" w:rsidRDefault="001F00EE" w:rsidP="00C14B1D">
      <w:pPr>
        <w:shd w:val="clear" w:color="auto" w:fill="FFFFFF"/>
        <w:spacing w:after="0" w:line="360" w:lineRule="auto"/>
        <w:jc w:val="center"/>
        <w:rPr>
          <w:rFonts w:ascii="Times New Roman" w:eastAsia="Times New Roman" w:hAnsi="Times New Roman" w:cs="Times New Roman"/>
          <w:b/>
          <w:sz w:val="24"/>
          <w:szCs w:val="24"/>
        </w:rPr>
      </w:pPr>
    </w:p>
    <w:p w14:paraId="61CB359B" w14:textId="77777777" w:rsidR="001F00EE" w:rsidRDefault="001F00EE" w:rsidP="00C14B1D">
      <w:pPr>
        <w:shd w:val="clear" w:color="auto" w:fill="FFFFFF"/>
        <w:spacing w:after="0" w:line="360" w:lineRule="auto"/>
        <w:jc w:val="center"/>
        <w:rPr>
          <w:rFonts w:ascii="Times New Roman" w:eastAsia="Times New Roman" w:hAnsi="Times New Roman" w:cs="Times New Roman"/>
          <w:b/>
          <w:sz w:val="24"/>
          <w:szCs w:val="24"/>
        </w:rPr>
      </w:pPr>
    </w:p>
    <w:p w14:paraId="1F167131" w14:textId="0271C625" w:rsidR="00F41152" w:rsidRPr="00F41152" w:rsidRDefault="00F41152" w:rsidP="00C14B1D">
      <w:pPr>
        <w:shd w:val="clear" w:color="auto" w:fill="FFFFFF"/>
        <w:spacing w:after="0" w:line="360" w:lineRule="auto"/>
        <w:jc w:val="center"/>
        <w:rPr>
          <w:rFonts w:ascii="Times New Roman" w:eastAsia="Times New Roman" w:hAnsi="Times New Roman" w:cs="Times New Roman"/>
          <w:b/>
          <w:sz w:val="24"/>
          <w:szCs w:val="24"/>
        </w:rPr>
      </w:pPr>
      <w:r w:rsidRPr="00F41152">
        <w:rPr>
          <w:rFonts w:ascii="Times New Roman" w:eastAsia="Times New Roman" w:hAnsi="Times New Roman" w:cs="Times New Roman"/>
          <w:b/>
          <w:sz w:val="24"/>
          <w:szCs w:val="24"/>
        </w:rPr>
        <w:lastRenderedPageBreak/>
        <w:t>References</w:t>
      </w:r>
    </w:p>
    <w:p w14:paraId="3B0134E6" w14:textId="77777777" w:rsidR="00EB4CC2" w:rsidRPr="00F41152" w:rsidRDefault="00EB4CC2" w:rsidP="00F41152">
      <w:pPr>
        <w:spacing w:line="360" w:lineRule="auto"/>
        <w:jc w:val="both"/>
        <w:rPr>
          <w:rFonts w:ascii="Times New Roman" w:hAnsi="Times New Roman" w:cs="Times New Roman"/>
          <w:sz w:val="24"/>
          <w:szCs w:val="24"/>
          <w:shd w:val="clear" w:color="auto" w:fill="FFFFFF"/>
        </w:rPr>
      </w:pPr>
    </w:p>
    <w:p w14:paraId="38573C10" w14:textId="77777777" w:rsidR="00BF33D9"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bookmarkStart w:id="2" w:name="_Hlk237973111"/>
      <w:proofErr w:type="spellStart"/>
      <w:r w:rsidRPr="00F41152">
        <w:rPr>
          <w:rFonts w:ascii="Times New Roman" w:hAnsi="Times New Roman" w:cs="Times New Roman"/>
          <w:sz w:val="24"/>
          <w:szCs w:val="24"/>
          <w:shd w:val="clear" w:color="auto" w:fill="FFFFFF"/>
        </w:rPr>
        <w:t>Agbedahunsi</w:t>
      </w:r>
      <w:proofErr w:type="spellEnd"/>
      <w:r w:rsidRPr="00F41152">
        <w:rPr>
          <w:rFonts w:ascii="Times New Roman" w:hAnsi="Times New Roman" w:cs="Times New Roman"/>
          <w:sz w:val="24"/>
          <w:szCs w:val="24"/>
          <w:shd w:val="clear" w:color="auto" w:fill="FFFFFF"/>
        </w:rPr>
        <w:t xml:space="preserve">, J. M., Cyril-Olutayo, M. C., </w:t>
      </w:r>
      <w:proofErr w:type="spellStart"/>
      <w:r w:rsidRPr="00F41152">
        <w:rPr>
          <w:rFonts w:ascii="Times New Roman" w:hAnsi="Times New Roman" w:cs="Times New Roman"/>
          <w:sz w:val="24"/>
          <w:szCs w:val="24"/>
          <w:shd w:val="clear" w:color="auto" w:fill="FFFFFF"/>
        </w:rPr>
        <w:t>Fadare</w:t>
      </w:r>
      <w:proofErr w:type="spellEnd"/>
      <w:r w:rsidRPr="00F41152">
        <w:rPr>
          <w:rFonts w:ascii="Times New Roman" w:hAnsi="Times New Roman" w:cs="Times New Roman"/>
          <w:sz w:val="24"/>
          <w:szCs w:val="24"/>
          <w:shd w:val="clear" w:color="auto" w:fill="FFFFFF"/>
        </w:rPr>
        <w:t xml:space="preserve">, R. Y., </w:t>
      </w:r>
      <w:proofErr w:type="spellStart"/>
      <w:r w:rsidRPr="00F41152">
        <w:rPr>
          <w:rFonts w:ascii="Times New Roman" w:hAnsi="Times New Roman" w:cs="Times New Roman"/>
          <w:sz w:val="24"/>
          <w:szCs w:val="24"/>
          <w:shd w:val="clear" w:color="auto" w:fill="FFFFFF"/>
        </w:rPr>
        <w:t>Ogundolie</w:t>
      </w:r>
      <w:proofErr w:type="spellEnd"/>
      <w:r w:rsidRPr="00F41152">
        <w:rPr>
          <w:rFonts w:ascii="Times New Roman" w:hAnsi="Times New Roman" w:cs="Times New Roman"/>
          <w:sz w:val="24"/>
          <w:szCs w:val="24"/>
          <w:shd w:val="clear" w:color="auto" w:fill="FFFFFF"/>
        </w:rPr>
        <w:t xml:space="preserve">, F. A., Salaria, D., </w:t>
      </w:r>
      <w:proofErr w:type="spellStart"/>
      <w:r w:rsidRPr="00F41152">
        <w:rPr>
          <w:rFonts w:ascii="Times New Roman" w:hAnsi="Times New Roman" w:cs="Times New Roman"/>
          <w:sz w:val="24"/>
          <w:szCs w:val="24"/>
          <w:shd w:val="clear" w:color="auto" w:fill="FFFFFF"/>
        </w:rPr>
        <w:t>Rolta</w:t>
      </w:r>
      <w:proofErr w:type="spellEnd"/>
      <w:r w:rsidRPr="00F41152">
        <w:rPr>
          <w:rFonts w:ascii="Times New Roman" w:hAnsi="Times New Roman" w:cs="Times New Roman"/>
          <w:sz w:val="24"/>
          <w:szCs w:val="24"/>
          <w:shd w:val="clear" w:color="auto" w:fill="FFFFFF"/>
        </w:rPr>
        <w:t xml:space="preserve">, R., and </w:t>
      </w:r>
      <w:proofErr w:type="spellStart"/>
      <w:r w:rsidRPr="00F41152">
        <w:rPr>
          <w:rFonts w:ascii="Times New Roman" w:hAnsi="Times New Roman" w:cs="Times New Roman"/>
          <w:sz w:val="24"/>
          <w:szCs w:val="24"/>
          <w:shd w:val="clear" w:color="auto" w:fill="FFFFFF"/>
        </w:rPr>
        <w:t>Fadare</w:t>
      </w:r>
      <w:proofErr w:type="spellEnd"/>
      <w:r w:rsidRPr="00F41152">
        <w:rPr>
          <w:rFonts w:ascii="Times New Roman" w:hAnsi="Times New Roman" w:cs="Times New Roman"/>
          <w:sz w:val="24"/>
          <w:szCs w:val="24"/>
          <w:shd w:val="clear" w:color="auto" w:fill="FFFFFF"/>
        </w:rPr>
        <w:t xml:space="preserve">, O. A. (2025). Computational study of phytochemicals from Khaya </w:t>
      </w:r>
      <w:proofErr w:type="spellStart"/>
      <w:r w:rsidRPr="00F41152">
        <w:rPr>
          <w:rFonts w:ascii="Times New Roman" w:hAnsi="Times New Roman" w:cs="Times New Roman"/>
          <w:sz w:val="24"/>
          <w:szCs w:val="24"/>
          <w:shd w:val="clear" w:color="auto" w:fill="FFFFFF"/>
        </w:rPr>
        <w:t>grandifoliola</w:t>
      </w:r>
      <w:proofErr w:type="spellEnd"/>
      <w:r w:rsidRPr="00F41152">
        <w:rPr>
          <w:rFonts w:ascii="Times New Roman" w:hAnsi="Times New Roman" w:cs="Times New Roman"/>
          <w:sz w:val="24"/>
          <w:szCs w:val="24"/>
          <w:shd w:val="clear" w:color="auto" w:fill="FFFFFF"/>
        </w:rPr>
        <w:t xml:space="preserve"> (WELW) as potential inhibitors of the Plasmodium falciparum transketolase and putative antimalarial agents. </w:t>
      </w:r>
      <w:r w:rsidRPr="00F41152">
        <w:rPr>
          <w:rFonts w:ascii="Times New Roman" w:hAnsi="Times New Roman" w:cs="Times New Roman"/>
          <w:i/>
          <w:iCs/>
          <w:sz w:val="24"/>
          <w:szCs w:val="24"/>
          <w:shd w:val="clear" w:color="auto" w:fill="FFFFFF"/>
        </w:rPr>
        <w:t>In Silico Pharmacology</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13</w:t>
      </w:r>
      <w:r w:rsidRPr="00F41152">
        <w:rPr>
          <w:rFonts w:ascii="Times New Roman" w:hAnsi="Times New Roman" w:cs="Times New Roman"/>
          <w:sz w:val="24"/>
          <w:szCs w:val="24"/>
          <w:shd w:val="clear" w:color="auto" w:fill="FFFFFF"/>
        </w:rPr>
        <w:t>(2), 87.</w:t>
      </w:r>
    </w:p>
    <w:p w14:paraId="05A809DB" w14:textId="77777777" w:rsidR="00143AA7" w:rsidRDefault="00FC6307" w:rsidP="00062BF3">
      <w:pPr>
        <w:pStyle w:val="ListParagraph"/>
        <w:numPr>
          <w:ilvl w:val="0"/>
          <w:numId w:val="1"/>
        </w:numPr>
        <w:spacing w:line="360" w:lineRule="auto"/>
        <w:jc w:val="both"/>
        <w:rPr>
          <w:rFonts w:ascii="Times New Roman" w:hAnsi="Times New Roman" w:cs="Times New Roman"/>
          <w:sz w:val="24"/>
          <w:szCs w:val="24"/>
        </w:rPr>
      </w:pPr>
      <w:proofErr w:type="spellStart"/>
      <w:r w:rsidRPr="00143AA7">
        <w:rPr>
          <w:rFonts w:ascii="Times New Roman" w:hAnsi="Times New Roman" w:cs="Times New Roman"/>
          <w:sz w:val="24"/>
          <w:szCs w:val="24"/>
        </w:rPr>
        <w:t>AlRawashdeh</w:t>
      </w:r>
      <w:proofErr w:type="spellEnd"/>
      <w:r w:rsidRPr="00143AA7">
        <w:rPr>
          <w:rFonts w:ascii="Times New Roman" w:hAnsi="Times New Roman" w:cs="Times New Roman"/>
          <w:sz w:val="24"/>
          <w:szCs w:val="24"/>
        </w:rPr>
        <w:t xml:space="preserve"> S, Chandrasekaran S and Barakat KH (2023). Structural analysis of </w:t>
      </w:r>
      <w:proofErr w:type="spellStart"/>
      <w:r w:rsidRPr="00143AA7">
        <w:rPr>
          <w:rFonts w:ascii="Times New Roman" w:hAnsi="Times New Roman" w:cs="Times New Roman"/>
          <w:sz w:val="24"/>
          <w:szCs w:val="24"/>
        </w:rPr>
        <w:t>hERG</w:t>
      </w:r>
      <w:proofErr w:type="spellEnd"/>
      <w:r w:rsidRPr="00143AA7">
        <w:rPr>
          <w:rFonts w:ascii="Times New Roman" w:hAnsi="Times New Roman" w:cs="Times New Roman"/>
          <w:sz w:val="24"/>
          <w:szCs w:val="24"/>
        </w:rPr>
        <w:t xml:space="preserve"> channel blockers and the implications for drug design. Journal of Molecular Graphics and Modelling. 2023;120: 108405. </w:t>
      </w:r>
    </w:p>
    <w:p w14:paraId="1A8EDA72" w14:textId="77777777" w:rsidR="00BF33D9" w:rsidRPr="00143AA7" w:rsidRDefault="00BF33D9" w:rsidP="00062BF3">
      <w:pPr>
        <w:pStyle w:val="ListParagraph"/>
        <w:numPr>
          <w:ilvl w:val="0"/>
          <w:numId w:val="1"/>
        </w:numPr>
        <w:spacing w:line="360" w:lineRule="auto"/>
        <w:jc w:val="both"/>
        <w:rPr>
          <w:rFonts w:ascii="Times New Roman" w:hAnsi="Times New Roman" w:cs="Times New Roman"/>
          <w:sz w:val="24"/>
          <w:szCs w:val="24"/>
        </w:rPr>
      </w:pPr>
      <w:r w:rsidRPr="00143AA7">
        <w:rPr>
          <w:rFonts w:ascii="Times New Roman" w:hAnsi="Times New Roman" w:cs="Times New Roman"/>
          <w:sz w:val="24"/>
          <w:szCs w:val="24"/>
        </w:rPr>
        <w:t xml:space="preserve">Ajao, F. O., Ehigie, A. F., </w:t>
      </w:r>
      <w:proofErr w:type="spellStart"/>
      <w:r w:rsidRPr="00143AA7">
        <w:rPr>
          <w:rFonts w:ascii="Times New Roman" w:hAnsi="Times New Roman" w:cs="Times New Roman"/>
          <w:sz w:val="24"/>
          <w:szCs w:val="24"/>
        </w:rPr>
        <w:t>Odunitan</w:t>
      </w:r>
      <w:proofErr w:type="spellEnd"/>
      <w:r w:rsidRPr="00143AA7">
        <w:rPr>
          <w:rFonts w:ascii="Times New Roman" w:hAnsi="Times New Roman" w:cs="Times New Roman"/>
          <w:sz w:val="24"/>
          <w:szCs w:val="24"/>
        </w:rPr>
        <w:t xml:space="preserve">, T. T., Atanda, O. E., Ayoola, P. B., and Olaniyan, L. W. (2024). Computational exploration of </w:t>
      </w:r>
      <w:proofErr w:type="spellStart"/>
      <w:r w:rsidRPr="00143AA7">
        <w:rPr>
          <w:rFonts w:ascii="Times New Roman" w:hAnsi="Times New Roman" w:cs="Times New Roman"/>
          <w:i/>
          <w:sz w:val="24"/>
          <w:szCs w:val="24"/>
        </w:rPr>
        <w:t>Psidii</w:t>
      </w:r>
      <w:proofErr w:type="spellEnd"/>
      <w:r w:rsidRPr="00143AA7">
        <w:rPr>
          <w:rFonts w:ascii="Times New Roman" w:hAnsi="Times New Roman" w:cs="Times New Roman"/>
          <w:i/>
          <w:sz w:val="24"/>
          <w:szCs w:val="24"/>
        </w:rPr>
        <w:t xml:space="preserve"> </w:t>
      </w:r>
      <w:proofErr w:type="spellStart"/>
      <w:r w:rsidRPr="00143AA7">
        <w:rPr>
          <w:rFonts w:ascii="Times New Roman" w:hAnsi="Times New Roman" w:cs="Times New Roman"/>
          <w:i/>
          <w:sz w:val="24"/>
          <w:szCs w:val="24"/>
        </w:rPr>
        <w:t>guajavae</w:t>
      </w:r>
      <w:proofErr w:type="spellEnd"/>
      <w:r w:rsidRPr="00143AA7">
        <w:rPr>
          <w:rFonts w:ascii="Times New Roman" w:hAnsi="Times New Roman" w:cs="Times New Roman"/>
          <w:i/>
          <w:sz w:val="24"/>
          <w:szCs w:val="24"/>
        </w:rPr>
        <w:t xml:space="preserve"> folium</w:t>
      </w:r>
      <w:r w:rsidRPr="00143AA7">
        <w:rPr>
          <w:rFonts w:ascii="Times New Roman" w:hAnsi="Times New Roman" w:cs="Times New Roman"/>
          <w:sz w:val="24"/>
          <w:szCs w:val="24"/>
        </w:rPr>
        <w:t xml:space="preserve"> bioactive compounds as novel DPP-IV inhibitors for type 2 diabetes mellitus intervention. European Journal of Pharmaceutical and Medical Research. ISSN: 2394-3211</w:t>
      </w:r>
    </w:p>
    <w:p w14:paraId="755F109E" w14:textId="77777777" w:rsidR="00BF33D9" w:rsidRPr="00F41152" w:rsidRDefault="00BF33D9" w:rsidP="00F41152">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41152">
        <w:rPr>
          <w:rFonts w:ascii="Times New Roman" w:hAnsi="Times New Roman" w:cs="Times New Roman"/>
          <w:sz w:val="24"/>
          <w:szCs w:val="24"/>
          <w:shd w:val="clear" w:color="auto" w:fill="FFFFFF"/>
        </w:rPr>
        <w:t>Alharbi, B. F., and Ahmed, M. A. (2026). Malaria in the 21st Century: Global Disease Burden, Epidemiological Insights, and Strategic Control Approaches. </w:t>
      </w:r>
      <w:r w:rsidRPr="00F41152">
        <w:rPr>
          <w:rFonts w:ascii="Times New Roman" w:hAnsi="Times New Roman" w:cs="Times New Roman"/>
          <w:i/>
          <w:iCs/>
          <w:sz w:val="24"/>
          <w:szCs w:val="24"/>
          <w:shd w:val="clear" w:color="auto" w:fill="FFFFFF"/>
        </w:rPr>
        <w:t>Biology</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15</w:t>
      </w:r>
      <w:r w:rsidRPr="00F41152">
        <w:rPr>
          <w:rFonts w:ascii="Times New Roman" w:hAnsi="Times New Roman" w:cs="Times New Roman"/>
          <w:sz w:val="24"/>
          <w:szCs w:val="24"/>
          <w:shd w:val="clear" w:color="auto" w:fill="FFFFFF"/>
        </w:rPr>
        <w:t>(7), 575.</w:t>
      </w:r>
    </w:p>
    <w:p w14:paraId="5B0D68FE" w14:textId="77777777" w:rsidR="00BF33D9" w:rsidRPr="00F41152" w:rsidRDefault="00BF33D9" w:rsidP="00F41152">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41152">
        <w:rPr>
          <w:rFonts w:ascii="Times New Roman" w:eastAsia="Times New Roman" w:hAnsi="Times New Roman" w:cs="Times New Roman"/>
          <w:sz w:val="24"/>
          <w:szCs w:val="24"/>
        </w:rPr>
        <w:t>Aslam, S., Jabeen, T., Ahmad, M., and AL-</w:t>
      </w:r>
      <w:proofErr w:type="spellStart"/>
      <w:r w:rsidRPr="00F41152">
        <w:rPr>
          <w:rFonts w:ascii="Times New Roman" w:eastAsia="Times New Roman" w:hAnsi="Times New Roman" w:cs="Times New Roman"/>
          <w:sz w:val="24"/>
          <w:szCs w:val="24"/>
        </w:rPr>
        <w:t>Huqail</w:t>
      </w:r>
      <w:proofErr w:type="spellEnd"/>
      <w:r w:rsidRPr="00F41152">
        <w:rPr>
          <w:rFonts w:ascii="Times New Roman" w:eastAsia="Times New Roman" w:hAnsi="Times New Roman" w:cs="Times New Roman"/>
          <w:sz w:val="24"/>
          <w:szCs w:val="24"/>
        </w:rPr>
        <w:t>, A. A. (2023). Cinchona. In Essentials of medicinal and aromatic crops (pp. 221-248). Cham: Springer International Publishing.</w:t>
      </w:r>
    </w:p>
    <w:p w14:paraId="2C81D22F"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 xml:space="preserve">Atanda, O. E., </w:t>
      </w:r>
      <w:proofErr w:type="spellStart"/>
      <w:r w:rsidRPr="00F41152">
        <w:rPr>
          <w:rFonts w:ascii="Times New Roman" w:hAnsi="Times New Roman" w:cs="Times New Roman"/>
          <w:sz w:val="24"/>
          <w:szCs w:val="24"/>
          <w:shd w:val="clear" w:color="auto" w:fill="FFFFFF"/>
        </w:rPr>
        <w:t>Ehigie</w:t>
      </w:r>
      <w:proofErr w:type="spellEnd"/>
      <w:r w:rsidRPr="00F41152">
        <w:rPr>
          <w:rFonts w:ascii="Times New Roman" w:hAnsi="Times New Roman" w:cs="Times New Roman"/>
          <w:sz w:val="24"/>
          <w:szCs w:val="24"/>
          <w:shd w:val="clear" w:color="auto" w:fill="FFFFFF"/>
        </w:rPr>
        <w:t xml:space="preserve">, A. F., Adisa, T. A., Olaniyan, L. W. B., </w:t>
      </w:r>
      <w:proofErr w:type="spellStart"/>
      <w:r w:rsidRPr="00F41152">
        <w:rPr>
          <w:rFonts w:ascii="Times New Roman" w:hAnsi="Times New Roman" w:cs="Times New Roman"/>
          <w:sz w:val="24"/>
          <w:szCs w:val="24"/>
          <w:shd w:val="clear" w:color="auto" w:fill="FFFFFF"/>
        </w:rPr>
        <w:t>Odunitan</w:t>
      </w:r>
      <w:proofErr w:type="spellEnd"/>
      <w:r w:rsidRPr="00F41152">
        <w:rPr>
          <w:rFonts w:ascii="Times New Roman" w:hAnsi="Times New Roman" w:cs="Times New Roman"/>
          <w:sz w:val="24"/>
          <w:szCs w:val="24"/>
          <w:shd w:val="clear" w:color="auto" w:fill="FFFFFF"/>
        </w:rPr>
        <w:t xml:space="preserve">, T. T., </w:t>
      </w:r>
      <w:proofErr w:type="spellStart"/>
      <w:r w:rsidRPr="00F41152">
        <w:rPr>
          <w:rFonts w:ascii="Times New Roman" w:hAnsi="Times New Roman" w:cs="Times New Roman"/>
          <w:sz w:val="24"/>
          <w:szCs w:val="24"/>
          <w:shd w:val="clear" w:color="auto" w:fill="FFFFFF"/>
        </w:rPr>
        <w:t>Fadare</w:t>
      </w:r>
      <w:proofErr w:type="spellEnd"/>
      <w:r w:rsidRPr="00F41152">
        <w:rPr>
          <w:rFonts w:ascii="Times New Roman" w:hAnsi="Times New Roman" w:cs="Times New Roman"/>
          <w:sz w:val="24"/>
          <w:szCs w:val="24"/>
          <w:shd w:val="clear" w:color="auto" w:fill="FFFFFF"/>
        </w:rPr>
        <w:t xml:space="preserve">, O. A., and Adesina, A. O. (2025). Computational Evaluation of Some Schiff-Bases of </w:t>
      </w:r>
      <w:proofErr w:type="spellStart"/>
      <w:r w:rsidRPr="00F41152">
        <w:rPr>
          <w:rFonts w:ascii="Times New Roman" w:hAnsi="Times New Roman" w:cs="Times New Roman"/>
          <w:sz w:val="24"/>
          <w:szCs w:val="24"/>
          <w:shd w:val="clear" w:color="auto" w:fill="FFFFFF"/>
        </w:rPr>
        <w:t>Phenylisocytosine</w:t>
      </w:r>
      <w:proofErr w:type="spellEnd"/>
      <w:r w:rsidRPr="00F41152">
        <w:rPr>
          <w:rFonts w:ascii="Times New Roman" w:hAnsi="Times New Roman" w:cs="Times New Roman"/>
          <w:sz w:val="24"/>
          <w:szCs w:val="24"/>
          <w:shd w:val="clear" w:color="auto" w:fill="FFFFFF"/>
        </w:rPr>
        <w:t xml:space="preserve"> as Potent Inhibitors of Plasmodium falciparum Transketolase in Anti-Malarial Drug Discovery. </w:t>
      </w:r>
      <w:r w:rsidRPr="00F41152">
        <w:rPr>
          <w:rFonts w:ascii="Times New Roman" w:hAnsi="Times New Roman" w:cs="Times New Roman"/>
          <w:i/>
          <w:iCs/>
          <w:sz w:val="24"/>
          <w:szCs w:val="24"/>
          <w:shd w:val="clear" w:color="auto" w:fill="FFFFFF"/>
        </w:rPr>
        <w:t>International Journal of Biochemistry Research and Review</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34</w:t>
      </w:r>
      <w:r w:rsidRPr="00F41152">
        <w:rPr>
          <w:rFonts w:ascii="Times New Roman" w:hAnsi="Times New Roman" w:cs="Times New Roman"/>
          <w:sz w:val="24"/>
          <w:szCs w:val="24"/>
          <w:shd w:val="clear" w:color="auto" w:fill="FFFFFF"/>
        </w:rPr>
        <w:t>(4), 280-301.</w:t>
      </w:r>
    </w:p>
    <w:p w14:paraId="0B691CDC"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rPr>
      </w:pPr>
      <w:r w:rsidRPr="00F41152">
        <w:rPr>
          <w:rFonts w:ascii="Times New Roman" w:hAnsi="Times New Roman" w:cs="Times New Roman"/>
          <w:sz w:val="24"/>
          <w:szCs w:val="24"/>
        </w:rPr>
        <w:t xml:space="preserve">Atanda, O. E., Olaniyan, L. W. B., </w:t>
      </w:r>
      <w:proofErr w:type="spellStart"/>
      <w:r w:rsidRPr="00F41152">
        <w:rPr>
          <w:rFonts w:ascii="Times New Roman" w:hAnsi="Times New Roman" w:cs="Times New Roman"/>
          <w:sz w:val="24"/>
          <w:szCs w:val="24"/>
        </w:rPr>
        <w:t>Fadare</w:t>
      </w:r>
      <w:proofErr w:type="spellEnd"/>
      <w:r w:rsidRPr="00F41152">
        <w:rPr>
          <w:rFonts w:ascii="Times New Roman" w:hAnsi="Times New Roman" w:cs="Times New Roman"/>
          <w:sz w:val="24"/>
          <w:szCs w:val="24"/>
        </w:rPr>
        <w:t xml:space="preserve">, O. A., </w:t>
      </w:r>
      <w:proofErr w:type="spellStart"/>
      <w:r w:rsidRPr="00F41152">
        <w:rPr>
          <w:rFonts w:ascii="Times New Roman" w:hAnsi="Times New Roman" w:cs="Times New Roman"/>
          <w:sz w:val="24"/>
          <w:szCs w:val="24"/>
        </w:rPr>
        <w:t>Ehigie</w:t>
      </w:r>
      <w:proofErr w:type="spellEnd"/>
      <w:r w:rsidRPr="00F41152">
        <w:rPr>
          <w:rFonts w:ascii="Times New Roman" w:hAnsi="Times New Roman" w:cs="Times New Roman"/>
          <w:sz w:val="24"/>
          <w:szCs w:val="24"/>
        </w:rPr>
        <w:t xml:space="preserve">, A. F., Adisa, T. A., </w:t>
      </w:r>
      <w:proofErr w:type="spellStart"/>
      <w:r w:rsidRPr="00F41152">
        <w:rPr>
          <w:rFonts w:ascii="Times New Roman" w:hAnsi="Times New Roman" w:cs="Times New Roman"/>
          <w:sz w:val="24"/>
          <w:szCs w:val="24"/>
        </w:rPr>
        <w:t>Odunitan</w:t>
      </w:r>
      <w:proofErr w:type="spellEnd"/>
      <w:r w:rsidRPr="00F41152">
        <w:rPr>
          <w:rFonts w:ascii="Times New Roman" w:hAnsi="Times New Roman" w:cs="Times New Roman"/>
          <w:sz w:val="24"/>
          <w:szCs w:val="24"/>
        </w:rPr>
        <w:t xml:space="preserve">, T. T., Alabi, O. T., </w:t>
      </w:r>
      <w:proofErr w:type="spellStart"/>
      <w:r w:rsidRPr="00F41152">
        <w:rPr>
          <w:rFonts w:ascii="Times New Roman" w:hAnsi="Times New Roman" w:cs="Times New Roman"/>
          <w:sz w:val="24"/>
          <w:szCs w:val="24"/>
        </w:rPr>
        <w:t>Omonijo</w:t>
      </w:r>
      <w:proofErr w:type="spellEnd"/>
      <w:r w:rsidRPr="00F41152">
        <w:rPr>
          <w:rFonts w:ascii="Times New Roman" w:hAnsi="Times New Roman" w:cs="Times New Roman"/>
          <w:sz w:val="24"/>
          <w:szCs w:val="24"/>
        </w:rPr>
        <w:t xml:space="preserve">, B. A., </w:t>
      </w:r>
      <w:proofErr w:type="spellStart"/>
      <w:r w:rsidRPr="00F41152">
        <w:rPr>
          <w:rFonts w:ascii="Times New Roman" w:hAnsi="Times New Roman" w:cs="Times New Roman"/>
          <w:sz w:val="24"/>
          <w:szCs w:val="24"/>
        </w:rPr>
        <w:t>Aloba</w:t>
      </w:r>
      <w:proofErr w:type="spellEnd"/>
      <w:r w:rsidRPr="00F41152">
        <w:rPr>
          <w:rFonts w:ascii="Times New Roman" w:hAnsi="Times New Roman" w:cs="Times New Roman"/>
          <w:sz w:val="24"/>
          <w:szCs w:val="24"/>
        </w:rPr>
        <w:t xml:space="preserve">, G. O., and Ehigie, L. O. (2024). In-silico evaluation of </w:t>
      </w:r>
      <w:proofErr w:type="spellStart"/>
      <w:r w:rsidRPr="00F41152">
        <w:rPr>
          <w:rFonts w:ascii="Times New Roman" w:hAnsi="Times New Roman" w:cs="Times New Roman"/>
          <w:sz w:val="24"/>
          <w:szCs w:val="24"/>
        </w:rPr>
        <w:t>phenylisocytosine</w:t>
      </w:r>
      <w:proofErr w:type="spellEnd"/>
      <w:r w:rsidRPr="00F41152">
        <w:rPr>
          <w:rFonts w:ascii="Times New Roman" w:hAnsi="Times New Roman" w:cs="Times New Roman"/>
          <w:sz w:val="24"/>
          <w:szCs w:val="24"/>
        </w:rPr>
        <w:t xml:space="preserve"> and its analogs as potent inhibitors of Plasmodium falciparum transketolase: A strategic approach in anti-malarial drug discovery. International Journal of Biochemistry Research and Review, 33(6), 616–636. https://doi.org/10.9734/ijbcrr/2024/v33i694</w:t>
      </w:r>
    </w:p>
    <w:p w14:paraId="5A84D7D9" w14:textId="77777777" w:rsidR="00FC6307" w:rsidRPr="00EC1E42" w:rsidRDefault="00BF33D9" w:rsidP="00B53862">
      <w:pPr>
        <w:pStyle w:val="ListParagraph"/>
        <w:numPr>
          <w:ilvl w:val="0"/>
          <w:numId w:val="1"/>
        </w:numPr>
        <w:shd w:val="clear" w:color="auto" w:fill="FFFFFF"/>
        <w:spacing w:after="0" w:line="360" w:lineRule="auto"/>
        <w:jc w:val="both"/>
        <w:rPr>
          <w:rFonts w:ascii="Times New Roman" w:eastAsia="Times New Roman" w:hAnsi="Times New Roman" w:cs="Times New Roman"/>
          <w:sz w:val="24"/>
          <w:szCs w:val="24"/>
        </w:rPr>
      </w:pPr>
      <w:r w:rsidRPr="00FC6307">
        <w:rPr>
          <w:rFonts w:ascii="Times New Roman" w:hAnsi="Times New Roman" w:cs="Times New Roman"/>
          <w:sz w:val="24"/>
          <w:szCs w:val="24"/>
        </w:rPr>
        <w:lastRenderedPageBreak/>
        <w:t xml:space="preserve">Boateng R. A, </w:t>
      </w:r>
      <w:proofErr w:type="spellStart"/>
      <w:r w:rsidRPr="00FC6307">
        <w:rPr>
          <w:rFonts w:ascii="Times New Roman" w:hAnsi="Times New Roman" w:cs="Times New Roman"/>
          <w:sz w:val="24"/>
          <w:szCs w:val="24"/>
        </w:rPr>
        <w:t>Tastan</w:t>
      </w:r>
      <w:proofErr w:type="spellEnd"/>
      <w:r w:rsidRPr="00FC6307">
        <w:rPr>
          <w:rFonts w:ascii="Times New Roman" w:hAnsi="Times New Roman" w:cs="Times New Roman"/>
          <w:sz w:val="24"/>
          <w:szCs w:val="24"/>
        </w:rPr>
        <w:t xml:space="preserve"> B. Ö., </w:t>
      </w:r>
      <w:r w:rsidR="00C14B1D">
        <w:rPr>
          <w:rFonts w:ascii="Times New Roman" w:hAnsi="Times New Roman" w:cs="Times New Roman"/>
          <w:sz w:val="24"/>
          <w:szCs w:val="24"/>
        </w:rPr>
        <w:t xml:space="preserve">and </w:t>
      </w:r>
      <w:r w:rsidRPr="00FC6307">
        <w:rPr>
          <w:rFonts w:ascii="Times New Roman" w:hAnsi="Times New Roman" w:cs="Times New Roman"/>
          <w:sz w:val="24"/>
          <w:szCs w:val="24"/>
        </w:rPr>
        <w:t>Musyoka T.M. (2020)</w:t>
      </w:r>
      <w:r w:rsidR="004516A6">
        <w:rPr>
          <w:rFonts w:ascii="Times New Roman" w:hAnsi="Times New Roman" w:cs="Times New Roman"/>
          <w:sz w:val="24"/>
          <w:szCs w:val="24"/>
        </w:rPr>
        <w:t>.</w:t>
      </w:r>
      <w:r w:rsidRPr="00FC6307">
        <w:rPr>
          <w:rFonts w:ascii="Times New Roman" w:hAnsi="Times New Roman" w:cs="Times New Roman"/>
          <w:sz w:val="24"/>
          <w:szCs w:val="24"/>
        </w:rPr>
        <w:t xml:space="preserve"> </w:t>
      </w:r>
      <w:proofErr w:type="spellStart"/>
      <w:r w:rsidRPr="00FC6307">
        <w:rPr>
          <w:rFonts w:ascii="Times New Roman" w:hAnsi="Times New Roman" w:cs="Times New Roman"/>
          <w:sz w:val="24"/>
          <w:szCs w:val="24"/>
        </w:rPr>
        <w:t>Characterisation</w:t>
      </w:r>
      <w:proofErr w:type="spellEnd"/>
      <w:r w:rsidRPr="00FC6307">
        <w:rPr>
          <w:rFonts w:ascii="Times New Roman" w:hAnsi="Times New Roman" w:cs="Times New Roman"/>
          <w:sz w:val="24"/>
          <w:szCs w:val="24"/>
        </w:rPr>
        <w:t xml:space="preserve"> of plasmodial transketolases and identification of potential inhibitors: An In-silico study. Malaria journal. </w:t>
      </w:r>
      <w:proofErr w:type="gramStart"/>
      <w:r w:rsidRPr="00FC6307">
        <w:rPr>
          <w:rFonts w:ascii="Times New Roman" w:hAnsi="Times New Roman" w:cs="Times New Roman"/>
          <w:sz w:val="24"/>
          <w:szCs w:val="24"/>
        </w:rPr>
        <w:t>2020;19:1</w:t>
      </w:r>
      <w:proofErr w:type="gramEnd"/>
      <w:r w:rsidRPr="00FC6307">
        <w:rPr>
          <w:rFonts w:ascii="Times New Roman" w:hAnsi="Times New Roman" w:cs="Times New Roman"/>
          <w:sz w:val="24"/>
          <w:szCs w:val="24"/>
        </w:rPr>
        <w:t xml:space="preserve">-19. </w:t>
      </w:r>
    </w:p>
    <w:p w14:paraId="355974F4" w14:textId="77777777" w:rsidR="00EC1E42" w:rsidRPr="00EC1E42" w:rsidRDefault="00EC1E42" w:rsidP="00B53862">
      <w:pPr>
        <w:pStyle w:val="ListParagraph"/>
        <w:numPr>
          <w:ilvl w:val="0"/>
          <w:numId w:val="1"/>
        </w:numPr>
        <w:shd w:val="clear" w:color="auto" w:fill="FFFFFF"/>
        <w:spacing w:after="0" w:line="360" w:lineRule="auto"/>
        <w:jc w:val="both"/>
        <w:rPr>
          <w:rFonts w:ascii="Times New Roman" w:eastAsia="Times New Roman" w:hAnsi="Times New Roman" w:cs="Times New Roman"/>
          <w:sz w:val="24"/>
          <w:szCs w:val="24"/>
        </w:rPr>
      </w:pPr>
      <w:r w:rsidRPr="00EC1E42">
        <w:rPr>
          <w:rFonts w:ascii="Times New Roman" w:hAnsi="Times New Roman" w:cs="Times New Roman"/>
          <w:sz w:val="24"/>
          <w:szCs w:val="24"/>
        </w:rPr>
        <w:t xml:space="preserve">Cino, E. A., Choy, W. Y., </w:t>
      </w:r>
      <w:r>
        <w:rPr>
          <w:rFonts w:ascii="Times New Roman" w:hAnsi="Times New Roman" w:cs="Times New Roman"/>
          <w:sz w:val="24"/>
          <w:szCs w:val="24"/>
        </w:rPr>
        <w:t>and</w:t>
      </w:r>
      <w:r w:rsidRPr="00EC1E42">
        <w:rPr>
          <w:rFonts w:ascii="Times New Roman" w:hAnsi="Times New Roman" w:cs="Times New Roman"/>
          <w:sz w:val="24"/>
          <w:szCs w:val="24"/>
        </w:rPr>
        <w:t xml:space="preserve"> Karttunen, M. (2016). Characterization of the free state ensemble of the </w:t>
      </w:r>
      <w:proofErr w:type="spellStart"/>
      <w:r w:rsidRPr="00EC1E42">
        <w:rPr>
          <w:rFonts w:ascii="Times New Roman" w:hAnsi="Times New Roman" w:cs="Times New Roman"/>
          <w:sz w:val="24"/>
          <w:szCs w:val="24"/>
        </w:rPr>
        <w:t>CoRNR</w:t>
      </w:r>
      <w:proofErr w:type="spellEnd"/>
      <w:r w:rsidRPr="00EC1E42">
        <w:rPr>
          <w:rFonts w:ascii="Times New Roman" w:hAnsi="Times New Roman" w:cs="Times New Roman"/>
          <w:sz w:val="24"/>
          <w:szCs w:val="24"/>
        </w:rPr>
        <w:t xml:space="preserve"> box motif by molecular dynamics simulations. The Journal of Physical Chemistry B, 120(6), 1060-1068.</w:t>
      </w:r>
    </w:p>
    <w:p w14:paraId="43E8754E" w14:textId="77777777" w:rsidR="00FC6307" w:rsidRPr="00FC6307" w:rsidRDefault="00FC6307" w:rsidP="00B53862">
      <w:pPr>
        <w:pStyle w:val="ListParagraph"/>
        <w:numPr>
          <w:ilvl w:val="0"/>
          <w:numId w:val="1"/>
        </w:numPr>
        <w:shd w:val="clear" w:color="auto" w:fill="FFFFFF"/>
        <w:spacing w:after="0" w:line="360" w:lineRule="auto"/>
        <w:jc w:val="both"/>
        <w:rPr>
          <w:rFonts w:ascii="Times New Roman" w:eastAsia="Times New Roman" w:hAnsi="Times New Roman" w:cs="Times New Roman"/>
          <w:sz w:val="24"/>
          <w:szCs w:val="24"/>
        </w:rPr>
      </w:pPr>
      <w:proofErr w:type="spellStart"/>
      <w:r w:rsidRPr="00FC6307">
        <w:rPr>
          <w:rFonts w:ascii="Times New Roman" w:hAnsi="Times New Roman" w:cs="Times New Roman"/>
          <w:sz w:val="24"/>
          <w:szCs w:val="24"/>
        </w:rPr>
        <w:t>Costliow</w:t>
      </w:r>
      <w:proofErr w:type="spellEnd"/>
      <w:r w:rsidRPr="00FC6307">
        <w:rPr>
          <w:rFonts w:ascii="Times New Roman" w:hAnsi="Times New Roman" w:cs="Times New Roman"/>
          <w:sz w:val="24"/>
          <w:szCs w:val="24"/>
        </w:rPr>
        <w:t xml:space="preserve"> ZA (2018). Identification and characterization of thiamine biosynthesis, transport, and regulation elements among </w:t>
      </w:r>
      <w:proofErr w:type="spellStart"/>
      <w:r w:rsidRPr="00FC6307">
        <w:rPr>
          <w:rFonts w:ascii="Times New Roman" w:hAnsi="Times New Roman" w:cs="Times New Roman"/>
          <w:sz w:val="24"/>
          <w:szCs w:val="24"/>
        </w:rPr>
        <w:t>bacteroides</w:t>
      </w:r>
      <w:proofErr w:type="spellEnd"/>
      <w:r w:rsidRPr="00FC6307">
        <w:rPr>
          <w:rFonts w:ascii="Times New Roman" w:hAnsi="Times New Roman" w:cs="Times New Roman"/>
          <w:sz w:val="24"/>
          <w:szCs w:val="24"/>
        </w:rPr>
        <w:t xml:space="preserve"> species (Doctoral dissertation, University of Illinois at Urbana Champaign)</w:t>
      </w:r>
    </w:p>
    <w:p w14:paraId="47E901CF"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proofErr w:type="spellStart"/>
      <w:r w:rsidRPr="00F41152">
        <w:rPr>
          <w:rFonts w:ascii="Times New Roman" w:hAnsi="Times New Roman" w:cs="Times New Roman"/>
          <w:sz w:val="24"/>
          <w:szCs w:val="24"/>
        </w:rPr>
        <w:t>Ehigie</w:t>
      </w:r>
      <w:proofErr w:type="spellEnd"/>
      <w:r w:rsidRPr="00F41152">
        <w:rPr>
          <w:rFonts w:ascii="Times New Roman" w:hAnsi="Times New Roman" w:cs="Times New Roman"/>
          <w:sz w:val="24"/>
          <w:szCs w:val="24"/>
        </w:rPr>
        <w:t xml:space="preserve"> L. O., </w:t>
      </w:r>
      <w:proofErr w:type="spellStart"/>
      <w:r w:rsidRPr="00F41152">
        <w:rPr>
          <w:rFonts w:ascii="Times New Roman" w:hAnsi="Times New Roman" w:cs="Times New Roman"/>
          <w:sz w:val="24"/>
          <w:szCs w:val="24"/>
        </w:rPr>
        <w:t>Ojeniyi</w:t>
      </w:r>
      <w:proofErr w:type="spellEnd"/>
      <w:r w:rsidRPr="00F41152">
        <w:rPr>
          <w:rFonts w:ascii="Times New Roman" w:hAnsi="Times New Roman" w:cs="Times New Roman"/>
          <w:sz w:val="24"/>
          <w:szCs w:val="24"/>
        </w:rPr>
        <w:t xml:space="preserve"> F. D., Rashidat A., </w:t>
      </w:r>
      <w:proofErr w:type="spellStart"/>
      <w:r w:rsidRPr="00F41152">
        <w:rPr>
          <w:rFonts w:ascii="Times New Roman" w:hAnsi="Times New Roman" w:cs="Times New Roman"/>
          <w:sz w:val="24"/>
          <w:szCs w:val="24"/>
        </w:rPr>
        <w:t>Igbeneghu</w:t>
      </w:r>
      <w:proofErr w:type="spellEnd"/>
      <w:r w:rsidRPr="00F41152">
        <w:rPr>
          <w:rFonts w:ascii="Times New Roman" w:hAnsi="Times New Roman" w:cs="Times New Roman"/>
          <w:sz w:val="24"/>
          <w:szCs w:val="24"/>
        </w:rPr>
        <w:t xml:space="preserve"> C., Sulaimon N., and </w:t>
      </w:r>
      <w:proofErr w:type="spellStart"/>
      <w:r w:rsidRPr="00F41152">
        <w:rPr>
          <w:rFonts w:ascii="Times New Roman" w:hAnsi="Times New Roman" w:cs="Times New Roman"/>
          <w:sz w:val="24"/>
          <w:szCs w:val="24"/>
        </w:rPr>
        <w:t>Ehigie</w:t>
      </w:r>
      <w:proofErr w:type="spellEnd"/>
      <w:r w:rsidRPr="00F41152">
        <w:rPr>
          <w:rFonts w:ascii="Times New Roman" w:hAnsi="Times New Roman" w:cs="Times New Roman"/>
          <w:sz w:val="24"/>
          <w:szCs w:val="24"/>
        </w:rPr>
        <w:t xml:space="preserve"> A. F (2022). Molecular Docking and Molecular Dynamics Simulation to Investigate Protein-Ligand Binding of Potential Drug Candidates from Vernonia Amygdalina Against </w:t>
      </w:r>
      <w:proofErr w:type="spellStart"/>
      <w:r w:rsidRPr="00F41152">
        <w:rPr>
          <w:rFonts w:ascii="Times New Roman" w:hAnsi="Times New Roman" w:cs="Times New Roman"/>
          <w:sz w:val="24"/>
          <w:szCs w:val="24"/>
        </w:rPr>
        <w:t>Wilms’tumor</w:t>
      </w:r>
      <w:proofErr w:type="spellEnd"/>
      <w:r w:rsidRPr="00F41152">
        <w:rPr>
          <w:rFonts w:ascii="Times New Roman" w:hAnsi="Times New Roman" w:cs="Times New Roman"/>
          <w:sz w:val="24"/>
          <w:szCs w:val="24"/>
        </w:rPr>
        <w:t xml:space="preserve"> 1 (Wt1) Protein. European Journal of Biomedical; 9(8):499-514. </w:t>
      </w:r>
      <w:proofErr w:type="spellStart"/>
      <w:r w:rsidRPr="00F41152">
        <w:rPr>
          <w:rFonts w:ascii="Times New Roman" w:hAnsi="Times New Roman" w:cs="Times New Roman"/>
          <w:sz w:val="24"/>
          <w:szCs w:val="24"/>
        </w:rPr>
        <w:t>Issn</w:t>
      </w:r>
      <w:proofErr w:type="spellEnd"/>
      <w:r w:rsidRPr="00F41152">
        <w:rPr>
          <w:rFonts w:ascii="Times New Roman" w:hAnsi="Times New Roman" w:cs="Times New Roman"/>
          <w:sz w:val="24"/>
          <w:szCs w:val="24"/>
        </w:rPr>
        <w:t xml:space="preserve"> 2349-8870</w:t>
      </w:r>
    </w:p>
    <w:p w14:paraId="50F73F2F"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proofErr w:type="spellStart"/>
      <w:r w:rsidRPr="00F41152">
        <w:rPr>
          <w:rFonts w:ascii="Times New Roman" w:hAnsi="Times New Roman" w:cs="Times New Roman"/>
          <w:sz w:val="24"/>
          <w:szCs w:val="24"/>
          <w:shd w:val="clear" w:color="auto" w:fill="FFFFFF"/>
        </w:rPr>
        <w:t>Elebiju</w:t>
      </w:r>
      <w:proofErr w:type="spellEnd"/>
      <w:r w:rsidRPr="00F41152">
        <w:rPr>
          <w:rFonts w:ascii="Times New Roman" w:hAnsi="Times New Roman" w:cs="Times New Roman"/>
          <w:sz w:val="24"/>
          <w:szCs w:val="24"/>
          <w:shd w:val="clear" w:color="auto" w:fill="FFFFFF"/>
        </w:rPr>
        <w:t xml:space="preserve">, O. F., Ajani, O. O., Oduselu, G. O., </w:t>
      </w:r>
      <w:proofErr w:type="spellStart"/>
      <w:r w:rsidRPr="00F41152">
        <w:rPr>
          <w:rFonts w:ascii="Times New Roman" w:hAnsi="Times New Roman" w:cs="Times New Roman"/>
          <w:sz w:val="24"/>
          <w:szCs w:val="24"/>
          <w:shd w:val="clear" w:color="auto" w:fill="FFFFFF"/>
        </w:rPr>
        <w:t>Ogunnupebi</w:t>
      </w:r>
      <w:proofErr w:type="spellEnd"/>
      <w:r w:rsidRPr="00F41152">
        <w:rPr>
          <w:rFonts w:ascii="Times New Roman" w:hAnsi="Times New Roman" w:cs="Times New Roman"/>
          <w:sz w:val="24"/>
          <w:szCs w:val="24"/>
          <w:shd w:val="clear" w:color="auto" w:fill="FFFFFF"/>
        </w:rPr>
        <w:t>, T. A., and Adebiyi, E. (2023). Recent advances in functionalized quinoline scaffolds and hybrids—Exceptional pharmacophore in therapeutic medicine. </w:t>
      </w:r>
      <w:r w:rsidRPr="00F41152">
        <w:rPr>
          <w:rFonts w:ascii="Times New Roman" w:hAnsi="Times New Roman" w:cs="Times New Roman"/>
          <w:i/>
          <w:iCs/>
          <w:sz w:val="24"/>
          <w:szCs w:val="24"/>
          <w:shd w:val="clear" w:color="auto" w:fill="FFFFFF"/>
        </w:rPr>
        <w:t>Frontiers in Chemistry</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10</w:t>
      </w:r>
      <w:r w:rsidRPr="00F41152">
        <w:rPr>
          <w:rFonts w:ascii="Times New Roman" w:hAnsi="Times New Roman" w:cs="Times New Roman"/>
          <w:sz w:val="24"/>
          <w:szCs w:val="24"/>
          <w:shd w:val="clear" w:color="auto" w:fill="FFFFFF"/>
        </w:rPr>
        <w:t>, 1074331.</w:t>
      </w:r>
    </w:p>
    <w:p w14:paraId="383FD7E0" w14:textId="77777777" w:rsidR="00BF33D9"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proofErr w:type="spellStart"/>
      <w:r w:rsidRPr="00F41152">
        <w:rPr>
          <w:rFonts w:ascii="Times New Roman" w:hAnsi="Times New Roman" w:cs="Times New Roman"/>
          <w:sz w:val="24"/>
          <w:szCs w:val="24"/>
          <w:shd w:val="clear" w:color="auto" w:fill="FFFFFF"/>
        </w:rPr>
        <w:t>Fathoni</w:t>
      </w:r>
      <w:proofErr w:type="spellEnd"/>
      <w:r w:rsidRPr="00F41152">
        <w:rPr>
          <w:rFonts w:ascii="Times New Roman" w:hAnsi="Times New Roman" w:cs="Times New Roman"/>
          <w:sz w:val="24"/>
          <w:szCs w:val="24"/>
          <w:shd w:val="clear" w:color="auto" w:fill="FFFFFF"/>
        </w:rPr>
        <w:t xml:space="preserve">, I., Ho, T. C., Chan, A. H., Leeper, F. J., </w:t>
      </w:r>
      <w:proofErr w:type="spellStart"/>
      <w:r w:rsidRPr="00F41152">
        <w:rPr>
          <w:rFonts w:ascii="Times New Roman" w:hAnsi="Times New Roman" w:cs="Times New Roman"/>
          <w:sz w:val="24"/>
          <w:szCs w:val="24"/>
          <w:shd w:val="clear" w:color="auto" w:fill="FFFFFF"/>
        </w:rPr>
        <w:t>Matuschewski</w:t>
      </w:r>
      <w:proofErr w:type="spellEnd"/>
      <w:r w:rsidRPr="00F41152">
        <w:rPr>
          <w:rFonts w:ascii="Times New Roman" w:hAnsi="Times New Roman" w:cs="Times New Roman"/>
          <w:sz w:val="24"/>
          <w:szCs w:val="24"/>
          <w:shd w:val="clear" w:color="auto" w:fill="FFFFFF"/>
        </w:rPr>
        <w:t xml:space="preserve">, K., and Saliba, K. J. (2024). Identification and characterization of thiamine analogs with </w:t>
      </w:r>
      <w:proofErr w:type="spellStart"/>
      <w:r w:rsidRPr="00F41152">
        <w:rPr>
          <w:rFonts w:ascii="Times New Roman" w:hAnsi="Times New Roman" w:cs="Times New Roman"/>
          <w:sz w:val="24"/>
          <w:szCs w:val="24"/>
          <w:shd w:val="clear" w:color="auto" w:fill="FFFFFF"/>
        </w:rPr>
        <w:t>antiplasmodial</w:t>
      </w:r>
      <w:proofErr w:type="spellEnd"/>
      <w:r w:rsidRPr="00F41152">
        <w:rPr>
          <w:rFonts w:ascii="Times New Roman" w:hAnsi="Times New Roman" w:cs="Times New Roman"/>
          <w:sz w:val="24"/>
          <w:szCs w:val="24"/>
          <w:shd w:val="clear" w:color="auto" w:fill="FFFFFF"/>
        </w:rPr>
        <w:t xml:space="preserve"> activity. </w:t>
      </w:r>
      <w:r w:rsidRPr="00F41152">
        <w:rPr>
          <w:rFonts w:ascii="Times New Roman" w:hAnsi="Times New Roman" w:cs="Times New Roman"/>
          <w:i/>
          <w:iCs/>
          <w:sz w:val="24"/>
          <w:szCs w:val="24"/>
          <w:shd w:val="clear" w:color="auto" w:fill="FFFFFF"/>
        </w:rPr>
        <w:t>Antimicrobial Agents and Chemotherapy</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68</w:t>
      </w:r>
      <w:r w:rsidRPr="00F41152">
        <w:rPr>
          <w:rFonts w:ascii="Times New Roman" w:hAnsi="Times New Roman" w:cs="Times New Roman"/>
          <w:sz w:val="24"/>
          <w:szCs w:val="24"/>
          <w:shd w:val="clear" w:color="auto" w:fill="FFFFFF"/>
        </w:rPr>
        <w:t xml:space="preserve">(12), e01096-24. </w:t>
      </w:r>
    </w:p>
    <w:p w14:paraId="04497223" w14:textId="77777777" w:rsidR="00B42ED7" w:rsidRPr="00B42ED7" w:rsidRDefault="00B42ED7"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proofErr w:type="spellStart"/>
      <w:r w:rsidRPr="00B42ED7">
        <w:rPr>
          <w:rFonts w:ascii="Times New Roman" w:hAnsi="Times New Roman" w:cs="Times New Roman"/>
          <w:sz w:val="24"/>
          <w:szCs w:val="24"/>
        </w:rPr>
        <w:t>Fakuade</w:t>
      </w:r>
      <w:proofErr w:type="spellEnd"/>
      <w:r w:rsidRPr="00B42ED7">
        <w:rPr>
          <w:rFonts w:ascii="Times New Roman" w:hAnsi="Times New Roman" w:cs="Times New Roman"/>
          <w:sz w:val="24"/>
          <w:szCs w:val="24"/>
        </w:rPr>
        <w:t xml:space="preserve"> A.A., Adetunji I.H., Adesina A.O., Olabiyi E.A., Ojo O.V., </w:t>
      </w:r>
      <w:proofErr w:type="spellStart"/>
      <w:r w:rsidRPr="00B42ED7">
        <w:rPr>
          <w:rFonts w:ascii="Times New Roman" w:hAnsi="Times New Roman" w:cs="Times New Roman"/>
          <w:sz w:val="24"/>
          <w:szCs w:val="24"/>
        </w:rPr>
        <w:t>Muraina</w:t>
      </w:r>
      <w:proofErr w:type="spellEnd"/>
      <w:r w:rsidRPr="00B42ED7">
        <w:rPr>
          <w:rFonts w:ascii="Times New Roman" w:hAnsi="Times New Roman" w:cs="Times New Roman"/>
          <w:sz w:val="24"/>
          <w:szCs w:val="24"/>
        </w:rPr>
        <w:t xml:space="preserve"> R.O. (2026). Computational identification and validation of novel inhibitors targeting LLM Staphylococcus genes aureus for antimicrobial drug development. ChemClass Journal, 10(2), 50-63</w:t>
      </w:r>
    </w:p>
    <w:p w14:paraId="10AC6051" w14:textId="77777777" w:rsidR="00BF33D9"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Feng, L., Mo, G., Liu, Z., and Liu, Q. (2025). Global, regional, national burden, trends and health inequality of neglected tropical diseases and malaria from 1990 to 2021. </w:t>
      </w:r>
      <w:r w:rsidRPr="00F41152">
        <w:rPr>
          <w:rFonts w:ascii="Times New Roman" w:hAnsi="Times New Roman" w:cs="Times New Roman"/>
          <w:i/>
          <w:iCs/>
          <w:sz w:val="24"/>
          <w:szCs w:val="24"/>
          <w:shd w:val="clear" w:color="auto" w:fill="FFFFFF"/>
        </w:rPr>
        <w:t>BMC Infectious Diseases</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25</w:t>
      </w:r>
      <w:r w:rsidRPr="00F41152">
        <w:rPr>
          <w:rFonts w:ascii="Times New Roman" w:hAnsi="Times New Roman" w:cs="Times New Roman"/>
          <w:sz w:val="24"/>
          <w:szCs w:val="24"/>
          <w:shd w:val="clear" w:color="auto" w:fill="FFFFFF"/>
        </w:rPr>
        <w:t>(1), 1649.</w:t>
      </w:r>
    </w:p>
    <w:p w14:paraId="3FF7AE5C" w14:textId="77777777" w:rsidR="00143AA7" w:rsidRPr="00143AA7" w:rsidRDefault="00143AA7"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143AA7">
        <w:rPr>
          <w:rFonts w:ascii="Times New Roman" w:hAnsi="Times New Roman" w:cs="Times New Roman"/>
          <w:sz w:val="24"/>
          <w:szCs w:val="24"/>
        </w:rPr>
        <w:t>Guha, R.,</w:t>
      </w:r>
      <w:r>
        <w:rPr>
          <w:rFonts w:ascii="Times New Roman" w:hAnsi="Times New Roman" w:cs="Times New Roman"/>
          <w:sz w:val="24"/>
          <w:szCs w:val="24"/>
        </w:rPr>
        <w:t xml:space="preserve"> and</w:t>
      </w:r>
      <w:r w:rsidRPr="00143AA7">
        <w:rPr>
          <w:rFonts w:ascii="Times New Roman" w:hAnsi="Times New Roman" w:cs="Times New Roman"/>
          <w:sz w:val="24"/>
          <w:szCs w:val="24"/>
        </w:rPr>
        <w:t xml:space="preserve"> Bender, A. (Eds.). (2011). Computational approaches in cheminformatics and bioinformatics. John Wiley &amp; Sons.</w:t>
      </w:r>
    </w:p>
    <w:p w14:paraId="1BE8DC56"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proofErr w:type="spellStart"/>
      <w:r w:rsidRPr="00F41152">
        <w:rPr>
          <w:rFonts w:ascii="Times New Roman" w:hAnsi="Times New Roman" w:cs="Times New Roman"/>
          <w:sz w:val="24"/>
          <w:szCs w:val="24"/>
          <w:shd w:val="clear" w:color="auto" w:fill="FFFFFF"/>
        </w:rPr>
        <w:lastRenderedPageBreak/>
        <w:t>Hariyanti</w:t>
      </w:r>
      <w:proofErr w:type="spellEnd"/>
      <w:r w:rsidRPr="00F41152">
        <w:rPr>
          <w:rFonts w:ascii="Times New Roman" w:hAnsi="Times New Roman" w:cs="Times New Roman"/>
          <w:sz w:val="24"/>
          <w:szCs w:val="24"/>
          <w:shd w:val="clear" w:color="auto" w:fill="FFFFFF"/>
        </w:rPr>
        <w:t xml:space="preserve">, H., </w:t>
      </w:r>
      <w:proofErr w:type="spellStart"/>
      <w:r w:rsidRPr="00F41152">
        <w:rPr>
          <w:rFonts w:ascii="Times New Roman" w:hAnsi="Times New Roman" w:cs="Times New Roman"/>
          <w:sz w:val="24"/>
          <w:szCs w:val="24"/>
          <w:shd w:val="clear" w:color="auto" w:fill="FFFFFF"/>
        </w:rPr>
        <w:t>Rachmat</w:t>
      </w:r>
      <w:proofErr w:type="spellEnd"/>
      <w:r w:rsidRPr="00F41152">
        <w:rPr>
          <w:rFonts w:ascii="Times New Roman" w:hAnsi="Times New Roman" w:cs="Times New Roman"/>
          <w:sz w:val="24"/>
          <w:szCs w:val="24"/>
          <w:shd w:val="clear" w:color="auto" w:fill="FFFFFF"/>
        </w:rPr>
        <w:t xml:space="preserve"> M., </w:t>
      </w:r>
      <w:proofErr w:type="spellStart"/>
      <w:r w:rsidRPr="00F41152">
        <w:rPr>
          <w:rFonts w:ascii="Times New Roman" w:hAnsi="Times New Roman" w:cs="Times New Roman"/>
          <w:sz w:val="24"/>
          <w:szCs w:val="24"/>
          <w:shd w:val="clear" w:color="auto" w:fill="FFFFFF"/>
        </w:rPr>
        <w:t>Yeyet</w:t>
      </w:r>
      <w:proofErr w:type="spellEnd"/>
      <w:r w:rsidRPr="00F41152">
        <w:rPr>
          <w:rFonts w:ascii="Times New Roman" w:hAnsi="Times New Roman" w:cs="Times New Roman"/>
          <w:sz w:val="24"/>
          <w:szCs w:val="24"/>
          <w:shd w:val="clear" w:color="auto" w:fill="FFFFFF"/>
        </w:rPr>
        <w:t xml:space="preserve"> C. S., and Neng F. K. (2022) "A review: Pharmacological activities of quinoline alkaloid of Cinchona sp." </w:t>
      </w:r>
      <w:proofErr w:type="spellStart"/>
      <w:r w:rsidRPr="00F41152">
        <w:rPr>
          <w:rFonts w:ascii="Times New Roman" w:hAnsi="Times New Roman" w:cs="Times New Roman"/>
          <w:i/>
          <w:iCs/>
          <w:sz w:val="24"/>
          <w:szCs w:val="24"/>
          <w:shd w:val="clear" w:color="auto" w:fill="FFFFFF"/>
        </w:rPr>
        <w:t>Biointerface</w:t>
      </w:r>
      <w:proofErr w:type="spellEnd"/>
      <w:r w:rsidRPr="00F41152">
        <w:rPr>
          <w:rFonts w:ascii="Times New Roman" w:hAnsi="Times New Roman" w:cs="Times New Roman"/>
          <w:i/>
          <w:iCs/>
          <w:sz w:val="24"/>
          <w:szCs w:val="24"/>
          <w:shd w:val="clear" w:color="auto" w:fill="FFFFFF"/>
        </w:rPr>
        <w:t xml:space="preserve"> Research in Applied Chemistry</w:t>
      </w:r>
      <w:r w:rsidRPr="00F41152">
        <w:rPr>
          <w:rFonts w:ascii="Times New Roman" w:hAnsi="Times New Roman" w:cs="Times New Roman"/>
          <w:sz w:val="24"/>
          <w:szCs w:val="24"/>
          <w:shd w:val="clear" w:color="auto" w:fill="FFFFFF"/>
        </w:rPr>
        <w:t> 13, no. 4 (2022): 3.</w:t>
      </w:r>
    </w:p>
    <w:p w14:paraId="4F598BB5"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 xml:space="preserve">Ishola, A. A., </w:t>
      </w:r>
      <w:proofErr w:type="spellStart"/>
      <w:r w:rsidRPr="00F41152">
        <w:rPr>
          <w:rFonts w:ascii="Times New Roman" w:hAnsi="Times New Roman" w:cs="Times New Roman"/>
          <w:sz w:val="24"/>
          <w:szCs w:val="24"/>
          <w:shd w:val="clear" w:color="auto" w:fill="FFFFFF"/>
        </w:rPr>
        <w:t>Adedirin</w:t>
      </w:r>
      <w:proofErr w:type="spellEnd"/>
      <w:r w:rsidRPr="00F41152">
        <w:rPr>
          <w:rFonts w:ascii="Times New Roman" w:hAnsi="Times New Roman" w:cs="Times New Roman"/>
          <w:sz w:val="24"/>
          <w:szCs w:val="24"/>
          <w:shd w:val="clear" w:color="auto" w:fill="FFFFFF"/>
        </w:rPr>
        <w:t xml:space="preserve">, O., Joshi, T., and Chandra, S. (2021). QSAR modeling and </w:t>
      </w:r>
      <w:proofErr w:type="spellStart"/>
      <w:r w:rsidRPr="00F41152">
        <w:rPr>
          <w:rFonts w:ascii="Times New Roman" w:hAnsi="Times New Roman" w:cs="Times New Roman"/>
          <w:sz w:val="24"/>
          <w:szCs w:val="24"/>
          <w:shd w:val="clear" w:color="auto" w:fill="FFFFFF"/>
        </w:rPr>
        <w:t>pharmacoinformatics</w:t>
      </w:r>
      <w:proofErr w:type="spellEnd"/>
      <w:r w:rsidRPr="00F41152">
        <w:rPr>
          <w:rFonts w:ascii="Times New Roman" w:hAnsi="Times New Roman" w:cs="Times New Roman"/>
          <w:sz w:val="24"/>
          <w:szCs w:val="24"/>
          <w:shd w:val="clear" w:color="auto" w:fill="FFFFFF"/>
        </w:rPr>
        <w:t xml:space="preserve"> of SARS coronavirus 3C-like protease inhibitors. </w:t>
      </w:r>
      <w:r w:rsidRPr="00F41152">
        <w:rPr>
          <w:rFonts w:ascii="Times New Roman" w:hAnsi="Times New Roman" w:cs="Times New Roman"/>
          <w:i/>
          <w:iCs/>
          <w:sz w:val="24"/>
          <w:szCs w:val="24"/>
          <w:shd w:val="clear" w:color="auto" w:fill="FFFFFF"/>
        </w:rPr>
        <w:t>Computers in biology and medicine</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134</w:t>
      </w:r>
      <w:r w:rsidRPr="00F41152">
        <w:rPr>
          <w:rFonts w:ascii="Times New Roman" w:hAnsi="Times New Roman" w:cs="Times New Roman"/>
          <w:sz w:val="24"/>
          <w:szCs w:val="24"/>
          <w:shd w:val="clear" w:color="auto" w:fill="FFFFFF"/>
        </w:rPr>
        <w:t>, 104483.</w:t>
      </w:r>
    </w:p>
    <w:p w14:paraId="39518EFF"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proofErr w:type="spellStart"/>
      <w:r w:rsidRPr="00F41152">
        <w:rPr>
          <w:rFonts w:ascii="Times New Roman" w:hAnsi="Times New Roman" w:cs="Times New Roman"/>
          <w:sz w:val="24"/>
          <w:szCs w:val="24"/>
          <w:shd w:val="clear" w:color="auto" w:fill="FFFFFF"/>
        </w:rPr>
        <w:t>Jejurikar</w:t>
      </w:r>
      <w:proofErr w:type="spellEnd"/>
      <w:r w:rsidRPr="00F41152">
        <w:rPr>
          <w:rFonts w:ascii="Times New Roman" w:hAnsi="Times New Roman" w:cs="Times New Roman"/>
          <w:sz w:val="24"/>
          <w:szCs w:val="24"/>
          <w:shd w:val="clear" w:color="auto" w:fill="FFFFFF"/>
        </w:rPr>
        <w:t xml:space="preserve">, B. L., and </w:t>
      </w:r>
      <w:proofErr w:type="spellStart"/>
      <w:r w:rsidRPr="00F41152">
        <w:rPr>
          <w:rFonts w:ascii="Times New Roman" w:hAnsi="Times New Roman" w:cs="Times New Roman"/>
          <w:sz w:val="24"/>
          <w:szCs w:val="24"/>
          <w:shd w:val="clear" w:color="auto" w:fill="FFFFFF"/>
        </w:rPr>
        <w:t>Rohane</w:t>
      </w:r>
      <w:proofErr w:type="spellEnd"/>
      <w:r w:rsidRPr="00F41152">
        <w:rPr>
          <w:rFonts w:ascii="Times New Roman" w:hAnsi="Times New Roman" w:cs="Times New Roman"/>
          <w:sz w:val="24"/>
          <w:szCs w:val="24"/>
          <w:shd w:val="clear" w:color="auto" w:fill="FFFFFF"/>
        </w:rPr>
        <w:t>, S. H. (2021). Drug designing in discovery studio. </w:t>
      </w:r>
      <w:r w:rsidRPr="00F41152">
        <w:rPr>
          <w:rFonts w:ascii="Times New Roman" w:hAnsi="Times New Roman" w:cs="Times New Roman"/>
          <w:i/>
          <w:iCs/>
          <w:sz w:val="24"/>
          <w:szCs w:val="24"/>
          <w:shd w:val="clear" w:color="auto" w:fill="FFFFFF"/>
        </w:rPr>
        <w:t>Asian Journal of Research in Chemistry</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14</w:t>
      </w:r>
      <w:r w:rsidRPr="00F41152">
        <w:rPr>
          <w:rFonts w:ascii="Times New Roman" w:hAnsi="Times New Roman" w:cs="Times New Roman"/>
          <w:sz w:val="24"/>
          <w:szCs w:val="24"/>
          <w:shd w:val="clear" w:color="auto" w:fill="FFFFFF"/>
        </w:rPr>
        <w:t>(2), 135-138.</w:t>
      </w:r>
    </w:p>
    <w:p w14:paraId="08E7AA3A" w14:textId="77777777" w:rsidR="00BF33D9"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Jia, D., Liu, C., Liu, W., Fu, J., Chen, X., and Wang, H. Y. (2025). Evaluation of binding, affinity and metabolic regulatory activity of a transketolase inhibitor. In </w:t>
      </w:r>
      <w:r w:rsidRPr="00F41152">
        <w:rPr>
          <w:rFonts w:ascii="Times New Roman" w:hAnsi="Times New Roman" w:cs="Times New Roman"/>
          <w:i/>
          <w:iCs/>
          <w:sz w:val="24"/>
          <w:szCs w:val="24"/>
          <w:shd w:val="clear" w:color="auto" w:fill="FFFFFF"/>
        </w:rPr>
        <w:t>Methods in Enzymology</w:t>
      </w:r>
      <w:r w:rsidRPr="00F41152">
        <w:rPr>
          <w:rFonts w:ascii="Times New Roman" w:hAnsi="Times New Roman" w:cs="Times New Roman"/>
          <w:sz w:val="24"/>
          <w:szCs w:val="24"/>
          <w:shd w:val="clear" w:color="auto" w:fill="FFFFFF"/>
        </w:rPr>
        <w:t> (Vol. 722, pp. 51-72). Academic Press.</w:t>
      </w:r>
    </w:p>
    <w:p w14:paraId="3A7A2187" w14:textId="77777777" w:rsidR="00143AA7" w:rsidRPr="00143AA7" w:rsidRDefault="00143AA7"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143AA7">
        <w:rPr>
          <w:rFonts w:ascii="Times New Roman" w:hAnsi="Times New Roman" w:cs="Times New Roman"/>
          <w:sz w:val="24"/>
          <w:szCs w:val="24"/>
        </w:rPr>
        <w:t xml:space="preserve">Kesari, P., Pratap, S., Dhankhar, P., Dalal, V., Mishra, M., Singh, P. K., </w:t>
      </w:r>
      <w:r>
        <w:rPr>
          <w:rFonts w:ascii="Times New Roman" w:hAnsi="Times New Roman" w:cs="Times New Roman"/>
          <w:sz w:val="24"/>
          <w:szCs w:val="24"/>
        </w:rPr>
        <w:t xml:space="preserve">and </w:t>
      </w:r>
      <w:r w:rsidRPr="00143AA7">
        <w:rPr>
          <w:rFonts w:ascii="Times New Roman" w:hAnsi="Times New Roman" w:cs="Times New Roman"/>
          <w:sz w:val="24"/>
          <w:szCs w:val="24"/>
        </w:rPr>
        <w:t xml:space="preserve">Kumar, P. (2020). Structural characterization and in-silico analysis of Momordica </w:t>
      </w:r>
      <w:proofErr w:type="spellStart"/>
      <w:r w:rsidRPr="00143AA7">
        <w:rPr>
          <w:rFonts w:ascii="Times New Roman" w:hAnsi="Times New Roman" w:cs="Times New Roman"/>
          <w:sz w:val="24"/>
          <w:szCs w:val="24"/>
        </w:rPr>
        <w:t>charantia</w:t>
      </w:r>
      <w:proofErr w:type="spellEnd"/>
      <w:r w:rsidRPr="00143AA7">
        <w:rPr>
          <w:rFonts w:ascii="Times New Roman" w:hAnsi="Times New Roman" w:cs="Times New Roman"/>
          <w:sz w:val="24"/>
          <w:szCs w:val="24"/>
        </w:rPr>
        <w:t xml:space="preserve"> 7S globulin for stability and ACE inhibition. Scientific reports, 10(1), 1160.</w:t>
      </w:r>
    </w:p>
    <w:p w14:paraId="7A650331" w14:textId="77777777" w:rsidR="00BF33D9"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proofErr w:type="spellStart"/>
      <w:r w:rsidRPr="00F41152">
        <w:rPr>
          <w:rFonts w:ascii="Times New Roman" w:hAnsi="Times New Roman" w:cs="Times New Roman"/>
          <w:sz w:val="24"/>
          <w:szCs w:val="24"/>
          <w:shd w:val="clear" w:color="auto" w:fill="FFFFFF"/>
        </w:rPr>
        <w:t>Mallappa</w:t>
      </w:r>
      <w:proofErr w:type="spellEnd"/>
      <w:r w:rsidRPr="00F41152">
        <w:rPr>
          <w:rFonts w:ascii="Times New Roman" w:hAnsi="Times New Roman" w:cs="Times New Roman"/>
          <w:sz w:val="24"/>
          <w:szCs w:val="24"/>
          <w:shd w:val="clear" w:color="auto" w:fill="FFFFFF"/>
        </w:rPr>
        <w:t xml:space="preserve">, </w:t>
      </w:r>
      <w:proofErr w:type="spellStart"/>
      <w:r w:rsidRPr="00F41152">
        <w:rPr>
          <w:rFonts w:ascii="Times New Roman" w:hAnsi="Times New Roman" w:cs="Times New Roman"/>
          <w:sz w:val="24"/>
          <w:szCs w:val="24"/>
          <w:shd w:val="clear" w:color="auto" w:fill="FFFFFF"/>
        </w:rPr>
        <w:t>Chahar</w:t>
      </w:r>
      <w:proofErr w:type="spellEnd"/>
      <w:r w:rsidRPr="00F41152">
        <w:rPr>
          <w:rFonts w:ascii="Times New Roman" w:hAnsi="Times New Roman" w:cs="Times New Roman"/>
          <w:sz w:val="24"/>
          <w:szCs w:val="24"/>
          <w:shd w:val="clear" w:color="auto" w:fill="FFFFFF"/>
        </w:rPr>
        <w:t>, M., Choudhary, N., Yadav, K. K., Qasim, M. T., Zairov, R., and Jangir, M. (2025). Recent advances in the synthesis of nitrogen-containing heterocyclic compounds via multicomponent reaction and their emerging biological applications: a review. </w:t>
      </w:r>
      <w:r w:rsidRPr="00F41152">
        <w:rPr>
          <w:rFonts w:ascii="Times New Roman" w:hAnsi="Times New Roman" w:cs="Times New Roman"/>
          <w:i/>
          <w:iCs/>
          <w:sz w:val="24"/>
          <w:szCs w:val="24"/>
          <w:shd w:val="clear" w:color="auto" w:fill="FFFFFF"/>
        </w:rPr>
        <w:t>Journal of the Iranian Chemical Society</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22</w:t>
      </w:r>
      <w:r w:rsidRPr="00F41152">
        <w:rPr>
          <w:rFonts w:ascii="Times New Roman" w:hAnsi="Times New Roman" w:cs="Times New Roman"/>
          <w:sz w:val="24"/>
          <w:szCs w:val="24"/>
          <w:shd w:val="clear" w:color="auto" w:fill="FFFFFF"/>
        </w:rPr>
        <w:t>(1), 1-33.</w:t>
      </w:r>
    </w:p>
    <w:p w14:paraId="10387620" w14:textId="77777777" w:rsidR="00792969" w:rsidRPr="00792969" w:rsidRDefault="0079296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792969">
        <w:rPr>
          <w:rFonts w:ascii="Times New Roman" w:hAnsi="Times New Roman" w:cs="Times New Roman"/>
          <w:color w:val="222222"/>
          <w:sz w:val="24"/>
          <w:szCs w:val="24"/>
          <w:shd w:val="clear" w:color="auto" w:fill="FFFFFF"/>
        </w:rPr>
        <w:t xml:space="preserve">Mitiku, T., </w:t>
      </w:r>
      <w:r>
        <w:rPr>
          <w:rFonts w:ascii="Times New Roman" w:hAnsi="Times New Roman" w:cs="Times New Roman"/>
          <w:color w:val="222222"/>
          <w:sz w:val="24"/>
          <w:szCs w:val="24"/>
          <w:shd w:val="clear" w:color="auto" w:fill="FFFFFF"/>
        </w:rPr>
        <w:t>and</w:t>
      </w:r>
      <w:r w:rsidRPr="00792969">
        <w:rPr>
          <w:rFonts w:ascii="Times New Roman" w:hAnsi="Times New Roman" w:cs="Times New Roman"/>
          <w:color w:val="222222"/>
          <w:sz w:val="24"/>
          <w:szCs w:val="24"/>
          <w:shd w:val="clear" w:color="auto" w:fill="FFFFFF"/>
        </w:rPr>
        <w:t xml:space="preserve"> Abebe, B. (2024). Molecular machinery of malaria infection: insights into Host-parasite interactions and therapeutic targets. </w:t>
      </w:r>
      <w:r w:rsidRPr="00792969">
        <w:rPr>
          <w:rFonts w:ascii="Times New Roman" w:hAnsi="Times New Roman" w:cs="Times New Roman"/>
          <w:i/>
          <w:iCs/>
          <w:color w:val="222222"/>
          <w:sz w:val="24"/>
          <w:szCs w:val="24"/>
          <w:shd w:val="clear" w:color="auto" w:fill="FFFFFF"/>
        </w:rPr>
        <w:t>Asian Journal of Research in Biosciences</w:t>
      </w:r>
      <w:r w:rsidRPr="00792969">
        <w:rPr>
          <w:rFonts w:ascii="Times New Roman" w:hAnsi="Times New Roman" w:cs="Times New Roman"/>
          <w:color w:val="222222"/>
          <w:sz w:val="24"/>
          <w:szCs w:val="24"/>
          <w:shd w:val="clear" w:color="auto" w:fill="FFFFFF"/>
        </w:rPr>
        <w:t>, </w:t>
      </w:r>
      <w:r w:rsidRPr="00792969">
        <w:rPr>
          <w:rFonts w:ascii="Times New Roman" w:hAnsi="Times New Roman" w:cs="Times New Roman"/>
          <w:i/>
          <w:iCs/>
          <w:color w:val="222222"/>
          <w:sz w:val="24"/>
          <w:szCs w:val="24"/>
          <w:shd w:val="clear" w:color="auto" w:fill="FFFFFF"/>
        </w:rPr>
        <w:t>6</w:t>
      </w:r>
      <w:r w:rsidRPr="00792969">
        <w:rPr>
          <w:rFonts w:ascii="Times New Roman" w:hAnsi="Times New Roman" w:cs="Times New Roman"/>
          <w:color w:val="222222"/>
          <w:sz w:val="24"/>
          <w:szCs w:val="24"/>
          <w:shd w:val="clear" w:color="auto" w:fill="FFFFFF"/>
        </w:rPr>
        <w:t>(1), 79-95.</w:t>
      </w:r>
    </w:p>
    <w:p w14:paraId="61185EE6" w14:textId="77777777" w:rsidR="00BF33D9"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Omotara, B. S., Solanki, P. R., Manica, A. K., Ajala, C. F., Junaid, I. O., Anifowose, L. O., and Oyedele, A. Q. K. (2026). Unveiling KRAS G12D inhibition: from molecular dynamics to therapeutic strategies. Journal of Biomolecular Structure and Dynamics, 44(11), 5129-5152.</w:t>
      </w:r>
    </w:p>
    <w:p w14:paraId="7EFD7D03" w14:textId="77777777" w:rsidR="00985CCE" w:rsidRPr="00E86D3B" w:rsidRDefault="00985CCE"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E86D3B">
        <w:rPr>
          <w:rFonts w:ascii="Times New Roman" w:hAnsi="Times New Roman" w:cs="Times New Roman"/>
          <w:color w:val="222222"/>
          <w:sz w:val="24"/>
          <w:szCs w:val="24"/>
          <w:shd w:val="clear" w:color="auto" w:fill="FFFFFF"/>
        </w:rPr>
        <w:t xml:space="preserve">Olasunkanmi, A. A., Adegbola, P. I., &amp; </w:t>
      </w:r>
      <w:proofErr w:type="spellStart"/>
      <w:r w:rsidRPr="00E86D3B">
        <w:rPr>
          <w:rFonts w:ascii="Times New Roman" w:hAnsi="Times New Roman" w:cs="Times New Roman"/>
          <w:color w:val="222222"/>
          <w:sz w:val="24"/>
          <w:szCs w:val="24"/>
          <w:shd w:val="clear" w:color="auto" w:fill="FFFFFF"/>
        </w:rPr>
        <w:t>Afuye</w:t>
      </w:r>
      <w:proofErr w:type="spellEnd"/>
      <w:r w:rsidRPr="00E86D3B">
        <w:rPr>
          <w:rFonts w:ascii="Times New Roman" w:hAnsi="Times New Roman" w:cs="Times New Roman"/>
          <w:color w:val="222222"/>
          <w:sz w:val="24"/>
          <w:szCs w:val="24"/>
          <w:shd w:val="clear" w:color="auto" w:fill="FFFFFF"/>
        </w:rPr>
        <w:t xml:space="preserve">, O. O. (2026). Rhus longipes Engl. Leaf Extract Reduces </w:t>
      </w:r>
      <w:proofErr w:type="spellStart"/>
      <w:r w:rsidRPr="00E86D3B">
        <w:rPr>
          <w:rFonts w:ascii="Times New Roman" w:hAnsi="Times New Roman" w:cs="Times New Roman"/>
          <w:color w:val="222222"/>
          <w:sz w:val="24"/>
          <w:szCs w:val="24"/>
          <w:shd w:val="clear" w:color="auto" w:fill="FFFFFF"/>
        </w:rPr>
        <w:t>Hyperglycaemia</w:t>
      </w:r>
      <w:proofErr w:type="spellEnd"/>
      <w:r w:rsidRPr="00E86D3B">
        <w:rPr>
          <w:rFonts w:ascii="Times New Roman" w:hAnsi="Times New Roman" w:cs="Times New Roman"/>
          <w:color w:val="222222"/>
          <w:sz w:val="24"/>
          <w:szCs w:val="24"/>
          <w:shd w:val="clear" w:color="auto" w:fill="FFFFFF"/>
        </w:rPr>
        <w:t xml:space="preserve"> and Modulates NF-</w:t>
      </w:r>
      <w:proofErr w:type="spellStart"/>
      <w:r w:rsidRPr="00E86D3B">
        <w:rPr>
          <w:rFonts w:ascii="Times New Roman" w:hAnsi="Times New Roman" w:cs="Times New Roman"/>
          <w:color w:val="222222"/>
          <w:sz w:val="24"/>
          <w:szCs w:val="24"/>
          <w:shd w:val="clear" w:color="auto" w:fill="FFFFFF"/>
        </w:rPr>
        <w:t>κB</w:t>
      </w:r>
      <w:proofErr w:type="spellEnd"/>
      <w:r w:rsidRPr="00E86D3B">
        <w:rPr>
          <w:rFonts w:ascii="Times New Roman" w:hAnsi="Times New Roman" w:cs="Times New Roman"/>
          <w:color w:val="222222"/>
          <w:sz w:val="24"/>
          <w:szCs w:val="24"/>
          <w:shd w:val="clear" w:color="auto" w:fill="FFFFFF"/>
        </w:rPr>
        <w:t>, GLUT-4 and Glucose-6-Phosphatase in Streptozotocin-induced Diabetic Rats. </w:t>
      </w:r>
      <w:r w:rsidRPr="00E86D3B">
        <w:rPr>
          <w:rFonts w:ascii="Times New Roman" w:hAnsi="Times New Roman" w:cs="Times New Roman"/>
          <w:i/>
          <w:iCs/>
          <w:color w:val="222222"/>
          <w:sz w:val="24"/>
          <w:szCs w:val="24"/>
          <w:shd w:val="clear" w:color="auto" w:fill="FFFFFF"/>
        </w:rPr>
        <w:t>Asian Journal of Research in Biosciences</w:t>
      </w:r>
      <w:r w:rsidRPr="00E86D3B">
        <w:rPr>
          <w:rFonts w:ascii="Times New Roman" w:hAnsi="Times New Roman" w:cs="Times New Roman"/>
          <w:color w:val="222222"/>
          <w:sz w:val="24"/>
          <w:szCs w:val="24"/>
          <w:shd w:val="clear" w:color="auto" w:fill="FFFFFF"/>
        </w:rPr>
        <w:t>, </w:t>
      </w:r>
      <w:r w:rsidRPr="00E86D3B">
        <w:rPr>
          <w:rFonts w:ascii="Times New Roman" w:hAnsi="Times New Roman" w:cs="Times New Roman"/>
          <w:i/>
          <w:iCs/>
          <w:color w:val="222222"/>
          <w:sz w:val="24"/>
          <w:szCs w:val="24"/>
          <w:shd w:val="clear" w:color="auto" w:fill="FFFFFF"/>
        </w:rPr>
        <w:t>8</w:t>
      </w:r>
      <w:r w:rsidRPr="00E86D3B">
        <w:rPr>
          <w:rFonts w:ascii="Times New Roman" w:hAnsi="Times New Roman" w:cs="Times New Roman"/>
          <w:color w:val="222222"/>
          <w:sz w:val="24"/>
          <w:szCs w:val="24"/>
          <w:shd w:val="clear" w:color="auto" w:fill="FFFFFF"/>
        </w:rPr>
        <w:t>(2), 166-175.</w:t>
      </w:r>
    </w:p>
    <w:p w14:paraId="5DB1C5AA" w14:textId="77777777" w:rsidR="00BF33D9"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proofErr w:type="spellStart"/>
      <w:r w:rsidRPr="00F41152">
        <w:rPr>
          <w:rFonts w:ascii="Times New Roman" w:hAnsi="Times New Roman" w:cs="Times New Roman"/>
          <w:sz w:val="24"/>
          <w:szCs w:val="24"/>
          <w:shd w:val="clear" w:color="auto" w:fill="FFFFFF"/>
        </w:rPr>
        <w:lastRenderedPageBreak/>
        <w:t>Orogun</w:t>
      </w:r>
      <w:proofErr w:type="spellEnd"/>
      <w:r w:rsidRPr="00F41152">
        <w:rPr>
          <w:rFonts w:ascii="Times New Roman" w:hAnsi="Times New Roman" w:cs="Times New Roman"/>
          <w:sz w:val="24"/>
          <w:szCs w:val="24"/>
          <w:shd w:val="clear" w:color="auto" w:fill="FFFFFF"/>
        </w:rPr>
        <w:t xml:space="preserve">, Y., </w:t>
      </w:r>
      <w:proofErr w:type="spellStart"/>
      <w:r w:rsidRPr="00F41152">
        <w:rPr>
          <w:rFonts w:ascii="Times New Roman" w:hAnsi="Times New Roman" w:cs="Times New Roman"/>
          <w:sz w:val="24"/>
          <w:szCs w:val="24"/>
          <w:shd w:val="clear" w:color="auto" w:fill="FFFFFF"/>
        </w:rPr>
        <w:t>Fadare</w:t>
      </w:r>
      <w:proofErr w:type="spellEnd"/>
      <w:r w:rsidRPr="00F41152">
        <w:rPr>
          <w:rFonts w:ascii="Times New Roman" w:hAnsi="Times New Roman" w:cs="Times New Roman"/>
          <w:sz w:val="24"/>
          <w:szCs w:val="24"/>
          <w:shd w:val="clear" w:color="auto" w:fill="FFFFFF"/>
        </w:rPr>
        <w:t xml:space="preserve">, O., </w:t>
      </w:r>
      <w:proofErr w:type="spellStart"/>
      <w:r w:rsidRPr="00F41152">
        <w:rPr>
          <w:rFonts w:ascii="Times New Roman" w:hAnsi="Times New Roman" w:cs="Times New Roman"/>
          <w:sz w:val="24"/>
          <w:szCs w:val="24"/>
          <w:shd w:val="clear" w:color="auto" w:fill="FFFFFF"/>
        </w:rPr>
        <w:t>Bajepade</w:t>
      </w:r>
      <w:proofErr w:type="spellEnd"/>
      <w:r w:rsidRPr="00F41152">
        <w:rPr>
          <w:rFonts w:ascii="Times New Roman" w:hAnsi="Times New Roman" w:cs="Times New Roman"/>
          <w:sz w:val="24"/>
          <w:szCs w:val="24"/>
          <w:shd w:val="clear" w:color="auto" w:fill="FFFFFF"/>
        </w:rPr>
        <w:t xml:space="preserve">, T., Raimi, O., and Ogunlana, O. (2025). </w:t>
      </w:r>
      <w:r w:rsidRPr="00F41152">
        <w:rPr>
          <w:rFonts w:ascii="Times New Roman" w:hAnsi="Times New Roman" w:cs="Times New Roman"/>
          <w:i/>
          <w:sz w:val="24"/>
          <w:szCs w:val="24"/>
          <w:shd w:val="clear" w:color="auto" w:fill="FFFFFF"/>
        </w:rPr>
        <w:t>Plasmodium falciparum</w:t>
      </w:r>
      <w:r w:rsidRPr="00F41152">
        <w:rPr>
          <w:rFonts w:ascii="Times New Roman" w:hAnsi="Times New Roman" w:cs="Times New Roman"/>
          <w:sz w:val="24"/>
          <w:szCs w:val="24"/>
          <w:shd w:val="clear" w:color="auto" w:fill="FFFFFF"/>
        </w:rPr>
        <w:t xml:space="preserve"> Transketolase as a Drug Target in Malaria: A Review of Current Research and Future Perspectives. </w:t>
      </w:r>
      <w:r w:rsidRPr="00F41152">
        <w:rPr>
          <w:rFonts w:ascii="Times New Roman" w:hAnsi="Times New Roman" w:cs="Times New Roman"/>
          <w:i/>
          <w:iCs/>
          <w:sz w:val="24"/>
          <w:szCs w:val="24"/>
          <w:shd w:val="clear" w:color="auto" w:fill="FFFFFF"/>
        </w:rPr>
        <w:t>NIPES JSTR SPECIAL ISSUE</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7</w:t>
      </w:r>
      <w:r w:rsidRPr="00F41152">
        <w:rPr>
          <w:rFonts w:ascii="Times New Roman" w:hAnsi="Times New Roman" w:cs="Times New Roman"/>
          <w:sz w:val="24"/>
          <w:szCs w:val="24"/>
          <w:shd w:val="clear" w:color="auto" w:fill="FFFFFF"/>
        </w:rPr>
        <w:t>(1), 1913-1918.</w:t>
      </w:r>
    </w:p>
    <w:p w14:paraId="07F8E20E" w14:textId="77777777" w:rsidR="00D8421D" w:rsidRPr="00F41152" w:rsidRDefault="00D8421D"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D8421D">
        <w:rPr>
          <w:rFonts w:ascii="Times New Roman" w:hAnsi="Times New Roman" w:cs="Times New Roman"/>
          <w:color w:val="222222"/>
          <w:sz w:val="24"/>
          <w:szCs w:val="24"/>
          <w:shd w:val="clear" w:color="auto" w:fill="FFFFFF"/>
        </w:rPr>
        <w:t xml:space="preserve">Ogunyemi, O. M., Macaulay, O. S., Gyebi, G. A., Ogunyemi, M. M., </w:t>
      </w:r>
      <w:proofErr w:type="spellStart"/>
      <w:r w:rsidRPr="00D8421D">
        <w:rPr>
          <w:rFonts w:ascii="Times New Roman" w:hAnsi="Times New Roman" w:cs="Times New Roman"/>
          <w:color w:val="222222"/>
          <w:sz w:val="24"/>
          <w:szCs w:val="24"/>
          <w:shd w:val="clear" w:color="auto" w:fill="FFFFFF"/>
        </w:rPr>
        <w:t>Agunloye</w:t>
      </w:r>
      <w:proofErr w:type="spellEnd"/>
      <w:r w:rsidRPr="00D8421D">
        <w:rPr>
          <w:rFonts w:ascii="Times New Roman" w:hAnsi="Times New Roman" w:cs="Times New Roman"/>
          <w:color w:val="222222"/>
          <w:sz w:val="24"/>
          <w:szCs w:val="24"/>
          <w:shd w:val="clear" w:color="auto" w:fill="FFFFFF"/>
        </w:rPr>
        <w:t xml:space="preserve">, M. O., </w:t>
      </w:r>
      <w:r>
        <w:rPr>
          <w:rFonts w:ascii="Times New Roman" w:hAnsi="Times New Roman" w:cs="Times New Roman"/>
          <w:color w:val="222222"/>
          <w:sz w:val="24"/>
          <w:szCs w:val="24"/>
          <w:shd w:val="clear" w:color="auto" w:fill="FFFFFF"/>
        </w:rPr>
        <w:t>and</w:t>
      </w:r>
      <w:r w:rsidRPr="00D8421D">
        <w:rPr>
          <w:rFonts w:ascii="Times New Roman" w:hAnsi="Times New Roman" w:cs="Times New Roman"/>
          <w:color w:val="222222"/>
          <w:sz w:val="24"/>
          <w:szCs w:val="24"/>
          <w:shd w:val="clear" w:color="auto" w:fill="FFFFFF"/>
        </w:rPr>
        <w:t xml:space="preserve"> Olaiya, C. O. (2026). Binding interaction of acetylcholinesterase with steroidal </w:t>
      </w:r>
      <w:proofErr w:type="spellStart"/>
      <w:r w:rsidRPr="00D8421D">
        <w:rPr>
          <w:rFonts w:ascii="Times New Roman" w:hAnsi="Times New Roman" w:cs="Times New Roman"/>
          <w:color w:val="222222"/>
          <w:sz w:val="24"/>
          <w:szCs w:val="24"/>
          <w:shd w:val="clear" w:color="auto" w:fill="FFFFFF"/>
        </w:rPr>
        <w:t>pregnanes</w:t>
      </w:r>
      <w:proofErr w:type="spellEnd"/>
      <w:r w:rsidRPr="00D8421D">
        <w:rPr>
          <w:rFonts w:ascii="Times New Roman" w:hAnsi="Times New Roman" w:cs="Times New Roman"/>
          <w:color w:val="222222"/>
          <w:sz w:val="24"/>
          <w:szCs w:val="24"/>
          <w:shd w:val="clear" w:color="auto" w:fill="FFFFFF"/>
        </w:rPr>
        <w:t>: insight from machine learning and atomistic simulation. </w:t>
      </w:r>
      <w:r w:rsidRPr="00D8421D">
        <w:rPr>
          <w:rFonts w:ascii="Times New Roman" w:hAnsi="Times New Roman" w:cs="Times New Roman"/>
          <w:i/>
          <w:iCs/>
          <w:color w:val="222222"/>
          <w:sz w:val="24"/>
          <w:szCs w:val="24"/>
          <w:shd w:val="clear" w:color="auto" w:fill="FFFFFF"/>
        </w:rPr>
        <w:t>Journal of Biomolecular Structure and Dynamics</w:t>
      </w:r>
      <w:r w:rsidRPr="00D8421D">
        <w:rPr>
          <w:rFonts w:ascii="Times New Roman" w:hAnsi="Times New Roman" w:cs="Times New Roman"/>
          <w:color w:val="222222"/>
          <w:sz w:val="24"/>
          <w:szCs w:val="24"/>
          <w:shd w:val="clear" w:color="auto" w:fill="FFFFFF"/>
        </w:rPr>
        <w:t>, </w:t>
      </w:r>
      <w:r w:rsidRPr="00D8421D">
        <w:rPr>
          <w:rFonts w:ascii="Times New Roman" w:hAnsi="Times New Roman" w:cs="Times New Roman"/>
          <w:i/>
          <w:iCs/>
          <w:color w:val="222222"/>
          <w:sz w:val="24"/>
          <w:szCs w:val="24"/>
          <w:shd w:val="clear" w:color="auto" w:fill="FFFFFF"/>
        </w:rPr>
        <w:t>44</w:t>
      </w:r>
      <w:r w:rsidRPr="00D8421D">
        <w:rPr>
          <w:rFonts w:ascii="Times New Roman" w:hAnsi="Times New Roman" w:cs="Times New Roman"/>
          <w:color w:val="222222"/>
          <w:sz w:val="24"/>
          <w:szCs w:val="24"/>
          <w:shd w:val="clear" w:color="auto" w:fill="FFFFFF"/>
        </w:rPr>
        <w:t>(10), 4725-4751</w:t>
      </w:r>
      <w:r>
        <w:rPr>
          <w:rFonts w:ascii="Arial" w:hAnsi="Arial" w:cs="Arial"/>
          <w:color w:val="222222"/>
          <w:sz w:val="20"/>
          <w:szCs w:val="20"/>
          <w:shd w:val="clear" w:color="auto" w:fill="FFFFFF"/>
        </w:rPr>
        <w:t>.</w:t>
      </w:r>
    </w:p>
    <w:p w14:paraId="7204D7A6"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 xml:space="preserve">Patel, P. J., </w:t>
      </w:r>
      <w:proofErr w:type="spellStart"/>
      <w:r w:rsidRPr="00F41152">
        <w:rPr>
          <w:rFonts w:ascii="Times New Roman" w:hAnsi="Times New Roman" w:cs="Times New Roman"/>
          <w:sz w:val="24"/>
          <w:szCs w:val="24"/>
          <w:shd w:val="clear" w:color="auto" w:fill="FFFFFF"/>
        </w:rPr>
        <w:t>Chudasma</w:t>
      </w:r>
      <w:proofErr w:type="spellEnd"/>
      <w:r w:rsidRPr="00F41152">
        <w:rPr>
          <w:rFonts w:ascii="Times New Roman" w:hAnsi="Times New Roman" w:cs="Times New Roman"/>
          <w:sz w:val="24"/>
          <w:szCs w:val="24"/>
          <w:shd w:val="clear" w:color="auto" w:fill="FFFFFF"/>
        </w:rPr>
        <w:t xml:space="preserve">, K., Chaudhary, H. R., Rana, S., and Patel, D. M. (2026). Design, green synthesis, and characterization of benzo [h] </w:t>
      </w:r>
      <w:proofErr w:type="spellStart"/>
      <w:r w:rsidRPr="00F41152">
        <w:rPr>
          <w:rFonts w:ascii="Times New Roman" w:hAnsi="Times New Roman" w:cs="Times New Roman"/>
          <w:sz w:val="24"/>
          <w:szCs w:val="24"/>
          <w:shd w:val="clear" w:color="auto" w:fill="FFFFFF"/>
        </w:rPr>
        <w:t>pyrimido</w:t>
      </w:r>
      <w:proofErr w:type="spellEnd"/>
      <w:r w:rsidRPr="00F41152">
        <w:rPr>
          <w:rFonts w:ascii="Times New Roman" w:hAnsi="Times New Roman" w:cs="Times New Roman"/>
          <w:sz w:val="24"/>
          <w:szCs w:val="24"/>
          <w:shd w:val="clear" w:color="auto" w:fill="FFFFFF"/>
        </w:rPr>
        <w:t xml:space="preserve"> [4, 5-b] quinoline-8, 10 (7 H, 9 H)-</w:t>
      </w:r>
      <w:proofErr w:type="spellStart"/>
      <w:r w:rsidRPr="00F41152">
        <w:rPr>
          <w:rFonts w:ascii="Times New Roman" w:hAnsi="Times New Roman" w:cs="Times New Roman"/>
          <w:sz w:val="24"/>
          <w:szCs w:val="24"/>
          <w:shd w:val="clear" w:color="auto" w:fill="FFFFFF"/>
        </w:rPr>
        <w:t>dione</w:t>
      </w:r>
      <w:proofErr w:type="spellEnd"/>
      <w:r w:rsidRPr="00F41152">
        <w:rPr>
          <w:rFonts w:ascii="Times New Roman" w:hAnsi="Times New Roman" w:cs="Times New Roman"/>
          <w:sz w:val="24"/>
          <w:szCs w:val="24"/>
          <w:shd w:val="clear" w:color="auto" w:fill="FFFFFF"/>
        </w:rPr>
        <w:t xml:space="preserve"> derivatives: insights from ADMET, molecular docking, and DFT studies. </w:t>
      </w:r>
      <w:r w:rsidRPr="00F41152">
        <w:rPr>
          <w:rFonts w:ascii="Times New Roman" w:hAnsi="Times New Roman" w:cs="Times New Roman"/>
          <w:i/>
          <w:iCs/>
          <w:sz w:val="24"/>
          <w:szCs w:val="24"/>
          <w:shd w:val="clear" w:color="auto" w:fill="FFFFFF"/>
        </w:rPr>
        <w:t>Research on Chemical Intermediates</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52</w:t>
      </w:r>
      <w:r w:rsidRPr="00F41152">
        <w:rPr>
          <w:rFonts w:ascii="Times New Roman" w:hAnsi="Times New Roman" w:cs="Times New Roman"/>
          <w:sz w:val="24"/>
          <w:szCs w:val="24"/>
          <w:shd w:val="clear" w:color="auto" w:fill="FFFFFF"/>
        </w:rPr>
        <w:t>(2), 1493-1515.</w:t>
      </w:r>
    </w:p>
    <w:p w14:paraId="3ED1EDB8" w14:textId="77777777" w:rsidR="00BF33D9"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 xml:space="preserve">Pawar, S. S., and </w:t>
      </w:r>
      <w:proofErr w:type="spellStart"/>
      <w:r w:rsidRPr="00F41152">
        <w:rPr>
          <w:rFonts w:ascii="Times New Roman" w:hAnsi="Times New Roman" w:cs="Times New Roman"/>
          <w:sz w:val="24"/>
          <w:szCs w:val="24"/>
          <w:shd w:val="clear" w:color="auto" w:fill="FFFFFF"/>
        </w:rPr>
        <w:t>Rohane</w:t>
      </w:r>
      <w:proofErr w:type="spellEnd"/>
      <w:r w:rsidRPr="00F41152">
        <w:rPr>
          <w:rFonts w:ascii="Times New Roman" w:hAnsi="Times New Roman" w:cs="Times New Roman"/>
          <w:sz w:val="24"/>
          <w:szCs w:val="24"/>
          <w:shd w:val="clear" w:color="auto" w:fill="FFFFFF"/>
        </w:rPr>
        <w:t>, S. H. (2021). Review on discovery studio: An important tool for molecular docking. Asian Journal of Research in Chemistry, 14(1), 1-3.</w:t>
      </w:r>
    </w:p>
    <w:p w14:paraId="169993C6" w14:textId="77777777" w:rsidR="005723F6" w:rsidRPr="005723F6" w:rsidRDefault="005723F6"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5723F6">
        <w:rPr>
          <w:rFonts w:ascii="Times New Roman" w:hAnsi="Times New Roman" w:cs="Times New Roman"/>
          <w:sz w:val="24"/>
          <w:szCs w:val="24"/>
        </w:rPr>
        <w:t xml:space="preserve">Seo, M. H., Park, J., Kim, E., </w:t>
      </w:r>
      <w:proofErr w:type="spellStart"/>
      <w:r w:rsidRPr="005723F6">
        <w:rPr>
          <w:rFonts w:ascii="Times New Roman" w:hAnsi="Times New Roman" w:cs="Times New Roman"/>
          <w:sz w:val="24"/>
          <w:szCs w:val="24"/>
        </w:rPr>
        <w:t>Hohng</w:t>
      </w:r>
      <w:proofErr w:type="spellEnd"/>
      <w:r w:rsidRPr="005723F6">
        <w:rPr>
          <w:rFonts w:ascii="Times New Roman" w:hAnsi="Times New Roman" w:cs="Times New Roman"/>
          <w:sz w:val="24"/>
          <w:szCs w:val="24"/>
        </w:rPr>
        <w:t>, S., and Kim, H. S. (2014). Protein conformational dynamics dictate the binding affinity for a ligand. Nature communications, 5(1): 1-7.</w:t>
      </w:r>
    </w:p>
    <w:p w14:paraId="1CC6C3EF"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 xml:space="preserve">Sharma, M., Akhter, M. S., Roy, S., and </w:t>
      </w:r>
      <w:proofErr w:type="spellStart"/>
      <w:r w:rsidRPr="00F41152">
        <w:rPr>
          <w:rFonts w:ascii="Times New Roman" w:hAnsi="Times New Roman" w:cs="Times New Roman"/>
          <w:sz w:val="24"/>
          <w:szCs w:val="24"/>
          <w:shd w:val="clear" w:color="auto" w:fill="FFFFFF"/>
        </w:rPr>
        <w:t>Srejon</w:t>
      </w:r>
      <w:proofErr w:type="spellEnd"/>
      <w:r w:rsidRPr="00F41152">
        <w:rPr>
          <w:rFonts w:ascii="Times New Roman" w:hAnsi="Times New Roman" w:cs="Times New Roman"/>
          <w:sz w:val="24"/>
          <w:szCs w:val="24"/>
          <w:shd w:val="clear" w:color="auto" w:fill="FFFFFF"/>
        </w:rPr>
        <w:t>, R. (2025). Future issues in global health: challenges and conundrums. </w:t>
      </w:r>
      <w:r w:rsidRPr="00F41152">
        <w:rPr>
          <w:rFonts w:ascii="Times New Roman" w:hAnsi="Times New Roman" w:cs="Times New Roman"/>
          <w:i/>
          <w:iCs/>
          <w:sz w:val="24"/>
          <w:szCs w:val="24"/>
          <w:shd w:val="clear" w:color="auto" w:fill="FFFFFF"/>
        </w:rPr>
        <w:t>International Journal of Environmental Research and Public Health</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22</w:t>
      </w:r>
      <w:r w:rsidRPr="00F41152">
        <w:rPr>
          <w:rFonts w:ascii="Times New Roman" w:hAnsi="Times New Roman" w:cs="Times New Roman"/>
          <w:sz w:val="24"/>
          <w:szCs w:val="24"/>
          <w:shd w:val="clear" w:color="auto" w:fill="FFFFFF"/>
        </w:rPr>
        <w:t>(3), 325</w:t>
      </w:r>
    </w:p>
    <w:p w14:paraId="105779B9"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rPr>
      </w:pPr>
      <w:r w:rsidRPr="00F41152">
        <w:rPr>
          <w:rFonts w:ascii="Times New Roman" w:hAnsi="Times New Roman" w:cs="Times New Roman"/>
          <w:sz w:val="24"/>
          <w:szCs w:val="24"/>
        </w:rPr>
        <w:t xml:space="preserve">Shukla, R., and Tripathi, T. (2020). Molecular dynamics simulation of protein and protein–ligand complexes. In Computer aided drug design (pp. 133–161). </w:t>
      </w:r>
    </w:p>
    <w:p w14:paraId="06E57624" w14:textId="77777777" w:rsidR="00BF33D9" w:rsidRPr="00F41152" w:rsidRDefault="00BF33D9" w:rsidP="00F41152">
      <w:pPr>
        <w:pStyle w:val="ListParagraph"/>
        <w:numPr>
          <w:ilvl w:val="0"/>
          <w:numId w:val="1"/>
        </w:numPr>
        <w:spacing w:line="360" w:lineRule="auto"/>
        <w:jc w:val="both"/>
        <w:rPr>
          <w:rFonts w:ascii="Times New Roman" w:hAnsi="Times New Roman" w:cs="Times New Roman"/>
          <w:sz w:val="24"/>
          <w:szCs w:val="24"/>
          <w:shd w:val="clear" w:color="auto" w:fill="FFFFFF"/>
        </w:rPr>
      </w:pPr>
      <w:r w:rsidRPr="00F41152">
        <w:rPr>
          <w:rFonts w:ascii="Times New Roman" w:hAnsi="Times New Roman" w:cs="Times New Roman"/>
          <w:sz w:val="24"/>
          <w:szCs w:val="24"/>
          <w:shd w:val="clear" w:color="auto" w:fill="FFFFFF"/>
        </w:rPr>
        <w:t xml:space="preserve">Sukhachev, V. S., Dmitriev, A. V., Ivanov, S. M., </w:t>
      </w:r>
      <w:proofErr w:type="spellStart"/>
      <w:r w:rsidRPr="00F41152">
        <w:rPr>
          <w:rFonts w:ascii="Times New Roman" w:hAnsi="Times New Roman" w:cs="Times New Roman"/>
          <w:sz w:val="24"/>
          <w:szCs w:val="24"/>
          <w:shd w:val="clear" w:color="auto" w:fill="FFFFFF"/>
        </w:rPr>
        <w:t>Savosina</w:t>
      </w:r>
      <w:proofErr w:type="spellEnd"/>
      <w:r w:rsidRPr="00F41152">
        <w:rPr>
          <w:rFonts w:ascii="Times New Roman" w:hAnsi="Times New Roman" w:cs="Times New Roman"/>
          <w:sz w:val="24"/>
          <w:szCs w:val="24"/>
          <w:shd w:val="clear" w:color="auto" w:fill="FFFFFF"/>
        </w:rPr>
        <w:t xml:space="preserve">, P. I., </w:t>
      </w:r>
      <w:proofErr w:type="spellStart"/>
      <w:r w:rsidRPr="00F41152">
        <w:rPr>
          <w:rFonts w:ascii="Times New Roman" w:hAnsi="Times New Roman" w:cs="Times New Roman"/>
          <w:sz w:val="24"/>
          <w:szCs w:val="24"/>
          <w:shd w:val="clear" w:color="auto" w:fill="FFFFFF"/>
        </w:rPr>
        <w:t>Druzhilovskiy</w:t>
      </w:r>
      <w:proofErr w:type="spellEnd"/>
      <w:r w:rsidRPr="00F41152">
        <w:rPr>
          <w:rFonts w:ascii="Times New Roman" w:hAnsi="Times New Roman" w:cs="Times New Roman"/>
          <w:sz w:val="24"/>
          <w:szCs w:val="24"/>
          <w:shd w:val="clear" w:color="auto" w:fill="FFFFFF"/>
        </w:rPr>
        <w:t>, D. S., Filimonov, D. A., and Poroikov, V. V. (2024). Assessment of the efficiency of selecting promising compounds during virtual screening based on various estimations of drug-likeness. </w:t>
      </w:r>
      <w:r w:rsidRPr="00F41152">
        <w:rPr>
          <w:rFonts w:ascii="Times New Roman" w:hAnsi="Times New Roman" w:cs="Times New Roman"/>
          <w:i/>
          <w:iCs/>
          <w:sz w:val="24"/>
          <w:szCs w:val="24"/>
          <w:shd w:val="clear" w:color="auto" w:fill="FFFFFF"/>
        </w:rPr>
        <w:t>Pharmaceutical Chemistry Journal</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58</w:t>
      </w:r>
      <w:r w:rsidRPr="00F41152">
        <w:rPr>
          <w:rFonts w:ascii="Times New Roman" w:hAnsi="Times New Roman" w:cs="Times New Roman"/>
          <w:sz w:val="24"/>
          <w:szCs w:val="24"/>
          <w:shd w:val="clear" w:color="auto" w:fill="FFFFFF"/>
        </w:rPr>
        <w:t>(9), 1388-1396.</w:t>
      </w:r>
    </w:p>
    <w:p w14:paraId="2BF204F1" w14:textId="77777777" w:rsidR="00BF33D9" w:rsidRPr="00F41152" w:rsidRDefault="00BF33D9" w:rsidP="00F41152">
      <w:pPr>
        <w:pStyle w:val="ListParagraph"/>
        <w:numPr>
          <w:ilvl w:val="0"/>
          <w:numId w:val="1"/>
        </w:numPr>
        <w:shd w:val="clear" w:color="auto" w:fill="FFFFFF"/>
        <w:spacing w:after="0" w:line="360" w:lineRule="auto"/>
        <w:jc w:val="both"/>
        <w:rPr>
          <w:rFonts w:ascii="Times New Roman" w:eastAsia="Times New Roman" w:hAnsi="Times New Roman" w:cs="Times New Roman"/>
          <w:sz w:val="24"/>
          <w:szCs w:val="24"/>
        </w:rPr>
      </w:pPr>
      <w:proofErr w:type="spellStart"/>
      <w:r w:rsidRPr="00F41152">
        <w:rPr>
          <w:rFonts w:ascii="Times New Roman" w:eastAsia="Times New Roman" w:hAnsi="Times New Roman" w:cs="Times New Roman"/>
          <w:sz w:val="24"/>
          <w:szCs w:val="24"/>
        </w:rPr>
        <w:t>Thellier</w:t>
      </w:r>
      <w:proofErr w:type="spellEnd"/>
      <w:r w:rsidRPr="00F41152">
        <w:rPr>
          <w:rFonts w:ascii="Times New Roman" w:eastAsia="Times New Roman" w:hAnsi="Times New Roman" w:cs="Times New Roman"/>
          <w:sz w:val="24"/>
          <w:szCs w:val="24"/>
        </w:rPr>
        <w:t xml:space="preserve">, M., </w:t>
      </w:r>
      <w:proofErr w:type="spellStart"/>
      <w:r w:rsidRPr="00F41152">
        <w:rPr>
          <w:rFonts w:ascii="Times New Roman" w:eastAsia="Times New Roman" w:hAnsi="Times New Roman" w:cs="Times New Roman"/>
          <w:sz w:val="24"/>
          <w:szCs w:val="24"/>
        </w:rPr>
        <w:t>Gemegah</w:t>
      </w:r>
      <w:proofErr w:type="spellEnd"/>
      <w:r w:rsidRPr="00F41152">
        <w:rPr>
          <w:rFonts w:ascii="Times New Roman" w:eastAsia="Times New Roman" w:hAnsi="Times New Roman" w:cs="Times New Roman"/>
          <w:sz w:val="24"/>
          <w:szCs w:val="24"/>
        </w:rPr>
        <w:t xml:space="preserve">, A.A.J., and </w:t>
      </w:r>
      <w:proofErr w:type="spellStart"/>
      <w:r w:rsidRPr="00F41152">
        <w:rPr>
          <w:rFonts w:ascii="Times New Roman" w:eastAsia="Times New Roman" w:hAnsi="Times New Roman" w:cs="Times New Roman"/>
          <w:sz w:val="24"/>
          <w:szCs w:val="24"/>
        </w:rPr>
        <w:t>Tantaoui</w:t>
      </w:r>
      <w:proofErr w:type="spellEnd"/>
      <w:r w:rsidRPr="00F41152">
        <w:rPr>
          <w:rFonts w:ascii="Times New Roman" w:eastAsia="Times New Roman" w:hAnsi="Times New Roman" w:cs="Times New Roman"/>
          <w:sz w:val="24"/>
          <w:szCs w:val="24"/>
        </w:rPr>
        <w:t>, I. Global Fight against Malaria: Goals and Achievements 1900–2022. </w:t>
      </w:r>
      <w:r w:rsidRPr="00F41152">
        <w:rPr>
          <w:rFonts w:ascii="Times New Roman" w:eastAsia="Times New Roman" w:hAnsi="Times New Roman" w:cs="Times New Roman"/>
          <w:i/>
          <w:iCs/>
          <w:sz w:val="24"/>
          <w:szCs w:val="24"/>
        </w:rPr>
        <w:t>J. Clin. Med.</w:t>
      </w:r>
      <w:r w:rsidRPr="00F41152">
        <w:rPr>
          <w:rFonts w:ascii="Times New Roman" w:eastAsia="Times New Roman" w:hAnsi="Times New Roman" w:cs="Times New Roman"/>
          <w:sz w:val="24"/>
          <w:szCs w:val="24"/>
        </w:rPr>
        <w:t> </w:t>
      </w:r>
      <w:r w:rsidRPr="00F41152">
        <w:rPr>
          <w:rFonts w:ascii="Times New Roman" w:eastAsia="Times New Roman" w:hAnsi="Times New Roman" w:cs="Times New Roman"/>
          <w:bCs/>
          <w:sz w:val="24"/>
          <w:szCs w:val="24"/>
        </w:rPr>
        <w:t>2024</w:t>
      </w:r>
      <w:r w:rsidRPr="00F41152">
        <w:rPr>
          <w:rFonts w:ascii="Times New Roman" w:eastAsia="Times New Roman" w:hAnsi="Times New Roman" w:cs="Times New Roman"/>
          <w:sz w:val="24"/>
          <w:szCs w:val="24"/>
        </w:rPr>
        <w:t>, </w:t>
      </w:r>
      <w:r w:rsidRPr="00F41152">
        <w:rPr>
          <w:rFonts w:ascii="Times New Roman" w:eastAsia="Times New Roman" w:hAnsi="Times New Roman" w:cs="Times New Roman"/>
          <w:i/>
          <w:iCs/>
          <w:sz w:val="24"/>
          <w:szCs w:val="24"/>
        </w:rPr>
        <w:t>13</w:t>
      </w:r>
      <w:r w:rsidRPr="00F41152">
        <w:rPr>
          <w:rFonts w:ascii="Times New Roman" w:eastAsia="Times New Roman" w:hAnsi="Times New Roman" w:cs="Times New Roman"/>
          <w:sz w:val="24"/>
          <w:szCs w:val="24"/>
        </w:rPr>
        <w:t>, 5680.</w:t>
      </w:r>
    </w:p>
    <w:p w14:paraId="7EB45E6C" w14:textId="77777777" w:rsidR="00BF33D9" w:rsidRPr="00F41152" w:rsidRDefault="00BF33D9" w:rsidP="00F41152">
      <w:pPr>
        <w:pStyle w:val="ListParagraph"/>
        <w:numPr>
          <w:ilvl w:val="0"/>
          <w:numId w:val="1"/>
        </w:numPr>
        <w:shd w:val="clear" w:color="auto" w:fill="FFFFFF"/>
        <w:spacing w:after="0" w:line="360" w:lineRule="auto"/>
        <w:jc w:val="both"/>
        <w:rPr>
          <w:rFonts w:ascii="Times New Roman" w:eastAsia="Times New Roman" w:hAnsi="Times New Roman" w:cs="Times New Roman"/>
          <w:sz w:val="24"/>
          <w:szCs w:val="24"/>
        </w:rPr>
      </w:pPr>
      <w:r w:rsidRPr="00F41152">
        <w:rPr>
          <w:rFonts w:ascii="Times New Roman" w:eastAsia="Times New Roman" w:hAnsi="Times New Roman" w:cs="Times New Roman"/>
          <w:sz w:val="24"/>
          <w:szCs w:val="24"/>
        </w:rPr>
        <w:t xml:space="preserve">Weiss, D.J., </w:t>
      </w:r>
      <w:proofErr w:type="spellStart"/>
      <w:r w:rsidRPr="00F41152">
        <w:rPr>
          <w:rFonts w:ascii="Times New Roman" w:eastAsia="Times New Roman" w:hAnsi="Times New Roman" w:cs="Times New Roman"/>
          <w:sz w:val="24"/>
          <w:szCs w:val="24"/>
        </w:rPr>
        <w:t>Dzianach</w:t>
      </w:r>
      <w:proofErr w:type="spellEnd"/>
      <w:r w:rsidRPr="00F41152">
        <w:rPr>
          <w:rFonts w:ascii="Times New Roman" w:eastAsia="Times New Roman" w:hAnsi="Times New Roman" w:cs="Times New Roman"/>
          <w:sz w:val="24"/>
          <w:szCs w:val="24"/>
        </w:rPr>
        <w:t xml:space="preserve">, P.A., Saddler, A., Lubinda, J., Browne, A., McPhail, M., </w:t>
      </w:r>
      <w:proofErr w:type="spellStart"/>
      <w:r w:rsidRPr="00F41152">
        <w:rPr>
          <w:rFonts w:ascii="Times New Roman" w:eastAsia="Times New Roman" w:hAnsi="Times New Roman" w:cs="Times New Roman"/>
          <w:sz w:val="24"/>
          <w:szCs w:val="24"/>
        </w:rPr>
        <w:t>umisha</w:t>
      </w:r>
      <w:proofErr w:type="spellEnd"/>
      <w:r w:rsidRPr="00F41152">
        <w:rPr>
          <w:rFonts w:ascii="Times New Roman" w:eastAsia="Times New Roman" w:hAnsi="Times New Roman" w:cs="Times New Roman"/>
          <w:sz w:val="24"/>
          <w:szCs w:val="24"/>
        </w:rPr>
        <w:t xml:space="preserve">, S.F., Sanna, F., </w:t>
      </w:r>
      <w:proofErr w:type="spellStart"/>
      <w:r w:rsidRPr="00F41152">
        <w:rPr>
          <w:rFonts w:ascii="Times New Roman" w:eastAsia="Times New Roman" w:hAnsi="Times New Roman" w:cs="Times New Roman"/>
          <w:sz w:val="24"/>
          <w:szCs w:val="24"/>
        </w:rPr>
        <w:t>Gelaw</w:t>
      </w:r>
      <w:proofErr w:type="spellEnd"/>
      <w:r w:rsidRPr="00F41152">
        <w:rPr>
          <w:rFonts w:ascii="Times New Roman" w:eastAsia="Times New Roman" w:hAnsi="Times New Roman" w:cs="Times New Roman"/>
          <w:sz w:val="24"/>
          <w:szCs w:val="24"/>
        </w:rPr>
        <w:t xml:space="preserve">, Y., Kiss, J.B (2025). Mapping the global prevalence, incidence, and mortality of </w:t>
      </w:r>
      <w:r w:rsidRPr="00F41152">
        <w:rPr>
          <w:rFonts w:ascii="Times New Roman" w:eastAsia="Times New Roman" w:hAnsi="Times New Roman" w:cs="Times New Roman"/>
          <w:i/>
          <w:sz w:val="24"/>
          <w:szCs w:val="24"/>
        </w:rPr>
        <w:t>Plasmodium falciparum</w:t>
      </w:r>
      <w:r w:rsidRPr="00F41152">
        <w:rPr>
          <w:rFonts w:ascii="Times New Roman" w:eastAsia="Times New Roman" w:hAnsi="Times New Roman" w:cs="Times New Roman"/>
          <w:sz w:val="24"/>
          <w:szCs w:val="24"/>
        </w:rPr>
        <w:t xml:space="preserve"> and </w:t>
      </w:r>
      <w:r w:rsidRPr="00F41152">
        <w:rPr>
          <w:rFonts w:ascii="Times New Roman" w:eastAsia="Times New Roman" w:hAnsi="Times New Roman" w:cs="Times New Roman"/>
          <w:i/>
          <w:sz w:val="24"/>
          <w:szCs w:val="24"/>
        </w:rPr>
        <w:t>Plasmodium vivax</w:t>
      </w:r>
      <w:r w:rsidRPr="00F41152">
        <w:rPr>
          <w:rFonts w:ascii="Times New Roman" w:eastAsia="Times New Roman" w:hAnsi="Times New Roman" w:cs="Times New Roman"/>
          <w:sz w:val="24"/>
          <w:szCs w:val="24"/>
        </w:rPr>
        <w:t xml:space="preserve"> malaria, 2000–22: A spatial and temporal modelling study. </w:t>
      </w:r>
      <w:r w:rsidRPr="00F41152">
        <w:rPr>
          <w:rFonts w:ascii="Times New Roman" w:eastAsia="Times New Roman" w:hAnsi="Times New Roman" w:cs="Times New Roman"/>
          <w:i/>
          <w:iCs/>
          <w:sz w:val="24"/>
          <w:szCs w:val="24"/>
        </w:rPr>
        <w:t>Lancet</w:t>
      </w:r>
      <w:r w:rsidRPr="00F41152">
        <w:rPr>
          <w:rFonts w:ascii="Times New Roman" w:eastAsia="Times New Roman" w:hAnsi="Times New Roman" w:cs="Times New Roman"/>
          <w:sz w:val="24"/>
          <w:szCs w:val="24"/>
        </w:rPr>
        <w:t> </w:t>
      </w:r>
      <w:r w:rsidRPr="00F41152">
        <w:rPr>
          <w:rFonts w:ascii="Times New Roman" w:eastAsia="Times New Roman" w:hAnsi="Times New Roman" w:cs="Times New Roman"/>
          <w:b/>
          <w:bCs/>
          <w:sz w:val="24"/>
          <w:szCs w:val="24"/>
        </w:rPr>
        <w:t>2025</w:t>
      </w:r>
      <w:r w:rsidRPr="00F41152">
        <w:rPr>
          <w:rFonts w:ascii="Times New Roman" w:eastAsia="Times New Roman" w:hAnsi="Times New Roman" w:cs="Times New Roman"/>
          <w:sz w:val="24"/>
          <w:szCs w:val="24"/>
        </w:rPr>
        <w:t>, </w:t>
      </w:r>
      <w:r w:rsidRPr="00F41152">
        <w:rPr>
          <w:rFonts w:ascii="Times New Roman" w:eastAsia="Times New Roman" w:hAnsi="Times New Roman" w:cs="Times New Roman"/>
          <w:i/>
          <w:iCs/>
          <w:sz w:val="24"/>
          <w:szCs w:val="24"/>
        </w:rPr>
        <w:t>405</w:t>
      </w:r>
      <w:r w:rsidRPr="00F41152">
        <w:rPr>
          <w:rFonts w:ascii="Times New Roman" w:eastAsia="Times New Roman" w:hAnsi="Times New Roman" w:cs="Times New Roman"/>
          <w:sz w:val="24"/>
          <w:szCs w:val="24"/>
        </w:rPr>
        <w:t>, 979–990.</w:t>
      </w:r>
    </w:p>
    <w:p w14:paraId="6897635F" w14:textId="77777777" w:rsidR="00BF33D9" w:rsidRPr="00F41152" w:rsidRDefault="00BF33D9" w:rsidP="00F41152">
      <w:pPr>
        <w:pStyle w:val="ListParagraph"/>
        <w:numPr>
          <w:ilvl w:val="0"/>
          <w:numId w:val="1"/>
        </w:numPr>
        <w:spacing w:before="100" w:beforeAutospacing="1" w:after="100" w:afterAutospacing="1" w:line="360" w:lineRule="auto"/>
        <w:jc w:val="both"/>
        <w:rPr>
          <w:rFonts w:ascii="Times New Roman" w:hAnsi="Times New Roman" w:cs="Times New Roman"/>
          <w:sz w:val="24"/>
          <w:szCs w:val="24"/>
          <w:shd w:val="clear" w:color="auto" w:fill="FFFFFF"/>
        </w:rPr>
      </w:pPr>
      <w:proofErr w:type="spellStart"/>
      <w:r w:rsidRPr="00F41152">
        <w:rPr>
          <w:rFonts w:ascii="Times New Roman" w:hAnsi="Times New Roman" w:cs="Times New Roman"/>
          <w:sz w:val="24"/>
          <w:szCs w:val="24"/>
          <w:shd w:val="clear" w:color="auto" w:fill="FFFFFF"/>
        </w:rPr>
        <w:lastRenderedPageBreak/>
        <w:t>Zambare</w:t>
      </w:r>
      <w:proofErr w:type="spellEnd"/>
      <w:r w:rsidRPr="00F41152">
        <w:rPr>
          <w:rFonts w:ascii="Times New Roman" w:hAnsi="Times New Roman" w:cs="Times New Roman"/>
          <w:sz w:val="24"/>
          <w:szCs w:val="24"/>
          <w:shd w:val="clear" w:color="auto" w:fill="FFFFFF"/>
        </w:rPr>
        <w:t xml:space="preserve">, K. K., </w:t>
      </w:r>
      <w:proofErr w:type="spellStart"/>
      <w:r w:rsidRPr="00F41152">
        <w:rPr>
          <w:rFonts w:ascii="Times New Roman" w:hAnsi="Times New Roman" w:cs="Times New Roman"/>
          <w:sz w:val="24"/>
          <w:szCs w:val="24"/>
          <w:shd w:val="clear" w:color="auto" w:fill="FFFFFF"/>
        </w:rPr>
        <w:t>Thalkari</w:t>
      </w:r>
      <w:proofErr w:type="spellEnd"/>
      <w:r w:rsidRPr="00F41152">
        <w:rPr>
          <w:rFonts w:ascii="Times New Roman" w:hAnsi="Times New Roman" w:cs="Times New Roman"/>
          <w:sz w:val="24"/>
          <w:szCs w:val="24"/>
          <w:shd w:val="clear" w:color="auto" w:fill="FFFFFF"/>
        </w:rPr>
        <w:t xml:space="preserve">, A. B., and Tour, N. S. (2019). A review on pathophysiology of malaria: </w:t>
      </w:r>
      <w:proofErr w:type="spellStart"/>
      <w:proofErr w:type="gramStart"/>
      <w:r w:rsidRPr="00F41152">
        <w:rPr>
          <w:rFonts w:ascii="Times New Roman" w:hAnsi="Times New Roman" w:cs="Times New Roman"/>
          <w:sz w:val="24"/>
          <w:szCs w:val="24"/>
          <w:shd w:val="clear" w:color="auto" w:fill="FFFFFF"/>
        </w:rPr>
        <w:t>a</w:t>
      </w:r>
      <w:proofErr w:type="spellEnd"/>
      <w:proofErr w:type="gramEnd"/>
      <w:r w:rsidRPr="00F41152">
        <w:rPr>
          <w:rFonts w:ascii="Times New Roman" w:hAnsi="Times New Roman" w:cs="Times New Roman"/>
          <w:sz w:val="24"/>
          <w:szCs w:val="24"/>
          <w:shd w:val="clear" w:color="auto" w:fill="FFFFFF"/>
        </w:rPr>
        <w:t xml:space="preserve"> overview of etiology, life cycle of malarial parasite, clinical signs, diagnosis and complications. </w:t>
      </w:r>
      <w:r w:rsidRPr="00F41152">
        <w:rPr>
          <w:rFonts w:ascii="Times New Roman" w:hAnsi="Times New Roman" w:cs="Times New Roman"/>
          <w:i/>
          <w:iCs/>
          <w:sz w:val="24"/>
          <w:szCs w:val="24"/>
          <w:shd w:val="clear" w:color="auto" w:fill="FFFFFF"/>
        </w:rPr>
        <w:t>Asian Journal of Research in Pharmaceutical Science</w:t>
      </w:r>
      <w:r w:rsidRPr="00F41152">
        <w:rPr>
          <w:rFonts w:ascii="Times New Roman" w:hAnsi="Times New Roman" w:cs="Times New Roman"/>
          <w:sz w:val="24"/>
          <w:szCs w:val="24"/>
          <w:shd w:val="clear" w:color="auto" w:fill="FFFFFF"/>
        </w:rPr>
        <w:t>, </w:t>
      </w:r>
      <w:r w:rsidRPr="00F41152">
        <w:rPr>
          <w:rFonts w:ascii="Times New Roman" w:hAnsi="Times New Roman" w:cs="Times New Roman"/>
          <w:i/>
          <w:iCs/>
          <w:sz w:val="24"/>
          <w:szCs w:val="24"/>
          <w:shd w:val="clear" w:color="auto" w:fill="FFFFFF"/>
        </w:rPr>
        <w:t>9</w:t>
      </w:r>
      <w:r w:rsidRPr="00F41152">
        <w:rPr>
          <w:rFonts w:ascii="Times New Roman" w:hAnsi="Times New Roman" w:cs="Times New Roman"/>
          <w:sz w:val="24"/>
          <w:szCs w:val="24"/>
          <w:shd w:val="clear" w:color="auto" w:fill="FFFFFF"/>
        </w:rPr>
        <w:t>(3), 226.</w:t>
      </w:r>
    </w:p>
    <w:p w14:paraId="12CC2362" w14:textId="77777777" w:rsidR="00F41152" w:rsidRPr="00FC6307" w:rsidRDefault="00BF33D9" w:rsidP="00353A76">
      <w:pPr>
        <w:pStyle w:val="ListParagraph"/>
        <w:numPr>
          <w:ilvl w:val="0"/>
          <w:numId w:val="1"/>
        </w:numPr>
        <w:spacing w:line="360" w:lineRule="auto"/>
        <w:jc w:val="both"/>
        <w:rPr>
          <w:rFonts w:ascii="Times New Roman" w:hAnsi="Times New Roman" w:cs="Times New Roman"/>
          <w:sz w:val="24"/>
          <w:szCs w:val="24"/>
        </w:rPr>
      </w:pPr>
      <w:r w:rsidRPr="00FC6307">
        <w:rPr>
          <w:rFonts w:ascii="Times New Roman" w:hAnsi="Times New Roman" w:cs="Times New Roman"/>
          <w:sz w:val="24"/>
          <w:szCs w:val="24"/>
          <w:shd w:val="clear" w:color="auto" w:fill="FFFFFF"/>
        </w:rPr>
        <w:t xml:space="preserve">Zhang, F., Masania, J., Anwar, A., Xue, M., Zehnder, D., Kanji, H., and </w:t>
      </w:r>
      <w:proofErr w:type="spellStart"/>
      <w:r w:rsidRPr="00FC6307">
        <w:rPr>
          <w:rFonts w:ascii="Times New Roman" w:hAnsi="Times New Roman" w:cs="Times New Roman"/>
          <w:sz w:val="24"/>
          <w:szCs w:val="24"/>
          <w:shd w:val="clear" w:color="auto" w:fill="FFFFFF"/>
        </w:rPr>
        <w:t>Thornalley</w:t>
      </w:r>
      <w:proofErr w:type="spellEnd"/>
      <w:r w:rsidRPr="00FC6307">
        <w:rPr>
          <w:rFonts w:ascii="Times New Roman" w:hAnsi="Times New Roman" w:cs="Times New Roman"/>
          <w:sz w:val="24"/>
          <w:szCs w:val="24"/>
          <w:shd w:val="clear" w:color="auto" w:fill="FFFFFF"/>
        </w:rPr>
        <w:t xml:space="preserve">, P. J. (2016). The uremic toxin </w:t>
      </w:r>
      <w:proofErr w:type="spellStart"/>
      <w:r w:rsidRPr="00FC6307">
        <w:rPr>
          <w:rFonts w:ascii="Times New Roman" w:hAnsi="Times New Roman" w:cs="Times New Roman"/>
          <w:sz w:val="24"/>
          <w:szCs w:val="24"/>
          <w:shd w:val="clear" w:color="auto" w:fill="FFFFFF"/>
        </w:rPr>
        <w:t>oxythiamine</w:t>
      </w:r>
      <w:proofErr w:type="spellEnd"/>
      <w:r w:rsidRPr="00FC6307">
        <w:rPr>
          <w:rFonts w:ascii="Times New Roman" w:hAnsi="Times New Roman" w:cs="Times New Roman"/>
          <w:sz w:val="24"/>
          <w:szCs w:val="24"/>
          <w:shd w:val="clear" w:color="auto" w:fill="FFFFFF"/>
        </w:rPr>
        <w:t xml:space="preserve"> causes functional thiamine deficiency in end-stage renal disease by inhibiting transketolase activity. </w:t>
      </w:r>
      <w:r w:rsidRPr="00FC6307">
        <w:rPr>
          <w:rFonts w:ascii="Times New Roman" w:hAnsi="Times New Roman" w:cs="Times New Roman"/>
          <w:i/>
          <w:iCs/>
          <w:sz w:val="24"/>
          <w:szCs w:val="24"/>
          <w:shd w:val="clear" w:color="auto" w:fill="FFFFFF"/>
        </w:rPr>
        <w:t>Kidney international</w:t>
      </w:r>
      <w:r w:rsidRPr="00FC6307">
        <w:rPr>
          <w:rFonts w:ascii="Times New Roman" w:hAnsi="Times New Roman" w:cs="Times New Roman"/>
          <w:sz w:val="24"/>
          <w:szCs w:val="24"/>
          <w:shd w:val="clear" w:color="auto" w:fill="FFFFFF"/>
        </w:rPr>
        <w:t>, </w:t>
      </w:r>
      <w:r w:rsidRPr="00FC6307">
        <w:rPr>
          <w:rFonts w:ascii="Times New Roman" w:hAnsi="Times New Roman" w:cs="Times New Roman"/>
          <w:i/>
          <w:iCs/>
          <w:sz w:val="24"/>
          <w:szCs w:val="24"/>
          <w:shd w:val="clear" w:color="auto" w:fill="FFFFFF"/>
        </w:rPr>
        <w:t>90</w:t>
      </w:r>
      <w:r w:rsidRPr="00FC6307">
        <w:rPr>
          <w:rFonts w:ascii="Times New Roman" w:hAnsi="Times New Roman" w:cs="Times New Roman"/>
          <w:sz w:val="24"/>
          <w:szCs w:val="24"/>
          <w:shd w:val="clear" w:color="auto" w:fill="FFFFFF"/>
        </w:rPr>
        <w:t>(2), 396-403.</w:t>
      </w:r>
    </w:p>
    <w:p w14:paraId="3C762159" w14:textId="77777777" w:rsidR="00FC6307" w:rsidRPr="00FC6307" w:rsidRDefault="00FC6307" w:rsidP="00353A76">
      <w:pPr>
        <w:pStyle w:val="ListParagraph"/>
        <w:numPr>
          <w:ilvl w:val="0"/>
          <w:numId w:val="1"/>
        </w:numPr>
        <w:spacing w:line="360" w:lineRule="auto"/>
        <w:jc w:val="both"/>
        <w:rPr>
          <w:rFonts w:ascii="Times New Roman" w:hAnsi="Times New Roman" w:cs="Times New Roman"/>
          <w:sz w:val="24"/>
          <w:szCs w:val="24"/>
        </w:rPr>
      </w:pPr>
      <w:r w:rsidRPr="00FC6307">
        <w:rPr>
          <w:rFonts w:ascii="Times New Roman" w:hAnsi="Times New Roman" w:cs="Times New Roman"/>
          <w:sz w:val="24"/>
          <w:szCs w:val="24"/>
        </w:rPr>
        <w:t>Zhang A, Meng K, Liu Y, Pan Y, Qu W, Chen D</w:t>
      </w:r>
      <w:r>
        <w:rPr>
          <w:rFonts w:ascii="Times New Roman" w:hAnsi="Times New Roman" w:cs="Times New Roman"/>
          <w:sz w:val="24"/>
          <w:szCs w:val="24"/>
        </w:rPr>
        <w:t xml:space="preserve"> and</w:t>
      </w:r>
      <w:r w:rsidRPr="00FC6307">
        <w:rPr>
          <w:rFonts w:ascii="Times New Roman" w:hAnsi="Times New Roman" w:cs="Times New Roman"/>
          <w:sz w:val="24"/>
          <w:szCs w:val="24"/>
        </w:rPr>
        <w:t xml:space="preserve"> Xie S</w:t>
      </w:r>
      <w:r>
        <w:rPr>
          <w:rFonts w:ascii="Times New Roman" w:hAnsi="Times New Roman" w:cs="Times New Roman"/>
          <w:sz w:val="24"/>
          <w:szCs w:val="24"/>
        </w:rPr>
        <w:t xml:space="preserve"> (2020)</w:t>
      </w:r>
      <w:r w:rsidRPr="00FC6307">
        <w:rPr>
          <w:rFonts w:ascii="Times New Roman" w:hAnsi="Times New Roman" w:cs="Times New Roman"/>
          <w:sz w:val="24"/>
          <w:szCs w:val="24"/>
        </w:rPr>
        <w:t>. Absorption, distribution, metabolism, and excretion of nanocarriers in vivo and their influences. Advances in Colloid and Interface Science. 2020;284: 102261.</w:t>
      </w:r>
    </w:p>
    <w:bookmarkEnd w:id="2"/>
    <w:p w14:paraId="1AEA1665" w14:textId="77777777" w:rsidR="003E388A" w:rsidRPr="00DB4A33" w:rsidRDefault="003E388A" w:rsidP="00DB4A33">
      <w:pPr>
        <w:spacing w:line="360" w:lineRule="auto"/>
        <w:jc w:val="both"/>
        <w:rPr>
          <w:rFonts w:ascii="Times New Roman" w:hAnsi="Times New Roman" w:cs="Times New Roman"/>
          <w:sz w:val="24"/>
          <w:szCs w:val="24"/>
        </w:rPr>
      </w:pPr>
    </w:p>
    <w:p w14:paraId="2169E9F9" w14:textId="77777777" w:rsidR="003E388A" w:rsidRPr="00DB4A33" w:rsidRDefault="003E388A" w:rsidP="00DB4A33">
      <w:pPr>
        <w:spacing w:line="360" w:lineRule="auto"/>
        <w:jc w:val="both"/>
        <w:rPr>
          <w:rFonts w:ascii="Times New Roman" w:hAnsi="Times New Roman" w:cs="Times New Roman"/>
          <w:sz w:val="24"/>
          <w:szCs w:val="24"/>
        </w:rPr>
      </w:pPr>
    </w:p>
    <w:p w14:paraId="7741C1A8" w14:textId="77777777" w:rsidR="003E388A" w:rsidRPr="00DB4A33" w:rsidRDefault="003E388A" w:rsidP="00DB4A33">
      <w:pPr>
        <w:spacing w:line="360" w:lineRule="auto"/>
        <w:jc w:val="both"/>
        <w:rPr>
          <w:rFonts w:ascii="Times New Roman" w:hAnsi="Times New Roman" w:cs="Times New Roman"/>
          <w:sz w:val="24"/>
          <w:szCs w:val="24"/>
        </w:rPr>
      </w:pPr>
    </w:p>
    <w:sectPr w:rsidR="003E388A" w:rsidRPr="00DB4A33">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8B96B" w14:textId="77777777" w:rsidR="00586368" w:rsidRDefault="00586368" w:rsidP="006E6C7A">
      <w:pPr>
        <w:spacing w:after="0" w:line="240" w:lineRule="auto"/>
      </w:pPr>
      <w:r>
        <w:separator/>
      </w:r>
    </w:p>
  </w:endnote>
  <w:endnote w:type="continuationSeparator" w:id="0">
    <w:p w14:paraId="50961793" w14:textId="77777777" w:rsidR="00586368" w:rsidRDefault="00586368" w:rsidP="006E6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B365" w14:textId="77777777" w:rsidR="001F00EE" w:rsidRDefault="001F00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325947284"/>
      <w:docPartObj>
        <w:docPartGallery w:val="Page Numbers (Bottom of Page)"/>
        <w:docPartUnique/>
      </w:docPartObj>
    </w:sdtPr>
    <w:sdtEndPr>
      <w:rPr>
        <w:noProof/>
      </w:rPr>
    </w:sdtEndPr>
    <w:sdtContent>
      <w:p w14:paraId="166CCCD9" w14:textId="77777777" w:rsidR="00DF5C15" w:rsidRPr="004F64AF" w:rsidRDefault="00DF5C15">
        <w:pPr>
          <w:pStyle w:val="Footer"/>
          <w:jc w:val="center"/>
          <w:rPr>
            <w:rFonts w:ascii="Times New Roman" w:hAnsi="Times New Roman" w:cs="Times New Roman"/>
            <w:sz w:val="24"/>
            <w:szCs w:val="24"/>
          </w:rPr>
        </w:pPr>
        <w:r w:rsidRPr="004F64AF">
          <w:rPr>
            <w:rFonts w:ascii="Times New Roman" w:hAnsi="Times New Roman" w:cs="Times New Roman"/>
            <w:sz w:val="24"/>
            <w:szCs w:val="24"/>
          </w:rPr>
          <w:fldChar w:fldCharType="begin"/>
        </w:r>
        <w:r w:rsidRPr="004F64AF">
          <w:rPr>
            <w:rFonts w:ascii="Times New Roman" w:hAnsi="Times New Roman" w:cs="Times New Roman"/>
            <w:sz w:val="24"/>
            <w:szCs w:val="24"/>
          </w:rPr>
          <w:instrText xml:space="preserve"> PAGE   \* MERGEFORMAT </w:instrText>
        </w:r>
        <w:r w:rsidRPr="004F64AF">
          <w:rPr>
            <w:rFonts w:ascii="Times New Roman" w:hAnsi="Times New Roman" w:cs="Times New Roman"/>
            <w:sz w:val="24"/>
            <w:szCs w:val="24"/>
          </w:rPr>
          <w:fldChar w:fldCharType="separate"/>
        </w:r>
        <w:r w:rsidRPr="004F64AF">
          <w:rPr>
            <w:rFonts w:ascii="Times New Roman" w:hAnsi="Times New Roman" w:cs="Times New Roman"/>
            <w:noProof/>
            <w:sz w:val="24"/>
            <w:szCs w:val="24"/>
          </w:rPr>
          <w:t>19</w:t>
        </w:r>
        <w:r w:rsidRPr="004F64AF">
          <w:rPr>
            <w:rFonts w:ascii="Times New Roman" w:hAnsi="Times New Roman" w:cs="Times New Roman"/>
            <w:noProof/>
            <w:sz w:val="24"/>
            <w:szCs w:val="24"/>
          </w:rPr>
          <w:fldChar w:fldCharType="end"/>
        </w:r>
      </w:p>
    </w:sdtContent>
  </w:sdt>
  <w:p w14:paraId="66FB6DB5" w14:textId="77777777" w:rsidR="00DF5C15" w:rsidRPr="004F64AF" w:rsidRDefault="00DF5C15">
    <w:pPr>
      <w:pStyle w:val="Foo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BC5E" w14:textId="77777777" w:rsidR="001F00EE" w:rsidRDefault="001F0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179CD" w14:textId="77777777" w:rsidR="00586368" w:rsidRDefault="00586368" w:rsidP="006E6C7A">
      <w:pPr>
        <w:spacing w:after="0" w:line="240" w:lineRule="auto"/>
      </w:pPr>
      <w:r>
        <w:separator/>
      </w:r>
    </w:p>
  </w:footnote>
  <w:footnote w:type="continuationSeparator" w:id="0">
    <w:p w14:paraId="7FF07543" w14:textId="77777777" w:rsidR="00586368" w:rsidRDefault="00586368" w:rsidP="006E6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62B5" w14:textId="71E9C7DD" w:rsidR="001F00EE" w:rsidRDefault="001F00EE">
    <w:pPr>
      <w:pStyle w:val="Header"/>
    </w:pPr>
    <w:r>
      <w:rPr>
        <w:noProof/>
      </w:rPr>
      <w:pict w14:anchorId="3D794F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3281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1ACB" w14:textId="7C0AE93C" w:rsidR="001F00EE" w:rsidRDefault="001F00EE">
    <w:pPr>
      <w:pStyle w:val="Header"/>
    </w:pPr>
    <w:r>
      <w:rPr>
        <w:noProof/>
      </w:rPr>
      <w:pict w14:anchorId="2AC253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3281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DC30" w14:textId="607448B8" w:rsidR="001F00EE" w:rsidRDefault="001F00EE">
    <w:pPr>
      <w:pStyle w:val="Header"/>
    </w:pPr>
    <w:r>
      <w:rPr>
        <w:noProof/>
      </w:rPr>
      <w:pict w14:anchorId="48F0FF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3281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A56FC"/>
    <w:multiLevelType w:val="hybridMultilevel"/>
    <w:tmpl w:val="DA7678D0"/>
    <w:lvl w:ilvl="0" w:tplc="29002922">
      <w:start w:val="1"/>
      <w:numFmt w:val="decimal"/>
      <w:lvlText w:val="%1."/>
      <w:lvlJc w:val="left"/>
      <w:pPr>
        <w:ind w:left="99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863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6EB"/>
    <w:rsid w:val="00007556"/>
    <w:rsid w:val="0002068C"/>
    <w:rsid w:val="00024BDF"/>
    <w:rsid w:val="0003077F"/>
    <w:rsid w:val="00046027"/>
    <w:rsid w:val="000474AD"/>
    <w:rsid w:val="00081B05"/>
    <w:rsid w:val="00081F78"/>
    <w:rsid w:val="000863EE"/>
    <w:rsid w:val="000A309F"/>
    <w:rsid w:val="000A7DF2"/>
    <w:rsid w:val="000B0626"/>
    <w:rsid w:val="000D565D"/>
    <w:rsid w:val="000E2008"/>
    <w:rsid w:val="0011048C"/>
    <w:rsid w:val="00112549"/>
    <w:rsid w:val="00143AA7"/>
    <w:rsid w:val="001566FE"/>
    <w:rsid w:val="0016046D"/>
    <w:rsid w:val="001624A5"/>
    <w:rsid w:val="00172774"/>
    <w:rsid w:val="00177F7C"/>
    <w:rsid w:val="00180679"/>
    <w:rsid w:val="001A4F9E"/>
    <w:rsid w:val="001C55DB"/>
    <w:rsid w:val="001E0615"/>
    <w:rsid w:val="001F00EE"/>
    <w:rsid w:val="00200136"/>
    <w:rsid w:val="002154C6"/>
    <w:rsid w:val="002278E2"/>
    <w:rsid w:val="0023556B"/>
    <w:rsid w:val="00260863"/>
    <w:rsid w:val="00266493"/>
    <w:rsid w:val="00281476"/>
    <w:rsid w:val="002912CD"/>
    <w:rsid w:val="00291A6B"/>
    <w:rsid w:val="00294010"/>
    <w:rsid w:val="002B34C3"/>
    <w:rsid w:val="002B4E68"/>
    <w:rsid w:val="002B6884"/>
    <w:rsid w:val="002C2680"/>
    <w:rsid w:val="002D2115"/>
    <w:rsid w:val="002D3507"/>
    <w:rsid w:val="002D3B85"/>
    <w:rsid w:val="002D46F1"/>
    <w:rsid w:val="003343D0"/>
    <w:rsid w:val="003349BB"/>
    <w:rsid w:val="00346284"/>
    <w:rsid w:val="0035360E"/>
    <w:rsid w:val="003602FC"/>
    <w:rsid w:val="00360947"/>
    <w:rsid w:val="00364CE4"/>
    <w:rsid w:val="00393871"/>
    <w:rsid w:val="003B6EF7"/>
    <w:rsid w:val="003C7D02"/>
    <w:rsid w:val="003E08E8"/>
    <w:rsid w:val="003E388A"/>
    <w:rsid w:val="003F31BF"/>
    <w:rsid w:val="0042304D"/>
    <w:rsid w:val="00425F63"/>
    <w:rsid w:val="00426537"/>
    <w:rsid w:val="004516A6"/>
    <w:rsid w:val="00451CE1"/>
    <w:rsid w:val="00451DBC"/>
    <w:rsid w:val="0048265E"/>
    <w:rsid w:val="004C64AC"/>
    <w:rsid w:val="004E112D"/>
    <w:rsid w:val="004F64AF"/>
    <w:rsid w:val="00516704"/>
    <w:rsid w:val="0052098E"/>
    <w:rsid w:val="00550114"/>
    <w:rsid w:val="00566A87"/>
    <w:rsid w:val="005723F6"/>
    <w:rsid w:val="00586368"/>
    <w:rsid w:val="00594DA9"/>
    <w:rsid w:val="005D0459"/>
    <w:rsid w:val="006033B8"/>
    <w:rsid w:val="00617461"/>
    <w:rsid w:val="006725BE"/>
    <w:rsid w:val="00686A48"/>
    <w:rsid w:val="00687612"/>
    <w:rsid w:val="0069695C"/>
    <w:rsid w:val="006A1AE8"/>
    <w:rsid w:val="006E482E"/>
    <w:rsid w:val="006E6C7A"/>
    <w:rsid w:val="006F2E71"/>
    <w:rsid w:val="00700199"/>
    <w:rsid w:val="007071D1"/>
    <w:rsid w:val="0076001F"/>
    <w:rsid w:val="00782198"/>
    <w:rsid w:val="00792969"/>
    <w:rsid w:val="007B79B7"/>
    <w:rsid w:val="007C2CC5"/>
    <w:rsid w:val="00844B22"/>
    <w:rsid w:val="008531BF"/>
    <w:rsid w:val="00854470"/>
    <w:rsid w:val="008656EB"/>
    <w:rsid w:val="008742C9"/>
    <w:rsid w:val="0087446C"/>
    <w:rsid w:val="0088484B"/>
    <w:rsid w:val="008A1A2A"/>
    <w:rsid w:val="008A4B09"/>
    <w:rsid w:val="008B1950"/>
    <w:rsid w:val="008C0053"/>
    <w:rsid w:val="008D235B"/>
    <w:rsid w:val="008D4C50"/>
    <w:rsid w:val="008F0A49"/>
    <w:rsid w:val="008F3470"/>
    <w:rsid w:val="00901276"/>
    <w:rsid w:val="00931929"/>
    <w:rsid w:val="00952B1F"/>
    <w:rsid w:val="00953CAC"/>
    <w:rsid w:val="009678C5"/>
    <w:rsid w:val="00985CCE"/>
    <w:rsid w:val="009A06C7"/>
    <w:rsid w:val="009A6076"/>
    <w:rsid w:val="009E4A43"/>
    <w:rsid w:val="009F0118"/>
    <w:rsid w:val="00A0327B"/>
    <w:rsid w:val="00A10E25"/>
    <w:rsid w:val="00A71C73"/>
    <w:rsid w:val="00AA06C6"/>
    <w:rsid w:val="00AB24BE"/>
    <w:rsid w:val="00AE2BB1"/>
    <w:rsid w:val="00B27FC4"/>
    <w:rsid w:val="00B30792"/>
    <w:rsid w:val="00B42ED7"/>
    <w:rsid w:val="00B67390"/>
    <w:rsid w:val="00B677E8"/>
    <w:rsid w:val="00B91C12"/>
    <w:rsid w:val="00B9219C"/>
    <w:rsid w:val="00B94D0B"/>
    <w:rsid w:val="00B95C9F"/>
    <w:rsid w:val="00B9699D"/>
    <w:rsid w:val="00BA331C"/>
    <w:rsid w:val="00BD2A6E"/>
    <w:rsid w:val="00BD428C"/>
    <w:rsid w:val="00BF33D9"/>
    <w:rsid w:val="00C024EC"/>
    <w:rsid w:val="00C13113"/>
    <w:rsid w:val="00C14B1D"/>
    <w:rsid w:val="00C235BE"/>
    <w:rsid w:val="00C35EE6"/>
    <w:rsid w:val="00C432FA"/>
    <w:rsid w:val="00C52637"/>
    <w:rsid w:val="00C52987"/>
    <w:rsid w:val="00C70EB0"/>
    <w:rsid w:val="00C76C77"/>
    <w:rsid w:val="00CA5746"/>
    <w:rsid w:val="00CC154E"/>
    <w:rsid w:val="00CC3109"/>
    <w:rsid w:val="00CD5C64"/>
    <w:rsid w:val="00CE0F1D"/>
    <w:rsid w:val="00CE2701"/>
    <w:rsid w:val="00D129A3"/>
    <w:rsid w:val="00D46151"/>
    <w:rsid w:val="00D82944"/>
    <w:rsid w:val="00D8421D"/>
    <w:rsid w:val="00DB01A7"/>
    <w:rsid w:val="00DB2001"/>
    <w:rsid w:val="00DB4A33"/>
    <w:rsid w:val="00DC2DC6"/>
    <w:rsid w:val="00DE3AB8"/>
    <w:rsid w:val="00DF4F21"/>
    <w:rsid w:val="00DF5C15"/>
    <w:rsid w:val="00E11AC7"/>
    <w:rsid w:val="00E16CA0"/>
    <w:rsid w:val="00E2066C"/>
    <w:rsid w:val="00E23916"/>
    <w:rsid w:val="00E3224D"/>
    <w:rsid w:val="00E4579E"/>
    <w:rsid w:val="00E70E0F"/>
    <w:rsid w:val="00E86D3B"/>
    <w:rsid w:val="00E87C61"/>
    <w:rsid w:val="00EB4CC2"/>
    <w:rsid w:val="00EB5E82"/>
    <w:rsid w:val="00EC1E42"/>
    <w:rsid w:val="00EC307A"/>
    <w:rsid w:val="00EC3938"/>
    <w:rsid w:val="00F379C0"/>
    <w:rsid w:val="00F41152"/>
    <w:rsid w:val="00F43DA0"/>
    <w:rsid w:val="00F443E7"/>
    <w:rsid w:val="00F4497A"/>
    <w:rsid w:val="00F84893"/>
    <w:rsid w:val="00FA5209"/>
    <w:rsid w:val="00FC347F"/>
    <w:rsid w:val="00FC3FFB"/>
    <w:rsid w:val="00FC48F1"/>
    <w:rsid w:val="00FC6307"/>
    <w:rsid w:val="00FF45A1"/>
    <w:rsid w:val="00FF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1C092"/>
  <w15:chartTrackingRefBased/>
  <w15:docId w15:val="{FD6560B4-0A42-430E-AC06-346A216BB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24D"/>
  </w:style>
  <w:style w:type="paragraph" w:styleId="Heading4">
    <w:name w:val="heading 4"/>
    <w:basedOn w:val="Normal"/>
    <w:link w:val="Heading4Char"/>
    <w:uiPriority w:val="9"/>
    <w:qFormat/>
    <w:rsid w:val="00CA57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claude-response-body">
    <w:name w:val="font-claude-response-body"/>
    <w:basedOn w:val="Normal"/>
    <w:rsid w:val="001604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046D"/>
    <w:rPr>
      <w:i/>
      <w:iCs/>
    </w:rPr>
  </w:style>
  <w:style w:type="character" w:styleId="Strong">
    <w:name w:val="Strong"/>
    <w:basedOn w:val="DefaultParagraphFont"/>
    <w:uiPriority w:val="22"/>
    <w:qFormat/>
    <w:rsid w:val="0016046D"/>
    <w:rPr>
      <w:b/>
      <w:bCs/>
    </w:rPr>
  </w:style>
  <w:style w:type="table" w:styleId="TableGrid">
    <w:name w:val="Table Grid"/>
    <w:basedOn w:val="TableNormal"/>
    <w:uiPriority w:val="39"/>
    <w:rsid w:val="00C23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C7A"/>
  </w:style>
  <w:style w:type="paragraph" w:styleId="Footer">
    <w:name w:val="footer"/>
    <w:basedOn w:val="Normal"/>
    <w:link w:val="FooterChar"/>
    <w:uiPriority w:val="99"/>
    <w:unhideWhenUsed/>
    <w:rsid w:val="006E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C7A"/>
  </w:style>
  <w:style w:type="character" w:styleId="Hyperlink">
    <w:name w:val="Hyperlink"/>
    <w:basedOn w:val="DefaultParagraphFont"/>
    <w:uiPriority w:val="99"/>
    <w:unhideWhenUsed/>
    <w:rsid w:val="00FC48F1"/>
    <w:rPr>
      <w:color w:val="0563C1" w:themeColor="hyperlink"/>
      <w:u w:val="single"/>
    </w:rPr>
  </w:style>
  <w:style w:type="character" w:customStyle="1" w:styleId="Heading4Char">
    <w:name w:val="Heading 4 Char"/>
    <w:basedOn w:val="DefaultParagraphFont"/>
    <w:link w:val="Heading4"/>
    <w:uiPriority w:val="9"/>
    <w:rsid w:val="00CA5746"/>
    <w:rPr>
      <w:rFonts w:ascii="Times New Roman" w:eastAsia="Times New Roman" w:hAnsi="Times New Roman" w:cs="Times New Roman"/>
      <w:b/>
      <w:bCs/>
      <w:sz w:val="24"/>
      <w:szCs w:val="24"/>
    </w:rPr>
  </w:style>
  <w:style w:type="paragraph" w:styleId="ListParagraph">
    <w:name w:val="List Paragraph"/>
    <w:basedOn w:val="Normal"/>
    <w:uiPriority w:val="34"/>
    <w:qFormat/>
    <w:rsid w:val="00F41152"/>
    <w:pPr>
      <w:ind w:left="720"/>
      <w:contextualSpacing/>
    </w:pPr>
  </w:style>
  <w:style w:type="paragraph" w:styleId="NormalWeb">
    <w:name w:val="Normal (Web)"/>
    <w:basedOn w:val="Normal"/>
    <w:uiPriority w:val="99"/>
    <w:unhideWhenUsed/>
    <w:rsid w:val="0070019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20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4798">
      <w:bodyDiv w:val="1"/>
      <w:marLeft w:val="0"/>
      <w:marRight w:val="0"/>
      <w:marTop w:val="0"/>
      <w:marBottom w:val="0"/>
      <w:divBdr>
        <w:top w:val="none" w:sz="0" w:space="0" w:color="auto"/>
        <w:left w:val="none" w:sz="0" w:space="0" w:color="auto"/>
        <w:bottom w:val="none" w:sz="0" w:space="0" w:color="auto"/>
        <w:right w:val="none" w:sz="0" w:space="0" w:color="auto"/>
      </w:divBdr>
    </w:div>
    <w:div w:id="205484690">
      <w:bodyDiv w:val="1"/>
      <w:marLeft w:val="0"/>
      <w:marRight w:val="0"/>
      <w:marTop w:val="0"/>
      <w:marBottom w:val="0"/>
      <w:divBdr>
        <w:top w:val="none" w:sz="0" w:space="0" w:color="auto"/>
        <w:left w:val="none" w:sz="0" w:space="0" w:color="auto"/>
        <w:bottom w:val="none" w:sz="0" w:space="0" w:color="auto"/>
        <w:right w:val="none" w:sz="0" w:space="0" w:color="auto"/>
      </w:divBdr>
    </w:div>
    <w:div w:id="279990524">
      <w:bodyDiv w:val="1"/>
      <w:marLeft w:val="0"/>
      <w:marRight w:val="0"/>
      <w:marTop w:val="0"/>
      <w:marBottom w:val="0"/>
      <w:divBdr>
        <w:top w:val="none" w:sz="0" w:space="0" w:color="auto"/>
        <w:left w:val="none" w:sz="0" w:space="0" w:color="auto"/>
        <w:bottom w:val="none" w:sz="0" w:space="0" w:color="auto"/>
        <w:right w:val="none" w:sz="0" w:space="0" w:color="auto"/>
      </w:divBdr>
    </w:div>
    <w:div w:id="460003256">
      <w:bodyDiv w:val="1"/>
      <w:marLeft w:val="0"/>
      <w:marRight w:val="0"/>
      <w:marTop w:val="0"/>
      <w:marBottom w:val="0"/>
      <w:divBdr>
        <w:top w:val="none" w:sz="0" w:space="0" w:color="auto"/>
        <w:left w:val="none" w:sz="0" w:space="0" w:color="auto"/>
        <w:bottom w:val="none" w:sz="0" w:space="0" w:color="auto"/>
        <w:right w:val="none" w:sz="0" w:space="0" w:color="auto"/>
      </w:divBdr>
    </w:div>
    <w:div w:id="575870339">
      <w:bodyDiv w:val="1"/>
      <w:marLeft w:val="0"/>
      <w:marRight w:val="0"/>
      <w:marTop w:val="0"/>
      <w:marBottom w:val="0"/>
      <w:divBdr>
        <w:top w:val="none" w:sz="0" w:space="0" w:color="auto"/>
        <w:left w:val="none" w:sz="0" w:space="0" w:color="auto"/>
        <w:bottom w:val="none" w:sz="0" w:space="0" w:color="auto"/>
        <w:right w:val="none" w:sz="0" w:space="0" w:color="auto"/>
      </w:divBdr>
    </w:div>
    <w:div w:id="643242913">
      <w:bodyDiv w:val="1"/>
      <w:marLeft w:val="0"/>
      <w:marRight w:val="0"/>
      <w:marTop w:val="0"/>
      <w:marBottom w:val="0"/>
      <w:divBdr>
        <w:top w:val="none" w:sz="0" w:space="0" w:color="auto"/>
        <w:left w:val="none" w:sz="0" w:space="0" w:color="auto"/>
        <w:bottom w:val="none" w:sz="0" w:space="0" w:color="auto"/>
        <w:right w:val="none" w:sz="0" w:space="0" w:color="auto"/>
      </w:divBdr>
    </w:div>
    <w:div w:id="972952326">
      <w:bodyDiv w:val="1"/>
      <w:marLeft w:val="0"/>
      <w:marRight w:val="0"/>
      <w:marTop w:val="0"/>
      <w:marBottom w:val="0"/>
      <w:divBdr>
        <w:top w:val="none" w:sz="0" w:space="0" w:color="auto"/>
        <w:left w:val="none" w:sz="0" w:space="0" w:color="auto"/>
        <w:bottom w:val="none" w:sz="0" w:space="0" w:color="auto"/>
        <w:right w:val="none" w:sz="0" w:space="0" w:color="auto"/>
      </w:divBdr>
    </w:div>
    <w:div w:id="1104227144">
      <w:bodyDiv w:val="1"/>
      <w:marLeft w:val="0"/>
      <w:marRight w:val="0"/>
      <w:marTop w:val="0"/>
      <w:marBottom w:val="0"/>
      <w:divBdr>
        <w:top w:val="none" w:sz="0" w:space="0" w:color="auto"/>
        <w:left w:val="none" w:sz="0" w:space="0" w:color="auto"/>
        <w:bottom w:val="none" w:sz="0" w:space="0" w:color="auto"/>
        <w:right w:val="none" w:sz="0" w:space="0" w:color="auto"/>
      </w:divBdr>
    </w:div>
    <w:div w:id="1624919605">
      <w:bodyDiv w:val="1"/>
      <w:marLeft w:val="0"/>
      <w:marRight w:val="0"/>
      <w:marTop w:val="0"/>
      <w:marBottom w:val="0"/>
      <w:divBdr>
        <w:top w:val="none" w:sz="0" w:space="0" w:color="auto"/>
        <w:left w:val="none" w:sz="0" w:space="0" w:color="auto"/>
        <w:bottom w:val="none" w:sz="0" w:space="0" w:color="auto"/>
        <w:right w:val="none" w:sz="0" w:space="0" w:color="auto"/>
      </w:divBdr>
    </w:div>
    <w:div w:id="1745058098">
      <w:bodyDiv w:val="1"/>
      <w:marLeft w:val="0"/>
      <w:marRight w:val="0"/>
      <w:marTop w:val="0"/>
      <w:marBottom w:val="0"/>
      <w:divBdr>
        <w:top w:val="none" w:sz="0" w:space="0" w:color="auto"/>
        <w:left w:val="none" w:sz="0" w:space="0" w:color="auto"/>
        <w:bottom w:val="none" w:sz="0" w:space="0" w:color="auto"/>
        <w:right w:val="none" w:sz="0" w:space="0" w:color="auto"/>
      </w:divBdr>
    </w:div>
    <w:div w:id="19727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hyperlink" Target="https://www.rcsb.org" TargetMode="External"/><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205BF-D8E6-4E41-978A-AEFB9CAA2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33</Pages>
  <Words>6558</Words>
  <Characters>37382</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13</cp:revision>
  <dcterms:created xsi:type="dcterms:W3CDTF">2026-08-18T18:58:00Z</dcterms:created>
  <dcterms:modified xsi:type="dcterms:W3CDTF">2026-08-20T07:27:00Z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d7d23276-f1f5-4464-b44a-5512329460e1</vt:lpwstr>
  </property>
</Properties>
</file>