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623C6" w14:textId="77777777" w:rsidR="00FF4EB0" w:rsidRDefault="0077332D">
      <w:pPr>
        <w:spacing w:after="240"/>
        <w:jc w:val="center"/>
      </w:pPr>
      <w:r>
        <w:rPr>
          <w:b/>
          <w:sz w:val="30"/>
        </w:rPr>
        <w:t>Comparison of Psychotropic Medication Usage in Surgical and Non-Surgical In-Patients: A Prospective Cross-Sectional Study</w:t>
      </w:r>
    </w:p>
    <w:p w14:paraId="0CF3BCDA" w14:textId="77777777" w:rsidR="00FF4EB0" w:rsidRDefault="00FF4EB0">
      <w:pPr>
        <w:pBdr>
          <w:bottom w:val="single" w:sz="6" w:space="1" w:color="A0A0A0"/>
        </w:pBdr>
        <w:spacing w:after="240"/>
      </w:pPr>
    </w:p>
    <w:p w14:paraId="7DA0BA1A" w14:textId="77777777" w:rsidR="00FF4EB0" w:rsidRDefault="0077332D">
      <w:pPr>
        <w:spacing w:before="120" w:after="120"/>
      </w:pPr>
      <w:r>
        <w:rPr>
          <w:b/>
        </w:rPr>
        <w:t>ABSTRACT</w:t>
      </w:r>
    </w:p>
    <w:p w14:paraId="1A107F85" w14:textId="077294A7" w:rsidR="00FF4EB0" w:rsidRPr="00F26791" w:rsidRDefault="0077332D" w:rsidP="00F26791">
      <w:pPr>
        <w:spacing w:after="80"/>
        <w:ind w:left="288" w:right="288"/>
        <w:rPr>
          <w:bCs/>
          <w:sz w:val="21"/>
          <w:lang w:val="en-IN"/>
        </w:rPr>
      </w:pPr>
      <w:r>
        <w:rPr>
          <w:b/>
          <w:sz w:val="21"/>
        </w:rPr>
        <w:t xml:space="preserve">Background: </w:t>
      </w:r>
      <w:r w:rsidR="00F26791" w:rsidRPr="00F26791">
        <w:rPr>
          <w:bCs/>
          <w:sz w:val="21"/>
          <w:lang w:val="en-IN"/>
        </w:rPr>
        <w:t>In addition to their use in psychiatric establishments, psychotropics are increasingly used in other settings to cope with an acute post-operative pain,</w:t>
      </w:r>
      <w:r w:rsidR="00F26791">
        <w:rPr>
          <w:bCs/>
          <w:sz w:val="21"/>
          <w:lang w:val="en-IN"/>
        </w:rPr>
        <w:t xml:space="preserve"> </w:t>
      </w:r>
      <w:r w:rsidR="00F26791" w:rsidRPr="00F26791">
        <w:rPr>
          <w:bCs/>
          <w:sz w:val="21"/>
          <w:lang w:val="en-IN"/>
        </w:rPr>
        <w:t>pre-operative anxiety,</w:t>
      </w:r>
      <w:r w:rsidR="00F26791">
        <w:rPr>
          <w:bCs/>
          <w:sz w:val="21"/>
          <w:lang w:val="en-IN"/>
        </w:rPr>
        <w:t xml:space="preserve"> </w:t>
      </w:r>
      <w:r w:rsidR="00F26791" w:rsidRPr="00F26791">
        <w:rPr>
          <w:bCs/>
          <w:sz w:val="21"/>
          <w:lang w:val="en-IN"/>
        </w:rPr>
        <w:t>perioperative</w:t>
      </w:r>
      <w:r w:rsidR="00F26791">
        <w:rPr>
          <w:bCs/>
          <w:sz w:val="21"/>
          <w:lang w:val="en-IN"/>
        </w:rPr>
        <w:t xml:space="preserve"> </w:t>
      </w:r>
      <w:r w:rsidR="00F26791" w:rsidRPr="00F26791">
        <w:rPr>
          <w:bCs/>
          <w:sz w:val="21"/>
          <w:lang w:val="en-IN"/>
        </w:rPr>
        <w:t>insomnia,</w:t>
      </w:r>
      <w:r w:rsidR="00F26791">
        <w:rPr>
          <w:bCs/>
          <w:sz w:val="21"/>
          <w:lang w:val="en-IN"/>
        </w:rPr>
        <w:t xml:space="preserve"> </w:t>
      </w:r>
      <w:r w:rsidR="00F26791" w:rsidRPr="00F26791">
        <w:rPr>
          <w:bCs/>
          <w:sz w:val="21"/>
          <w:lang w:val="en-IN"/>
        </w:rPr>
        <w:t>neuropathies,</w:t>
      </w:r>
      <w:r w:rsidR="00F26791">
        <w:rPr>
          <w:bCs/>
          <w:sz w:val="21"/>
          <w:lang w:val="en-IN"/>
        </w:rPr>
        <w:t xml:space="preserve"> </w:t>
      </w:r>
      <w:r w:rsidR="00F26791" w:rsidRPr="00F26791">
        <w:rPr>
          <w:bCs/>
          <w:sz w:val="21"/>
          <w:lang w:val="en-IN"/>
        </w:rPr>
        <w:t>postoperative delirium, and severe vomiting/nausea. Growing trend of using psychotropics with or without off label use in surgery and in all words implies a definite clinical awareness in every institution regarding irrational prescribing, DDIs and ADRs.</w:t>
      </w:r>
    </w:p>
    <w:p w14:paraId="05F8BF67" w14:textId="6281394C" w:rsidR="00FF4EB0" w:rsidRPr="00F26791" w:rsidRDefault="0077332D" w:rsidP="00F26791">
      <w:pPr>
        <w:spacing w:after="80"/>
        <w:ind w:left="288" w:right="288"/>
        <w:rPr>
          <w:bCs/>
          <w:sz w:val="21"/>
          <w:lang w:val="en-IN"/>
        </w:rPr>
      </w:pPr>
      <w:r>
        <w:rPr>
          <w:b/>
          <w:sz w:val="21"/>
        </w:rPr>
        <w:t>Methods:</w:t>
      </w:r>
      <w:r w:rsidR="00F26791">
        <w:rPr>
          <w:b/>
          <w:sz w:val="21"/>
        </w:rPr>
        <w:t xml:space="preserve"> </w:t>
      </w:r>
      <w:r w:rsidR="00F26791" w:rsidRPr="00F26791">
        <w:rPr>
          <w:bCs/>
          <w:sz w:val="21"/>
          <w:lang w:val="en-IN"/>
        </w:rPr>
        <w:t xml:space="preserve">A prospective, cross-sectional, descriptive study Design: A prospective, cross-sectional, descriptive study A prospective, cross-sectional descriptive study was designed and conducted for a period of 6 months at SS Institute of Medical Sciences &amp; Research Centre (SSIMS &amp; RC), </w:t>
      </w:r>
      <w:proofErr w:type="spellStart"/>
      <w:r w:rsidR="00F26791" w:rsidRPr="00F26791">
        <w:rPr>
          <w:bCs/>
          <w:sz w:val="21"/>
          <w:lang w:val="en-IN"/>
        </w:rPr>
        <w:t>Davanagere</w:t>
      </w:r>
      <w:proofErr w:type="spellEnd"/>
      <w:r w:rsidR="00F26791" w:rsidRPr="00F26791">
        <w:rPr>
          <w:bCs/>
          <w:sz w:val="21"/>
          <w:lang w:val="en-IN"/>
        </w:rPr>
        <w:t>, India. The study sample consisted of 110 indoor adult inpatients from surgical and general medicine wards for various non-psychiatric ailments and required administration of at least one psychotropic drug. Detailed information with regards to Sociodemographic variables, diagnoses and complete medication details was collected and documented meticulously.</w:t>
      </w:r>
      <w:r w:rsidR="00F26791">
        <w:rPr>
          <w:bCs/>
          <w:sz w:val="21"/>
          <w:lang w:val="en-IN"/>
        </w:rPr>
        <w:t xml:space="preserve"> </w:t>
      </w:r>
      <w:r w:rsidR="00F26791" w:rsidRPr="00F26791">
        <w:rPr>
          <w:bCs/>
          <w:sz w:val="21"/>
          <w:lang w:val="en-IN"/>
        </w:rPr>
        <w:t>Drug related problems (DRPs) were classified on the basis of Hepler-Strand Classification and for identifying the possible DDIs Lexicomp and Medscape web-based drug databases were used. Adverse drug reactions were confirmed by Naranjo Probability Scale.</w:t>
      </w:r>
    </w:p>
    <w:p w14:paraId="32D37ABB" w14:textId="22E20B80" w:rsidR="00FF4EB0" w:rsidRPr="00F26791" w:rsidRDefault="0077332D" w:rsidP="00F26791">
      <w:pPr>
        <w:spacing w:after="80"/>
        <w:ind w:left="288" w:right="288"/>
        <w:rPr>
          <w:bCs/>
          <w:sz w:val="21"/>
          <w:lang w:val="en-IN"/>
        </w:rPr>
      </w:pPr>
      <w:r>
        <w:rPr>
          <w:b/>
          <w:sz w:val="21"/>
        </w:rPr>
        <w:t xml:space="preserve">Results: </w:t>
      </w:r>
      <w:r w:rsidR="00F26791" w:rsidRPr="00F26791">
        <w:rPr>
          <w:bCs/>
          <w:sz w:val="21"/>
          <w:lang w:val="en-IN"/>
        </w:rPr>
        <w:t>There were 73 males (66.4%) and 37 females (33.6%), most aged 31-56 years. The rate of psychotropic usage was substantially greater for surgical wards (75.5%, n = 83) compared to general medicine wards (24.5%, n = 27). The most common psychotropic drugs used were alprazolam (44.5%), followed by pregabalin (22.3%) and nortriptyline (19.6%). Use of a single psychotropic (62.3%) was much more common than combination therapy (32.7%). Hypertension was the single most prevalent comorbidity (48.2%). Some 126 potential DDI events were detected in the 110 patients, with 76.1% representing high clinical significance risks; primarily interactions with other CNS depressants: alprazolam and tramadol (n = 34) and pregabalin and tramadol (n = 20). There were 6 formal ADRs reported: oversedation, dizziness, xerostomia, and constipation.</w:t>
      </w:r>
    </w:p>
    <w:p w14:paraId="76182721" w14:textId="69A209B1" w:rsidR="00FF4EB0" w:rsidRPr="00F26791" w:rsidRDefault="0077332D" w:rsidP="00F26791">
      <w:pPr>
        <w:spacing w:after="80"/>
        <w:ind w:left="288" w:right="288"/>
        <w:rPr>
          <w:bCs/>
          <w:sz w:val="21"/>
          <w:lang w:val="en-IN"/>
        </w:rPr>
      </w:pPr>
      <w:r>
        <w:rPr>
          <w:b/>
          <w:sz w:val="21"/>
        </w:rPr>
        <w:t xml:space="preserve">Conclusion: </w:t>
      </w:r>
      <w:r w:rsidR="00F26791" w:rsidRPr="00F26791">
        <w:rPr>
          <w:bCs/>
          <w:sz w:val="21"/>
          <w:lang w:val="en-IN"/>
        </w:rPr>
        <w:t>Psychotropic drugs are extensively used in non-psychiatric inpatient units. The usage in surgical sub specialties is considerable. The high frequency of high-severity DDIs and reported ADRs necessitates guidelines for systematic rational prescribing, aggressive therapeutic drug monitoring and involvement of a clinical pharmacist to enhance patient safety.</w:t>
      </w:r>
    </w:p>
    <w:p w14:paraId="17A21CF8" w14:textId="77777777" w:rsidR="00FF4EB0" w:rsidRDefault="0077332D">
      <w:pPr>
        <w:spacing w:before="120" w:after="280"/>
        <w:ind w:left="288" w:right="288"/>
      </w:pPr>
      <w:r>
        <w:rPr>
          <w:b/>
          <w:sz w:val="21"/>
        </w:rPr>
        <w:t xml:space="preserve">Keywords: </w:t>
      </w:r>
      <w:r>
        <w:rPr>
          <w:sz w:val="21"/>
        </w:rPr>
        <w:t>Psychopharmacology, Psychotropic drugs, Pharmacoepidemiology, Drug-drug interactions, Adverse drug reactions, Clinical pharmacy, Hepler-Strand framework.</w:t>
      </w:r>
    </w:p>
    <w:p w14:paraId="413E12DC" w14:textId="77777777" w:rsidR="00FF4EB0" w:rsidRDefault="00FF4EB0">
      <w:pPr>
        <w:pBdr>
          <w:bottom w:val="single" w:sz="6" w:space="1" w:color="A0A0A0"/>
        </w:pBdr>
        <w:spacing w:after="280"/>
      </w:pPr>
    </w:p>
    <w:p w14:paraId="0D449FFA" w14:textId="1CB9FB3C" w:rsidR="00607D6C" w:rsidRDefault="0077332D" w:rsidP="00607D6C">
      <w:pPr>
        <w:pStyle w:val="ListParagraph"/>
        <w:keepNext/>
        <w:numPr>
          <w:ilvl w:val="0"/>
          <w:numId w:val="10"/>
        </w:numPr>
        <w:spacing w:before="280" w:after="120"/>
      </w:pPr>
      <w:r w:rsidRPr="00607D6C">
        <w:rPr>
          <w:b/>
          <w:sz w:val="25"/>
        </w:rPr>
        <w:t>INTRODUCTION</w:t>
      </w:r>
    </w:p>
    <w:p w14:paraId="3AFC2EA6" w14:textId="48D705F8" w:rsidR="00FF4EB0" w:rsidRDefault="0077332D" w:rsidP="00607D6C">
      <w:pPr>
        <w:keepNext/>
        <w:spacing w:before="280" w:after="120"/>
        <w:ind w:left="360"/>
      </w:pPr>
      <w:r w:rsidRPr="00607D6C">
        <w:rPr>
          <w:sz w:val="22"/>
        </w:rPr>
        <w:t xml:space="preserve"> </w:t>
      </w:r>
      <w:r w:rsidR="00F26791" w:rsidRPr="00607D6C">
        <w:rPr>
          <w:sz w:val="22"/>
          <w:lang w:val="en-IN"/>
        </w:rPr>
        <w:t xml:space="preserve">Psychotropic drug treatments including antidepressants, benzodiazepines, anticonvulsants and antipsychotics continue to gain considerable usage across several specialty disciplines outside </w:t>
      </w:r>
      <w:r w:rsidR="00F26791" w:rsidRPr="00607D6C">
        <w:rPr>
          <w:sz w:val="22"/>
          <w:lang w:val="en-IN"/>
        </w:rPr>
        <w:lastRenderedPageBreak/>
        <w:t>psychiatry [1,2]. Physician prescribers, other than psychiatrists, commonly use a set of psychotropic drugs in their supportive and general management profiles to treat various somatic disorders; these include, chronic somatic pain syndromes, pre-operative anxiety states, sleep-disturbances, neuropathic processes, acute delirium and profound gastrointestinal functional disability and postoperative recovery [1,2]. Extensive international epidemiological studies have validated this increasing utilization pattern of psychotropics in institutionalized hospital patients with somatic disorder, indicating improved awareness of neuro-</w:t>
      </w:r>
      <w:r w:rsidR="00607D6C" w:rsidRPr="00607D6C">
        <w:rPr>
          <w:sz w:val="22"/>
          <w:lang w:val="en-IN"/>
        </w:rPr>
        <w:t>somatic</w:t>
      </w:r>
      <w:r w:rsidR="00F26791" w:rsidRPr="00607D6C">
        <w:rPr>
          <w:sz w:val="22"/>
          <w:lang w:val="en-IN"/>
        </w:rPr>
        <w:t xml:space="preserve"> inter-relationship and descending pain pathways [3,4].Use of benzodiazepines serves as a cornerstone role in the perioperative setting in </w:t>
      </w:r>
      <w:r w:rsidR="00607D6C" w:rsidRPr="00607D6C">
        <w:rPr>
          <w:sz w:val="22"/>
          <w:lang w:val="en-IN"/>
        </w:rPr>
        <w:t>anaesthesiology</w:t>
      </w:r>
      <w:r w:rsidR="00F26791" w:rsidRPr="00607D6C">
        <w:rPr>
          <w:sz w:val="22"/>
          <w:lang w:val="en-IN"/>
        </w:rPr>
        <w:t xml:space="preserve"> since, rapid acting anxiolytics and sedatives frequently employed concurrently along standard </w:t>
      </w:r>
      <w:r w:rsidR="00607D6C" w:rsidRPr="00607D6C">
        <w:rPr>
          <w:sz w:val="22"/>
          <w:lang w:val="en-IN"/>
        </w:rPr>
        <w:t>anaesthesia</w:t>
      </w:r>
      <w:r w:rsidR="00F26791" w:rsidRPr="00607D6C">
        <w:rPr>
          <w:sz w:val="22"/>
          <w:lang w:val="en-IN"/>
        </w:rPr>
        <w:t xml:space="preserve"> or in multimodal approach to manage perioperative stresses, acute anxiety symptoms and various established somatic diseases [5]. Alprazolam, Lorazepam and Clonazepam often prescribed on medical and surgical wards utilize their rapid acting muscle relaxant, hypnotic and sedating qualities. Prescribing un monitored/un-reconciled use may lead to cumulative drug intoxication and subsequent CNS depression, respiratory depress, or hypothermia [6]. Use of</w:t>
      </w:r>
      <w:r w:rsidR="00607D6C">
        <w:rPr>
          <w:sz w:val="22"/>
          <w:lang w:val="en-IN"/>
        </w:rPr>
        <w:t xml:space="preserve"> </w:t>
      </w:r>
      <w:r w:rsidR="00F26791" w:rsidRPr="00607D6C">
        <w:rPr>
          <w:sz w:val="22"/>
          <w:lang w:val="en-IN"/>
        </w:rPr>
        <w:t>TCA</w:t>
      </w:r>
      <w:r w:rsidR="00607D6C">
        <w:rPr>
          <w:sz w:val="22"/>
          <w:lang w:val="en-IN"/>
        </w:rPr>
        <w:t xml:space="preserve"> </w:t>
      </w:r>
      <w:r w:rsidR="00F26791" w:rsidRPr="00607D6C">
        <w:rPr>
          <w:sz w:val="22"/>
          <w:lang w:val="en-IN"/>
        </w:rPr>
        <w:t>so nortriptyline and</w:t>
      </w:r>
      <w:r w:rsidR="00607D6C">
        <w:rPr>
          <w:sz w:val="22"/>
          <w:lang w:val="en-IN"/>
        </w:rPr>
        <w:t xml:space="preserve"> </w:t>
      </w:r>
      <w:r w:rsidR="00F26791" w:rsidRPr="00607D6C">
        <w:rPr>
          <w:sz w:val="22"/>
          <w:lang w:val="en-IN"/>
        </w:rPr>
        <w:t>amitriptyline are mainstay as augmentation agents in treatment of painful processes such as neuropathy and Musculoskeletal</w:t>
      </w:r>
      <w:r w:rsidR="00607D6C">
        <w:rPr>
          <w:sz w:val="22"/>
          <w:lang w:val="en-IN"/>
        </w:rPr>
        <w:t xml:space="preserve"> </w:t>
      </w:r>
      <w:r w:rsidR="00F26791" w:rsidRPr="00607D6C">
        <w:rPr>
          <w:sz w:val="22"/>
          <w:lang w:val="en-IN"/>
        </w:rPr>
        <w:t>pain. These drugs share similar anticholinergic adverse effects risk profile in term of constipatio</w:t>
      </w:r>
      <w:r w:rsidR="00607D6C">
        <w:rPr>
          <w:sz w:val="22"/>
          <w:lang w:val="en-IN"/>
        </w:rPr>
        <w:t>n</w:t>
      </w:r>
      <w:r w:rsidR="00F26791" w:rsidRPr="00607D6C">
        <w:rPr>
          <w:sz w:val="22"/>
          <w:lang w:val="en-IN"/>
        </w:rPr>
        <w:t xml:space="preserve">, </w:t>
      </w:r>
      <w:r w:rsidR="00607D6C" w:rsidRPr="00607D6C">
        <w:rPr>
          <w:sz w:val="22"/>
          <w:lang w:val="en-IN"/>
        </w:rPr>
        <w:t>xerostomia</w:t>
      </w:r>
      <w:r w:rsidR="00F26791" w:rsidRPr="00607D6C">
        <w:rPr>
          <w:sz w:val="22"/>
          <w:lang w:val="en-IN"/>
        </w:rPr>
        <w:t xml:space="preserve">, confusion, urinary </w:t>
      </w:r>
      <w:r w:rsidR="00607D6C" w:rsidRPr="00607D6C">
        <w:rPr>
          <w:sz w:val="22"/>
          <w:lang w:val="en-IN"/>
        </w:rPr>
        <w:t>retention</w:t>
      </w:r>
      <w:r w:rsidR="00F26791" w:rsidRPr="00607D6C">
        <w:rPr>
          <w:sz w:val="22"/>
          <w:lang w:val="en-IN"/>
        </w:rPr>
        <w:t xml:space="preserve"> and effect on cardiac conduction system causing complexity </w:t>
      </w:r>
      <w:r w:rsidR="00607D6C" w:rsidRPr="00607D6C">
        <w:rPr>
          <w:sz w:val="22"/>
          <w:lang w:val="en-IN"/>
        </w:rPr>
        <w:t>additionally</w:t>
      </w:r>
      <w:r w:rsidR="00F26791" w:rsidRPr="00607D6C">
        <w:rPr>
          <w:sz w:val="22"/>
          <w:lang w:val="en-IN"/>
        </w:rPr>
        <w:t xml:space="preserve"> on pre-existing medication regimen [7,8]. Emerging data point that bulk of prescribed psychotropics on medical and surgical wards are prescribed by various non-psychiatrists without the presence of Psychiatrist as collaborator for decision making [9, 10].DRP (Drug Related Problems) and particularly M-DDI that directly precipitate avoidable ADR (Adverse Drug Reactions) were high in the already complex hospital environment mainly on settings with pre-dispositions, such as multiple organ systems failure, multiple comorbidities and advanced old age. The incidence was exacerbated in surgical </w:t>
      </w:r>
      <w:r w:rsidR="00607D6C" w:rsidRPr="00607D6C">
        <w:rPr>
          <w:sz w:val="22"/>
          <w:lang w:val="en-IN"/>
        </w:rPr>
        <w:t>in patients</w:t>
      </w:r>
      <w:r w:rsidR="00F26791" w:rsidRPr="00607D6C">
        <w:rPr>
          <w:sz w:val="22"/>
          <w:lang w:val="en-IN"/>
        </w:rPr>
        <w:t xml:space="preserve"> in whom the disease state of surgery superimposed a physiological complexity, combination therapy to all</w:t>
      </w:r>
      <w:r w:rsidR="0003687D">
        <w:rPr>
          <w:sz w:val="22"/>
          <w:lang w:val="en-IN"/>
        </w:rPr>
        <w:t>eviate</w:t>
      </w:r>
      <w:r w:rsidR="00F26791" w:rsidRPr="00607D6C">
        <w:rPr>
          <w:sz w:val="22"/>
          <w:lang w:val="en-IN"/>
        </w:rPr>
        <w:t xml:space="preserve"> perioperative pain in </w:t>
      </w:r>
      <w:r w:rsidR="00607D6C" w:rsidRPr="00607D6C">
        <w:rPr>
          <w:sz w:val="22"/>
          <w:lang w:val="en-IN"/>
        </w:rPr>
        <w:t>multimodule</w:t>
      </w:r>
      <w:r w:rsidR="00F26791" w:rsidRPr="00607D6C">
        <w:rPr>
          <w:sz w:val="22"/>
          <w:lang w:val="en-IN"/>
        </w:rPr>
        <w:t xml:space="preserve"> regimens and pharmacokinetic alterations due to loss of blood volume and </w:t>
      </w:r>
      <w:r w:rsidR="00607D6C" w:rsidRPr="00607D6C">
        <w:rPr>
          <w:sz w:val="22"/>
          <w:lang w:val="en-IN"/>
        </w:rPr>
        <w:t>oedema</w:t>
      </w:r>
      <w:r w:rsidR="00F26791" w:rsidRPr="00607D6C">
        <w:rPr>
          <w:sz w:val="22"/>
          <w:lang w:val="en-IN"/>
        </w:rPr>
        <w:t xml:space="preserve"> as part of altered physiology [13, 14]. Various models that offer an ordered systematic way of defining and resolving problems caused by prescription; includes-prescribing issues on multiple organ disease which include under prescription, sub therapeutic prescribing, indication not treated, improper prescribed, prescription of wrong drug with interaction potential-which the classic HEPLER –STRAND model categorizing DRPs as </w:t>
      </w:r>
      <w:r w:rsidR="00607D6C" w:rsidRPr="00607D6C">
        <w:rPr>
          <w:sz w:val="22"/>
          <w:lang w:val="en-IN"/>
        </w:rPr>
        <w:t>follows: over</w:t>
      </w:r>
      <w:r w:rsidR="00F26791" w:rsidRPr="00607D6C">
        <w:rPr>
          <w:sz w:val="22"/>
          <w:lang w:val="en-IN"/>
        </w:rPr>
        <w:t xml:space="preserve"> prescribing, sub therapeutic prescribing, untreated indications, wrong drug, over dosage, adverse reaction and mechanisms [15]. In all indications across international clinical practice is that regular chart review by Clinical Pharmacist and Physician team, together have significant role in reduction and management of DRPs [16,17]. However, comparative detailed information with regards psychotropics pattern </w:t>
      </w:r>
      <w:r w:rsidR="00607D6C" w:rsidRPr="00607D6C">
        <w:rPr>
          <w:sz w:val="22"/>
          <w:lang w:val="en-IN"/>
        </w:rPr>
        <w:t>uses</w:t>
      </w:r>
      <w:r w:rsidR="00F26791" w:rsidRPr="00607D6C">
        <w:rPr>
          <w:sz w:val="22"/>
          <w:lang w:val="en-IN"/>
        </w:rPr>
        <w:t xml:space="preserve"> and safety profile in medical and surgical ward in India was not extensively documented. Hence, study was designed in a teaching tertiary care hospital to evaluate prospective comparison of pattern use, concurrent drug drivers and concomitant drug related problems on medical versus Surgical wards.</w:t>
      </w:r>
    </w:p>
    <w:p w14:paraId="77967190" w14:textId="77777777" w:rsidR="00FF4EB0" w:rsidRDefault="0077332D">
      <w:pPr>
        <w:keepNext/>
        <w:spacing w:before="280" w:after="120"/>
      </w:pPr>
      <w:r>
        <w:rPr>
          <w:b/>
          <w:sz w:val="25"/>
        </w:rPr>
        <w:t>2. METHODOLOGY</w:t>
      </w:r>
    </w:p>
    <w:p w14:paraId="7204674C" w14:textId="77777777" w:rsidR="0003687D" w:rsidRDefault="0077332D">
      <w:pPr>
        <w:keepNext/>
        <w:spacing w:before="200" w:after="80"/>
        <w:rPr>
          <w:b/>
          <w:i/>
          <w:sz w:val="23"/>
        </w:rPr>
      </w:pPr>
      <w:r>
        <w:rPr>
          <w:b/>
          <w:i/>
          <w:sz w:val="23"/>
        </w:rPr>
        <w:t>2.1 Study Design and Setting</w:t>
      </w:r>
    </w:p>
    <w:p w14:paraId="4440F8E6" w14:textId="55C141C1" w:rsidR="0003687D" w:rsidRPr="0003687D" w:rsidRDefault="0003687D">
      <w:pPr>
        <w:keepNext/>
        <w:spacing w:before="200" w:after="80"/>
        <w:rPr>
          <w:b/>
          <w:i/>
          <w:sz w:val="22"/>
        </w:rPr>
      </w:pPr>
      <w:r w:rsidRPr="0003687D">
        <w:rPr>
          <w:sz w:val="22"/>
          <w:lang w:val="en-IN"/>
        </w:rPr>
        <w:lastRenderedPageBreak/>
        <w:t xml:space="preserve">This is a prospective, cross-sectional, descriptive observational study conducted from 1st October 2025 to 31st March 2026 at the tertiary care teaching hospital namely S.S. Institute of Medical Sciences and Research Centre (SSIMS &amp; RC), </w:t>
      </w:r>
      <w:proofErr w:type="spellStart"/>
      <w:r w:rsidRPr="0003687D">
        <w:rPr>
          <w:sz w:val="22"/>
          <w:lang w:val="en-IN"/>
        </w:rPr>
        <w:t>Davanagere</w:t>
      </w:r>
      <w:proofErr w:type="spellEnd"/>
      <w:r w:rsidRPr="0003687D">
        <w:rPr>
          <w:sz w:val="22"/>
          <w:lang w:val="en-IN"/>
        </w:rPr>
        <w:t>, Karnataka, India. The study site is a city based tertiary care teaching hospital and renders its service to both the urban and rural population of the central Karnataka.</w:t>
      </w:r>
    </w:p>
    <w:p w14:paraId="1CE6280C" w14:textId="77777777" w:rsidR="00FF4EB0" w:rsidRDefault="0077332D">
      <w:pPr>
        <w:keepNext/>
        <w:spacing w:before="200" w:after="80"/>
        <w:rPr>
          <w:b/>
          <w:i/>
          <w:sz w:val="23"/>
        </w:rPr>
      </w:pPr>
      <w:r>
        <w:rPr>
          <w:b/>
          <w:i/>
          <w:sz w:val="23"/>
        </w:rPr>
        <w:t>2.2 Ethical Approval and Patient Consent</w:t>
      </w:r>
    </w:p>
    <w:p w14:paraId="101EFC8E" w14:textId="1A25FFB7" w:rsidR="0003687D" w:rsidRPr="0003687D" w:rsidRDefault="0003687D">
      <w:pPr>
        <w:keepNext/>
        <w:spacing w:before="200" w:after="80"/>
        <w:rPr>
          <w:sz w:val="22"/>
          <w:lang w:val="en-IN"/>
        </w:rPr>
      </w:pPr>
      <w:r w:rsidRPr="0003687D">
        <w:rPr>
          <w:sz w:val="22"/>
          <w:lang w:val="en-IN"/>
        </w:rPr>
        <w:t>All the details of the protocol were approved by the Institutional Ethics Committee (IEC) of SSIMS &amp; RC. High level of confidentiality was maintained, protecting patient's data and identity, as per the Declaration of Helsinki. Each patient was included only after getting proper written consent from her or by an authorized person.</w:t>
      </w:r>
    </w:p>
    <w:p w14:paraId="0F063AB0" w14:textId="77777777" w:rsidR="00FF4EB0" w:rsidRDefault="0077332D">
      <w:pPr>
        <w:keepNext/>
        <w:spacing w:before="200" w:after="80"/>
        <w:rPr>
          <w:b/>
          <w:i/>
          <w:sz w:val="23"/>
        </w:rPr>
      </w:pPr>
      <w:r>
        <w:rPr>
          <w:b/>
          <w:i/>
          <w:sz w:val="23"/>
        </w:rPr>
        <w:t>2.3 Participant Selection Criteria</w:t>
      </w:r>
    </w:p>
    <w:p w14:paraId="3676E4A2" w14:textId="3D7F737A" w:rsidR="0003687D" w:rsidRPr="0003687D" w:rsidRDefault="0003687D">
      <w:pPr>
        <w:keepNext/>
        <w:spacing w:before="200" w:after="80"/>
        <w:rPr>
          <w:lang w:val="en-IN"/>
        </w:rPr>
      </w:pPr>
      <w:r w:rsidRPr="0003687D">
        <w:rPr>
          <w:sz w:val="22"/>
          <w:lang w:val="en-IN"/>
        </w:rPr>
        <w:t>Twenty-five adult inpatients (age &gt;= 18) admitted to surgery wards (general surgery, orthopaedic and neurosurgical) and general medical wards, who were prescribed one or more psychotropic drugs (benzodiazepine, antidepressant, anticonvulsant and antiepileptic), for a documented indication of non-psychiatric, were enrolled. Patients’ exclusion was as following: (</w:t>
      </w:r>
      <w:proofErr w:type="spellStart"/>
      <w:r w:rsidRPr="0003687D">
        <w:rPr>
          <w:sz w:val="22"/>
          <w:lang w:val="en-IN"/>
        </w:rPr>
        <w:t>i</w:t>
      </w:r>
      <w:proofErr w:type="spellEnd"/>
      <w:r w:rsidRPr="0003687D">
        <w:rPr>
          <w:sz w:val="22"/>
          <w:lang w:val="en-IN"/>
        </w:rPr>
        <w:t>) patient that a clear primary psychiatric diagnosis was present (ii) paediatric age (iii) uncooperative and unconsented patient (iv) patients with incomplete chart data</w:t>
      </w:r>
      <w:r w:rsidRPr="0003687D">
        <w:rPr>
          <w:lang w:val="en-IN"/>
        </w:rPr>
        <w:t>.</w:t>
      </w:r>
    </w:p>
    <w:p w14:paraId="6FF2E3E2" w14:textId="77777777" w:rsidR="00FF4EB0" w:rsidRDefault="0077332D">
      <w:pPr>
        <w:keepNext/>
        <w:spacing w:before="200" w:after="80"/>
        <w:rPr>
          <w:b/>
          <w:i/>
          <w:sz w:val="23"/>
        </w:rPr>
      </w:pPr>
      <w:r>
        <w:rPr>
          <w:b/>
          <w:i/>
          <w:sz w:val="23"/>
        </w:rPr>
        <w:t>2.4 Data Collection and Clinical Assessment</w:t>
      </w:r>
    </w:p>
    <w:p w14:paraId="2A97A565" w14:textId="2A54BE7C" w:rsidR="0003687D" w:rsidRPr="0003687D" w:rsidRDefault="0003687D">
      <w:pPr>
        <w:keepNext/>
        <w:spacing w:before="200" w:after="80"/>
        <w:rPr>
          <w:sz w:val="22"/>
          <w:lang w:val="en-IN"/>
        </w:rPr>
      </w:pPr>
      <w:r w:rsidRPr="0003687D">
        <w:rPr>
          <w:sz w:val="22"/>
          <w:lang w:val="en-IN"/>
        </w:rPr>
        <w:t>Daily data were collected with a trained clinical pharmacist from the individual patient charts, Medication Administration Register (MAR) system, laboratory reports, nursing notes by means of a designed pro forma. Variables collected included patient social and demographic factors (age, sex, life style, and occupation), diagnoses of diseases (primary and secondary), patients drug prescription profile with details of the drugs-name, classes, route of administration, prescribed doses and frequencies, route of administration and type of prescription. Prospective record keeping for identified drug-related problems (DRP's) were maintained based on the Hepler-Strand model of classification [15]. Severity of interaction identified was categorized as major, moderate and minor and assessed with standard drug interaction software sources like Lexicomp Online and Medscape Reference database. Causes of adverse drug reaction (ADR) reported by were analysed and the causality was checked with Naranjo Probability Scale [18].</w:t>
      </w:r>
    </w:p>
    <w:p w14:paraId="03DFE8C7" w14:textId="77777777" w:rsidR="00FF4EB0" w:rsidRDefault="0077332D">
      <w:pPr>
        <w:keepNext/>
        <w:spacing w:before="200" w:after="80"/>
        <w:rPr>
          <w:b/>
          <w:i/>
          <w:sz w:val="23"/>
        </w:rPr>
      </w:pPr>
      <w:r>
        <w:rPr>
          <w:b/>
          <w:i/>
          <w:sz w:val="23"/>
        </w:rPr>
        <w:t>2.5 Statistical Analysis</w:t>
      </w:r>
    </w:p>
    <w:p w14:paraId="58DB782E" w14:textId="754F03B2" w:rsidR="0003687D" w:rsidRPr="0003687D" w:rsidRDefault="0003687D">
      <w:pPr>
        <w:keepNext/>
        <w:spacing w:before="200" w:after="80"/>
        <w:rPr>
          <w:sz w:val="22"/>
          <w:lang w:val="en-IN"/>
        </w:rPr>
      </w:pPr>
      <w:r w:rsidRPr="0003687D">
        <w:rPr>
          <w:sz w:val="22"/>
          <w:lang w:val="en-IN"/>
        </w:rPr>
        <w:t>Continuous demographic variables were reported as Mean Standard Deviation (SD), and categorical variables as counts and percentages. The SPSS (IBM Corp, Armonk, NY, USA), version 28.0 was employed to perform the data management and statistical analysis. Categorical distributions and differences between surgical and non-surgical groups were analysed with</w:t>
      </w:r>
      <w:r>
        <w:rPr>
          <w:sz w:val="22"/>
          <w:lang w:val="en-IN"/>
        </w:rPr>
        <w:t xml:space="preserve"> </w:t>
      </w:r>
      <w:r w:rsidRPr="0003687D">
        <w:rPr>
          <w:sz w:val="22"/>
          <w:lang w:val="en-IN"/>
        </w:rPr>
        <w:t>Chi-Square</w:t>
      </w:r>
      <w:r>
        <w:rPr>
          <w:sz w:val="22"/>
          <w:lang w:val="en-IN"/>
        </w:rPr>
        <w:t xml:space="preserve"> </w:t>
      </w:r>
      <w:r w:rsidRPr="0003687D">
        <w:rPr>
          <w:sz w:val="22"/>
          <w:lang w:val="en-IN"/>
        </w:rPr>
        <w:t>test or Fisher's Exact test, and categorical variables were analysed with the independent</w:t>
      </w:r>
      <w:r>
        <w:rPr>
          <w:sz w:val="22"/>
          <w:lang w:val="en-IN"/>
        </w:rPr>
        <w:t xml:space="preserve"> </w:t>
      </w:r>
      <w:r w:rsidRPr="0003687D">
        <w:rPr>
          <w:sz w:val="22"/>
          <w:lang w:val="en-IN"/>
        </w:rPr>
        <w:t>Student's t-test. The significance level was set at p &lt; 0.05 (two-tailed).</w:t>
      </w:r>
    </w:p>
    <w:p w14:paraId="39D77718" w14:textId="77777777" w:rsidR="00FF4EB0" w:rsidRDefault="0077332D">
      <w:pPr>
        <w:keepNext/>
        <w:spacing w:before="280" w:after="120"/>
      </w:pPr>
      <w:r>
        <w:rPr>
          <w:b/>
          <w:sz w:val="25"/>
        </w:rPr>
        <w:t>3. RESULTS</w:t>
      </w:r>
    </w:p>
    <w:p w14:paraId="1A00A159" w14:textId="77777777" w:rsidR="00FF4EB0" w:rsidRDefault="0077332D">
      <w:pPr>
        <w:keepNext/>
        <w:spacing w:before="200" w:after="80"/>
        <w:rPr>
          <w:b/>
          <w:i/>
          <w:sz w:val="23"/>
        </w:rPr>
      </w:pPr>
      <w:r>
        <w:rPr>
          <w:b/>
          <w:i/>
          <w:sz w:val="23"/>
        </w:rPr>
        <w:t>3.1 Baseline Demographic and Clinical Characteristics</w:t>
      </w:r>
    </w:p>
    <w:p w14:paraId="46543CBE" w14:textId="2BD7E3A1" w:rsidR="0003687D" w:rsidRPr="0003687D" w:rsidRDefault="0003687D">
      <w:pPr>
        <w:keepNext/>
        <w:spacing w:before="200" w:after="80"/>
        <w:rPr>
          <w:sz w:val="22"/>
          <w:lang w:val="en-IN"/>
        </w:rPr>
      </w:pPr>
      <w:r w:rsidRPr="0003687D">
        <w:rPr>
          <w:sz w:val="22"/>
          <w:lang w:val="en-IN"/>
        </w:rPr>
        <w:lastRenderedPageBreak/>
        <w:t>There was a total of 110 adult inpatients who met criteria for inclusion based on clinical practice guideline. Study sample was highly represented by surgery services (75.5%, n=83) than by general medicine services (24.5%, n=27). There were more male patients in study sample (66.4%, n=73) than female patients (33.6%, n=37). Prescribing behaviour was high for productive mid-career individuals, where 26.4% (n=29) patient were within the age 31–43 years range and 25.5% (n=28) patient were within the age 44–56 years range. Hypertension (48.2%, n=25, age range within the subset N=52) was the top comorbid chronicity in these patients with prior medical history, and diabetes mellitus (34.6%, n=18) was second. The sociodemographic profile of study patient group can be seen in table 1.</w:t>
      </w:r>
    </w:p>
    <w:p w14:paraId="525AF8F9" w14:textId="77777777" w:rsidR="00FF4EB0" w:rsidRDefault="0077332D">
      <w:pPr>
        <w:keepNext/>
        <w:spacing w:before="160" w:after="60"/>
      </w:pPr>
      <w:r>
        <w:rPr>
          <w:b/>
          <w:sz w:val="21"/>
        </w:rPr>
        <w:t>Table 1: Baseline Demographic and Clinical Characteristics According to Department</w:t>
      </w:r>
    </w:p>
    <w:tbl>
      <w:tblPr>
        <w:tblW w:w="0" w:type="auto"/>
        <w:jc w:val="center"/>
        <w:tblBorders>
          <w:top w:val="single" w:sz="12" w:space="0" w:color="000000"/>
          <w:bottom w:val="single" w:sz="12" w:space="0" w:color="000000"/>
          <w:insideH w:val="single" w:sz="4" w:space="0" w:color="CCCCCC"/>
        </w:tblBorders>
        <w:tblLook w:val="04A0" w:firstRow="1" w:lastRow="0" w:firstColumn="1" w:lastColumn="0" w:noHBand="0" w:noVBand="1"/>
      </w:tblPr>
      <w:tblGrid>
        <w:gridCol w:w="1872"/>
        <w:gridCol w:w="1872"/>
        <w:gridCol w:w="1872"/>
        <w:gridCol w:w="1872"/>
        <w:gridCol w:w="1872"/>
      </w:tblGrid>
      <w:tr w:rsidR="00FF4EB0" w14:paraId="7F79424F" w14:textId="77777777">
        <w:trPr>
          <w:jc w:val="center"/>
        </w:trPr>
        <w:tc>
          <w:tcPr>
            <w:tcW w:w="1872" w:type="dxa"/>
            <w:shd w:val="clear" w:color="auto" w:fill="F2F2F2"/>
            <w:tcMar>
              <w:top w:w="70" w:type="dxa"/>
              <w:left w:w="100" w:type="dxa"/>
              <w:bottom w:w="70" w:type="dxa"/>
              <w:right w:w="100" w:type="dxa"/>
            </w:tcMar>
          </w:tcPr>
          <w:p w14:paraId="070E4659" w14:textId="77777777" w:rsidR="00FF4EB0" w:rsidRDefault="0077332D">
            <w:pPr>
              <w:spacing w:before="40" w:after="40" w:line="252" w:lineRule="auto"/>
            </w:pPr>
            <w:r>
              <w:rPr>
                <w:b/>
                <w:sz w:val="19"/>
              </w:rPr>
              <w:t>Baseline Parameter</w:t>
            </w:r>
          </w:p>
        </w:tc>
        <w:tc>
          <w:tcPr>
            <w:tcW w:w="1872" w:type="dxa"/>
            <w:shd w:val="clear" w:color="auto" w:fill="F2F2F2"/>
            <w:tcMar>
              <w:top w:w="70" w:type="dxa"/>
              <w:left w:w="100" w:type="dxa"/>
              <w:bottom w:w="70" w:type="dxa"/>
              <w:right w:w="100" w:type="dxa"/>
            </w:tcMar>
          </w:tcPr>
          <w:p w14:paraId="49AD684C" w14:textId="77777777" w:rsidR="00FF4EB0" w:rsidRDefault="0077332D">
            <w:pPr>
              <w:spacing w:before="40" w:after="40" w:line="252" w:lineRule="auto"/>
              <w:jc w:val="center"/>
            </w:pPr>
            <w:r>
              <w:rPr>
                <w:b/>
                <w:sz w:val="19"/>
              </w:rPr>
              <w:t>Surgical Wards (n = 83)</w:t>
            </w:r>
          </w:p>
        </w:tc>
        <w:tc>
          <w:tcPr>
            <w:tcW w:w="1872" w:type="dxa"/>
            <w:shd w:val="clear" w:color="auto" w:fill="F2F2F2"/>
            <w:tcMar>
              <w:top w:w="70" w:type="dxa"/>
              <w:left w:w="100" w:type="dxa"/>
              <w:bottom w:w="70" w:type="dxa"/>
              <w:right w:w="100" w:type="dxa"/>
            </w:tcMar>
          </w:tcPr>
          <w:p w14:paraId="1C870CA5" w14:textId="77777777" w:rsidR="00FF4EB0" w:rsidRDefault="0077332D">
            <w:pPr>
              <w:spacing w:before="40" w:after="40" w:line="252" w:lineRule="auto"/>
              <w:jc w:val="center"/>
            </w:pPr>
            <w:r>
              <w:rPr>
                <w:b/>
                <w:sz w:val="19"/>
              </w:rPr>
              <w:t>Non-Surgical Wards (n = 27)</w:t>
            </w:r>
          </w:p>
        </w:tc>
        <w:tc>
          <w:tcPr>
            <w:tcW w:w="1872" w:type="dxa"/>
            <w:shd w:val="clear" w:color="auto" w:fill="F2F2F2"/>
            <w:tcMar>
              <w:top w:w="70" w:type="dxa"/>
              <w:left w:w="100" w:type="dxa"/>
              <w:bottom w:w="70" w:type="dxa"/>
              <w:right w:w="100" w:type="dxa"/>
            </w:tcMar>
          </w:tcPr>
          <w:p w14:paraId="03FCD20A" w14:textId="77777777" w:rsidR="00FF4EB0" w:rsidRDefault="0077332D">
            <w:pPr>
              <w:spacing w:before="40" w:after="40" w:line="252" w:lineRule="auto"/>
              <w:jc w:val="center"/>
            </w:pPr>
            <w:r>
              <w:rPr>
                <w:b/>
                <w:sz w:val="19"/>
              </w:rPr>
              <w:t>Combined Sample (N = 110)</w:t>
            </w:r>
          </w:p>
        </w:tc>
        <w:tc>
          <w:tcPr>
            <w:tcW w:w="1872" w:type="dxa"/>
            <w:shd w:val="clear" w:color="auto" w:fill="F2F2F2"/>
            <w:tcMar>
              <w:top w:w="70" w:type="dxa"/>
              <w:left w:w="100" w:type="dxa"/>
              <w:bottom w:w="70" w:type="dxa"/>
              <w:right w:w="100" w:type="dxa"/>
            </w:tcMar>
          </w:tcPr>
          <w:p w14:paraId="151270AC" w14:textId="77777777" w:rsidR="00FF4EB0" w:rsidRDefault="0077332D">
            <w:pPr>
              <w:spacing w:before="40" w:after="40" w:line="252" w:lineRule="auto"/>
              <w:jc w:val="center"/>
            </w:pPr>
            <w:r>
              <w:rPr>
                <w:b/>
                <w:sz w:val="19"/>
              </w:rPr>
              <w:t>Overall Sample (%)</w:t>
            </w:r>
          </w:p>
        </w:tc>
      </w:tr>
      <w:tr w:rsidR="00FF4EB0" w14:paraId="0A139E9F" w14:textId="77777777">
        <w:trPr>
          <w:jc w:val="center"/>
        </w:trPr>
        <w:tc>
          <w:tcPr>
            <w:tcW w:w="1872" w:type="dxa"/>
            <w:tcMar>
              <w:top w:w="70" w:type="dxa"/>
              <w:left w:w="100" w:type="dxa"/>
              <w:bottom w:w="70" w:type="dxa"/>
              <w:right w:w="100" w:type="dxa"/>
            </w:tcMar>
          </w:tcPr>
          <w:p w14:paraId="69F1CA02" w14:textId="77777777" w:rsidR="00FF4EB0" w:rsidRDefault="0077332D">
            <w:pPr>
              <w:spacing w:before="40" w:after="40" w:line="252" w:lineRule="auto"/>
            </w:pPr>
            <w:r>
              <w:rPr>
                <w:sz w:val="19"/>
              </w:rPr>
              <w:t>Gender: Male</w:t>
            </w:r>
          </w:p>
        </w:tc>
        <w:tc>
          <w:tcPr>
            <w:tcW w:w="1872" w:type="dxa"/>
            <w:tcMar>
              <w:top w:w="70" w:type="dxa"/>
              <w:left w:w="100" w:type="dxa"/>
              <w:bottom w:w="70" w:type="dxa"/>
              <w:right w:w="100" w:type="dxa"/>
            </w:tcMar>
          </w:tcPr>
          <w:p w14:paraId="7BDF8B8F" w14:textId="77777777" w:rsidR="00FF4EB0" w:rsidRDefault="0077332D">
            <w:pPr>
              <w:spacing w:before="40" w:after="40" w:line="252" w:lineRule="auto"/>
              <w:jc w:val="center"/>
            </w:pPr>
            <w:r>
              <w:rPr>
                <w:sz w:val="19"/>
              </w:rPr>
              <w:t>56</w:t>
            </w:r>
          </w:p>
        </w:tc>
        <w:tc>
          <w:tcPr>
            <w:tcW w:w="1872" w:type="dxa"/>
            <w:tcMar>
              <w:top w:w="70" w:type="dxa"/>
              <w:left w:w="100" w:type="dxa"/>
              <w:bottom w:w="70" w:type="dxa"/>
              <w:right w:w="100" w:type="dxa"/>
            </w:tcMar>
          </w:tcPr>
          <w:p w14:paraId="49F9EF2D" w14:textId="77777777" w:rsidR="00FF4EB0" w:rsidRDefault="0077332D">
            <w:pPr>
              <w:spacing w:before="40" w:after="40" w:line="252" w:lineRule="auto"/>
              <w:jc w:val="center"/>
            </w:pPr>
            <w:r>
              <w:rPr>
                <w:sz w:val="19"/>
              </w:rPr>
              <w:t>17</w:t>
            </w:r>
          </w:p>
        </w:tc>
        <w:tc>
          <w:tcPr>
            <w:tcW w:w="1872" w:type="dxa"/>
            <w:tcMar>
              <w:top w:w="70" w:type="dxa"/>
              <w:left w:w="100" w:type="dxa"/>
              <w:bottom w:w="70" w:type="dxa"/>
              <w:right w:w="100" w:type="dxa"/>
            </w:tcMar>
          </w:tcPr>
          <w:p w14:paraId="14595F80" w14:textId="77777777" w:rsidR="00FF4EB0" w:rsidRDefault="0077332D">
            <w:pPr>
              <w:spacing w:before="40" w:after="40" w:line="252" w:lineRule="auto"/>
              <w:jc w:val="center"/>
            </w:pPr>
            <w:r>
              <w:rPr>
                <w:sz w:val="19"/>
              </w:rPr>
              <w:t>73</w:t>
            </w:r>
          </w:p>
        </w:tc>
        <w:tc>
          <w:tcPr>
            <w:tcW w:w="1872" w:type="dxa"/>
            <w:tcMar>
              <w:top w:w="70" w:type="dxa"/>
              <w:left w:w="100" w:type="dxa"/>
              <w:bottom w:w="70" w:type="dxa"/>
              <w:right w:w="100" w:type="dxa"/>
            </w:tcMar>
          </w:tcPr>
          <w:p w14:paraId="43B17649" w14:textId="77777777" w:rsidR="00FF4EB0" w:rsidRDefault="0077332D">
            <w:pPr>
              <w:spacing w:before="40" w:after="40" w:line="252" w:lineRule="auto"/>
              <w:jc w:val="center"/>
            </w:pPr>
            <w:r>
              <w:rPr>
                <w:sz w:val="19"/>
              </w:rPr>
              <w:t>66.4%</w:t>
            </w:r>
          </w:p>
        </w:tc>
      </w:tr>
      <w:tr w:rsidR="00FF4EB0" w14:paraId="67CBA526" w14:textId="77777777">
        <w:trPr>
          <w:jc w:val="center"/>
        </w:trPr>
        <w:tc>
          <w:tcPr>
            <w:tcW w:w="1872" w:type="dxa"/>
            <w:tcMar>
              <w:top w:w="70" w:type="dxa"/>
              <w:left w:w="100" w:type="dxa"/>
              <w:bottom w:w="70" w:type="dxa"/>
              <w:right w:w="100" w:type="dxa"/>
            </w:tcMar>
          </w:tcPr>
          <w:p w14:paraId="2DB8F3E8" w14:textId="77777777" w:rsidR="00FF4EB0" w:rsidRDefault="0077332D">
            <w:pPr>
              <w:spacing w:before="40" w:after="40" w:line="252" w:lineRule="auto"/>
            </w:pPr>
            <w:r>
              <w:rPr>
                <w:sz w:val="19"/>
              </w:rPr>
              <w:t>Gender: Female</w:t>
            </w:r>
          </w:p>
        </w:tc>
        <w:tc>
          <w:tcPr>
            <w:tcW w:w="1872" w:type="dxa"/>
            <w:tcMar>
              <w:top w:w="70" w:type="dxa"/>
              <w:left w:w="100" w:type="dxa"/>
              <w:bottom w:w="70" w:type="dxa"/>
              <w:right w:w="100" w:type="dxa"/>
            </w:tcMar>
          </w:tcPr>
          <w:p w14:paraId="2B71E353" w14:textId="77777777" w:rsidR="00FF4EB0" w:rsidRDefault="0077332D">
            <w:pPr>
              <w:spacing w:before="40" w:after="40" w:line="252" w:lineRule="auto"/>
              <w:jc w:val="center"/>
            </w:pPr>
            <w:r>
              <w:rPr>
                <w:sz w:val="19"/>
              </w:rPr>
              <w:t>27</w:t>
            </w:r>
          </w:p>
        </w:tc>
        <w:tc>
          <w:tcPr>
            <w:tcW w:w="1872" w:type="dxa"/>
            <w:tcMar>
              <w:top w:w="70" w:type="dxa"/>
              <w:left w:w="100" w:type="dxa"/>
              <w:bottom w:w="70" w:type="dxa"/>
              <w:right w:w="100" w:type="dxa"/>
            </w:tcMar>
          </w:tcPr>
          <w:p w14:paraId="4B2AAB09" w14:textId="77777777" w:rsidR="00FF4EB0" w:rsidRDefault="0077332D">
            <w:pPr>
              <w:spacing w:before="40" w:after="40" w:line="252" w:lineRule="auto"/>
              <w:jc w:val="center"/>
            </w:pPr>
            <w:r>
              <w:rPr>
                <w:sz w:val="19"/>
              </w:rPr>
              <w:t>10</w:t>
            </w:r>
          </w:p>
        </w:tc>
        <w:tc>
          <w:tcPr>
            <w:tcW w:w="1872" w:type="dxa"/>
            <w:tcMar>
              <w:top w:w="70" w:type="dxa"/>
              <w:left w:w="100" w:type="dxa"/>
              <w:bottom w:w="70" w:type="dxa"/>
              <w:right w:w="100" w:type="dxa"/>
            </w:tcMar>
          </w:tcPr>
          <w:p w14:paraId="3EF067D7" w14:textId="77777777" w:rsidR="00FF4EB0" w:rsidRDefault="0077332D">
            <w:pPr>
              <w:spacing w:before="40" w:after="40" w:line="252" w:lineRule="auto"/>
              <w:jc w:val="center"/>
            </w:pPr>
            <w:r>
              <w:rPr>
                <w:sz w:val="19"/>
              </w:rPr>
              <w:t>37</w:t>
            </w:r>
          </w:p>
        </w:tc>
        <w:tc>
          <w:tcPr>
            <w:tcW w:w="1872" w:type="dxa"/>
            <w:tcMar>
              <w:top w:w="70" w:type="dxa"/>
              <w:left w:w="100" w:type="dxa"/>
              <w:bottom w:w="70" w:type="dxa"/>
              <w:right w:w="100" w:type="dxa"/>
            </w:tcMar>
          </w:tcPr>
          <w:p w14:paraId="27CC6857" w14:textId="77777777" w:rsidR="00FF4EB0" w:rsidRDefault="0077332D">
            <w:pPr>
              <w:spacing w:before="40" w:after="40" w:line="252" w:lineRule="auto"/>
              <w:jc w:val="center"/>
            </w:pPr>
            <w:r>
              <w:rPr>
                <w:sz w:val="19"/>
              </w:rPr>
              <w:t>33.6%</w:t>
            </w:r>
          </w:p>
        </w:tc>
      </w:tr>
      <w:tr w:rsidR="00FF4EB0" w14:paraId="516E598E" w14:textId="77777777">
        <w:trPr>
          <w:jc w:val="center"/>
        </w:trPr>
        <w:tc>
          <w:tcPr>
            <w:tcW w:w="1872" w:type="dxa"/>
            <w:tcMar>
              <w:top w:w="70" w:type="dxa"/>
              <w:left w:w="100" w:type="dxa"/>
              <w:bottom w:w="70" w:type="dxa"/>
              <w:right w:w="100" w:type="dxa"/>
            </w:tcMar>
          </w:tcPr>
          <w:p w14:paraId="0A8B90F4" w14:textId="77777777" w:rsidR="00FF4EB0" w:rsidRDefault="0077332D">
            <w:pPr>
              <w:spacing w:before="40" w:after="40" w:line="252" w:lineRule="auto"/>
            </w:pPr>
            <w:r>
              <w:rPr>
                <w:sz w:val="19"/>
              </w:rPr>
              <w:t>Age Tier: 18–30 Years</w:t>
            </w:r>
          </w:p>
        </w:tc>
        <w:tc>
          <w:tcPr>
            <w:tcW w:w="1872" w:type="dxa"/>
            <w:tcMar>
              <w:top w:w="70" w:type="dxa"/>
              <w:left w:w="100" w:type="dxa"/>
              <w:bottom w:w="70" w:type="dxa"/>
              <w:right w:w="100" w:type="dxa"/>
            </w:tcMar>
          </w:tcPr>
          <w:p w14:paraId="27449491" w14:textId="77777777" w:rsidR="00FF4EB0" w:rsidRDefault="0077332D">
            <w:pPr>
              <w:spacing w:before="40" w:after="40" w:line="252" w:lineRule="auto"/>
              <w:jc w:val="center"/>
            </w:pPr>
            <w:r>
              <w:rPr>
                <w:sz w:val="19"/>
              </w:rPr>
              <w:t>21</w:t>
            </w:r>
          </w:p>
        </w:tc>
        <w:tc>
          <w:tcPr>
            <w:tcW w:w="1872" w:type="dxa"/>
            <w:tcMar>
              <w:top w:w="70" w:type="dxa"/>
              <w:left w:w="100" w:type="dxa"/>
              <w:bottom w:w="70" w:type="dxa"/>
              <w:right w:w="100" w:type="dxa"/>
            </w:tcMar>
          </w:tcPr>
          <w:p w14:paraId="0D0453CC" w14:textId="77777777" w:rsidR="00FF4EB0" w:rsidRDefault="0077332D">
            <w:pPr>
              <w:spacing w:before="40" w:after="40" w:line="252" w:lineRule="auto"/>
              <w:jc w:val="center"/>
            </w:pPr>
            <w:r>
              <w:rPr>
                <w:sz w:val="19"/>
              </w:rPr>
              <w:t>5</w:t>
            </w:r>
          </w:p>
        </w:tc>
        <w:tc>
          <w:tcPr>
            <w:tcW w:w="1872" w:type="dxa"/>
            <w:tcMar>
              <w:top w:w="70" w:type="dxa"/>
              <w:left w:w="100" w:type="dxa"/>
              <w:bottom w:w="70" w:type="dxa"/>
              <w:right w:w="100" w:type="dxa"/>
            </w:tcMar>
          </w:tcPr>
          <w:p w14:paraId="7A0F79C5" w14:textId="77777777" w:rsidR="00FF4EB0" w:rsidRDefault="0077332D">
            <w:pPr>
              <w:spacing w:before="40" w:after="40" w:line="252" w:lineRule="auto"/>
              <w:jc w:val="center"/>
            </w:pPr>
            <w:r>
              <w:rPr>
                <w:sz w:val="19"/>
              </w:rPr>
              <w:t>26</w:t>
            </w:r>
          </w:p>
        </w:tc>
        <w:tc>
          <w:tcPr>
            <w:tcW w:w="1872" w:type="dxa"/>
            <w:tcMar>
              <w:top w:w="70" w:type="dxa"/>
              <w:left w:w="100" w:type="dxa"/>
              <w:bottom w:w="70" w:type="dxa"/>
              <w:right w:w="100" w:type="dxa"/>
            </w:tcMar>
          </w:tcPr>
          <w:p w14:paraId="3EBF7167" w14:textId="77777777" w:rsidR="00FF4EB0" w:rsidRDefault="0077332D">
            <w:pPr>
              <w:spacing w:before="40" w:after="40" w:line="252" w:lineRule="auto"/>
              <w:jc w:val="center"/>
            </w:pPr>
            <w:r>
              <w:rPr>
                <w:sz w:val="19"/>
              </w:rPr>
              <w:t>23.6%</w:t>
            </w:r>
          </w:p>
        </w:tc>
      </w:tr>
      <w:tr w:rsidR="00FF4EB0" w14:paraId="558A1B7C" w14:textId="77777777">
        <w:trPr>
          <w:jc w:val="center"/>
        </w:trPr>
        <w:tc>
          <w:tcPr>
            <w:tcW w:w="1872" w:type="dxa"/>
            <w:tcMar>
              <w:top w:w="70" w:type="dxa"/>
              <w:left w:w="100" w:type="dxa"/>
              <w:bottom w:w="70" w:type="dxa"/>
              <w:right w:w="100" w:type="dxa"/>
            </w:tcMar>
          </w:tcPr>
          <w:p w14:paraId="116E6DF6" w14:textId="77777777" w:rsidR="00FF4EB0" w:rsidRDefault="0077332D">
            <w:pPr>
              <w:spacing w:before="40" w:after="40" w:line="252" w:lineRule="auto"/>
            </w:pPr>
            <w:r>
              <w:rPr>
                <w:sz w:val="19"/>
              </w:rPr>
              <w:t>Age Tier: 31–43 Years</w:t>
            </w:r>
          </w:p>
        </w:tc>
        <w:tc>
          <w:tcPr>
            <w:tcW w:w="1872" w:type="dxa"/>
            <w:tcMar>
              <w:top w:w="70" w:type="dxa"/>
              <w:left w:w="100" w:type="dxa"/>
              <w:bottom w:w="70" w:type="dxa"/>
              <w:right w:w="100" w:type="dxa"/>
            </w:tcMar>
          </w:tcPr>
          <w:p w14:paraId="547D33E2" w14:textId="77777777" w:rsidR="00FF4EB0" w:rsidRDefault="0077332D">
            <w:pPr>
              <w:spacing w:before="40" w:after="40" w:line="252" w:lineRule="auto"/>
              <w:jc w:val="center"/>
            </w:pPr>
            <w:r>
              <w:rPr>
                <w:sz w:val="19"/>
              </w:rPr>
              <w:t>22</w:t>
            </w:r>
          </w:p>
        </w:tc>
        <w:tc>
          <w:tcPr>
            <w:tcW w:w="1872" w:type="dxa"/>
            <w:tcMar>
              <w:top w:w="70" w:type="dxa"/>
              <w:left w:w="100" w:type="dxa"/>
              <w:bottom w:w="70" w:type="dxa"/>
              <w:right w:w="100" w:type="dxa"/>
            </w:tcMar>
          </w:tcPr>
          <w:p w14:paraId="623C43CF" w14:textId="77777777" w:rsidR="00FF4EB0" w:rsidRDefault="0077332D">
            <w:pPr>
              <w:spacing w:before="40" w:after="40" w:line="252" w:lineRule="auto"/>
              <w:jc w:val="center"/>
            </w:pPr>
            <w:r>
              <w:rPr>
                <w:sz w:val="19"/>
              </w:rPr>
              <w:t>7</w:t>
            </w:r>
          </w:p>
        </w:tc>
        <w:tc>
          <w:tcPr>
            <w:tcW w:w="1872" w:type="dxa"/>
            <w:tcMar>
              <w:top w:w="70" w:type="dxa"/>
              <w:left w:w="100" w:type="dxa"/>
              <w:bottom w:w="70" w:type="dxa"/>
              <w:right w:w="100" w:type="dxa"/>
            </w:tcMar>
          </w:tcPr>
          <w:p w14:paraId="3D024CD1" w14:textId="77777777" w:rsidR="00FF4EB0" w:rsidRDefault="0077332D">
            <w:pPr>
              <w:spacing w:before="40" w:after="40" w:line="252" w:lineRule="auto"/>
              <w:jc w:val="center"/>
            </w:pPr>
            <w:r>
              <w:rPr>
                <w:sz w:val="19"/>
              </w:rPr>
              <w:t>29</w:t>
            </w:r>
          </w:p>
        </w:tc>
        <w:tc>
          <w:tcPr>
            <w:tcW w:w="1872" w:type="dxa"/>
            <w:tcMar>
              <w:top w:w="70" w:type="dxa"/>
              <w:left w:w="100" w:type="dxa"/>
              <w:bottom w:w="70" w:type="dxa"/>
              <w:right w:w="100" w:type="dxa"/>
            </w:tcMar>
          </w:tcPr>
          <w:p w14:paraId="1C49C7FE" w14:textId="77777777" w:rsidR="00FF4EB0" w:rsidRDefault="0077332D">
            <w:pPr>
              <w:spacing w:before="40" w:after="40" w:line="252" w:lineRule="auto"/>
              <w:jc w:val="center"/>
            </w:pPr>
            <w:r>
              <w:rPr>
                <w:sz w:val="19"/>
              </w:rPr>
              <w:t>26.4%</w:t>
            </w:r>
          </w:p>
        </w:tc>
      </w:tr>
      <w:tr w:rsidR="00FF4EB0" w14:paraId="17D21342" w14:textId="77777777">
        <w:trPr>
          <w:jc w:val="center"/>
        </w:trPr>
        <w:tc>
          <w:tcPr>
            <w:tcW w:w="1872" w:type="dxa"/>
            <w:tcMar>
              <w:top w:w="70" w:type="dxa"/>
              <w:left w:w="100" w:type="dxa"/>
              <w:bottom w:w="70" w:type="dxa"/>
              <w:right w:w="100" w:type="dxa"/>
            </w:tcMar>
          </w:tcPr>
          <w:p w14:paraId="2E4D5770" w14:textId="77777777" w:rsidR="00FF4EB0" w:rsidRDefault="0077332D">
            <w:pPr>
              <w:spacing w:before="40" w:after="40" w:line="252" w:lineRule="auto"/>
            </w:pPr>
            <w:r>
              <w:rPr>
                <w:sz w:val="19"/>
              </w:rPr>
              <w:t>Age Tier: 44–56 Years</w:t>
            </w:r>
          </w:p>
        </w:tc>
        <w:tc>
          <w:tcPr>
            <w:tcW w:w="1872" w:type="dxa"/>
            <w:tcMar>
              <w:top w:w="70" w:type="dxa"/>
              <w:left w:w="100" w:type="dxa"/>
              <w:bottom w:w="70" w:type="dxa"/>
              <w:right w:w="100" w:type="dxa"/>
            </w:tcMar>
          </w:tcPr>
          <w:p w14:paraId="68203309" w14:textId="77777777" w:rsidR="00FF4EB0" w:rsidRDefault="0077332D">
            <w:pPr>
              <w:spacing w:before="40" w:after="40" w:line="252" w:lineRule="auto"/>
              <w:jc w:val="center"/>
            </w:pPr>
            <w:r>
              <w:rPr>
                <w:sz w:val="19"/>
              </w:rPr>
              <w:t>21</w:t>
            </w:r>
          </w:p>
        </w:tc>
        <w:tc>
          <w:tcPr>
            <w:tcW w:w="1872" w:type="dxa"/>
            <w:tcMar>
              <w:top w:w="70" w:type="dxa"/>
              <w:left w:w="100" w:type="dxa"/>
              <w:bottom w:w="70" w:type="dxa"/>
              <w:right w:w="100" w:type="dxa"/>
            </w:tcMar>
          </w:tcPr>
          <w:p w14:paraId="3652C7D2" w14:textId="77777777" w:rsidR="00FF4EB0" w:rsidRDefault="0077332D">
            <w:pPr>
              <w:spacing w:before="40" w:after="40" w:line="252" w:lineRule="auto"/>
              <w:jc w:val="center"/>
            </w:pPr>
            <w:r>
              <w:rPr>
                <w:sz w:val="19"/>
              </w:rPr>
              <w:t>7</w:t>
            </w:r>
          </w:p>
        </w:tc>
        <w:tc>
          <w:tcPr>
            <w:tcW w:w="1872" w:type="dxa"/>
            <w:tcMar>
              <w:top w:w="70" w:type="dxa"/>
              <w:left w:w="100" w:type="dxa"/>
              <w:bottom w:w="70" w:type="dxa"/>
              <w:right w:w="100" w:type="dxa"/>
            </w:tcMar>
          </w:tcPr>
          <w:p w14:paraId="20C89E2E" w14:textId="77777777" w:rsidR="00FF4EB0" w:rsidRDefault="0077332D">
            <w:pPr>
              <w:spacing w:before="40" w:after="40" w:line="252" w:lineRule="auto"/>
              <w:jc w:val="center"/>
            </w:pPr>
            <w:r>
              <w:rPr>
                <w:sz w:val="19"/>
              </w:rPr>
              <w:t>28</w:t>
            </w:r>
          </w:p>
        </w:tc>
        <w:tc>
          <w:tcPr>
            <w:tcW w:w="1872" w:type="dxa"/>
            <w:tcMar>
              <w:top w:w="70" w:type="dxa"/>
              <w:left w:w="100" w:type="dxa"/>
              <w:bottom w:w="70" w:type="dxa"/>
              <w:right w:w="100" w:type="dxa"/>
            </w:tcMar>
          </w:tcPr>
          <w:p w14:paraId="4B690AD9" w14:textId="77777777" w:rsidR="00FF4EB0" w:rsidRDefault="0077332D">
            <w:pPr>
              <w:spacing w:before="40" w:after="40" w:line="252" w:lineRule="auto"/>
              <w:jc w:val="center"/>
            </w:pPr>
            <w:r>
              <w:rPr>
                <w:sz w:val="19"/>
              </w:rPr>
              <w:t>25.5%</w:t>
            </w:r>
          </w:p>
        </w:tc>
      </w:tr>
      <w:tr w:rsidR="00FF4EB0" w14:paraId="48A34F8D" w14:textId="77777777">
        <w:trPr>
          <w:jc w:val="center"/>
        </w:trPr>
        <w:tc>
          <w:tcPr>
            <w:tcW w:w="1872" w:type="dxa"/>
            <w:tcMar>
              <w:top w:w="70" w:type="dxa"/>
              <w:left w:w="100" w:type="dxa"/>
              <w:bottom w:w="70" w:type="dxa"/>
              <w:right w:w="100" w:type="dxa"/>
            </w:tcMar>
          </w:tcPr>
          <w:p w14:paraId="71397815" w14:textId="77777777" w:rsidR="00FF4EB0" w:rsidRDefault="0077332D">
            <w:pPr>
              <w:spacing w:before="40" w:after="40" w:line="252" w:lineRule="auto"/>
            </w:pPr>
            <w:r>
              <w:rPr>
                <w:sz w:val="19"/>
              </w:rPr>
              <w:t>Age Tier: 57–80 Years</w:t>
            </w:r>
          </w:p>
        </w:tc>
        <w:tc>
          <w:tcPr>
            <w:tcW w:w="1872" w:type="dxa"/>
            <w:tcMar>
              <w:top w:w="70" w:type="dxa"/>
              <w:left w:w="100" w:type="dxa"/>
              <w:bottom w:w="70" w:type="dxa"/>
              <w:right w:w="100" w:type="dxa"/>
            </w:tcMar>
          </w:tcPr>
          <w:p w14:paraId="44C0A4CE" w14:textId="77777777" w:rsidR="00FF4EB0" w:rsidRDefault="0077332D">
            <w:pPr>
              <w:spacing w:before="40" w:after="40" w:line="252" w:lineRule="auto"/>
              <w:jc w:val="center"/>
            </w:pPr>
            <w:r>
              <w:rPr>
                <w:sz w:val="19"/>
              </w:rPr>
              <w:t>19</w:t>
            </w:r>
          </w:p>
        </w:tc>
        <w:tc>
          <w:tcPr>
            <w:tcW w:w="1872" w:type="dxa"/>
            <w:tcMar>
              <w:top w:w="70" w:type="dxa"/>
              <w:left w:w="100" w:type="dxa"/>
              <w:bottom w:w="70" w:type="dxa"/>
              <w:right w:w="100" w:type="dxa"/>
            </w:tcMar>
          </w:tcPr>
          <w:p w14:paraId="2D7F5152" w14:textId="77777777" w:rsidR="00FF4EB0" w:rsidRDefault="0077332D">
            <w:pPr>
              <w:spacing w:before="40" w:after="40" w:line="252" w:lineRule="auto"/>
              <w:jc w:val="center"/>
            </w:pPr>
            <w:r>
              <w:rPr>
                <w:sz w:val="19"/>
              </w:rPr>
              <w:t>8</w:t>
            </w:r>
          </w:p>
        </w:tc>
        <w:tc>
          <w:tcPr>
            <w:tcW w:w="1872" w:type="dxa"/>
            <w:tcMar>
              <w:top w:w="70" w:type="dxa"/>
              <w:left w:w="100" w:type="dxa"/>
              <w:bottom w:w="70" w:type="dxa"/>
              <w:right w:w="100" w:type="dxa"/>
            </w:tcMar>
          </w:tcPr>
          <w:p w14:paraId="085F9281" w14:textId="77777777" w:rsidR="00FF4EB0" w:rsidRDefault="0077332D">
            <w:pPr>
              <w:spacing w:before="40" w:after="40" w:line="252" w:lineRule="auto"/>
              <w:jc w:val="center"/>
            </w:pPr>
            <w:r>
              <w:rPr>
                <w:sz w:val="19"/>
              </w:rPr>
              <w:t>27</w:t>
            </w:r>
          </w:p>
        </w:tc>
        <w:tc>
          <w:tcPr>
            <w:tcW w:w="1872" w:type="dxa"/>
            <w:tcMar>
              <w:top w:w="70" w:type="dxa"/>
              <w:left w:w="100" w:type="dxa"/>
              <w:bottom w:w="70" w:type="dxa"/>
              <w:right w:w="100" w:type="dxa"/>
            </w:tcMar>
          </w:tcPr>
          <w:p w14:paraId="55841EED" w14:textId="77777777" w:rsidR="00FF4EB0" w:rsidRDefault="0077332D">
            <w:pPr>
              <w:spacing w:before="40" w:after="40" w:line="252" w:lineRule="auto"/>
              <w:jc w:val="center"/>
            </w:pPr>
            <w:r>
              <w:rPr>
                <w:sz w:val="19"/>
              </w:rPr>
              <w:t>24.5%</w:t>
            </w:r>
          </w:p>
        </w:tc>
      </w:tr>
      <w:tr w:rsidR="00FF4EB0" w14:paraId="7C38029F" w14:textId="77777777">
        <w:trPr>
          <w:jc w:val="center"/>
        </w:trPr>
        <w:tc>
          <w:tcPr>
            <w:tcW w:w="1872" w:type="dxa"/>
            <w:tcMar>
              <w:top w:w="70" w:type="dxa"/>
              <w:left w:w="100" w:type="dxa"/>
              <w:bottom w:w="70" w:type="dxa"/>
              <w:right w:w="100" w:type="dxa"/>
            </w:tcMar>
          </w:tcPr>
          <w:p w14:paraId="3C2FABD0" w14:textId="77777777" w:rsidR="00FF4EB0" w:rsidRDefault="0077332D">
            <w:pPr>
              <w:spacing w:before="40" w:after="40" w:line="252" w:lineRule="auto"/>
            </w:pPr>
            <w:r>
              <w:rPr>
                <w:sz w:val="19"/>
              </w:rPr>
              <w:t>Comorbidity: Hypertension*</w:t>
            </w:r>
          </w:p>
        </w:tc>
        <w:tc>
          <w:tcPr>
            <w:tcW w:w="1872" w:type="dxa"/>
            <w:tcMar>
              <w:top w:w="70" w:type="dxa"/>
              <w:left w:w="100" w:type="dxa"/>
              <w:bottom w:w="70" w:type="dxa"/>
              <w:right w:w="100" w:type="dxa"/>
            </w:tcMar>
          </w:tcPr>
          <w:p w14:paraId="0BDF315E" w14:textId="77777777" w:rsidR="00FF4EB0" w:rsidRDefault="0077332D">
            <w:pPr>
              <w:spacing w:before="40" w:after="40" w:line="252" w:lineRule="auto"/>
              <w:jc w:val="center"/>
            </w:pPr>
            <w:r>
              <w:rPr>
                <w:sz w:val="19"/>
              </w:rPr>
              <w:t>16</w:t>
            </w:r>
          </w:p>
        </w:tc>
        <w:tc>
          <w:tcPr>
            <w:tcW w:w="1872" w:type="dxa"/>
            <w:tcMar>
              <w:top w:w="70" w:type="dxa"/>
              <w:left w:w="100" w:type="dxa"/>
              <w:bottom w:w="70" w:type="dxa"/>
              <w:right w:w="100" w:type="dxa"/>
            </w:tcMar>
          </w:tcPr>
          <w:p w14:paraId="0C759EB8" w14:textId="77777777" w:rsidR="00FF4EB0" w:rsidRDefault="0077332D">
            <w:pPr>
              <w:spacing w:before="40" w:after="40" w:line="252" w:lineRule="auto"/>
              <w:jc w:val="center"/>
            </w:pPr>
            <w:r>
              <w:rPr>
                <w:sz w:val="19"/>
              </w:rPr>
              <w:t>9</w:t>
            </w:r>
          </w:p>
        </w:tc>
        <w:tc>
          <w:tcPr>
            <w:tcW w:w="1872" w:type="dxa"/>
            <w:tcMar>
              <w:top w:w="70" w:type="dxa"/>
              <w:left w:w="100" w:type="dxa"/>
              <w:bottom w:w="70" w:type="dxa"/>
              <w:right w:w="100" w:type="dxa"/>
            </w:tcMar>
          </w:tcPr>
          <w:p w14:paraId="1756BBD5" w14:textId="77777777" w:rsidR="00FF4EB0" w:rsidRDefault="0077332D">
            <w:pPr>
              <w:spacing w:before="40" w:after="40" w:line="252" w:lineRule="auto"/>
              <w:jc w:val="center"/>
            </w:pPr>
            <w:r>
              <w:rPr>
                <w:sz w:val="19"/>
              </w:rPr>
              <w:t>25</w:t>
            </w:r>
          </w:p>
        </w:tc>
        <w:tc>
          <w:tcPr>
            <w:tcW w:w="1872" w:type="dxa"/>
            <w:tcMar>
              <w:top w:w="70" w:type="dxa"/>
              <w:left w:w="100" w:type="dxa"/>
              <w:bottom w:w="70" w:type="dxa"/>
              <w:right w:w="100" w:type="dxa"/>
            </w:tcMar>
          </w:tcPr>
          <w:p w14:paraId="75709CB0" w14:textId="77777777" w:rsidR="00FF4EB0" w:rsidRDefault="0077332D">
            <w:pPr>
              <w:spacing w:before="40" w:after="40" w:line="252" w:lineRule="auto"/>
              <w:jc w:val="center"/>
            </w:pPr>
            <w:r>
              <w:rPr>
                <w:sz w:val="19"/>
              </w:rPr>
              <w:t>48.2%</w:t>
            </w:r>
          </w:p>
        </w:tc>
      </w:tr>
      <w:tr w:rsidR="00FF4EB0" w14:paraId="4D32FB83" w14:textId="77777777">
        <w:trPr>
          <w:jc w:val="center"/>
        </w:trPr>
        <w:tc>
          <w:tcPr>
            <w:tcW w:w="1872" w:type="dxa"/>
            <w:tcMar>
              <w:top w:w="70" w:type="dxa"/>
              <w:left w:w="100" w:type="dxa"/>
              <w:bottom w:w="70" w:type="dxa"/>
              <w:right w:w="100" w:type="dxa"/>
            </w:tcMar>
          </w:tcPr>
          <w:p w14:paraId="0BC9832E" w14:textId="77777777" w:rsidR="00FF4EB0" w:rsidRDefault="0077332D">
            <w:pPr>
              <w:spacing w:before="40" w:after="40" w:line="252" w:lineRule="auto"/>
            </w:pPr>
            <w:r>
              <w:rPr>
                <w:sz w:val="19"/>
              </w:rPr>
              <w:t>Comorbidity: Diabetes Mellitus*</w:t>
            </w:r>
          </w:p>
        </w:tc>
        <w:tc>
          <w:tcPr>
            <w:tcW w:w="1872" w:type="dxa"/>
            <w:tcMar>
              <w:top w:w="70" w:type="dxa"/>
              <w:left w:w="100" w:type="dxa"/>
              <w:bottom w:w="70" w:type="dxa"/>
              <w:right w:w="100" w:type="dxa"/>
            </w:tcMar>
          </w:tcPr>
          <w:p w14:paraId="4CBA211A" w14:textId="77777777" w:rsidR="00FF4EB0" w:rsidRDefault="0077332D">
            <w:pPr>
              <w:spacing w:before="40" w:after="40" w:line="252" w:lineRule="auto"/>
              <w:jc w:val="center"/>
            </w:pPr>
            <w:r>
              <w:rPr>
                <w:sz w:val="19"/>
              </w:rPr>
              <w:t>11</w:t>
            </w:r>
          </w:p>
        </w:tc>
        <w:tc>
          <w:tcPr>
            <w:tcW w:w="1872" w:type="dxa"/>
            <w:tcMar>
              <w:top w:w="70" w:type="dxa"/>
              <w:left w:w="100" w:type="dxa"/>
              <w:bottom w:w="70" w:type="dxa"/>
              <w:right w:w="100" w:type="dxa"/>
            </w:tcMar>
          </w:tcPr>
          <w:p w14:paraId="1B94AE6D" w14:textId="77777777" w:rsidR="00FF4EB0" w:rsidRDefault="0077332D">
            <w:pPr>
              <w:spacing w:before="40" w:after="40" w:line="252" w:lineRule="auto"/>
              <w:jc w:val="center"/>
            </w:pPr>
            <w:r>
              <w:rPr>
                <w:sz w:val="19"/>
              </w:rPr>
              <w:t>7</w:t>
            </w:r>
          </w:p>
        </w:tc>
        <w:tc>
          <w:tcPr>
            <w:tcW w:w="1872" w:type="dxa"/>
            <w:tcMar>
              <w:top w:w="70" w:type="dxa"/>
              <w:left w:w="100" w:type="dxa"/>
              <w:bottom w:w="70" w:type="dxa"/>
              <w:right w:w="100" w:type="dxa"/>
            </w:tcMar>
          </w:tcPr>
          <w:p w14:paraId="31F4461E" w14:textId="77777777" w:rsidR="00FF4EB0" w:rsidRDefault="0077332D">
            <w:pPr>
              <w:spacing w:before="40" w:after="40" w:line="252" w:lineRule="auto"/>
              <w:jc w:val="center"/>
            </w:pPr>
            <w:r>
              <w:rPr>
                <w:sz w:val="19"/>
              </w:rPr>
              <w:t>18</w:t>
            </w:r>
          </w:p>
        </w:tc>
        <w:tc>
          <w:tcPr>
            <w:tcW w:w="1872" w:type="dxa"/>
            <w:tcMar>
              <w:top w:w="70" w:type="dxa"/>
              <w:left w:w="100" w:type="dxa"/>
              <w:bottom w:w="70" w:type="dxa"/>
              <w:right w:w="100" w:type="dxa"/>
            </w:tcMar>
          </w:tcPr>
          <w:p w14:paraId="0332C16C" w14:textId="77777777" w:rsidR="00FF4EB0" w:rsidRDefault="0077332D">
            <w:pPr>
              <w:spacing w:before="40" w:after="40" w:line="252" w:lineRule="auto"/>
              <w:jc w:val="center"/>
            </w:pPr>
            <w:r>
              <w:rPr>
                <w:sz w:val="19"/>
              </w:rPr>
              <w:t>34.6%</w:t>
            </w:r>
          </w:p>
        </w:tc>
      </w:tr>
      <w:tr w:rsidR="00FF4EB0" w14:paraId="0D781EA8" w14:textId="77777777">
        <w:trPr>
          <w:jc w:val="center"/>
        </w:trPr>
        <w:tc>
          <w:tcPr>
            <w:tcW w:w="1872" w:type="dxa"/>
            <w:tcMar>
              <w:top w:w="70" w:type="dxa"/>
              <w:left w:w="100" w:type="dxa"/>
              <w:bottom w:w="70" w:type="dxa"/>
              <w:right w:w="100" w:type="dxa"/>
            </w:tcMar>
          </w:tcPr>
          <w:p w14:paraId="37E7C209" w14:textId="77777777" w:rsidR="00FF4EB0" w:rsidRDefault="0077332D">
            <w:pPr>
              <w:spacing w:before="40" w:after="40" w:line="252" w:lineRule="auto"/>
            </w:pPr>
            <w:r>
              <w:rPr>
                <w:sz w:val="19"/>
              </w:rPr>
              <w:t>Comorbidity: Cardiovascular Disease*</w:t>
            </w:r>
          </w:p>
        </w:tc>
        <w:tc>
          <w:tcPr>
            <w:tcW w:w="1872" w:type="dxa"/>
            <w:tcMar>
              <w:top w:w="70" w:type="dxa"/>
              <w:left w:w="100" w:type="dxa"/>
              <w:bottom w:w="70" w:type="dxa"/>
              <w:right w:w="100" w:type="dxa"/>
            </w:tcMar>
          </w:tcPr>
          <w:p w14:paraId="510B9DE6" w14:textId="77777777" w:rsidR="00FF4EB0" w:rsidRDefault="0077332D">
            <w:pPr>
              <w:spacing w:before="40" w:after="40" w:line="252" w:lineRule="auto"/>
              <w:jc w:val="center"/>
            </w:pPr>
            <w:r>
              <w:rPr>
                <w:sz w:val="19"/>
              </w:rPr>
              <w:t>4</w:t>
            </w:r>
          </w:p>
        </w:tc>
        <w:tc>
          <w:tcPr>
            <w:tcW w:w="1872" w:type="dxa"/>
            <w:tcMar>
              <w:top w:w="70" w:type="dxa"/>
              <w:left w:w="100" w:type="dxa"/>
              <w:bottom w:w="70" w:type="dxa"/>
              <w:right w:w="100" w:type="dxa"/>
            </w:tcMar>
          </w:tcPr>
          <w:p w14:paraId="45B55719" w14:textId="77777777" w:rsidR="00FF4EB0" w:rsidRDefault="0077332D">
            <w:pPr>
              <w:spacing w:before="40" w:after="40" w:line="252" w:lineRule="auto"/>
              <w:jc w:val="center"/>
            </w:pPr>
            <w:r>
              <w:rPr>
                <w:sz w:val="19"/>
              </w:rPr>
              <w:t>2</w:t>
            </w:r>
          </w:p>
        </w:tc>
        <w:tc>
          <w:tcPr>
            <w:tcW w:w="1872" w:type="dxa"/>
            <w:tcMar>
              <w:top w:w="70" w:type="dxa"/>
              <w:left w:w="100" w:type="dxa"/>
              <w:bottom w:w="70" w:type="dxa"/>
              <w:right w:w="100" w:type="dxa"/>
            </w:tcMar>
          </w:tcPr>
          <w:p w14:paraId="58DB2C0D" w14:textId="77777777" w:rsidR="00FF4EB0" w:rsidRDefault="0077332D">
            <w:pPr>
              <w:spacing w:before="40" w:after="40" w:line="252" w:lineRule="auto"/>
              <w:jc w:val="center"/>
            </w:pPr>
            <w:r>
              <w:rPr>
                <w:sz w:val="19"/>
              </w:rPr>
              <w:t>6</w:t>
            </w:r>
          </w:p>
        </w:tc>
        <w:tc>
          <w:tcPr>
            <w:tcW w:w="1872" w:type="dxa"/>
            <w:tcMar>
              <w:top w:w="70" w:type="dxa"/>
              <w:left w:w="100" w:type="dxa"/>
              <w:bottom w:w="70" w:type="dxa"/>
              <w:right w:w="100" w:type="dxa"/>
            </w:tcMar>
          </w:tcPr>
          <w:p w14:paraId="6B35E3FC" w14:textId="77777777" w:rsidR="00FF4EB0" w:rsidRDefault="0077332D">
            <w:pPr>
              <w:spacing w:before="40" w:after="40" w:line="252" w:lineRule="auto"/>
              <w:jc w:val="center"/>
            </w:pPr>
            <w:r>
              <w:rPr>
                <w:sz w:val="19"/>
              </w:rPr>
              <w:t>11.5%</w:t>
            </w:r>
          </w:p>
        </w:tc>
      </w:tr>
      <w:tr w:rsidR="00FF4EB0" w14:paraId="66A74B13" w14:textId="77777777">
        <w:trPr>
          <w:jc w:val="center"/>
        </w:trPr>
        <w:tc>
          <w:tcPr>
            <w:tcW w:w="1872" w:type="dxa"/>
            <w:tcMar>
              <w:top w:w="70" w:type="dxa"/>
              <w:left w:w="100" w:type="dxa"/>
              <w:bottom w:w="70" w:type="dxa"/>
              <w:right w:w="100" w:type="dxa"/>
            </w:tcMar>
          </w:tcPr>
          <w:p w14:paraId="543CB9EB" w14:textId="77777777" w:rsidR="00FF4EB0" w:rsidRDefault="0077332D">
            <w:pPr>
              <w:spacing w:before="40" w:after="40" w:line="252" w:lineRule="auto"/>
            </w:pPr>
            <w:r>
              <w:rPr>
                <w:sz w:val="19"/>
              </w:rPr>
              <w:t>Comorbidity: Renal / Respiratory*</w:t>
            </w:r>
          </w:p>
        </w:tc>
        <w:tc>
          <w:tcPr>
            <w:tcW w:w="1872" w:type="dxa"/>
            <w:tcMar>
              <w:top w:w="70" w:type="dxa"/>
              <w:left w:w="100" w:type="dxa"/>
              <w:bottom w:w="70" w:type="dxa"/>
              <w:right w:w="100" w:type="dxa"/>
            </w:tcMar>
          </w:tcPr>
          <w:p w14:paraId="38B550A0" w14:textId="77777777" w:rsidR="00FF4EB0" w:rsidRDefault="0077332D">
            <w:pPr>
              <w:spacing w:before="40" w:after="40" w:line="252" w:lineRule="auto"/>
              <w:jc w:val="center"/>
            </w:pPr>
            <w:r>
              <w:rPr>
                <w:sz w:val="19"/>
              </w:rPr>
              <w:t>2</w:t>
            </w:r>
          </w:p>
        </w:tc>
        <w:tc>
          <w:tcPr>
            <w:tcW w:w="1872" w:type="dxa"/>
            <w:tcMar>
              <w:top w:w="70" w:type="dxa"/>
              <w:left w:w="100" w:type="dxa"/>
              <w:bottom w:w="70" w:type="dxa"/>
              <w:right w:w="100" w:type="dxa"/>
            </w:tcMar>
          </w:tcPr>
          <w:p w14:paraId="1EE2E551"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01840A14" w14:textId="77777777" w:rsidR="00FF4EB0" w:rsidRDefault="0077332D">
            <w:pPr>
              <w:spacing w:before="40" w:after="40" w:line="252" w:lineRule="auto"/>
              <w:jc w:val="center"/>
            </w:pPr>
            <w:r>
              <w:rPr>
                <w:sz w:val="19"/>
              </w:rPr>
              <w:t>3</w:t>
            </w:r>
          </w:p>
        </w:tc>
        <w:tc>
          <w:tcPr>
            <w:tcW w:w="1872" w:type="dxa"/>
            <w:tcMar>
              <w:top w:w="70" w:type="dxa"/>
              <w:left w:w="100" w:type="dxa"/>
              <w:bottom w:w="70" w:type="dxa"/>
              <w:right w:w="100" w:type="dxa"/>
            </w:tcMar>
          </w:tcPr>
          <w:p w14:paraId="418356D7" w14:textId="77777777" w:rsidR="00FF4EB0" w:rsidRDefault="0077332D">
            <w:pPr>
              <w:spacing w:before="40" w:after="40" w:line="252" w:lineRule="auto"/>
              <w:jc w:val="center"/>
            </w:pPr>
            <w:r>
              <w:rPr>
                <w:sz w:val="19"/>
              </w:rPr>
              <w:t>5.7%</w:t>
            </w:r>
          </w:p>
        </w:tc>
      </w:tr>
      <w:tr w:rsidR="00FF4EB0" w14:paraId="08B1A987" w14:textId="77777777">
        <w:trPr>
          <w:jc w:val="center"/>
        </w:trPr>
        <w:tc>
          <w:tcPr>
            <w:tcW w:w="1872" w:type="dxa"/>
            <w:tcMar>
              <w:top w:w="70" w:type="dxa"/>
              <w:left w:w="100" w:type="dxa"/>
              <w:bottom w:w="70" w:type="dxa"/>
              <w:right w:w="100" w:type="dxa"/>
            </w:tcMar>
          </w:tcPr>
          <w:p w14:paraId="3AF7FC75" w14:textId="77777777" w:rsidR="00FF4EB0" w:rsidRDefault="0077332D">
            <w:pPr>
              <w:spacing w:before="40" w:after="40" w:line="252" w:lineRule="auto"/>
            </w:pPr>
            <w:r>
              <w:rPr>
                <w:b/>
                <w:sz w:val="19"/>
              </w:rPr>
              <w:t>Total Tracked Cohort</w:t>
            </w:r>
          </w:p>
        </w:tc>
        <w:tc>
          <w:tcPr>
            <w:tcW w:w="1872" w:type="dxa"/>
            <w:tcMar>
              <w:top w:w="70" w:type="dxa"/>
              <w:left w:w="100" w:type="dxa"/>
              <w:bottom w:w="70" w:type="dxa"/>
              <w:right w:w="100" w:type="dxa"/>
            </w:tcMar>
          </w:tcPr>
          <w:p w14:paraId="569CE533" w14:textId="77777777" w:rsidR="00FF4EB0" w:rsidRDefault="0077332D">
            <w:pPr>
              <w:spacing w:before="40" w:after="40" w:line="252" w:lineRule="auto"/>
              <w:jc w:val="center"/>
            </w:pPr>
            <w:r>
              <w:rPr>
                <w:b/>
                <w:sz w:val="19"/>
              </w:rPr>
              <w:t>83</w:t>
            </w:r>
          </w:p>
        </w:tc>
        <w:tc>
          <w:tcPr>
            <w:tcW w:w="1872" w:type="dxa"/>
            <w:tcMar>
              <w:top w:w="70" w:type="dxa"/>
              <w:left w:w="100" w:type="dxa"/>
              <w:bottom w:w="70" w:type="dxa"/>
              <w:right w:w="100" w:type="dxa"/>
            </w:tcMar>
          </w:tcPr>
          <w:p w14:paraId="5C11C76B" w14:textId="77777777" w:rsidR="00FF4EB0" w:rsidRDefault="0077332D">
            <w:pPr>
              <w:spacing w:before="40" w:after="40" w:line="252" w:lineRule="auto"/>
              <w:jc w:val="center"/>
            </w:pPr>
            <w:r>
              <w:rPr>
                <w:b/>
                <w:sz w:val="19"/>
              </w:rPr>
              <w:t>27</w:t>
            </w:r>
          </w:p>
        </w:tc>
        <w:tc>
          <w:tcPr>
            <w:tcW w:w="1872" w:type="dxa"/>
            <w:tcMar>
              <w:top w:w="70" w:type="dxa"/>
              <w:left w:w="100" w:type="dxa"/>
              <w:bottom w:w="70" w:type="dxa"/>
              <w:right w:w="100" w:type="dxa"/>
            </w:tcMar>
          </w:tcPr>
          <w:p w14:paraId="311C314F" w14:textId="77777777" w:rsidR="00FF4EB0" w:rsidRDefault="0077332D">
            <w:pPr>
              <w:spacing w:before="40" w:after="40" w:line="252" w:lineRule="auto"/>
              <w:jc w:val="center"/>
            </w:pPr>
            <w:r>
              <w:rPr>
                <w:b/>
                <w:sz w:val="19"/>
              </w:rPr>
              <w:t>110</w:t>
            </w:r>
          </w:p>
        </w:tc>
        <w:tc>
          <w:tcPr>
            <w:tcW w:w="1872" w:type="dxa"/>
            <w:tcMar>
              <w:top w:w="70" w:type="dxa"/>
              <w:left w:w="100" w:type="dxa"/>
              <w:bottom w:w="70" w:type="dxa"/>
              <w:right w:w="100" w:type="dxa"/>
            </w:tcMar>
          </w:tcPr>
          <w:p w14:paraId="219C6A95" w14:textId="77777777" w:rsidR="00FF4EB0" w:rsidRDefault="0077332D">
            <w:pPr>
              <w:spacing w:before="40" w:after="40" w:line="252" w:lineRule="auto"/>
              <w:jc w:val="center"/>
            </w:pPr>
            <w:r>
              <w:rPr>
                <w:b/>
                <w:sz w:val="19"/>
              </w:rPr>
              <w:t>100.0%</w:t>
            </w:r>
          </w:p>
        </w:tc>
      </w:tr>
    </w:tbl>
    <w:p w14:paraId="22C159E4" w14:textId="77777777" w:rsidR="00FF4EB0" w:rsidRDefault="0077332D">
      <w:pPr>
        <w:spacing w:before="40"/>
      </w:pPr>
      <w:r>
        <w:rPr>
          <w:i/>
          <w:sz w:val="18"/>
        </w:rPr>
        <w:t>*Comorbidity percentages calculated from patients with documented comorbid medical history (n = 52).</w:t>
      </w:r>
    </w:p>
    <w:p w14:paraId="6EA23BFE" w14:textId="77777777" w:rsidR="00FF4EB0" w:rsidRDefault="0077332D">
      <w:pPr>
        <w:keepNext/>
        <w:spacing w:before="200" w:after="80"/>
        <w:rPr>
          <w:b/>
          <w:i/>
          <w:sz w:val="23"/>
        </w:rPr>
      </w:pPr>
      <w:r>
        <w:rPr>
          <w:b/>
          <w:i/>
          <w:sz w:val="23"/>
        </w:rPr>
        <w:t>3.2 Psychotropic Drug Usage Patterns across Departments</w:t>
      </w:r>
    </w:p>
    <w:p w14:paraId="7352FCBD" w14:textId="20ED7FD4" w:rsidR="0003687D" w:rsidRPr="00237695" w:rsidRDefault="0003687D">
      <w:pPr>
        <w:keepNext/>
        <w:spacing w:before="200" w:after="80"/>
        <w:rPr>
          <w:sz w:val="22"/>
          <w:lang w:val="en-IN"/>
        </w:rPr>
      </w:pPr>
      <w:r w:rsidRPr="0003687D">
        <w:rPr>
          <w:sz w:val="22"/>
          <w:lang w:val="en-IN"/>
        </w:rPr>
        <w:t>Utilization of various classes of psychotropic drugs differed significantly by specialties. Within the 153 psychotropic therapy individual course prescribed, short-acting benzodiazepines, predominantly</w:t>
      </w:r>
      <w:r>
        <w:rPr>
          <w:sz w:val="22"/>
          <w:lang w:val="en-IN"/>
        </w:rPr>
        <w:t xml:space="preserve"> </w:t>
      </w:r>
      <w:r w:rsidRPr="0003687D">
        <w:rPr>
          <w:sz w:val="22"/>
          <w:lang w:val="en-IN"/>
        </w:rPr>
        <w:t xml:space="preserve">alprazolam (44.5% of total amount, n = 68), dominate the practice of surgical wards for management of </w:t>
      </w:r>
      <w:r w:rsidRPr="0003687D">
        <w:rPr>
          <w:sz w:val="22"/>
          <w:lang w:val="en-IN"/>
        </w:rPr>
        <w:lastRenderedPageBreak/>
        <w:t>perioperative anxiety, preanesthetic sedation, and acute insomnia. The preference for anticonvulsants</w:t>
      </w:r>
      <w:r>
        <w:rPr>
          <w:sz w:val="22"/>
          <w:lang w:val="en-IN"/>
        </w:rPr>
        <w:t xml:space="preserve"> </w:t>
      </w:r>
      <w:r w:rsidRPr="0003687D">
        <w:rPr>
          <w:sz w:val="22"/>
          <w:lang w:val="en-IN"/>
        </w:rPr>
        <w:t>(pregabalin</w:t>
      </w:r>
      <w:r>
        <w:rPr>
          <w:sz w:val="22"/>
          <w:lang w:val="en-IN"/>
        </w:rPr>
        <w:t xml:space="preserve"> </w:t>
      </w:r>
      <w:r w:rsidRPr="0003687D">
        <w:rPr>
          <w:sz w:val="22"/>
          <w:lang w:val="en-IN"/>
        </w:rPr>
        <w:t>at 22.3%, n = 34) and tricyclic antidepressants (nortriptyline at 19.6%, n = 30) was evident in the non-surgical general medicine ward for ongoing treatment of chronic</w:t>
      </w:r>
      <w:r>
        <w:rPr>
          <w:sz w:val="22"/>
          <w:lang w:val="en-IN"/>
        </w:rPr>
        <w:t xml:space="preserve"> </w:t>
      </w:r>
      <w:r w:rsidRPr="0003687D">
        <w:rPr>
          <w:sz w:val="22"/>
          <w:lang w:val="en-IN"/>
        </w:rPr>
        <w:t>somatosensory pain syndromes and somatoform disorders. The most frequently prescribed therapy was monotherapy (62.3%, n = 74) and</w:t>
      </w:r>
      <w:r>
        <w:rPr>
          <w:sz w:val="22"/>
          <w:lang w:val="en-IN"/>
        </w:rPr>
        <w:t xml:space="preserve"> </w:t>
      </w:r>
      <w:r w:rsidRPr="0003687D">
        <w:rPr>
          <w:sz w:val="22"/>
          <w:lang w:val="en-IN"/>
        </w:rPr>
        <w:t>combination therapy was initiated in 32.7% (n = 36), particularly used for a complicate</w:t>
      </w:r>
      <w:r w:rsidR="00237695">
        <w:rPr>
          <w:sz w:val="22"/>
          <w:lang w:val="en-IN"/>
        </w:rPr>
        <w:t xml:space="preserve"> </w:t>
      </w:r>
      <w:r w:rsidRPr="0003687D">
        <w:rPr>
          <w:sz w:val="22"/>
          <w:lang w:val="en-IN"/>
        </w:rPr>
        <w:t>pain treatment of general medicine service. Results have been shown in Table 2.</w:t>
      </w:r>
    </w:p>
    <w:p w14:paraId="38296695" w14:textId="77777777" w:rsidR="00FF4EB0" w:rsidRDefault="0077332D">
      <w:pPr>
        <w:keepNext/>
        <w:spacing w:before="160" w:after="60"/>
      </w:pPr>
      <w:r>
        <w:rPr>
          <w:b/>
          <w:sz w:val="21"/>
        </w:rPr>
        <w:t>Table 2: Psychotropic Drug Class and Regimen Distribution by Department</w:t>
      </w:r>
    </w:p>
    <w:tbl>
      <w:tblPr>
        <w:tblW w:w="0" w:type="auto"/>
        <w:jc w:val="center"/>
        <w:tblBorders>
          <w:top w:val="single" w:sz="12" w:space="0" w:color="000000"/>
          <w:bottom w:val="single" w:sz="12" w:space="0" w:color="000000"/>
          <w:insideH w:val="single" w:sz="4" w:space="0" w:color="CCCCCC"/>
        </w:tblBorders>
        <w:tblLook w:val="04A0" w:firstRow="1" w:lastRow="0" w:firstColumn="1" w:lastColumn="0" w:noHBand="0" w:noVBand="1"/>
      </w:tblPr>
      <w:tblGrid>
        <w:gridCol w:w="1872"/>
        <w:gridCol w:w="1872"/>
        <w:gridCol w:w="1872"/>
        <w:gridCol w:w="1872"/>
        <w:gridCol w:w="1872"/>
      </w:tblGrid>
      <w:tr w:rsidR="00FF4EB0" w14:paraId="25B67957" w14:textId="77777777">
        <w:trPr>
          <w:jc w:val="center"/>
        </w:trPr>
        <w:tc>
          <w:tcPr>
            <w:tcW w:w="1872" w:type="dxa"/>
            <w:shd w:val="clear" w:color="auto" w:fill="F2F2F2"/>
            <w:tcMar>
              <w:top w:w="70" w:type="dxa"/>
              <w:left w:w="100" w:type="dxa"/>
              <w:bottom w:w="70" w:type="dxa"/>
              <w:right w:w="100" w:type="dxa"/>
            </w:tcMar>
          </w:tcPr>
          <w:p w14:paraId="27514363" w14:textId="77777777" w:rsidR="00FF4EB0" w:rsidRDefault="0077332D">
            <w:pPr>
              <w:spacing w:before="40" w:after="40" w:line="252" w:lineRule="auto"/>
            </w:pPr>
            <w:r>
              <w:rPr>
                <w:b/>
                <w:sz w:val="19"/>
              </w:rPr>
              <w:t>Psychotropic Class &amp; Generic Agent</w:t>
            </w:r>
          </w:p>
        </w:tc>
        <w:tc>
          <w:tcPr>
            <w:tcW w:w="1872" w:type="dxa"/>
            <w:shd w:val="clear" w:color="auto" w:fill="F2F2F2"/>
            <w:tcMar>
              <w:top w:w="70" w:type="dxa"/>
              <w:left w:w="100" w:type="dxa"/>
              <w:bottom w:w="70" w:type="dxa"/>
              <w:right w:w="100" w:type="dxa"/>
            </w:tcMar>
          </w:tcPr>
          <w:p w14:paraId="7392FDF6" w14:textId="77777777" w:rsidR="00FF4EB0" w:rsidRDefault="0077332D">
            <w:pPr>
              <w:spacing w:before="40" w:after="40" w:line="252" w:lineRule="auto"/>
              <w:jc w:val="center"/>
            </w:pPr>
            <w:r>
              <w:rPr>
                <w:b/>
                <w:sz w:val="19"/>
              </w:rPr>
              <w:t>Surgical Orders (n = 104)</w:t>
            </w:r>
          </w:p>
        </w:tc>
        <w:tc>
          <w:tcPr>
            <w:tcW w:w="1872" w:type="dxa"/>
            <w:shd w:val="clear" w:color="auto" w:fill="F2F2F2"/>
            <w:tcMar>
              <w:top w:w="70" w:type="dxa"/>
              <w:left w:w="100" w:type="dxa"/>
              <w:bottom w:w="70" w:type="dxa"/>
              <w:right w:w="100" w:type="dxa"/>
            </w:tcMar>
          </w:tcPr>
          <w:p w14:paraId="6925ADC4" w14:textId="77777777" w:rsidR="00FF4EB0" w:rsidRDefault="0077332D">
            <w:pPr>
              <w:spacing w:before="40" w:after="40" w:line="252" w:lineRule="auto"/>
              <w:jc w:val="center"/>
            </w:pPr>
            <w:r>
              <w:rPr>
                <w:b/>
                <w:sz w:val="19"/>
              </w:rPr>
              <w:t>Non-Surgical Orders (n = 49)</w:t>
            </w:r>
          </w:p>
        </w:tc>
        <w:tc>
          <w:tcPr>
            <w:tcW w:w="1872" w:type="dxa"/>
            <w:shd w:val="clear" w:color="auto" w:fill="F2F2F2"/>
            <w:tcMar>
              <w:top w:w="70" w:type="dxa"/>
              <w:left w:w="100" w:type="dxa"/>
              <w:bottom w:w="70" w:type="dxa"/>
              <w:right w:w="100" w:type="dxa"/>
            </w:tcMar>
          </w:tcPr>
          <w:p w14:paraId="65882B84" w14:textId="77777777" w:rsidR="00FF4EB0" w:rsidRDefault="0077332D">
            <w:pPr>
              <w:spacing w:before="40" w:after="40" w:line="252" w:lineRule="auto"/>
              <w:jc w:val="center"/>
            </w:pPr>
            <w:r>
              <w:rPr>
                <w:b/>
                <w:sz w:val="19"/>
              </w:rPr>
              <w:t>Total Volume (N = 153)</w:t>
            </w:r>
          </w:p>
        </w:tc>
        <w:tc>
          <w:tcPr>
            <w:tcW w:w="1872" w:type="dxa"/>
            <w:shd w:val="clear" w:color="auto" w:fill="F2F2F2"/>
            <w:tcMar>
              <w:top w:w="70" w:type="dxa"/>
              <w:left w:w="100" w:type="dxa"/>
              <w:bottom w:w="70" w:type="dxa"/>
              <w:right w:w="100" w:type="dxa"/>
            </w:tcMar>
          </w:tcPr>
          <w:p w14:paraId="33FA55B3" w14:textId="77777777" w:rsidR="00FF4EB0" w:rsidRDefault="0077332D">
            <w:pPr>
              <w:spacing w:before="40" w:after="40" w:line="252" w:lineRule="auto"/>
              <w:jc w:val="center"/>
            </w:pPr>
            <w:r>
              <w:rPr>
                <w:b/>
                <w:sz w:val="19"/>
              </w:rPr>
              <w:t>Relative Share (%)</w:t>
            </w:r>
          </w:p>
        </w:tc>
      </w:tr>
      <w:tr w:rsidR="00FF4EB0" w14:paraId="0E0E787A" w14:textId="77777777">
        <w:trPr>
          <w:jc w:val="center"/>
        </w:trPr>
        <w:tc>
          <w:tcPr>
            <w:tcW w:w="1872" w:type="dxa"/>
            <w:tcMar>
              <w:top w:w="70" w:type="dxa"/>
              <w:left w:w="100" w:type="dxa"/>
              <w:bottom w:w="70" w:type="dxa"/>
              <w:right w:w="100" w:type="dxa"/>
            </w:tcMar>
          </w:tcPr>
          <w:p w14:paraId="6459B2C1" w14:textId="77777777" w:rsidR="00FF4EB0" w:rsidRDefault="0077332D">
            <w:pPr>
              <w:spacing w:before="40" w:after="40" w:line="252" w:lineRule="auto"/>
            </w:pPr>
            <w:r>
              <w:rPr>
                <w:sz w:val="19"/>
              </w:rPr>
              <w:t>Benzodiazepine: Alprazolam</w:t>
            </w:r>
          </w:p>
        </w:tc>
        <w:tc>
          <w:tcPr>
            <w:tcW w:w="1872" w:type="dxa"/>
            <w:tcMar>
              <w:top w:w="70" w:type="dxa"/>
              <w:left w:w="100" w:type="dxa"/>
              <w:bottom w:w="70" w:type="dxa"/>
              <w:right w:w="100" w:type="dxa"/>
            </w:tcMar>
          </w:tcPr>
          <w:p w14:paraId="602B8023" w14:textId="77777777" w:rsidR="00FF4EB0" w:rsidRDefault="0077332D">
            <w:pPr>
              <w:spacing w:before="40" w:after="40" w:line="252" w:lineRule="auto"/>
              <w:jc w:val="center"/>
            </w:pPr>
            <w:r>
              <w:rPr>
                <w:sz w:val="19"/>
              </w:rPr>
              <w:t>53</w:t>
            </w:r>
          </w:p>
        </w:tc>
        <w:tc>
          <w:tcPr>
            <w:tcW w:w="1872" w:type="dxa"/>
            <w:tcMar>
              <w:top w:w="70" w:type="dxa"/>
              <w:left w:w="100" w:type="dxa"/>
              <w:bottom w:w="70" w:type="dxa"/>
              <w:right w:w="100" w:type="dxa"/>
            </w:tcMar>
          </w:tcPr>
          <w:p w14:paraId="7FDF9960" w14:textId="77777777" w:rsidR="00FF4EB0" w:rsidRDefault="0077332D">
            <w:pPr>
              <w:spacing w:before="40" w:after="40" w:line="252" w:lineRule="auto"/>
              <w:jc w:val="center"/>
            </w:pPr>
            <w:r>
              <w:rPr>
                <w:sz w:val="19"/>
              </w:rPr>
              <w:t>15</w:t>
            </w:r>
          </w:p>
        </w:tc>
        <w:tc>
          <w:tcPr>
            <w:tcW w:w="1872" w:type="dxa"/>
            <w:tcMar>
              <w:top w:w="70" w:type="dxa"/>
              <w:left w:w="100" w:type="dxa"/>
              <w:bottom w:w="70" w:type="dxa"/>
              <w:right w:w="100" w:type="dxa"/>
            </w:tcMar>
          </w:tcPr>
          <w:p w14:paraId="400BEFD6" w14:textId="77777777" w:rsidR="00FF4EB0" w:rsidRDefault="0077332D">
            <w:pPr>
              <w:spacing w:before="40" w:after="40" w:line="252" w:lineRule="auto"/>
              <w:jc w:val="center"/>
            </w:pPr>
            <w:r>
              <w:rPr>
                <w:sz w:val="19"/>
              </w:rPr>
              <w:t>68</w:t>
            </w:r>
          </w:p>
        </w:tc>
        <w:tc>
          <w:tcPr>
            <w:tcW w:w="1872" w:type="dxa"/>
            <w:tcMar>
              <w:top w:w="70" w:type="dxa"/>
              <w:left w:w="100" w:type="dxa"/>
              <w:bottom w:w="70" w:type="dxa"/>
              <w:right w:w="100" w:type="dxa"/>
            </w:tcMar>
          </w:tcPr>
          <w:p w14:paraId="24FCB73D" w14:textId="77777777" w:rsidR="00FF4EB0" w:rsidRDefault="0077332D">
            <w:pPr>
              <w:spacing w:before="40" w:after="40" w:line="252" w:lineRule="auto"/>
              <w:jc w:val="center"/>
            </w:pPr>
            <w:r>
              <w:rPr>
                <w:sz w:val="19"/>
              </w:rPr>
              <w:t>44.5%</w:t>
            </w:r>
          </w:p>
        </w:tc>
      </w:tr>
      <w:tr w:rsidR="00FF4EB0" w14:paraId="4CFB982A" w14:textId="77777777">
        <w:trPr>
          <w:jc w:val="center"/>
        </w:trPr>
        <w:tc>
          <w:tcPr>
            <w:tcW w:w="1872" w:type="dxa"/>
            <w:tcMar>
              <w:top w:w="70" w:type="dxa"/>
              <w:left w:w="100" w:type="dxa"/>
              <w:bottom w:w="70" w:type="dxa"/>
              <w:right w:w="100" w:type="dxa"/>
            </w:tcMar>
          </w:tcPr>
          <w:p w14:paraId="5C30A793" w14:textId="77777777" w:rsidR="00FF4EB0" w:rsidRDefault="0077332D">
            <w:pPr>
              <w:spacing w:before="40" w:after="40" w:line="252" w:lineRule="auto"/>
            </w:pPr>
            <w:r>
              <w:rPr>
                <w:sz w:val="19"/>
              </w:rPr>
              <w:t>Benzodiazepine: Lorazepam</w:t>
            </w:r>
          </w:p>
        </w:tc>
        <w:tc>
          <w:tcPr>
            <w:tcW w:w="1872" w:type="dxa"/>
            <w:tcMar>
              <w:top w:w="70" w:type="dxa"/>
              <w:left w:w="100" w:type="dxa"/>
              <w:bottom w:w="70" w:type="dxa"/>
              <w:right w:w="100" w:type="dxa"/>
            </w:tcMar>
          </w:tcPr>
          <w:p w14:paraId="5199A8A3" w14:textId="77777777" w:rsidR="00FF4EB0" w:rsidRDefault="0077332D">
            <w:pPr>
              <w:spacing w:before="40" w:after="40" w:line="252" w:lineRule="auto"/>
              <w:jc w:val="center"/>
            </w:pPr>
            <w:r>
              <w:rPr>
                <w:sz w:val="19"/>
              </w:rPr>
              <w:t>4</w:t>
            </w:r>
          </w:p>
        </w:tc>
        <w:tc>
          <w:tcPr>
            <w:tcW w:w="1872" w:type="dxa"/>
            <w:tcMar>
              <w:top w:w="70" w:type="dxa"/>
              <w:left w:w="100" w:type="dxa"/>
              <w:bottom w:w="70" w:type="dxa"/>
              <w:right w:w="100" w:type="dxa"/>
            </w:tcMar>
          </w:tcPr>
          <w:p w14:paraId="0EE7672F" w14:textId="77777777" w:rsidR="00FF4EB0" w:rsidRDefault="0077332D">
            <w:pPr>
              <w:spacing w:before="40" w:after="40" w:line="252" w:lineRule="auto"/>
              <w:jc w:val="center"/>
            </w:pPr>
            <w:r>
              <w:rPr>
                <w:sz w:val="19"/>
              </w:rPr>
              <w:t>2</w:t>
            </w:r>
          </w:p>
        </w:tc>
        <w:tc>
          <w:tcPr>
            <w:tcW w:w="1872" w:type="dxa"/>
            <w:tcMar>
              <w:top w:w="70" w:type="dxa"/>
              <w:left w:w="100" w:type="dxa"/>
              <w:bottom w:w="70" w:type="dxa"/>
              <w:right w:w="100" w:type="dxa"/>
            </w:tcMar>
          </w:tcPr>
          <w:p w14:paraId="5E6E341D" w14:textId="77777777" w:rsidR="00FF4EB0" w:rsidRDefault="0077332D">
            <w:pPr>
              <w:spacing w:before="40" w:after="40" w:line="252" w:lineRule="auto"/>
              <w:jc w:val="center"/>
            </w:pPr>
            <w:r>
              <w:rPr>
                <w:sz w:val="19"/>
              </w:rPr>
              <w:t>6</w:t>
            </w:r>
          </w:p>
        </w:tc>
        <w:tc>
          <w:tcPr>
            <w:tcW w:w="1872" w:type="dxa"/>
            <w:tcMar>
              <w:top w:w="70" w:type="dxa"/>
              <w:left w:w="100" w:type="dxa"/>
              <w:bottom w:w="70" w:type="dxa"/>
              <w:right w:w="100" w:type="dxa"/>
            </w:tcMar>
          </w:tcPr>
          <w:p w14:paraId="44D225A9" w14:textId="77777777" w:rsidR="00FF4EB0" w:rsidRDefault="0077332D">
            <w:pPr>
              <w:spacing w:before="40" w:after="40" w:line="252" w:lineRule="auto"/>
              <w:jc w:val="center"/>
            </w:pPr>
            <w:r>
              <w:rPr>
                <w:sz w:val="19"/>
              </w:rPr>
              <w:t>3.9%</w:t>
            </w:r>
          </w:p>
        </w:tc>
      </w:tr>
      <w:tr w:rsidR="00FF4EB0" w14:paraId="34916F98" w14:textId="77777777">
        <w:trPr>
          <w:jc w:val="center"/>
        </w:trPr>
        <w:tc>
          <w:tcPr>
            <w:tcW w:w="1872" w:type="dxa"/>
            <w:tcMar>
              <w:top w:w="70" w:type="dxa"/>
              <w:left w:w="100" w:type="dxa"/>
              <w:bottom w:w="70" w:type="dxa"/>
              <w:right w:w="100" w:type="dxa"/>
            </w:tcMar>
          </w:tcPr>
          <w:p w14:paraId="6B095FF1" w14:textId="77777777" w:rsidR="00FF4EB0" w:rsidRDefault="0077332D">
            <w:pPr>
              <w:spacing w:before="40" w:after="40" w:line="252" w:lineRule="auto"/>
            </w:pPr>
            <w:r>
              <w:rPr>
                <w:sz w:val="19"/>
              </w:rPr>
              <w:t>Benzodiazepine: Clonazepam</w:t>
            </w:r>
          </w:p>
        </w:tc>
        <w:tc>
          <w:tcPr>
            <w:tcW w:w="1872" w:type="dxa"/>
            <w:tcMar>
              <w:top w:w="70" w:type="dxa"/>
              <w:left w:w="100" w:type="dxa"/>
              <w:bottom w:w="70" w:type="dxa"/>
              <w:right w:w="100" w:type="dxa"/>
            </w:tcMar>
          </w:tcPr>
          <w:p w14:paraId="61B294D6"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1B04D25A" w14:textId="77777777" w:rsidR="00FF4EB0" w:rsidRDefault="0077332D">
            <w:pPr>
              <w:spacing w:before="40" w:after="40" w:line="252" w:lineRule="auto"/>
              <w:jc w:val="center"/>
            </w:pPr>
            <w:r>
              <w:rPr>
                <w:sz w:val="19"/>
              </w:rPr>
              <w:t>4</w:t>
            </w:r>
          </w:p>
        </w:tc>
        <w:tc>
          <w:tcPr>
            <w:tcW w:w="1872" w:type="dxa"/>
            <w:tcMar>
              <w:top w:w="70" w:type="dxa"/>
              <w:left w:w="100" w:type="dxa"/>
              <w:bottom w:w="70" w:type="dxa"/>
              <w:right w:w="100" w:type="dxa"/>
            </w:tcMar>
          </w:tcPr>
          <w:p w14:paraId="23067CCC" w14:textId="77777777" w:rsidR="00FF4EB0" w:rsidRDefault="0077332D">
            <w:pPr>
              <w:spacing w:before="40" w:after="40" w:line="252" w:lineRule="auto"/>
              <w:jc w:val="center"/>
            </w:pPr>
            <w:r>
              <w:rPr>
                <w:sz w:val="19"/>
              </w:rPr>
              <w:t>5</w:t>
            </w:r>
          </w:p>
        </w:tc>
        <w:tc>
          <w:tcPr>
            <w:tcW w:w="1872" w:type="dxa"/>
            <w:tcMar>
              <w:top w:w="70" w:type="dxa"/>
              <w:left w:w="100" w:type="dxa"/>
              <w:bottom w:w="70" w:type="dxa"/>
              <w:right w:w="100" w:type="dxa"/>
            </w:tcMar>
          </w:tcPr>
          <w:p w14:paraId="4AEE5721" w14:textId="77777777" w:rsidR="00FF4EB0" w:rsidRDefault="0077332D">
            <w:pPr>
              <w:spacing w:before="40" w:after="40" w:line="252" w:lineRule="auto"/>
              <w:jc w:val="center"/>
            </w:pPr>
            <w:r>
              <w:rPr>
                <w:sz w:val="19"/>
              </w:rPr>
              <w:t>3.3%</w:t>
            </w:r>
          </w:p>
        </w:tc>
      </w:tr>
      <w:tr w:rsidR="00FF4EB0" w14:paraId="0E322506" w14:textId="77777777">
        <w:trPr>
          <w:jc w:val="center"/>
        </w:trPr>
        <w:tc>
          <w:tcPr>
            <w:tcW w:w="1872" w:type="dxa"/>
            <w:tcMar>
              <w:top w:w="70" w:type="dxa"/>
              <w:left w:w="100" w:type="dxa"/>
              <w:bottom w:w="70" w:type="dxa"/>
              <w:right w:w="100" w:type="dxa"/>
            </w:tcMar>
          </w:tcPr>
          <w:p w14:paraId="4A72F58E" w14:textId="77777777" w:rsidR="00FF4EB0" w:rsidRDefault="0077332D">
            <w:pPr>
              <w:spacing w:before="40" w:after="40" w:line="252" w:lineRule="auto"/>
            </w:pPr>
            <w:r>
              <w:rPr>
                <w:sz w:val="19"/>
              </w:rPr>
              <w:t>Anticonvulsant: Pregabalin</w:t>
            </w:r>
          </w:p>
        </w:tc>
        <w:tc>
          <w:tcPr>
            <w:tcW w:w="1872" w:type="dxa"/>
            <w:tcMar>
              <w:top w:w="70" w:type="dxa"/>
              <w:left w:w="100" w:type="dxa"/>
              <w:bottom w:w="70" w:type="dxa"/>
              <w:right w:w="100" w:type="dxa"/>
            </w:tcMar>
          </w:tcPr>
          <w:p w14:paraId="37433289" w14:textId="77777777" w:rsidR="00FF4EB0" w:rsidRDefault="0077332D">
            <w:pPr>
              <w:spacing w:before="40" w:after="40" w:line="252" w:lineRule="auto"/>
              <w:jc w:val="center"/>
            </w:pPr>
            <w:r>
              <w:rPr>
                <w:sz w:val="19"/>
              </w:rPr>
              <w:t>19</w:t>
            </w:r>
          </w:p>
        </w:tc>
        <w:tc>
          <w:tcPr>
            <w:tcW w:w="1872" w:type="dxa"/>
            <w:tcMar>
              <w:top w:w="70" w:type="dxa"/>
              <w:left w:w="100" w:type="dxa"/>
              <w:bottom w:w="70" w:type="dxa"/>
              <w:right w:w="100" w:type="dxa"/>
            </w:tcMar>
          </w:tcPr>
          <w:p w14:paraId="27F68577" w14:textId="77777777" w:rsidR="00FF4EB0" w:rsidRDefault="0077332D">
            <w:pPr>
              <w:spacing w:before="40" w:after="40" w:line="252" w:lineRule="auto"/>
              <w:jc w:val="center"/>
            </w:pPr>
            <w:r>
              <w:rPr>
                <w:sz w:val="19"/>
              </w:rPr>
              <w:t>15</w:t>
            </w:r>
          </w:p>
        </w:tc>
        <w:tc>
          <w:tcPr>
            <w:tcW w:w="1872" w:type="dxa"/>
            <w:tcMar>
              <w:top w:w="70" w:type="dxa"/>
              <w:left w:w="100" w:type="dxa"/>
              <w:bottom w:w="70" w:type="dxa"/>
              <w:right w:w="100" w:type="dxa"/>
            </w:tcMar>
          </w:tcPr>
          <w:p w14:paraId="376AFBF3" w14:textId="77777777" w:rsidR="00FF4EB0" w:rsidRDefault="0077332D">
            <w:pPr>
              <w:spacing w:before="40" w:after="40" w:line="252" w:lineRule="auto"/>
              <w:jc w:val="center"/>
            </w:pPr>
            <w:r>
              <w:rPr>
                <w:sz w:val="19"/>
              </w:rPr>
              <w:t>34</w:t>
            </w:r>
          </w:p>
        </w:tc>
        <w:tc>
          <w:tcPr>
            <w:tcW w:w="1872" w:type="dxa"/>
            <w:tcMar>
              <w:top w:w="70" w:type="dxa"/>
              <w:left w:w="100" w:type="dxa"/>
              <w:bottom w:w="70" w:type="dxa"/>
              <w:right w:w="100" w:type="dxa"/>
            </w:tcMar>
          </w:tcPr>
          <w:p w14:paraId="1E506B54" w14:textId="77777777" w:rsidR="00FF4EB0" w:rsidRDefault="0077332D">
            <w:pPr>
              <w:spacing w:before="40" w:after="40" w:line="252" w:lineRule="auto"/>
              <w:jc w:val="center"/>
            </w:pPr>
            <w:r>
              <w:rPr>
                <w:sz w:val="19"/>
              </w:rPr>
              <w:t>22.3%</w:t>
            </w:r>
          </w:p>
        </w:tc>
      </w:tr>
      <w:tr w:rsidR="00FF4EB0" w14:paraId="08B1A0F1" w14:textId="77777777">
        <w:trPr>
          <w:jc w:val="center"/>
        </w:trPr>
        <w:tc>
          <w:tcPr>
            <w:tcW w:w="1872" w:type="dxa"/>
            <w:tcMar>
              <w:top w:w="70" w:type="dxa"/>
              <w:left w:w="100" w:type="dxa"/>
              <w:bottom w:w="70" w:type="dxa"/>
              <w:right w:w="100" w:type="dxa"/>
            </w:tcMar>
          </w:tcPr>
          <w:p w14:paraId="34C310CD" w14:textId="77777777" w:rsidR="00FF4EB0" w:rsidRDefault="0077332D">
            <w:pPr>
              <w:spacing w:before="40" w:after="40" w:line="252" w:lineRule="auto"/>
            </w:pPr>
            <w:r>
              <w:rPr>
                <w:sz w:val="19"/>
              </w:rPr>
              <w:t>Anticonvulsant: Gabapentin</w:t>
            </w:r>
          </w:p>
        </w:tc>
        <w:tc>
          <w:tcPr>
            <w:tcW w:w="1872" w:type="dxa"/>
            <w:tcMar>
              <w:top w:w="70" w:type="dxa"/>
              <w:left w:w="100" w:type="dxa"/>
              <w:bottom w:w="70" w:type="dxa"/>
              <w:right w:w="100" w:type="dxa"/>
            </w:tcMar>
          </w:tcPr>
          <w:p w14:paraId="3A685619" w14:textId="77777777" w:rsidR="00FF4EB0" w:rsidRDefault="0077332D">
            <w:pPr>
              <w:spacing w:before="40" w:after="40" w:line="252" w:lineRule="auto"/>
              <w:jc w:val="center"/>
            </w:pPr>
            <w:r>
              <w:rPr>
                <w:sz w:val="19"/>
              </w:rPr>
              <w:t>0</w:t>
            </w:r>
          </w:p>
        </w:tc>
        <w:tc>
          <w:tcPr>
            <w:tcW w:w="1872" w:type="dxa"/>
            <w:tcMar>
              <w:top w:w="70" w:type="dxa"/>
              <w:left w:w="100" w:type="dxa"/>
              <w:bottom w:w="70" w:type="dxa"/>
              <w:right w:w="100" w:type="dxa"/>
            </w:tcMar>
          </w:tcPr>
          <w:p w14:paraId="4FBBDDD0" w14:textId="77777777" w:rsidR="00FF4EB0" w:rsidRDefault="0077332D">
            <w:pPr>
              <w:spacing w:before="40" w:after="40" w:line="252" w:lineRule="auto"/>
              <w:jc w:val="center"/>
            </w:pPr>
            <w:r>
              <w:rPr>
                <w:sz w:val="19"/>
              </w:rPr>
              <w:t>2</w:t>
            </w:r>
          </w:p>
        </w:tc>
        <w:tc>
          <w:tcPr>
            <w:tcW w:w="1872" w:type="dxa"/>
            <w:tcMar>
              <w:top w:w="70" w:type="dxa"/>
              <w:left w:w="100" w:type="dxa"/>
              <w:bottom w:w="70" w:type="dxa"/>
              <w:right w:w="100" w:type="dxa"/>
            </w:tcMar>
          </w:tcPr>
          <w:p w14:paraId="75396181" w14:textId="77777777" w:rsidR="00FF4EB0" w:rsidRDefault="0077332D">
            <w:pPr>
              <w:spacing w:before="40" w:after="40" w:line="252" w:lineRule="auto"/>
              <w:jc w:val="center"/>
            </w:pPr>
            <w:r>
              <w:rPr>
                <w:sz w:val="19"/>
              </w:rPr>
              <w:t>2</w:t>
            </w:r>
          </w:p>
        </w:tc>
        <w:tc>
          <w:tcPr>
            <w:tcW w:w="1872" w:type="dxa"/>
            <w:tcMar>
              <w:top w:w="70" w:type="dxa"/>
              <w:left w:w="100" w:type="dxa"/>
              <w:bottom w:w="70" w:type="dxa"/>
              <w:right w:w="100" w:type="dxa"/>
            </w:tcMar>
          </w:tcPr>
          <w:p w14:paraId="355E961D" w14:textId="77777777" w:rsidR="00FF4EB0" w:rsidRDefault="0077332D">
            <w:pPr>
              <w:spacing w:before="40" w:after="40" w:line="252" w:lineRule="auto"/>
              <w:jc w:val="center"/>
            </w:pPr>
            <w:r>
              <w:rPr>
                <w:sz w:val="19"/>
              </w:rPr>
              <w:t>1.3%</w:t>
            </w:r>
          </w:p>
        </w:tc>
      </w:tr>
      <w:tr w:rsidR="00FF4EB0" w14:paraId="7BA8A1CD" w14:textId="77777777">
        <w:trPr>
          <w:jc w:val="center"/>
        </w:trPr>
        <w:tc>
          <w:tcPr>
            <w:tcW w:w="1872" w:type="dxa"/>
            <w:tcMar>
              <w:top w:w="70" w:type="dxa"/>
              <w:left w:w="100" w:type="dxa"/>
              <w:bottom w:w="70" w:type="dxa"/>
              <w:right w:w="100" w:type="dxa"/>
            </w:tcMar>
          </w:tcPr>
          <w:p w14:paraId="2177FF31" w14:textId="77777777" w:rsidR="00FF4EB0" w:rsidRDefault="0077332D">
            <w:pPr>
              <w:spacing w:before="40" w:after="40" w:line="252" w:lineRule="auto"/>
            </w:pPr>
            <w:r>
              <w:rPr>
                <w:sz w:val="19"/>
              </w:rPr>
              <w:t>Antidepressant (TCA): Nortriptyline</w:t>
            </w:r>
          </w:p>
        </w:tc>
        <w:tc>
          <w:tcPr>
            <w:tcW w:w="1872" w:type="dxa"/>
            <w:tcMar>
              <w:top w:w="70" w:type="dxa"/>
              <w:left w:w="100" w:type="dxa"/>
              <w:bottom w:w="70" w:type="dxa"/>
              <w:right w:w="100" w:type="dxa"/>
            </w:tcMar>
          </w:tcPr>
          <w:p w14:paraId="1385B2C6" w14:textId="77777777" w:rsidR="00FF4EB0" w:rsidRDefault="0077332D">
            <w:pPr>
              <w:spacing w:before="40" w:after="40" w:line="252" w:lineRule="auto"/>
              <w:jc w:val="center"/>
            </w:pPr>
            <w:r>
              <w:rPr>
                <w:sz w:val="19"/>
              </w:rPr>
              <w:t>21</w:t>
            </w:r>
          </w:p>
        </w:tc>
        <w:tc>
          <w:tcPr>
            <w:tcW w:w="1872" w:type="dxa"/>
            <w:tcMar>
              <w:top w:w="70" w:type="dxa"/>
              <w:left w:w="100" w:type="dxa"/>
              <w:bottom w:w="70" w:type="dxa"/>
              <w:right w:w="100" w:type="dxa"/>
            </w:tcMar>
          </w:tcPr>
          <w:p w14:paraId="0B2823B5" w14:textId="77777777" w:rsidR="00FF4EB0" w:rsidRDefault="0077332D">
            <w:pPr>
              <w:spacing w:before="40" w:after="40" w:line="252" w:lineRule="auto"/>
              <w:jc w:val="center"/>
            </w:pPr>
            <w:r>
              <w:rPr>
                <w:sz w:val="19"/>
              </w:rPr>
              <w:t>9</w:t>
            </w:r>
          </w:p>
        </w:tc>
        <w:tc>
          <w:tcPr>
            <w:tcW w:w="1872" w:type="dxa"/>
            <w:tcMar>
              <w:top w:w="70" w:type="dxa"/>
              <w:left w:w="100" w:type="dxa"/>
              <w:bottom w:w="70" w:type="dxa"/>
              <w:right w:w="100" w:type="dxa"/>
            </w:tcMar>
          </w:tcPr>
          <w:p w14:paraId="1DEE9F10" w14:textId="77777777" w:rsidR="00FF4EB0" w:rsidRDefault="0077332D">
            <w:pPr>
              <w:spacing w:before="40" w:after="40" w:line="252" w:lineRule="auto"/>
              <w:jc w:val="center"/>
            </w:pPr>
            <w:r>
              <w:rPr>
                <w:sz w:val="19"/>
              </w:rPr>
              <w:t>30</w:t>
            </w:r>
          </w:p>
        </w:tc>
        <w:tc>
          <w:tcPr>
            <w:tcW w:w="1872" w:type="dxa"/>
            <w:tcMar>
              <w:top w:w="70" w:type="dxa"/>
              <w:left w:w="100" w:type="dxa"/>
              <w:bottom w:w="70" w:type="dxa"/>
              <w:right w:w="100" w:type="dxa"/>
            </w:tcMar>
          </w:tcPr>
          <w:p w14:paraId="6658E727" w14:textId="77777777" w:rsidR="00FF4EB0" w:rsidRDefault="0077332D">
            <w:pPr>
              <w:spacing w:before="40" w:after="40" w:line="252" w:lineRule="auto"/>
              <w:jc w:val="center"/>
            </w:pPr>
            <w:r>
              <w:rPr>
                <w:sz w:val="19"/>
              </w:rPr>
              <w:t>19.6%</w:t>
            </w:r>
          </w:p>
        </w:tc>
      </w:tr>
      <w:tr w:rsidR="00FF4EB0" w14:paraId="3B57B611" w14:textId="77777777">
        <w:trPr>
          <w:jc w:val="center"/>
        </w:trPr>
        <w:tc>
          <w:tcPr>
            <w:tcW w:w="1872" w:type="dxa"/>
            <w:tcMar>
              <w:top w:w="70" w:type="dxa"/>
              <w:left w:w="100" w:type="dxa"/>
              <w:bottom w:w="70" w:type="dxa"/>
              <w:right w:w="100" w:type="dxa"/>
            </w:tcMar>
          </w:tcPr>
          <w:p w14:paraId="0F541F20" w14:textId="77777777" w:rsidR="00FF4EB0" w:rsidRDefault="0077332D">
            <w:pPr>
              <w:spacing w:before="40" w:after="40" w:line="252" w:lineRule="auto"/>
            </w:pPr>
            <w:r>
              <w:rPr>
                <w:sz w:val="19"/>
              </w:rPr>
              <w:t>Antidepressant (TCA): Amitriptyline</w:t>
            </w:r>
          </w:p>
        </w:tc>
        <w:tc>
          <w:tcPr>
            <w:tcW w:w="1872" w:type="dxa"/>
            <w:tcMar>
              <w:top w:w="70" w:type="dxa"/>
              <w:left w:w="100" w:type="dxa"/>
              <w:bottom w:w="70" w:type="dxa"/>
              <w:right w:w="100" w:type="dxa"/>
            </w:tcMar>
          </w:tcPr>
          <w:p w14:paraId="293AC699" w14:textId="77777777" w:rsidR="00FF4EB0" w:rsidRDefault="0077332D">
            <w:pPr>
              <w:spacing w:before="40" w:after="40" w:line="252" w:lineRule="auto"/>
              <w:jc w:val="center"/>
            </w:pPr>
            <w:r>
              <w:rPr>
                <w:sz w:val="19"/>
              </w:rPr>
              <w:t>3</w:t>
            </w:r>
          </w:p>
        </w:tc>
        <w:tc>
          <w:tcPr>
            <w:tcW w:w="1872" w:type="dxa"/>
            <w:tcMar>
              <w:top w:w="70" w:type="dxa"/>
              <w:left w:w="100" w:type="dxa"/>
              <w:bottom w:w="70" w:type="dxa"/>
              <w:right w:w="100" w:type="dxa"/>
            </w:tcMar>
          </w:tcPr>
          <w:p w14:paraId="4EE1A95B"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422AF6BA" w14:textId="77777777" w:rsidR="00FF4EB0" w:rsidRDefault="0077332D">
            <w:pPr>
              <w:spacing w:before="40" w:after="40" w:line="252" w:lineRule="auto"/>
              <w:jc w:val="center"/>
            </w:pPr>
            <w:r>
              <w:rPr>
                <w:sz w:val="19"/>
              </w:rPr>
              <w:t>4</w:t>
            </w:r>
          </w:p>
        </w:tc>
        <w:tc>
          <w:tcPr>
            <w:tcW w:w="1872" w:type="dxa"/>
            <w:tcMar>
              <w:top w:w="70" w:type="dxa"/>
              <w:left w:w="100" w:type="dxa"/>
              <w:bottom w:w="70" w:type="dxa"/>
              <w:right w:w="100" w:type="dxa"/>
            </w:tcMar>
          </w:tcPr>
          <w:p w14:paraId="05482247" w14:textId="77777777" w:rsidR="00FF4EB0" w:rsidRDefault="0077332D">
            <w:pPr>
              <w:spacing w:before="40" w:after="40" w:line="252" w:lineRule="auto"/>
              <w:jc w:val="center"/>
            </w:pPr>
            <w:r>
              <w:rPr>
                <w:sz w:val="19"/>
              </w:rPr>
              <w:t>2.6%</w:t>
            </w:r>
          </w:p>
        </w:tc>
      </w:tr>
      <w:tr w:rsidR="00FF4EB0" w14:paraId="117471DF" w14:textId="77777777">
        <w:trPr>
          <w:jc w:val="center"/>
        </w:trPr>
        <w:tc>
          <w:tcPr>
            <w:tcW w:w="1872" w:type="dxa"/>
            <w:tcMar>
              <w:top w:w="70" w:type="dxa"/>
              <w:left w:w="100" w:type="dxa"/>
              <w:bottom w:w="70" w:type="dxa"/>
              <w:right w:w="100" w:type="dxa"/>
            </w:tcMar>
          </w:tcPr>
          <w:p w14:paraId="2EF06D76" w14:textId="77777777" w:rsidR="00FF4EB0" w:rsidRDefault="0077332D">
            <w:pPr>
              <w:spacing w:before="40" w:after="40" w:line="252" w:lineRule="auto"/>
            </w:pPr>
            <w:r>
              <w:rPr>
                <w:sz w:val="19"/>
              </w:rPr>
              <w:t>Mood Modifier: Sodium Valproate</w:t>
            </w:r>
          </w:p>
        </w:tc>
        <w:tc>
          <w:tcPr>
            <w:tcW w:w="1872" w:type="dxa"/>
            <w:tcMar>
              <w:top w:w="70" w:type="dxa"/>
              <w:left w:w="100" w:type="dxa"/>
              <w:bottom w:w="70" w:type="dxa"/>
              <w:right w:w="100" w:type="dxa"/>
            </w:tcMar>
          </w:tcPr>
          <w:p w14:paraId="58A4260D"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2C54A6ED"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4694A2A5" w14:textId="77777777" w:rsidR="00FF4EB0" w:rsidRDefault="0077332D">
            <w:pPr>
              <w:spacing w:before="40" w:after="40" w:line="252" w:lineRule="auto"/>
              <w:jc w:val="center"/>
            </w:pPr>
            <w:r>
              <w:rPr>
                <w:sz w:val="19"/>
              </w:rPr>
              <w:t>2</w:t>
            </w:r>
          </w:p>
        </w:tc>
        <w:tc>
          <w:tcPr>
            <w:tcW w:w="1872" w:type="dxa"/>
            <w:tcMar>
              <w:top w:w="70" w:type="dxa"/>
              <w:left w:w="100" w:type="dxa"/>
              <w:bottom w:w="70" w:type="dxa"/>
              <w:right w:w="100" w:type="dxa"/>
            </w:tcMar>
          </w:tcPr>
          <w:p w14:paraId="4F3077E5" w14:textId="77777777" w:rsidR="00FF4EB0" w:rsidRDefault="0077332D">
            <w:pPr>
              <w:spacing w:before="40" w:after="40" w:line="252" w:lineRule="auto"/>
              <w:jc w:val="center"/>
            </w:pPr>
            <w:r>
              <w:rPr>
                <w:sz w:val="19"/>
              </w:rPr>
              <w:t>1.3%</w:t>
            </w:r>
          </w:p>
        </w:tc>
      </w:tr>
      <w:tr w:rsidR="00FF4EB0" w14:paraId="4C0E176E" w14:textId="77777777">
        <w:trPr>
          <w:jc w:val="center"/>
        </w:trPr>
        <w:tc>
          <w:tcPr>
            <w:tcW w:w="1872" w:type="dxa"/>
            <w:tcMar>
              <w:top w:w="70" w:type="dxa"/>
              <w:left w:w="100" w:type="dxa"/>
              <w:bottom w:w="70" w:type="dxa"/>
              <w:right w:w="100" w:type="dxa"/>
            </w:tcMar>
          </w:tcPr>
          <w:p w14:paraId="3B413E25" w14:textId="77777777" w:rsidR="00FF4EB0" w:rsidRDefault="0077332D">
            <w:pPr>
              <w:spacing w:before="40" w:after="40" w:line="252" w:lineRule="auto"/>
            </w:pPr>
            <w:r>
              <w:rPr>
                <w:sz w:val="19"/>
              </w:rPr>
              <w:t>Antipsychotic: Haloperidol</w:t>
            </w:r>
          </w:p>
        </w:tc>
        <w:tc>
          <w:tcPr>
            <w:tcW w:w="1872" w:type="dxa"/>
            <w:tcMar>
              <w:top w:w="70" w:type="dxa"/>
              <w:left w:w="100" w:type="dxa"/>
              <w:bottom w:w="70" w:type="dxa"/>
              <w:right w:w="100" w:type="dxa"/>
            </w:tcMar>
          </w:tcPr>
          <w:p w14:paraId="50F9EBE1"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1EDAF9CC" w14:textId="77777777" w:rsidR="00FF4EB0" w:rsidRDefault="0077332D">
            <w:pPr>
              <w:spacing w:before="40" w:after="40" w:line="252" w:lineRule="auto"/>
              <w:jc w:val="center"/>
            </w:pPr>
            <w:r>
              <w:rPr>
                <w:sz w:val="19"/>
              </w:rPr>
              <w:t>0</w:t>
            </w:r>
          </w:p>
        </w:tc>
        <w:tc>
          <w:tcPr>
            <w:tcW w:w="1872" w:type="dxa"/>
            <w:tcMar>
              <w:top w:w="70" w:type="dxa"/>
              <w:left w:w="100" w:type="dxa"/>
              <w:bottom w:w="70" w:type="dxa"/>
              <w:right w:w="100" w:type="dxa"/>
            </w:tcMar>
          </w:tcPr>
          <w:p w14:paraId="51ADBF88"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119995A2" w14:textId="77777777" w:rsidR="00FF4EB0" w:rsidRDefault="0077332D">
            <w:pPr>
              <w:spacing w:before="40" w:after="40" w:line="252" w:lineRule="auto"/>
              <w:jc w:val="center"/>
            </w:pPr>
            <w:r>
              <w:rPr>
                <w:sz w:val="19"/>
              </w:rPr>
              <w:t>0.6%</w:t>
            </w:r>
          </w:p>
        </w:tc>
      </w:tr>
      <w:tr w:rsidR="00FF4EB0" w14:paraId="31D4EB6B" w14:textId="77777777">
        <w:trPr>
          <w:jc w:val="center"/>
        </w:trPr>
        <w:tc>
          <w:tcPr>
            <w:tcW w:w="1872" w:type="dxa"/>
            <w:tcMar>
              <w:top w:w="70" w:type="dxa"/>
              <w:left w:w="100" w:type="dxa"/>
              <w:bottom w:w="70" w:type="dxa"/>
              <w:right w:w="100" w:type="dxa"/>
            </w:tcMar>
          </w:tcPr>
          <w:p w14:paraId="53A5BDE9" w14:textId="77777777" w:rsidR="00FF4EB0" w:rsidRDefault="0077332D">
            <w:pPr>
              <w:spacing w:before="40" w:after="40" w:line="252" w:lineRule="auto"/>
            </w:pPr>
            <w:r>
              <w:rPr>
                <w:b/>
                <w:sz w:val="19"/>
              </w:rPr>
              <w:t>Sedative/Hypnotic: Etizolam</w:t>
            </w:r>
          </w:p>
        </w:tc>
        <w:tc>
          <w:tcPr>
            <w:tcW w:w="1872" w:type="dxa"/>
            <w:tcMar>
              <w:top w:w="70" w:type="dxa"/>
              <w:left w:w="100" w:type="dxa"/>
              <w:bottom w:w="70" w:type="dxa"/>
              <w:right w:w="100" w:type="dxa"/>
            </w:tcMar>
          </w:tcPr>
          <w:p w14:paraId="18738384" w14:textId="77777777" w:rsidR="00FF4EB0" w:rsidRDefault="0077332D">
            <w:pPr>
              <w:spacing w:before="40" w:after="40" w:line="252" w:lineRule="auto"/>
              <w:jc w:val="center"/>
            </w:pPr>
            <w:r>
              <w:rPr>
                <w:b/>
                <w:sz w:val="19"/>
              </w:rPr>
              <w:t>1</w:t>
            </w:r>
          </w:p>
        </w:tc>
        <w:tc>
          <w:tcPr>
            <w:tcW w:w="1872" w:type="dxa"/>
            <w:tcMar>
              <w:top w:w="70" w:type="dxa"/>
              <w:left w:w="100" w:type="dxa"/>
              <w:bottom w:w="70" w:type="dxa"/>
              <w:right w:w="100" w:type="dxa"/>
            </w:tcMar>
          </w:tcPr>
          <w:p w14:paraId="228919B3" w14:textId="77777777" w:rsidR="00FF4EB0" w:rsidRDefault="0077332D">
            <w:pPr>
              <w:spacing w:before="40" w:after="40" w:line="252" w:lineRule="auto"/>
              <w:jc w:val="center"/>
            </w:pPr>
            <w:r>
              <w:rPr>
                <w:b/>
                <w:sz w:val="19"/>
              </w:rPr>
              <w:t>0</w:t>
            </w:r>
          </w:p>
        </w:tc>
        <w:tc>
          <w:tcPr>
            <w:tcW w:w="1872" w:type="dxa"/>
            <w:tcMar>
              <w:top w:w="70" w:type="dxa"/>
              <w:left w:w="100" w:type="dxa"/>
              <w:bottom w:w="70" w:type="dxa"/>
              <w:right w:w="100" w:type="dxa"/>
            </w:tcMar>
          </w:tcPr>
          <w:p w14:paraId="00ABAB18" w14:textId="77777777" w:rsidR="00FF4EB0" w:rsidRDefault="0077332D">
            <w:pPr>
              <w:spacing w:before="40" w:after="40" w:line="252" w:lineRule="auto"/>
              <w:jc w:val="center"/>
            </w:pPr>
            <w:r>
              <w:rPr>
                <w:b/>
                <w:sz w:val="19"/>
              </w:rPr>
              <w:t>1</w:t>
            </w:r>
          </w:p>
        </w:tc>
        <w:tc>
          <w:tcPr>
            <w:tcW w:w="1872" w:type="dxa"/>
            <w:tcMar>
              <w:top w:w="70" w:type="dxa"/>
              <w:left w:w="100" w:type="dxa"/>
              <w:bottom w:w="70" w:type="dxa"/>
              <w:right w:w="100" w:type="dxa"/>
            </w:tcMar>
          </w:tcPr>
          <w:p w14:paraId="54CF5AA2" w14:textId="77777777" w:rsidR="00FF4EB0" w:rsidRDefault="0077332D">
            <w:pPr>
              <w:spacing w:before="40" w:after="40" w:line="252" w:lineRule="auto"/>
              <w:jc w:val="center"/>
            </w:pPr>
            <w:r>
              <w:rPr>
                <w:b/>
                <w:sz w:val="19"/>
              </w:rPr>
              <w:t>0.6%</w:t>
            </w:r>
          </w:p>
        </w:tc>
      </w:tr>
      <w:tr w:rsidR="00FF4EB0" w14:paraId="649E1B2F" w14:textId="77777777">
        <w:trPr>
          <w:jc w:val="center"/>
        </w:trPr>
        <w:tc>
          <w:tcPr>
            <w:tcW w:w="1872" w:type="dxa"/>
            <w:tcMar>
              <w:top w:w="70" w:type="dxa"/>
              <w:left w:w="100" w:type="dxa"/>
              <w:bottom w:w="70" w:type="dxa"/>
              <w:right w:w="100" w:type="dxa"/>
            </w:tcMar>
          </w:tcPr>
          <w:p w14:paraId="505842C2" w14:textId="77777777" w:rsidR="00FF4EB0" w:rsidRDefault="0077332D">
            <w:pPr>
              <w:spacing w:before="40" w:after="40" w:line="252" w:lineRule="auto"/>
            </w:pPr>
            <w:r>
              <w:rPr>
                <w:b/>
                <w:sz w:val="19"/>
              </w:rPr>
              <w:t>Total Component Prescriptions</w:t>
            </w:r>
          </w:p>
        </w:tc>
        <w:tc>
          <w:tcPr>
            <w:tcW w:w="1872" w:type="dxa"/>
            <w:tcMar>
              <w:top w:w="70" w:type="dxa"/>
              <w:left w:w="100" w:type="dxa"/>
              <w:bottom w:w="70" w:type="dxa"/>
              <w:right w:w="100" w:type="dxa"/>
            </w:tcMar>
          </w:tcPr>
          <w:p w14:paraId="6505F2FA" w14:textId="77777777" w:rsidR="00FF4EB0" w:rsidRDefault="0077332D">
            <w:pPr>
              <w:spacing w:before="40" w:after="40" w:line="252" w:lineRule="auto"/>
              <w:jc w:val="center"/>
            </w:pPr>
            <w:r>
              <w:rPr>
                <w:b/>
                <w:sz w:val="19"/>
              </w:rPr>
              <w:t>104</w:t>
            </w:r>
          </w:p>
        </w:tc>
        <w:tc>
          <w:tcPr>
            <w:tcW w:w="1872" w:type="dxa"/>
            <w:tcMar>
              <w:top w:w="70" w:type="dxa"/>
              <w:left w:w="100" w:type="dxa"/>
              <w:bottom w:w="70" w:type="dxa"/>
              <w:right w:w="100" w:type="dxa"/>
            </w:tcMar>
          </w:tcPr>
          <w:p w14:paraId="30474D3E" w14:textId="77777777" w:rsidR="00FF4EB0" w:rsidRDefault="0077332D">
            <w:pPr>
              <w:spacing w:before="40" w:after="40" w:line="252" w:lineRule="auto"/>
              <w:jc w:val="center"/>
            </w:pPr>
            <w:r>
              <w:rPr>
                <w:b/>
                <w:sz w:val="19"/>
              </w:rPr>
              <w:t>49</w:t>
            </w:r>
          </w:p>
        </w:tc>
        <w:tc>
          <w:tcPr>
            <w:tcW w:w="1872" w:type="dxa"/>
            <w:tcMar>
              <w:top w:w="70" w:type="dxa"/>
              <w:left w:w="100" w:type="dxa"/>
              <w:bottom w:w="70" w:type="dxa"/>
              <w:right w:w="100" w:type="dxa"/>
            </w:tcMar>
          </w:tcPr>
          <w:p w14:paraId="3A6B16FF" w14:textId="77777777" w:rsidR="00FF4EB0" w:rsidRDefault="0077332D">
            <w:pPr>
              <w:spacing w:before="40" w:after="40" w:line="252" w:lineRule="auto"/>
              <w:jc w:val="center"/>
            </w:pPr>
            <w:r>
              <w:rPr>
                <w:b/>
                <w:sz w:val="19"/>
              </w:rPr>
              <w:t>153</w:t>
            </w:r>
          </w:p>
        </w:tc>
        <w:tc>
          <w:tcPr>
            <w:tcW w:w="1872" w:type="dxa"/>
            <w:tcMar>
              <w:top w:w="70" w:type="dxa"/>
              <w:left w:w="100" w:type="dxa"/>
              <w:bottom w:w="70" w:type="dxa"/>
              <w:right w:w="100" w:type="dxa"/>
            </w:tcMar>
          </w:tcPr>
          <w:p w14:paraId="395DF573" w14:textId="77777777" w:rsidR="00FF4EB0" w:rsidRDefault="0077332D">
            <w:pPr>
              <w:spacing w:before="40" w:after="40" w:line="252" w:lineRule="auto"/>
              <w:jc w:val="center"/>
            </w:pPr>
            <w:r>
              <w:rPr>
                <w:b/>
                <w:sz w:val="19"/>
              </w:rPr>
              <w:t>100.0%</w:t>
            </w:r>
          </w:p>
        </w:tc>
      </w:tr>
      <w:tr w:rsidR="00FF4EB0" w14:paraId="6DAB6718" w14:textId="77777777">
        <w:trPr>
          <w:jc w:val="center"/>
        </w:trPr>
        <w:tc>
          <w:tcPr>
            <w:tcW w:w="1872" w:type="dxa"/>
            <w:tcMar>
              <w:top w:w="70" w:type="dxa"/>
              <w:left w:w="100" w:type="dxa"/>
              <w:bottom w:w="70" w:type="dxa"/>
              <w:right w:w="100" w:type="dxa"/>
            </w:tcMar>
          </w:tcPr>
          <w:p w14:paraId="2085D52F" w14:textId="77777777" w:rsidR="00FF4EB0" w:rsidRDefault="0077332D">
            <w:pPr>
              <w:spacing w:before="40" w:after="40" w:line="252" w:lineRule="auto"/>
            </w:pPr>
            <w:r>
              <w:rPr>
                <w:b/>
                <w:sz w:val="19"/>
              </w:rPr>
              <w:t>Regimen: Monotherapy (n = 74)</w:t>
            </w:r>
          </w:p>
        </w:tc>
        <w:tc>
          <w:tcPr>
            <w:tcW w:w="1872" w:type="dxa"/>
            <w:tcMar>
              <w:top w:w="70" w:type="dxa"/>
              <w:left w:w="100" w:type="dxa"/>
              <w:bottom w:w="70" w:type="dxa"/>
              <w:right w:w="100" w:type="dxa"/>
            </w:tcMar>
          </w:tcPr>
          <w:p w14:paraId="49503042" w14:textId="77777777" w:rsidR="00FF4EB0" w:rsidRDefault="0077332D">
            <w:pPr>
              <w:spacing w:before="40" w:after="40" w:line="252" w:lineRule="auto"/>
              <w:jc w:val="center"/>
            </w:pPr>
            <w:r>
              <w:rPr>
                <w:b/>
                <w:sz w:val="19"/>
              </w:rPr>
              <w:t>52</w:t>
            </w:r>
          </w:p>
        </w:tc>
        <w:tc>
          <w:tcPr>
            <w:tcW w:w="1872" w:type="dxa"/>
            <w:tcMar>
              <w:top w:w="70" w:type="dxa"/>
              <w:left w:w="100" w:type="dxa"/>
              <w:bottom w:w="70" w:type="dxa"/>
              <w:right w:w="100" w:type="dxa"/>
            </w:tcMar>
          </w:tcPr>
          <w:p w14:paraId="2458390F" w14:textId="77777777" w:rsidR="00FF4EB0" w:rsidRDefault="0077332D">
            <w:pPr>
              <w:spacing w:before="40" w:after="40" w:line="252" w:lineRule="auto"/>
              <w:jc w:val="center"/>
            </w:pPr>
            <w:r>
              <w:rPr>
                <w:b/>
                <w:sz w:val="19"/>
              </w:rPr>
              <w:t>22</w:t>
            </w:r>
          </w:p>
        </w:tc>
        <w:tc>
          <w:tcPr>
            <w:tcW w:w="1872" w:type="dxa"/>
            <w:tcMar>
              <w:top w:w="70" w:type="dxa"/>
              <w:left w:w="100" w:type="dxa"/>
              <w:bottom w:w="70" w:type="dxa"/>
              <w:right w:w="100" w:type="dxa"/>
            </w:tcMar>
          </w:tcPr>
          <w:p w14:paraId="6791A932" w14:textId="77777777" w:rsidR="00FF4EB0" w:rsidRDefault="0077332D">
            <w:pPr>
              <w:spacing w:before="40" w:after="40" w:line="252" w:lineRule="auto"/>
              <w:jc w:val="center"/>
            </w:pPr>
            <w:r>
              <w:rPr>
                <w:b/>
                <w:sz w:val="19"/>
              </w:rPr>
              <w:t>74</w:t>
            </w:r>
          </w:p>
        </w:tc>
        <w:tc>
          <w:tcPr>
            <w:tcW w:w="1872" w:type="dxa"/>
            <w:tcMar>
              <w:top w:w="70" w:type="dxa"/>
              <w:left w:w="100" w:type="dxa"/>
              <w:bottom w:w="70" w:type="dxa"/>
              <w:right w:w="100" w:type="dxa"/>
            </w:tcMar>
          </w:tcPr>
          <w:p w14:paraId="5A14DE92" w14:textId="77777777" w:rsidR="00FF4EB0" w:rsidRDefault="0077332D">
            <w:pPr>
              <w:spacing w:before="40" w:after="40" w:line="252" w:lineRule="auto"/>
              <w:jc w:val="center"/>
            </w:pPr>
            <w:r>
              <w:rPr>
                <w:b/>
                <w:sz w:val="19"/>
              </w:rPr>
              <w:t>62.3% (of patients)</w:t>
            </w:r>
          </w:p>
        </w:tc>
      </w:tr>
      <w:tr w:rsidR="00FF4EB0" w14:paraId="2F867269" w14:textId="77777777">
        <w:trPr>
          <w:jc w:val="center"/>
        </w:trPr>
        <w:tc>
          <w:tcPr>
            <w:tcW w:w="1872" w:type="dxa"/>
            <w:tcMar>
              <w:top w:w="70" w:type="dxa"/>
              <w:left w:w="100" w:type="dxa"/>
              <w:bottom w:w="70" w:type="dxa"/>
              <w:right w:w="100" w:type="dxa"/>
            </w:tcMar>
          </w:tcPr>
          <w:p w14:paraId="639EFEAD" w14:textId="77777777" w:rsidR="00FF4EB0" w:rsidRDefault="0077332D">
            <w:pPr>
              <w:spacing w:before="40" w:after="40" w:line="252" w:lineRule="auto"/>
            </w:pPr>
            <w:r>
              <w:rPr>
                <w:sz w:val="19"/>
              </w:rPr>
              <w:t>Regimen: Combination (n = 36)</w:t>
            </w:r>
          </w:p>
        </w:tc>
        <w:tc>
          <w:tcPr>
            <w:tcW w:w="1872" w:type="dxa"/>
            <w:tcMar>
              <w:top w:w="70" w:type="dxa"/>
              <w:left w:w="100" w:type="dxa"/>
              <w:bottom w:w="70" w:type="dxa"/>
              <w:right w:w="100" w:type="dxa"/>
            </w:tcMar>
          </w:tcPr>
          <w:p w14:paraId="659D0F88" w14:textId="77777777" w:rsidR="00FF4EB0" w:rsidRDefault="0077332D">
            <w:pPr>
              <w:spacing w:before="40" w:after="40" w:line="252" w:lineRule="auto"/>
              <w:jc w:val="center"/>
            </w:pPr>
            <w:r>
              <w:rPr>
                <w:sz w:val="19"/>
              </w:rPr>
              <w:t>31</w:t>
            </w:r>
          </w:p>
        </w:tc>
        <w:tc>
          <w:tcPr>
            <w:tcW w:w="1872" w:type="dxa"/>
            <w:tcMar>
              <w:top w:w="70" w:type="dxa"/>
              <w:left w:w="100" w:type="dxa"/>
              <w:bottom w:w="70" w:type="dxa"/>
              <w:right w:w="100" w:type="dxa"/>
            </w:tcMar>
          </w:tcPr>
          <w:p w14:paraId="5569C8B2" w14:textId="77777777" w:rsidR="00FF4EB0" w:rsidRDefault="0077332D">
            <w:pPr>
              <w:spacing w:before="40" w:after="40" w:line="252" w:lineRule="auto"/>
              <w:jc w:val="center"/>
            </w:pPr>
            <w:r>
              <w:rPr>
                <w:sz w:val="19"/>
              </w:rPr>
              <w:t>5</w:t>
            </w:r>
          </w:p>
        </w:tc>
        <w:tc>
          <w:tcPr>
            <w:tcW w:w="1872" w:type="dxa"/>
            <w:tcMar>
              <w:top w:w="70" w:type="dxa"/>
              <w:left w:w="100" w:type="dxa"/>
              <w:bottom w:w="70" w:type="dxa"/>
              <w:right w:w="100" w:type="dxa"/>
            </w:tcMar>
          </w:tcPr>
          <w:p w14:paraId="56452AE8" w14:textId="77777777" w:rsidR="00FF4EB0" w:rsidRDefault="0077332D">
            <w:pPr>
              <w:spacing w:before="40" w:after="40" w:line="252" w:lineRule="auto"/>
              <w:jc w:val="center"/>
            </w:pPr>
            <w:r>
              <w:rPr>
                <w:sz w:val="19"/>
              </w:rPr>
              <w:t>36</w:t>
            </w:r>
          </w:p>
        </w:tc>
        <w:tc>
          <w:tcPr>
            <w:tcW w:w="1872" w:type="dxa"/>
            <w:tcMar>
              <w:top w:w="70" w:type="dxa"/>
              <w:left w:w="100" w:type="dxa"/>
              <w:bottom w:w="70" w:type="dxa"/>
              <w:right w:w="100" w:type="dxa"/>
            </w:tcMar>
          </w:tcPr>
          <w:p w14:paraId="368BE2BE" w14:textId="77777777" w:rsidR="00FF4EB0" w:rsidRDefault="0077332D">
            <w:pPr>
              <w:spacing w:before="40" w:after="40" w:line="252" w:lineRule="auto"/>
              <w:jc w:val="center"/>
            </w:pPr>
            <w:r>
              <w:rPr>
                <w:sz w:val="19"/>
              </w:rPr>
              <w:t>32.7% (of patients)</w:t>
            </w:r>
          </w:p>
        </w:tc>
      </w:tr>
    </w:tbl>
    <w:p w14:paraId="53DFE263" w14:textId="77777777" w:rsidR="00FF4EB0" w:rsidRDefault="0077332D">
      <w:pPr>
        <w:spacing w:before="40"/>
      </w:pPr>
      <w:r>
        <w:rPr>
          <w:i/>
          <w:sz w:val="18"/>
        </w:rPr>
        <w:t>TCA: Tricyclic Antidepressant; percentage shares calculated from total individual prescription courses.</w:t>
      </w:r>
    </w:p>
    <w:p w14:paraId="7133C481" w14:textId="77777777" w:rsidR="00237695" w:rsidRDefault="0077332D">
      <w:pPr>
        <w:keepNext/>
        <w:spacing w:before="200" w:after="80"/>
        <w:rPr>
          <w:b/>
          <w:i/>
          <w:sz w:val="23"/>
        </w:rPr>
      </w:pPr>
      <w:r>
        <w:rPr>
          <w:b/>
          <w:i/>
          <w:sz w:val="23"/>
        </w:rPr>
        <w:lastRenderedPageBreak/>
        <w:t>3.3 Concomitant Medication Profiles and Clinical Indicators</w:t>
      </w:r>
    </w:p>
    <w:p w14:paraId="5AC099A3" w14:textId="6A067C2D" w:rsidR="00237695" w:rsidRPr="00237695" w:rsidRDefault="00237695">
      <w:pPr>
        <w:keepNext/>
        <w:spacing w:before="200" w:after="80"/>
        <w:rPr>
          <w:b/>
          <w:i/>
          <w:sz w:val="23"/>
        </w:rPr>
      </w:pPr>
      <w:r w:rsidRPr="00237695">
        <w:rPr>
          <w:sz w:val="22"/>
          <w:lang w:val="en-IN"/>
        </w:rPr>
        <w:t>To give greater clarity as to why psychotropics were being prescribed the concomitant non-psychotropic drugs were reviewed. Analgesic use in the cohort was ubiquitous: 95.5% (n = 105); predominantly a result of peri-operative analgesia protocols in surgery and acute or organic medical conditions on medical wards respectively. Mainstays of analgesia were: paracetamol (65.5%, n = 72) and tramadol (35.5%, n = 61). Broad spectrum antibiotic usage (total n = 156 treatment courses) was frequent; third generation cephalosporins (</w:t>
      </w:r>
      <w:proofErr w:type="spellStart"/>
      <w:r w:rsidRPr="00237695">
        <w:rPr>
          <w:sz w:val="22"/>
          <w:lang w:val="en-IN"/>
        </w:rPr>
        <w:t>cefaperazone</w:t>
      </w:r>
      <w:proofErr w:type="spellEnd"/>
      <w:r w:rsidRPr="00237695">
        <w:rPr>
          <w:sz w:val="22"/>
          <w:lang w:val="en-IN"/>
        </w:rPr>
        <w:t>; 26.2%) and aminoglycosides (amikacin; 22.5%) being disproportionately utilized in peri-operative regimes. Concomitant gastro-protection (pantoprazole, 50.4%, and rabeprazole 47.8%) and anti-emesis (ondansetron, 77.9%) were frequently co-prescribed (Table 3).</w:t>
      </w:r>
    </w:p>
    <w:p w14:paraId="2F7E5B6E" w14:textId="77777777" w:rsidR="00FF4EB0" w:rsidRDefault="0077332D">
      <w:pPr>
        <w:keepNext/>
        <w:spacing w:before="160" w:after="60"/>
      </w:pPr>
      <w:r>
        <w:rPr>
          <w:b/>
          <w:sz w:val="21"/>
        </w:rPr>
        <w:t>Table 3: Concomitant Medication Categories and Prescribing Patterns</w:t>
      </w:r>
    </w:p>
    <w:tbl>
      <w:tblPr>
        <w:tblW w:w="0" w:type="auto"/>
        <w:jc w:val="center"/>
        <w:tblBorders>
          <w:top w:val="single" w:sz="12" w:space="0" w:color="000000"/>
          <w:bottom w:val="single" w:sz="12" w:space="0" w:color="000000"/>
          <w:insideH w:val="single" w:sz="4" w:space="0" w:color="CCCCCC"/>
        </w:tblBorders>
        <w:tblLook w:val="04A0" w:firstRow="1" w:lastRow="0" w:firstColumn="1" w:lastColumn="0" w:noHBand="0" w:noVBand="1"/>
      </w:tblPr>
      <w:tblGrid>
        <w:gridCol w:w="1872"/>
        <w:gridCol w:w="1872"/>
        <w:gridCol w:w="1872"/>
        <w:gridCol w:w="1872"/>
        <w:gridCol w:w="1872"/>
      </w:tblGrid>
      <w:tr w:rsidR="00FF4EB0" w14:paraId="672B72EF" w14:textId="77777777">
        <w:trPr>
          <w:jc w:val="center"/>
        </w:trPr>
        <w:tc>
          <w:tcPr>
            <w:tcW w:w="1872" w:type="dxa"/>
            <w:shd w:val="clear" w:color="auto" w:fill="F2F2F2"/>
            <w:tcMar>
              <w:top w:w="70" w:type="dxa"/>
              <w:left w:w="100" w:type="dxa"/>
              <w:bottom w:w="70" w:type="dxa"/>
              <w:right w:w="100" w:type="dxa"/>
            </w:tcMar>
          </w:tcPr>
          <w:p w14:paraId="1D8660AE" w14:textId="77777777" w:rsidR="00FF4EB0" w:rsidRDefault="0077332D">
            <w:pPr>
              <w:spacing w:before="40" w:after="40" w:line="252" w:lineRule="auto"/>
            </w:pPr>
            <w:r>
              <w:rPr>
                <w:b/>
                <w:sz w:val="19"/>
              </w:rPr>
              <w:t>Co-Prescribed Drug Class &amp; Agent</w:t>
            </w:r>
          </w:p>
        </w:tc>
        <w:tc>
          <w:tcPr>
            <w:tcW w:w="1872" w:type="dxa"/>
            <w:shd w:val="clear" w:color="auto" w:fill="F2F2F2"/>
            <w:tcMar>
              <w:top w:w="70" w:type="dxa"/>
              <w:left w:w="100" w:type="dxa"/>
              <w:bottom w:w="70" w:type="dxa"/>
              <w:right w:w="100" w:type="dxa"/>
            </w:tcMar>
          </w:tcPr>
          <w:p w14:paraId="4737C542" w14:textId="77777777" w:rsidR="00FF4EB0" w:rsidRDefault="0077332D">
            <w:pPr>
              <w:spacing w:before="40" w:after="40" w:line="252" w:lineRule="auto"/>
              <w:jc w:val="center"/>
            </w:pPr>
            <w:r>
              <w:rPr>
                <w:b/>
                <w:sz w:val="19"/>
              </w:rPr>
              <w:t>Surgical Wards (n)</w:t>
            </w:r>
          </w:p>
        </w:tc>
        <w:tc>
          <w:tcPr>
            <w:tcW w:w="1872" w:type="dxa"/>
            <w:shd w:val="clear" w:color="auto" w:fill="F2F2F2"/>
            <w:tcMar>
              <w:top w:w="70" w:type="dxa"/>
              <w:left w:w="100" w:type="dxa"/>
              <w:bottom w:w="70" w:type="dxa"/>
              <w:right w:w="100" w:type="dxa"/>
            </w:tcMar>
          </w:tcPr>
          <w:p w14:paraId="41974AD8" w14:textId="77777777" w:rsidR="00FF4EB0" w:rsidRDefault="0077332D">
            <w:pPr>
              <w:spacing w:before="40" w:after="40" w:line="252" w:lineRule="auto"/>
              <w:jc w:val="center"/>
            </w:pPr>
            <w:r>
              <w:rPr>
                <w:b/>
                <w:sz w:val="19"/>
              </w:rPr>
              <w:t>Non-Surgical Wards (n)</w:t>
            </w:r>
          </w:p>
        </w:tc>
        <w:tc>
          <w:tcPr>
            <w:tcW w:w="1872" w:type="dxa"/>
            <w:shd w:val="clear" w:color="auto" w:fill="F2F2F2"/>
            <w:tcMar>
              <w:top w:w="70" w:type="dxa"/>
              <w:left w:w="100" w:type="dxa"/>
              <w:bottom w:w="70" w:type="dxa"/>
              <w:right w:w="100" w:type="dxa"/>
            </w:tcMar>
          </w:tcPr>
          <w:p w14:paraId="641F2073" w14:textId="77777777" w:rsidR="00FF4EB0" w:rsidRDefault="0077332D">
            <w:pPr>
              <w:spacing w:before="40" w:after="40" w:line="252" w:lineRule="auto"/>
              <w:jc w:val="center"/>
            </w:pPr>
            <w:r>
              <w:rPr>
                <w:b/>
                <w:sz w:val="19"/>
              </w:rPr>
              <w:t>Total Tracked (N)</w:t>
            </w:r>
          </w:p>
        </w:tc>
        <w:tc>
          <w:tcPr>
            <w:tcW w:w="1872" w:type="dxa"/>
            <w:shd w:val="clear" w:color="auto" w:fill="F2F2F2"/>
            <w:tcMar>
              <w:top w:w="70" w:type="dxa"/>
              <w:left w:w="100" w:type="dxa"/>
              <w:bottom w:w="70" w:type="dxa"/>
              <w:right w:w="100" w:type="dxa"/>
            </w:tcMar>
          </w:tcPr>
          <w:p w14:paraId="192CCFC5" w14:textId="77777777" w:rsidR="00FF4EB0" w:rsidRDefault="0077332D">
            <w:pPr>
              <w:spacing w:before="40" w:after="40" w:line="252" w:lineRule="auto"/>
              <w:jc w:val="center"/>
            </w:pPr>
            <w:r>
              <w:rPr>
                <w:b/>
                <w:sz w:val="19"/>
              </w:rPr>
              <w:t>Class Prevalence (%)</w:t>
            </w:r>
          </w:p>
        </w:tc>
      </w:tr>
      <w:tr w:rsidR="00FF4EB0" w14:paraId="28059388" w14:textId="77777777">
        <w:trPr>
          <w:jc w:val="center"/>
        </w:trPr>
        <w:tc>
          <w:tcPr>
            <w:tcW w:w="1872" w:type="dxa"/>
            <w:tcMar>
              <w:top w:w="70" w:type="dxa"/>
              <w:left w:w="100" w:type="dxa"/>
              <w:bottom w:w="70" w:type="dxa"/>
              <w:right w:w="100" w:type="dxa"/>
            </w:tcMar>
          </w:tcPr>
          <w:p w14:paraId="08E527C6" w14:textId="77777777" w:rsidR="00FF4EB0" w:rsidRDefault="0077332D">
            <w:pPr>
              <w:spacing w:before="40" w:after="40" w:line="252" w:lineRule="auto"/>
            </w:pPr>
            <w:r>
              <w:rPr>
                <w:sz w:val="19"/>
              </w:rPr>
              <w:t>Analgesic: Paracetamol</w:t>
            </w:r>
          </w:p>
        </w:tc>
        <w:tc>
          <w:tcPr>
            <w:tcW w:w="1872" w:type="dxa"/>
            <w:tcMar>
              <w:top w:w="70" w:type="dxa"/>
              <w:left w:w="100" w:type="dxa"/>
              <w:bottom w:w="70" w:type="dxa"/>
              <w:right w:w="100" w:type="dxa"/>
            </w:tcMar>
          </w:tcPr>
          <w:p w14:paraId="5A338E73" w14:textId="77777777" w:rsidR="00FF4EB0" w:rsidRDefault="0077332D">
            <w:pPr>
              <w:spacing w:before="40" w:after="40" w:line="252" w:lineRule="auto"/>
              <w:jc w:val="center"/>
            </w:pPr>
            <w:r>
              <w:rPr>
                <w:sz w:val="19"/>
              </w:rPr>
              <w:t>54</w:t>
            </w:r>
          </w:p>
        </w:tc>
        <w:tc>
          <w:tcPr>
            <w:tcW w:w="1872" w:type="dxa"/>
            <w:tcMar>
              <w:top w:w="70" w:type="dxa"/>
              <w:left w:w="100" w:type="dxa"/>
              <w:bottom w:w="70" w:type="dxa"/>
              <w:right w:w="100" w:type="dxa"/>
            </w:tcMar>
          </w:tcPr>
          <w:p w14:paraId="06ECC279" w14:textId="77777777" w:rsidR="00FF4EB0" w:rsidRDefault="0077332D">
            <w:pPr>
              <w:spacing w:before="40" w:after="40" w:line="252" w:lineRule="auto"/>
              <w:jc w:val="center"/>
            </w:pPr>
            <w:r>
              <w:rPr>
                <w:sz w:val="19"/>
              </w:rPr>
              <w:t>18</w:t>
            </w:r>
          </w:p>
        </w:tc>
        <w:tc>
          <w:tcPr>
            <w:tcW w:w="1872" w:type="dxa"/>
            <w:tcMar>
              <w:top w:w="70" w:type="dxa"/>
              <w:left w:w="100" w:type="dxa"/>
              <w:bottom w:w="70" w:type="dxa"/>
              <w:right w:w="100" w:type="dxa"/>
            </w:tcMar>
          </w:tcPr>
          <w:p w14:paraId="43ED56A0" w14:textId="77777777" w:rsidR="00FF4EB0" w:rsidRDefault="0077332D">
            <w:pPr>
              <w:spacing w:before="40" w:after="40" w:line="252" w:lineRule="auto"/>
              <w:jc w:val="center"/>
            </w:pPr>
            <w:r>
              <w:rPr>
                <w:sz w:val="19"/>
              </w:rPr>
              <w:t>72</w:t>
            </w:r>
          </w:p>
        </w:tc>
        <w:tc>
          <w:tcPr>
            <w:tcW w:w="1872" w:type="dxa"/>
            <w:tcMar>
              <w:top w:w="70" w:type="dxa"/>
              <w:left w:w="100" w:type="dxa"/>
              <w:bottom w:w="70" w:type="dxa"/>
              <w:right w:w="100" w:type="dxa"/>
            </w:tcMar>
          </w:tcPr>
          <w:p w14:paraId="03211A96" w14:textId="77777777" w:rsidR="00FF4EB0" w:rsidRDefault="0077332D">
            <w:pPr>
              <w:spacing w:before="40" w:after="40" w:line="252" w:lineRule="auto"/>
              <w:jc w:val="center"/>
            </w:pPr>
            <w:r>
              <w:rPr>
                <w:sz w:val="19"/>
              </w:rPr>
              <w:t>65.5%</w:t>
            </w:r>
          </w:p>
        </w:tc>
      </w:tr>
      <w:tr w:rsidR="00FF4EB0" w14:paraId="0C377484" w14:textId="77777777">
        <w:trPr>
          <w:jc w:val="center"/>
        </w:trPr>
        <w:tc>
          <w:tcPr>
            <w:tcW w:w="1872" w:type="dxa"/>
            <w:tcMar>
              <w:top w:w="70" w:type="dxa"/>
              <w:left w:w="100" w:type="dxa"/>
              <w:bottom w:w="70" w:type="dxa"/>
              <w:right w:w="100" w:type="dxa"/>
            </w:tcMar>
          </w:tcPr>
          <w:p w14:paraId="78F9943C" w14:textId="77777777" w:rsidR="00FF4EB0" w:rsidRDefault="0077332D">
            <w:pPr>
              <w:spacing w:before="40" w:after="40" w:line="252" w:lineRule="auto"/>
            </w:pPr>
            <w:r>
              <w:rPr>
                <w:sz w:val="19"/>
              </w:rPr>
              <w:t>Analgesic: Tramadol</w:t>
            </w:r>
          </w:p>
        </w:tc>
        <w:tc>
          <w:tcPr>
            <w:tcW w:w="1872" w:type="dxa"/>
            <w:tcMar>
              <w:top w:w="70" w:type="dxa"/>
              <w:left w:w="100" w:type="dxa"/>
              <w:bottom w:w="70" w:type="dxa"/>
              <w:right w:w="100" w:type="dxa"/>
            </w:tcMar>
          </w:tcPr>
          <w:p w14:paraId="19B8ABC0" w14:textId="77777777" w:rsidR="00FF4EB0" w:rsidRDefault="0077332D">
            <w:pPr>
              <w:spacing w:before="40" w:after="40" w:line="252" w:lineRule="auto"/>
              <w:jc w:val="center"/>
            </w:pPr>
            <w:r>
              <w:rPr>
                <w:sz w:val="19"/>
              </w:rPr>
              <w:t>49</w:t>
            </w:r>
          </w:p>
        </w:tc>
        <w:tc>
          <w:tcPr>
            <w:tcW w:w="1872" w:type="dxa"/>
            <w:tcMar>
              <w:top w:w="70" w:type="dxa"/>
              <w:left w:w="100" w:type="dxa"/>
              <w:bottom w:w="70" w:type="dxa"/>
              <w:right w:w="100" w:type="dxa"/>
            </w:tcMar>
          </w:tcPr>
          <w:p w14:paraId="5CA1923B" w14:textId="77777777" w:rsidR="00FF4EB0" w:rsidRDefault="0077332D">
            <w:pPr>
              <w:spacing w:before="40" w:after="40" w:line="252" w:lineRule="auto"/>
              <w:jc w:val="center"/>
            </w:pPr>
            <w:r>
              <w:rPr>
                <w:sz w:val="19"/>
              </w:rPr>
              <w:t>12</w:t>
            </w:r>
          </w:p>
        </w:tc>
        <w:tc>
          <w:tcPr>
            <w:tcW w:w="1872" w:type="dxa"/>
            <w:tcMar>
              <w:top w:w="70" w:type="dxa"/>
              <w:left w:w="100" w:type="dxa"/>
              <w:bottom w:w="70" w:type="dxa"/>
              <w:right w:w="100" w:type="dxa"/>
            </w:tcMar>
          </w:tcPr>
          <w:p w14:paraId="3D73C517" w14:textId="77777777" w:rsidR="00FF4EB0" w:rsidRDefault="0077332D">
            <w:pPr>
              <w:spacing w:before="40" w:after="40" w:line="252" w:lineRule="auto"/>
              <w:jc w:val="center"/>
            </w:pPr>
            <w:r>
              <w:rPr>
                <w:sz w:val="19"/>
              </w:rPr>
              <w:t>61</w:t>
            </w:r>
          </w:p>
        </w:tc>
        <w:tc>
          <w:tcPr>
            <w:tcW w:w="1872" w:type="dxa"/>
            <w:tcMar>
              <w:top w:w="70" w:type="dxa"/>
              <w:left w:w="100" w:type="dxa"/>
              <w:bottom w:w="70" w:type="dxa"/>
              <w:right w:w="100" w:type="dxa"/>
            </w:tcMar>
          </w:tcPr>
          <w:p w14:paraId="1D5CCD2A" w14:textId="77777777" w:rsidR="00FF4EB0" w:rsidRDefault="0077332D">
            <w:pPr>
              <w:spacing w:before="40" w:after="40" w:line="252" w:lineRule="auto"/>
              <w:jc w:val="center"/>
            </w:pPr>
            <w:r>
              <w:rPr>
                <w:sz w:val="19"/>
              </w:rPr>
              <w:t>35.5%</w:t>
            </w:r>
          </w:p>
        </w:tc>
      </w:tr>
      <w:tr w:rsidR="00FF4EB0" w14:paraId="46B632F7" w14:textId="77777777">
        <w:trPr>
          <w:jc w:val="center"/>
        </w:trPr>
        <w:tc>
          <w:tcPr>
            <w:tcW w:w="1872" w:type="dxa"/>
            <w:tcMar>
              <w:top w:w="70" w:type="dxa"/>
              <w:left w:w="100" w:type="dxa"/>
              <w:bottom w:w="70" w:type="dxa"/>
              <w:right w:w="100" w:type="dxa"/>
            </w:tcMar>
          </w:tcPr>
          <w:p w14:paraId="467D9E88" w14:textId="77777777" w:rsidR="00FF4EB0" w:rsidRDefault="0077332D">
            <w:pPr>
              <w:spacing w:before="40" w:after="40" w:line="252" w:lineRule="auto"/>
            </w:pPr>
            <w:r>
              <w:rPr>
                <w:sz w:val="19"/>
              </w:rPr>
              <w:t>Analgesic: Aceclofenac</w:t>
            </w:r>
          </w:p>
        </w:tc>
        <w:tc>
          <w:tcPr>
            <w:tcW w:w="1872" w:type="dxa"/>
            <w:tcMar>
              <w:top w:w="70" w:type="dxa"/>
              <w:left w:w="100" w:type="dxa"/>
              <w:bottom w:w="70" w:type="dxa"/>
              <w:right w:w="100" w:type="dxa"/>
            </w:tcMar>
          </w:tcPr>
          <w:p w14:paraId="5C37922F" w14:textId="77777777" w:rsidR="00FF4EB0" w:rsidRDefault="0077332D">
            <w:pPr>
              <w:spacing w:before="40" w:after="40" w:line="252" w:lineRule="auto"/>
              <w:jc w:val="center"/>
            </w:pPr>
            <w:r>
              <w:rPr>
                <w:sz w:val="19"/>
              </w:rPr>
              <w:t>32</w:t>
            </w:r>
          </w:p>
        </w:tc>
        <w:tc>
          <w:tcPr>
            <w:tcW w:w="1872" w:type="dxa"/>
            <w:tcMar>
              <w:top w:w="70" w:type="dxa"/>
              <w:left w:w="100" w:type="dxa"/>
              <w:bottom w:w="70" w:type="dxa"/>
              <w:right w:w="100" w:type="dxa"/>
            </w:tcMar>
          </w:tcPr>
          <w:p w14:paraId="5AEFF98D" w14:textId="77777777" w:rsidR="00FF4EB0" w:rsidRDefault="0077332D">
            <w:pPr>
              <w:spacing w:before="40" w:after="40" w:line="252" w:lineRule="auto"/>
              <w:jc w:val="center"/>
            </w:pPr>
            <w:r>
              <w:rPr>
                <w:sz w:val="19"/>
              </w:rPr>
              <w:t>8</w:t>
            </w:r>
          </w:p>
        </w:tc>
        <w:tc>
          <w:tcPr>
            <w:tcW w:w="1872" w:type="dxa"/>
            <w:tcMar>
              <w:top w:w="70" w:type="dxa"/>
              <w:left w:w="100" w:type="dxa"/>
              <w:bottom w:w="70" w:type="dxa"/>
              <w:right w:w="100" w:type="dxa"/>
            </w:tcMar>
          </w:tcPr>
          <w:p w14:paraId="43458651" w14:textId="77777777" w:rsidR="00FF4EB0" w:rsidRDefault="0077332D">
            <w:pPr>
              <w:spacing w:before="40" w:after="40" w:line="252" w:lineRule="auto"/>
              <w:jc w:val="center"/>
            </w:pPr>
            <w:r>
              <w:rPr>
                <w:sz w:val="19"/>
              </w:rPr>
              <w:t>40</w:t>
            </w:r>
          </w:p>
        </w:tc>
        <w:tc>
          <w:tcPr>
            <w:tcW w:w="1872" w:type="dxa"/>
            <w:tcMar>
              <w:top w:w="70" w:type="dxa"/>
              <w:left w:w="100" w:type="dxa"/>
              <w:bottom w:w="70" w:type="dxa"/>
              <w:right w:w="100" w:type="dxa"/>
            </w:tcMar>
          </w:tcPr>
          <w:p w14:paraId="5D3EA113" w14:textId="77777777" w:rsidR="00FF4EB0" w:rsidRDefault="0077332D">
            <w:pPr>
              <w:spacing w:before="40" w:after="40" w:line="252" w:lineRule="auto"/>
              <w:jc w:val="center"/>
            </w:pPr>
            <w:r>
              <w:rPr>
                <w:sz w:val="19"/>
              </w:rPr>
              <w:t>36.4%</w:t>
            </w:r>
          </w:p>
        </w:tc>
      </w:tr>
      <w:tr w:rsidR="00FF4EB0" w14:paraId="7C9A5883" w14:textId="77777777">
        <w:trPr>
          <w:jc w:val="center"/>
        </w:trPr>
        <w:tc>
          <w:tcPr>
            <w:tcW w:w="1872" w:type="dxa"/>
            <w:tcMar>
              <w:top w:w="70" w:type="dxa"/>
              <w:left w:w="100" w:type="dxa"/>
              <w:bottom w:w="70" w:type="dxa"/>
              <w:right w:w="100" w:type="dxa"/>
            </w:tcMar>
          </w:tcPr>
          <w:p w14:paraId="56CDF822" w14:textId="77777777" w:rsidR="00FF4EB0" w:rsidRDefault="0077332D">
            <w:pPr>
              <w:spacing w:before="40" w:after="40" w:line="252" w:lineRule="auto"/>
            </w:pPr>
            <w:r>
              <w:rPr>
                <w:sz w:val="19"/>
              </w:rPr>
              <w:t>Analgesic: Diclofenac</w:t>
            </w:r>
          </w:p>
        </w:tc>
        <w:tc>
          <w:tcPr>
            <w:tcW w:w="1872" w:type="dxa"/>
            <w:tcMar>
              <w:top w:w="70" w:type="dxa"/>
              <w:left w:w="100" w:type="dxa"/>
              <w:bottom w:w="70" w:type="dxa"/>
              <w:right w:w="100" w:type="dxa"/>
            </w:tcMar>
          </w:tcPr>
          <w:p w14:paraId="36B5185A" w14:textId="77777777" w:rsidR="00FF4EB0" w:rsidRDefault="0077332D">
            <w:pPr>
              <w:spacing w:before="40" w:after="40" w:line="252" w:lineRule="auto"/>
              <w:jc w:val="center"/>
            </w:pPr>
            <w:r>
              <w:rPr>
                <w:sz w:val="19"/>
              </w:rPr>
              <w:t>26</w:t>
            </w:r>
          </w:p>
        </w:tc>
        <w:tc>
          <w:tcPr>
            <w:tcW w:w="1872" w:type="dxa"/>
            <w:tcMar>
              <w:top w:w="70" w:type="dxa"/>
              <w:left w:w="100" w:type="dxa"/>
              <w:bottom w:w="70" w:type="dxa"/>
              <w:right w:w="100" w:type="dxa"/>
            </w:tcMar>
          </w:tcPr>
          <w:p w14:paraId="5C741307" w14:textId="77777777" w:rsidR="00FF4EB0" w:rsidRDefault="0077332D">
            <w:pPr>
              <w:spacing w:before="40" w:after="40" w:line="252" w:lineRule="auto"/>
              <w:jc w:val="center"/>
            </w:pPr>
            <w:r>
              <w:rPr>
                <w:sz w:val="19"/>
              </w:rPr>
              <w:t>8</w:t>
            </w:r>
          </w:p>
        </w:tc>
        <w:tc>
          <w:tcPr>
            <w:tcW w:w="1872" w:type="dxa"/>
            <w:tcMar>
              <w:top w:w="70" w:type="dxa"/>
              <w:left w:w="100" w:type="dxa"/>
              <w:bottom w:w="70" w:type="dxa"/>
              <w:right w:w="100" w:type="dxa"/>
            </w:tcMar>
          </w:tcPr>
          <w:p w14:paraId="6C0AE7AE" w14:textId="77777777" w:rsidR="00FF4EB0" w:rsidRDefault="0077332D">
            <w:pPr>
              <w:spacing w:before="40" w:after="40" w:line="252" w:lineRule="auto"/>
              <w:jc w:val="center"/>
            </w:pPr>
            <w:r>
              <w:rPr>
                <w:sz w:val="19"/>
              </w:rPr>
              <w:t>34</w:t>
            </w:r>
          </w:p>
        </w:tc>
        <w:tc>
          <w:tcPr>
            <w:tcW w:w="1872" w:type="dxa"/>
            <w:tcMar>
              <w:top w:w="70" w:type="dxa"/>
              <w:left w:w="100" w:type="dxa"/>
              <w:bottom w:w="70" w:type="dxa"/>
              <w:right w:w="100" w:type="dxa"/>
            </w:tcMar>
          </w:tcPr>
          <w:p w14:paraId="7966ECE0" w14:textId="77777777" w:rsidR="00FF4EB0" w:rsidRDefault="0077332D">
            <w:pPr>
              <w:spacing w:before="40" w:after="40" w:line="252" w:lineRule="auto"/>
              <w:jc w:val="center"/>
            </w:pPr>
            <w:r>
              <w:rPr>
                <w:sz w:val="19"/>
              </w:rPr>
              <w:t>30.9%</w:t>
            </w:r>
          </w:p>
        </w:tc>
      </w:tr>
      <w:tr w:rsidR="00FF4EB0" w14:paraId="74ADA384" w14:textId="77777777">
        <w:trPr>
          <w:jc w:val="center"/>
        </w:trPr>
        <w:tc>
          <w:tcPr>
            <w:tcW w:w="1872" w:type="dxa"/>
            <w:tcMar>
              <w:top w:w="70" w:type="dxa"/>
              <w:left w:w="100" w:type="dxa"/>
              <w:bottom w:w="70" w:type="dxa"/>
              <w:right w:w="100" w:type="dxa"/>
            </w:tcMar>
          </w:tcPr>
          <w:p w14:paraId="4842A5A1" w14:textId="77777777" w:rsidR="00FF4EB0" w:rsidRDefault="0077332D">
            <w:pPr>
              <w:spacing w:before="40" w:after="40" w:line="252" w:lineRule="auto"/>
            </w:pPr>
            <w:r>
              <w:rPr>
                <w:sz w:val="19"/>
              </w:rPr>
              <w:t>Antibiotic: Cefaperazone</w:t>
            </w:r>
          </w:p>
        </w:tc>
        <w:tc>
          <w:tcPr>
            <w:tcW w:w="1872" w:type="dxa"/>
            <w:tcMar>
              <w:top w:w="70" w:type="dxa"/>
              <w:left w:w="100" w:type="dxa"/>
              <w:bottom w:w="70" w:type="dxa"/>
              <w:right w:w="100" w:type="dxa"/>
            </w:tcMar>
          </w:tcPr>
          <w:p w14:paraId="3FD8FE0F" w14:textId="77777777" w:rsidR="00FF4EB0" w:rsidRDefault="0077332D">
            <w:pPr>
              <w:spacing w:before="40" w:after="40" w:line="252" w:lineRule="auto"/>
              <w:jc w:val="center"/>
            </w:pPr>
            <w:r>
              <w:rPr>
                <w:sz w:val="19"/>
              </w:rPr>
              <w:t>35</w:t>
            </w:r>
          </w:p>
        </w:tc>
        <w:tc>
          <w:tcPr>
            <w:tcW w:w="1872" w:type="dxa"/>
            <w:tcMar>
              <w:top w:w="70" w:type="dxa"/>
              <w:left w:w="100" w:type="dxa"/>
              <w:bottom w:w="70" w:type="dxa"/>
              <w:right w:w="100" w:type="dxa"/>
            </w:tcMar>
          </w:tcPr>
          <w:p w14:paraId="029766DC" w14:textId="77777777" w:rsidR="00FF4EB0" w:rsidRDefault="0077332D">
            <w:pPr>
              <w:spacing w:before="40" w:after="40" w:line="252" w:lineRule="auto"/>
              <w:jc w:val="center"/>
            </w:pPr>
            <w:r>
              <w:rPr>
                <w:sz w:val="19"/>
              </w:rPr>
              <w:t>6</w:t>
            </w:r>
          </w:p>
        </w:tc>
        <w:tc>
          <w:tcPr>
            <w:tcW w:w="1872" w:type="dxa"/>
            <w:tcMar>
              <w:top w:w="70" w:type="dxa"/>
              <w:left w:w="100" w:type="dxa"/>
              <w:bottom w:w="70" w:type="dxa"/>
              <w:right w:w="100" w:type="dxa"/>
            </w:tcMar>
          </w:tcPr>
          <w:p w14:paraId="0551BE7F" w14:textId="77777777" w:rsidR="00FF4EB0" w:rsidRDefault="0077332D">
            <w:pPr>
              <w:spacing w:before="40" w:after="40" w:line="252" w:lineRule="auto"/>
              <w:jc w:val="center"/>
            </w:pPr>
            <w:r>
              <w:rPr>
                <w:sz w:val="19"/>
              </w:rPr>
              <w:t>41</w:t>
            </w:r>
          </w:p>
        </w:tc>
        <w:tc>
          <w:tcPr>
            <w:tcW w:w="1872" w:type="dxa"/>
            <w:tcMar>
              <w:top w:w="70" w:type="dxa"/>
              <w:left w:w="100" w:type="dxa"/>
              <w:bottom w:w="70" w:type="dxa"/>
              <w:right w:w="100" w:type="dxa"/>
            </w:tcMar>
          </w:tcPr>
          <w:p w14:paraId="2C05C6F0" w14:textId="77777777" w:rsidR="00FF4EB0" w:rsidRDefault="0077332D">
            <w:pPr>
              <w:spacing w:before="40" w:after="40" w:line="252" w:lineRule="auto"/>
              <w:jc w:val="center"/>
            </w:pPr>
            <w:r>
              <w:rPr>
                <w:sz w:val="19"/>
              </w:rPr>
              <w:t>26.2%</w:t>
            </w:r>
          </w:p>
        </w:tc>
      </w:tr>
      <w:tr w:rsidR="00FF4EB0" w14:paraId="78DE836B" w14:textId="77777777">
        <w:trPr>
          <w:jc w:val="center"/>
        </w:trPr>
        <w:tc>
          <w:tcPr>
            <w:tcW w:w="1872" w:type="dxa"/>
            <w:tcMar>
              <w:top w:w="70" w:type="dxa"/>
              <w:left w:w="100" w:type="dxa"/>
              <w:bottom w:w="70" w:type="dxa"/>
              <w:right w:w="100" w:type="dxa"/>
            </w:tcMar>
          </w:tcPr>
          <w:p w14:paraId="4466F4B4" w14:textId="77777777" w:rsidR="00FF4EB0" w:rsidRDefault="0077332D">
            <w:pPr>
              <w:spacing w:before="40" w:after="40" w:line="252" w:lineRule="auto"/>
            </w:pPr>
            <w:r>
              <w:rPr>
                <w:sz w:val="19"/>
              </w:rPr>
              <w:t>Antibiotic: Amikacin</w:t>
            </w:r>
          </w:p>
        </w:tc>
        <w:tc>
          <w:tcPr>
            <w:tcW w:w="1872" w:type="dxa"/>
            <w:tcMar>
              <w:top w:w="70" w:type="dxa"/>
              <w:left w:w="100" w:type="dxa"/>
              <w:bottom w:w="70" w:type="dxa"/>
              <w:right w:w="100" w:type="dxa"/>
            </w:tcMar>
          </w:tcPr>
          <w:p w14:paraId="3CC67548" w14:textId="77777777" w:rsidR="00FF4EB0" w:rsidRDefault="0077332D">
            <w:pPr>
              <w:spacing w:before="40" w:after="40" w:line="252" w:lineRule="auto"/>
              <w:jc w:val="center"/>
            </w:pPr>
            <w:r>
              <w:rPr>
                <w:sz w:val="19"/>
              </w:rPr>
              <w:t>28</w:t>
            </w:r>
          </w:p>
        </w:tc>
        <w:tc>
          <w:tcPr>
            <w:tcW w:w="1872" w:type="dxa"/>
            <w:tcMar>
              <w:top w:w="70" w:type="dxa"/>
              <w:left w:w="100" w:type="dxa"/>
              <w:bottom w:w="70" w:type="dxa"/>
              <w:right w:w="100" w:type="dxa"/>
            </w:tcMar>
          </w:tcPr>
          <w:p w14:paraId="248E2778" w14:textId="77777777" w:rsidR="00FF4EB0" w:rsidRDefault="0077332D">
            <w:pPr>
              <w:spacing w:before="40" w:after="40" w:line="252" w:lineRule="auto"/>
              <w:jc w:val="center"/>
            </w:pPr>
            <w:r>
              <w:rPr>
                <w:sz w:val="19"/>
              </w:rPr>
              <w:t>7</w:t>
            </w:r>
          </w:p>
        </w:tc>
        <w:tc>
          <w:tcPr>
            <w:tcW w:w="1872" w:type="dxa"/>
            <w:tcMar>
              <w:top w:w="70" w:type="dxa"/>
              <w:left w:w="100" w:type="dxa"/>
              <w:bottom w:w="70" w:type="dxa"/>
              <w:right w:w="100" w:type="dxa"/>
            </w:tcMar>
          </w:tcPr>
          <w:p w14:paraId="7C8CF80A" w14:textId="77777777" w:rsidR="00FF4EB0" w:rsidRDefault="0077332D">
            <w:pPr>
              <w:spacing w:before="40" w:after="40" w:line="252" w:lineRule="auto"/>
              <w:jc w:val="center"/>
            </w:pPr>
            <w:r>
              <w:rPr>
                <w:sz w:val="19"/>
              </w:rPr>
              <w:t>35</w:t>
            </w:r>
          </w:p>
        </w:tc>
        <w:tc>
          <w:tcPr>
            <w:tcW w:w="1872" w:type="dxa"/>
            <w:tcMar>
              <w:top w:w="70" w:type="dxa"/>
              <w:left w:w="100" w:type="dxa"/>
              <w:bottom w:w="70" w:type="dxa"/>
              <w:right w:w="100" w:type="dxa"/>
            </w:tcMar>
          </w:tcPr>
          <w:p w14:paraId="4714827B" w14:textId="77777777" w:rsidR="00FF4EB0" w:rsidRDefault="0077332D">
            <w:pPr>
              <w:spacing w:before="40" w:after="40" w:line="252" w:lineRule="auto"/>
              <w:jc w:val="center"/>
            </w:pPr>
            <w:r>
              <w:rPr>
                <w:sz w:val="19"/>
              </w:rPr>
              <w:t>22.5%</w:t>
            </w:r>
          </w:p>
        </w:tc>
      </w:tr>
      <w:tr w:rsidR="00FF4EB0" w14:paraId="2D7357ED" w14:textId="77777777">
        <w:trPr>
          <w:jc w:val="center"/>
        </w:trPr>
        <w:tc>
          <w:tcPr>
            <w:tcW w:w="1872" w:type="dxa"/>
            <w:tcMar>
              <w:top w:w="70" w:type="dxa"/>
              <w:left w:w="100" w:type="dxa"/>
              <w:bottom w:w="70" w:type="dxa"/>
              <w:right w:w="100" w:type="dxa"/>
            </w:tcMar>
          </w:tcPr>
          <w:p w14:paraId="0B649ECE" w14:textId="77777777" w:rsidR="00FF4EB0" w:rsidRDefault="0077332D">
            <w:pPr>
              <w:spacing w:before="40" w:after="40" w:line="252" w:lineRule="auto"/>
            </w:pPr>
            <w:r>
              <w:rPr>
                <w:sz w:val="19"/>
              </w:rPr>
              <w:t>Antibiotic: Metronidazole</w:t>
            </w:r>
          </w:p>
        </w:tc>
        <w:tc>
          <w:tcPr>
            <w:tcW w:w="1872" w:type="dxa"/>
            <w:tcMar>
              <w:top w:w="70" w:type="dxa"/>
              <w:left w:w="100" w:type="dxa"/>
              <w:bottom w:w="70" w:type="dxa"/>
              <w:right w:w="100" w:type="dxa"/>
            </w:tcMar>
          </w:tcPr>
          <w:p w14:paraId="2E2CECED" w14:textId="77777777" w:rsidR="00FF4EB0" w:rsidRDefault="0077332D">
            <w:pPr>
              <w:spacing w:before="40" w:after="40" w:line="252" w:lineRule="auto"/>
              <w:jc w:val="center"/>
            </w:pPr>
            <w:r>
              <w:rPr>
                <w:sz w:val="19"/>
              </w:rPr>
              <w:t>18</w:t>
            </w:r>
          </w:p>
        </w:tc>
        <w:tc>
          <w:tcPr>
            <w:tcW w:w="1872" w:type="dxa"/>
            <w:tcMar>
              <w:top w:w="70" w:type="dxa"/>
              <w:left w:w="100" w:type="dxa"/>
              <w:bottom w:w="70" w:type="dxa"/>
              <w:right w:w="100" w:type="dxa"/>
            </w:tcMar>
          </w:tcPr>
          <w:p w14:paraId="0C89FA65" w14:textId="77777777" w:rsidR="00FF4EB0" w:rsidRDefault="0077332D">
            <w:pPr>
              <w:spacing w:before="40" w:after="40" w:line="252" w:lineRule="auto"/>
              <w:jc w:val="center"/>
            </w:pPr>
            <w:r>
              <w:rPr>
                <w:sz w:val="19"/>
              </w:rPr>
              <w:t>3</w:t>
            </w:r>
          </w:p>
        </w:tc>
        <w:tc>
          <w:tcPr>
            <w:tcW w:w="1872" w:type="dxa"/>
            <w:tcMar>
              <w:top w:w="70" w:type="dxa"/>
              <w:left w:w="100" w:type="dxa"/>
              <w:bottom w:w="70" w:type="dxa"/>
              <w:right w:w="100" w:type="dxa"/>
            </w:tcMar>
          </w:tcPr>
          <w:p w14:paraId="2457B44F" w14:textId="77777777" w:rsidR="00FF4EB0" w:rsidRDefault="0077332D">
            <w:pPr>
              <w:spacing w:before="40" w:after="40" w:line="252" w:lineRule="auto"/>
              <w:jc w:val="center"/>
            </w:pPr>
            <w:r>
              <w:rPr>
                <w:sz w:val="19"/>
              </w:rPr>
              <w:t>21</w:t>
            </w:r>
          </w:p>
        </w:tc>
        <w:tc>
          <w:tcPr>
            <w:tcW w:w="1872" w:type="dxa"/>
            <w:tcMar>
              <w:top w:w="70" w:type="dxa"/>
              <w:left w:w="100" w:type="dxa"/>
              <w:bottom w:w="70" w:type="dxa"/>
              <w:right w:w="100" w:type="dxa"/>
            </w:tcMar>
          </w:tcPr>
          <w:p w14:paraId="53ACF657" w14:textId="77777777" w:rsidR="00FF4EB0" w:rsidRDefault="0077332D">
            <w:pPr>
              <w:spacing w:before="40" w:after="40" w:line="252" w:lineRule="auto"/>
              <w:jc w:val="center"/>
            </w:pPr>
            <w:r>
              <w:rPr>
                <w:sz w:val="19"/>
              </w:rPr>
              <w:t>13.5%</w:t>
            </w:r>
          </w:p>
        </w:tc>
      </w:tr>
      <w:tr w:rsidR="00FF4EB0" w14:paraId="55CF1AA9" w14:textId="77777777">
        <w:trPr>
          <w:jc w:val="center"/>
        </w:trPr>
        <w:tc>
          <w:tcPr>
            <w:tcW w:w="1872" w:type="dxa"/>
            <w:tcMar>
              <w:top w:w="70" w:type="dxa"/>
              <w:left w:w="100" w:type="dxa"/>
              <w:bottom w:w="70" w:type="dxa"/>
              <w:right w:w="100" w:type="dxa"/>
            </w:tcMar>
          </w:tcPr>
          <w:p w14:paraId="3D00DD4A" w14:textId="77777777" w:rsidR="00FF4EB0" w:rsidRDefault="0077332D">
            <w:pPr>
              <w:spacing w:before="40" w:after="40" w:line="252" w:lineRule="auto"/>
            </w:pPr>
            <w:r>
              <w:rPr>
                <w:sz w:val="19"/>
              </w:rPr>
              <w:t>GI Support: Pantoprazole</w:t>
            </w:r>
          </w:p>
        </w:tc>
        <w:tc>
          <w:tcPr>
            <w:tcW w:w="1872" w:type="dxa"/>
            <w:tcMar>
              <w:top w:w="70" w:type="dxa"/>
              <w:left w:w="100" w:type="dxa"/>
              <w:bottom w:w="70" w:type="dxa"/>
              <w:right w:w="100" w:type="dxa"/>
            </w:tcMar>
          </w:tcPr>
          <w:p w14:paraId="65363094" w14:textId="77777777" w:rsidR="00FF4EB0" w:rsidRDefault="0077332D">
            <w:pPr>
              <w:spacing w:before="40" w:after="40" w:line="252" w:lineRule="auto"/>
              <w:jc w:val="center"/>
            </w:pPr>
            <w:r>
              <w:rPr>
                <w:sz w:val="19"/>
              </w:rPr>
              <w:t>42</w:t>
            </w:r>
          </w:p>
        </w:tc>
        <w:tc>
          <w:tcPr>
            <w:tcW w:w="1872" w:type="dxa"/>
            <w:tcMar>
              <w:top w:w="70" w:type="dxa"/>
              <w:left w:w="100" w:type="dxa"/>
              <w:bottom w:w="70" w:type="dxa"/>
              <w:right w:w="100" w:type="dxa"/>
            </w:tcMar>
          </w:tcPr>
          <w:p w14:paraId="6AF28FA8" w14:textId="77777777" w:rsidR="00FF4EB0" w:rsidRDefault="0077332D">
            <w:pPr>
              <w:spacing w:before="40" w:after="40" w:line="252" w:lineRule="auto"/>
              <w:jc w:val="center"/>
            </w:pPr>
            <w:r>
              <w:rPr>
                <w:sz w:val="19"/>
              </w:rPr>
              <w:t>16</w:t>
            </w:r>
          </w:p>
        </w:tc>
        <w:tc>
          <w:tcPr>
            <w:tcW w:w="1872" w:type="dxa"/>
            <w:tcMar>
              <w:top w:w="70" w:type="dxa"/>
              <w:left w:w="100" w:type="dxa"/>
              <w:bottom w:w="70" w:type="dxa"/>
              <w:right w:w="100" w:type="dxa"/>
            </w:tcMar>
          </w:tcPr>
          <w:p w14:paraId="767DFD77" w14:textId="77777777" w:rsidR="00FF4EB0" w:rsidRDefault="0077332D">
            <w:pPr>
              <w:spacing w:before="40" w:after="40" w:line="252" w:lineRule="auto"/>
              <w:jc w:val="center"/>
            </w:pPr>
            <w:r>
              <w:rPr>
                <w:sz w:val="19"/>
              </w:rPr>
              <w:t>58</w:t>
            </w:r>
          </w:p>
        </w:tc>
        <w:tc>
          <w:tcPr>
            <w:tcW w:w="1872" w:type="dxa"/>
            <w:tcMar>
              <w:top w:w="70" w:type="dxa"/>
              <w:left w:w="100" w:type="dxa"/>
              <w:bottom w:w="70" w:type="dxa"/>
              <w:right w:w="100" w:type="dxa"/>
            </w:tcMar>
          </w:tcPr>
          <w:p w14:paraId="5A71AB8D" w14:textId="77777777" w:rsidR="00FF4EB0" w:rsidRDefault="0077332D">
            <w:pPr>
              <w:spacing w:before="40" w:after="40" w:line="252" w:lineRule="auto"/>
              <w:jc w:val="center"/>
            </w:pPr>
            <w:r>
              <w:rPr>
                <w:sz w:val="19"/>
              </w:rPr>
              <w:t>50.4%</w:t>
            </w:r>
          </w:p>
        </w:tc>
      </w:tr>
      <w:tr w:rsidR="00FF4EB0" w14:paraId="752F950B" w14:textId="77777777">
        <w:trPr>
          <w:jc w:val="center"/>
        </w:trPr>
        <w:tc>
          <w:tcPr>
            <w:tcW w:w="1872" w:type="dxa"/>
            <w:tcMar>
              <w:top w:w="70" w:type="dxa"/>
              <w:left w:w="100" w:type="dxa"/>
              <w:bottom w:w="70" w:type="dxa"/>
              <w:right w:w="100" w:type="dxa"/>
            </w:tcMar>
          </w:tcPr>
          <w:p w14:paraId="053EA874" w14:textId="77777777" w:rsidR="00FF4EB0" w:rsidRDefault="0077332D">
            <w:pPr>
              <w:spacing w:before="40" w:after="40" w:line="252" w:lineRule="auto"/>
            </w:pPr>
            <w:r>
              <w:rPr>
                <w:sz w:val="19"/>
              </w:rPr>
              <w:t>GI Support: Rabeprazole</w:t>
            </w:r>
          </w:p>
        </w:tc>
        <w:tc>
          <w:tcPr>
            <w:tcW w:w="1872" w:type="dxa"/>
            <w:tcMar>
              <w:top w:w="70" w:type="dxa"/>
              <w:left w:w="100" w:type="dxa"/>
              <w:bottom w:w="70" w:type="dxa"/>
              <w:right w:w="100" w:type="dxa"/>
            </w:tcMar>
          </w:tcPr>
          <w:p w14:paraId="4FD12290" w14:textId="77777777" w:rsidR="00FF4EB0" w:rsidRDefault="0077332D">
            <w:pPr>
              <w:spacing w:before="40" w:after="40" w:line="252" w:lineRule="auto"/>
              <w:jc w:val="center"/>
            </w:pPr>
            <w:r>
              <w:rPr>
                <w:sz w:val="19"/>
              </w:rPr>
              <w:t>39</w:t>
            </w:r>
          </w:p>
        </w:tc>
        <w:tc>
          <w:tcPr>
            <w:tcW w:w="1872" w:type="dxa"/>
            <w:tcMar>
              <w:top w:w="70" w:type="dxa"/>
              <w:left w:w="100" w:type="dxa"/>
              <w:bottom w:w="70" w:type="dxa"/>
              <w:right w:w="100" w:type="dxa"/>
            </w:tcMar>
          </w:tcPr>
          <w:p w14:paraId="2527BF89" w14:textId="77777777" w:rsidR="00FF4EB0" w:rsidRDefault="0077332D">
            <w:pPr>
              <w:spacing w:before="40" w:after="40" w:line="252" w:lineRule="auto"/>
              <w:jc w:val="center"/>
            </w:pPr>
            <w:r>
              <w:rPr>
                <w:sz w:val="19"/>
              </w:rPr>
              <w:t>16</w:t>
            </w:r>
          </w:p>
        </w:tc>
        <w:tc>
          <w:tcPr>
            <w:tcW w:w="1872" w:type="dxa"/>
            <w:tcMar>
              <w:top w:w="70" w:type="dxa"/>
              <w:left w:w="100" w:type="dxa"/>
              <w:bottom w:w="70" w:type="dxa"/>
              <w:right w:w="100" w:type="dxa"/>
            </w:tcMar>
          </w:tcPr>
          <w:p w14:paraId="00EBC0B7" w14:textId="77777777" w:rsidR="00FF4EB0" w:rsidRDefault="0077332D">
            <w:pPr>
              <w:spacing w:before="40" w:after="40" w:line="252" w:lineRule="auto"/>
              <w:jc w:val="center"/>
            </w:pPr>
            <w:r>
              <w:rPr>
                <w:sz w:val="19"/>
              </w:rPr>
              <w:t>55</w:t>
            </w:r>
          </w:p>
        </w:tc>
        <w:tc>
          <w:tcPr>
            <w:tcW w:w="1872" w:type="dxa"/>
            <w:tcMar>
              <w:top w:w="70" w:type="dxa"/>
              <w:left w:w="100" w:type="dxa"/>
              <w:bottom w:w="70" w:type="dxa"/>
              <w:right w:w="100" w:type="dxa"/>
            </w:tcMar>
          </w:tcPr>
          <w:p w14:paraId="6F4CED11" w14:textId="77777777" w:rsidR="00FF4EB0" w:rsidRDefault="0077332D">
            <w:pPr>
              <w:spacing w:before="40" w:after="40" w:line="252" w:lineRule="auto"/>
              <w:jc w:val="center"/>
            </w:pPr>
            <w:r>
              <w:rPr>
                <w:sz w:val="19"/>
              </w:rPr>
              <w:t>47.8%</w:t>
            </w:r>
          </w:p>
        </w:tc>
      </w:tr>
      <w:tr w:rsidR="00FF4EB0" w14:paraId="181DB6EB" w14:textId="77777777">
        <w:trPr>
          <w:jc w:val="center"/>
        </w:trPr>
        <w:tc>
          <w:tcPr>
            <w:tcW w:w="1872" w:type="dxa"/>
            <w:tcMar>
              <w:top w:w="70" w:type="dxa"/>
              <w:left w:w="100" w:type="dxa"/>
              <w:bottom w:w="70" w:type="dxa"/>
              <w:right w:w="100" w:type="dxa"/>
            </w:tcMar>
          </w:tcPr>
          <w:p w14:paraId="3D75B3B8" w14:textId="77777777" w:rsidR="00FF4EB0" w:rsidRDefault="0077332D">
            <w:pPr>
              <w:spacing w:before="40" w:after="40" w:line="252" w:lineRule="auto"/>
            </w:pPr>
            <w:r>
              <w:rPr>
                <w:sz w:val="19"/>
              </w:rPr>
              <w:t>Antiemetic: Ondansetron</w:t>
            </w:r>
          </w:p>
        </w:tc>
        <w:tc>
          <w:tcPr>
            <w:tcW w:w="1872" w:type="dxa"/>
            <w:tcMar>
              <w:top w:w="70" w:type="dxa"/>
              <w:left w:w="100" w:type="dxa"/>
              <w:bottom w:w="70" w:type="dxa"/>
              <w:right w:w="100" w:type="dxa"/>
            </w:tcMar>
          </w:tcPr>
          <w:p w14:paraId="677C62E6" w14:textId="77777777" w:rsidR="00FF4EB0" w:rsidRDefault="0077332D">
            <w:pPr>
              <w:spacing w:before="40" w:after="40" w:line="252" w:lineRule="auto"/>
              <w:jc w:val="center"/>
            </w:pPr>
            <w:r>
              <w:rPr>
                <w:sz w:val="19"/>
              </w:rPr>
              <w:t>44</w:t>
            </w:r>
          </w:p>
        </w:tc>
        <w:tc>
          <w:tcPr>
            <w:tcW w:w="1872" w:type="dxa"/>
            <w:tcMar>
              <w:top w:w="70" w:type="dxa"/>
              <w:left w:w="100" w:type="dxa"/>
              <w:bottom w:w="70" w:type="dxa"/>
              <w:right w:w="100" w:type="dxa"/>
            </w:tcMar>
          </w:tcPr>
          <w:p w14:paraId="29EAEF37" w14:textId="77777777" w:rsidR="00FF4EB0" w:rsidRDefault="0077332D">
            <w:pPr>
              <w:spacing w:before="40" w:after="40" w:line="252" w:lineRule="auto"/>
              <w:jc w:val="center"/>
            </w:pPr>
            <w:r>
              <w:rPr>
                <w:sz w:val="19"/>
              </w:rPr>
              <w:t>9</w:t>
            </w:r>
          </w:p>
        </w:tc>
        <w:tc>
          <w:tcPr>
            <w:tcW w:w="1872" w:type="dxa"/>
            <w:tcMar>
              <w:top w:w="70" w:type="dxa"/>
              <w:left w:w="100" w:type="dxa"/>
              <w:bottom w:w="70" w:type="dxa"/>
              <w:right w:w="100" w:type="dxa"/>
            </w:tcMar>
          </w:tcPr>
          <w:p w14:paraId="34E7ECC5" w14:textId="77777777" w:rsidR="00FF4EB0" w:rsidRDefault="0077332D">
            <w:pPr>
              <w:spacing w:before="40" w:after="40" w:line="252" w:lineRule="auto"/>
              <w:jc w:val="center"/>
            </w:pPr>
            <w:r>
              <w:rPr>
                <w:sz w:val="19"/>
              </w:rPr>
              <w:t>53</w:t>
            </w:r>
          </w:p>
        </w:tc>
        <w:tc>
          <w:tcPr>
            <w:tcW w:w="1872" w:type="dxa"/>
            <w:tcMar>
              <w:top w:w="70" w:type="dxa"/>
              <w:left w:w="100" w:type="dxa"/>
              <w:bottom w:w="70" w:type="dxa"/>
              <w:right w:w="100" w:type="dxa"/>
            </w:tcMar>
          </w:tcPr>
          <w:p w14:paraId="40730899" w14:textId="77777777" w:rsidR="00FF4EB0" w:rsidRDefault="0077332D">
            <w:pPr>
              <w:spacing w:before="40" w:after="40" w:line="252" w:lineRule="auto"/>
              <w:jc w:val="center"/>
            </w:pPr>
            <w:r>
              <w:rPr>
                <w:sz w:val="19"/>
              </w:rPr>
              <w:t>77.9%</w:t>
            </w:r>
          </w:p>
        </w:tc>
      </w:tr>
      <w:tr w:rsidR="00FF4EB0" w14:paraId="6C7AD91B" w14:textId="77777777">
        <w:trPr>
          <w:jc w:val="center"/>
        </w:trPr>
        <w:tc>
          <w:tcPr>
            <w:tcW w:w="1872" w:type="dxa"/>
            <w:tcMar>
              <w:top w:w="70" w:type="dxa"/>
              <w:left w:w="100" w:type="dxa"/>
              <w:bottom w:w="70" w:type="dxa"/>
              <w:right w:w="100" w:type="dxa"/>
            </w:tcMar>
          </w:tcPr>
          <w:p w14:paraId="46FF06F9" w14:textId="77777777" w:rsidR="00FF4EB0" w:rsidRDefault="0077332D">
            <w:pPr>
              <w:spacing w:before="40" w:after="40" w:line="252" w:lineRule="auto"/>
            </w:pPr>
            <w:r>
              <w:rPr>
                <w:sz w:val="19"/>
              </w:rPr>
              <w:t>Antiemetic: Domperidone</w:t>
            </w:r>
          </w:p>
        </w:tc>
        <w:tc>
          <w:tcPr>
            <w:tcW w:w="1872" w:type="dxa"/>
            <w:tcMar>
              <w:top w:w="70" w:type="dxa"/>
              <w:left w:w="100" w:type="dxa"/>
              <w:bottom w:w="70" w:type="dxa"/>
              <w:right w:w="100" w:type="dxa"/>
            </w:tcMar>
          </w:tcPr>
          <w:p w14:paraId="40BB61BD" w14:textId="77777777" w:rsidR="00FF4EB0" w:rsidRDefault="0077332D">
            <w:pPr>
              <w:spacing w:before="40" w:after="40" w:line="252" w:lineRule="auto"/>
              <w:jc w:val="center"/>
            </w:pPr>
            <w:r>
              <w:rPr>
                <w:sz w:val="19"/>
              </w:rPr>
              <w:t>10</w:t>
            </w:r>
          </w:p>
        </w:tc>
        <w:tc>
          <w:tcPr>
            <w:tcW w:w="1872" w:type="dxa"/>
            <w:tcMar>
              <w:top w:w="70" w:type="dxa"/>
              <w:left w:w="100" w:type="dxa"/>
              <w:bottom w:w="70" w:type="dxa"/>
              <w:right w:w="100" w:type="dxa"/>
            </w:tcMar>
          </w:tcPr>
          <w:p w14:paraId="6FA15CFC" w14:textId="77777777" w:rsidR="00FF4EB0" w:rsidRDefault="0077332D">
            <w:pPr>
              <w:spacing w:before="40" w:after="40" w:line="252" w:lineRule="auto"/>
              <w:jc w:val="center"/>
            </w:pPr>
            <w:r>
              <w:rPr>
                <w:sz w:val="19"/>
              </w:rPr>
              <w:t>5</w:t>
            </w:r>
          </w:p>
        </w:tc>
        <w:tc>
          <w:tcPr>
            <w:tcW w:w="1872" w:type="dxa"/>
            <w:tcMar>
              <w:top w:w="70" w:type="dxa"/>
              <w:left w:w="100" w:type="dxa"/>
              <w:bottom w:w="70" w:type="dxa"/>
              <w:right w:w="100" w:type="dxa"/>
            </w:tcMar>
          </w:tcPr>
          <w:p w14:paraId="1C791AC6" w14:textId="77777777" w:rsidR="00FF4EB0" w:rsidRDefault="0077332D">
            <w:pPr>
              <w:spacing w:before="40" w:after="40" w:line="252" w:lineRule="auto"/>
              <w:jc w:val="center"/>
            </w:pPr>
            <w:r>
              <w:rPr>
                <w:sz w:val="19"/>
              </w:rPr>
              <w:t>15</w:t>
            </w:r>
          </w:p>
        </w:tc>
        <w:tc>
          <w:tcPr>
            <w:tcW w:w="1872" w:type="dxa"/>
            <w:tcMar>
              <w:top w:w="70" w:type="dxa"/>
              <w:left w:w="100" w:type="dxa"/>
              <w:bottom w:w="70" w:type="dxa"/>
              <w:right w:w="100" w:type="dxa"/>
            </w:tcMar>
          </w:tcPr>
          <w:p w14:paraId="6D04CEB5" w14:textId="77777777" w:rsidR="00FF4EB0" w:rsidRDefault="0077332D">
            <w:pPr>
              <w:spacing w:before="40" w:after="40" w:line="252" w:lineRule="auto"/>
              <w:jc w:val="center"/>
            </w:pPr>
            <w:r>
              <w:rPr>
                <w:sz w:val="19"/>
              </w:rPr>
              <w:t>22.1%</w:t>
            </w:r>
          </w:p>
        </w:tc>
      </w:tr>
    </w:tbl>
    <w:p w14:paraId="3FE7DB9E" w14:textId="77777777" w:rsidR="00FF4EB0" w:rsidRDefault="0077332D">
      <w:pPr>
        <w:spacing w:before="40"/>
      </w:pPr>
      <w:r>
        <w:rPr>
          <w:i/>
          <w:sz w:val="18"/>
        </w:rPr>
        <w:t>GI: Gastrointestinal; prevalence calculated relative to the total cohort of 110 patients.</w:t>
      </w:r>
    </w:p>
    <w:p w14:paraId="3CE10B26" w14:textId="77777777" w:rsidR="00FF4EB0" w:rsidRDefault="0077332D">
      <w:pPr>
        <w:keepNext/>
        <w:spacing w:before="200" w:after="80"/>
        <w:rPr>
          <w:b/>
          <w:i/>
          <w:sz w:val="23"/>
        </w:rPr>
      </w:pPr>
      <w:r>
        <w:rPr>
          <w:b/>
          <w:i/>
          <w:sz w:val="23"/>
        </w:rPr>
        <w:t>3.4 Drug-Related Problems (DRPs) and Comparative Safety Analysis</w:t>
      </w:r>
    </w:p>
    <w:p w14:paraId="7F66B7F2" w14:textId="21D4C385" w:rsidR="00237695" w:rsidRPr="00237695" w:rsidRDefault="00237695">
      <w:pPr>
        <w:keepNext/>
        <w:spacing w:before="200" w:after="80"/>
        <w:rPr>
          <w:sz w:val="22"/>
          <w:lang w:val="en-IN"/>
        </w:rPr>
      </w:pPr>
      <w:r w:rsidRPr="00237695">
        <w:rPr>
          <w:sz w:val="22"/>
          <w:lang w:val="en-IN"/>
        </w:rPr>
        <w:t xml:space="preserve">126 DDIs were detected with Hepler-Strand safety profiling, indicating a significant level of drug-related risk, particularly associated with poly-drug therapy. Of the 126 interactions detected, 76.1% (n=96) were </w:t>
      </w:r>
      <w:r w:rsidRPr="00237695">
        <w:rPr>
          <w:sz w:val="22"/>
          <w:lang w:val="en-IN"/>
        </w:rPr>
        <w:lastRenderedPageBreak/>
        <w:t xml:space="preserve">identified as major severity interactions, with 23.1% (n=29) as moderate. Of these interactions, the one that contributed the greatest number was Alprazolam (n=45), mainly attributed to concurrent prescriptions in postoperative surgical histories of central nervous system depressant agents including tramadol (n=34 distinct). Pregabalin and tramadol combined caused 20 interactions and nortriptyline and </w:t>
      </w:r>
      <w:proofErr w:type="spellStart"/>
      <w:r w:rsidRPr="00237695">
        <w:rPr>
          <w:sz w:val="22"/>
          <w:lang w:val="en-IN"/>
        </w:rPr>
        <w:t>aceclofenac</w:t>
      </w:r>
      <w:proofErr w:type="spellEnd"/>
      <w:r w:rsidRPr="00237695">
        <w:rPr>
          <w:sz w:val="22"/>
          <w:lang w:val="en-IN"/>
        </w:rPr>
        <w:t xml:space="preserve"> 11, highlighting an interaction profile biased toward co-prescribing of analgesics and psychotropic drug treatments. Actual observed Toxicity Six actual ADRs were recorded and identified/verified by the Naranjo Probability Score (50.0% probable; 50.0% possible): alprazolam leading to excessive sedation (33%), pregabalin associated with excessive dizziness (17%), and tramadol, as mentioned previously, leading to both xerostomia and constipation with anxiolytics/tricyclic antidepressants. Table 4 documents the most high-risk drug-interaction pathways.</w:t>
      </w:r>
    </w:p>
    <w:p w14:paraId="57C7D3F3" w14:textId="77777777" w:rsidR="00FF4EB0" w:rsidRDefault="0077332D">
      <w:pPr>
        <w:keepNext/>
        <w:spacing w:before="160" w:after="60"/>
      </w:pPr>
      <w:r>
        <w:rPr>
          <w:b/>
          <w:sz w:val="21"/>
        </w:rPr>
        <w:t>Table 4: High-Priority Potential Drug-Drug Interactions (DDIs) by Severity Tier</w:t>
      </w:r>
    </w:p>
    <w:tbl>
      <w:tblPr>
        <w:tblW w:w="0" w:type="auto"/>
        <w:jc w:val="center"/>
        <w:tblBorders>
          <w:top w:val="single" w:sz="12" w:space="0" w:color="000000"/>
          <w:bottom w:val="single" w:sz="12" w:space="0" w:color="000000"/>
          <w:insideH w:val="single" w:sz="4" w:space="0" w:color="CCCCCC"/>
        </w:tblBorders>
        <w:tblLook w:val="04A0" w:firstRow="1" w:lastRow="0" w:firstColumn="1" w:lastColumn="0" w:noHBand="0" w:noVBand="1"/>
      </w:tblPr>
      <w:tblGrid>
        <w:gridCol w:w="1872"/>
        <w:gridCol w:w="1872"/>
        <w:gridCol w:w="1872"/>
        <w:gridCol w:w="1872"/>
        <w:gridCol w:w="1872"/>
      </w:tblGrid>
      <w:tr w:rsidR="00FF4EB0" w14:paraId="2ADD5EB6" w14:textId="77777777">
        <w:trPr>
          <w:jc w:val="center"/>
        </w:trPr>
        <w:tc>
          <w:tcPr>
            <w:tcW w:w="1872" w:type="dxa"/>
            <w:shd w:val="clear" w:color="auto" w:fill="F2F2F2"/>
            <w:tcMar>
              <w:top w:w="70" w:type="dxa"/>
              <w:left w:w="100" w:type="dxa"/>
              <w:bottom w:w="70" w:type="dxa"/>
              <w:right w:w="100" w:type="dxa"/>
            </w:tcMar>
          </w:tcPr>
          <w:p w14:paraId="281AF4C9" w14:textId="77777777" w:rsidR="00FF4EB0" w:rsidRDefault="0077332D">
            <w:pPr>
              <w:spacing w:before="40" w:after="40" w:line="252" w:lineRule="auto"/>
            </w:pPr>
            <w:r>
              <w:rPr>
                <w:b/>
                <w:sz w:val="19"/>
              </w:rPr>
              <w:t>Identified Interactive Drug Pair</w:t>
            </w:r>
          </w:p>
        </w:tc>
        <w:tc>
          <w:tcPr>
            <w:tcW w:w="1872" w:type="dxa"/>
            <w:shd w:val="clear" w:color="auto" w:fill="F2F2F2"/>
            <w:tcMar>
              <w:top w:w="70" w:type="dxa"/>
              <w:left w:w="100" w:type="dxa"/>
              <w:bottom w:w="70" w:type="dxa"/>
              <w:right w:w="100" w:type="dxa"/>
            </w:tcMar>
          </w:tcPr>
          <w:p w14:paraId="2D2D7EE4" w14:textId="77777777" w:rsidR="00FF4EB0" w:rsidRDefault="0077332D">
            <w:pPr>
              <w:spacing w:before="40" w:after="40" w:line="252" w:lineRule="auto"/>
              <w:jc w:val="center"/>
            </w:pPr>
            <w:r>
              <w:rPr>
                <w:b/>
                <w:sz w:val="19"/>
              </w:rPr>
              <w:t>Surgical Wards (n)</w:t>
            </w:r>
          </w:p>
        </w:tc>
        <w:tc>
          <w:tcPr>
            <w:tcW w:w="1872" w:type="dxa"/>
            <w:shd w:val="clear" w:color="auto" w:fill="F2F2F2"/>
            <w:tcMar>
              <w:top w:w="70" w:type="dxa"/>
              <w:left w:w="100" w:type="dxa"/>
              <w:bottom w:w="70" w:type="dxa"/>
              <w:right w:w="100" w:type="dxa"/>
            </w:tcMar>
          </w:tcPr>
          <w:p w14:paraId="4569A953" w14:textId="77777777" w:rsidR="00FF4EB0" w:rsidRDefault="0077332D">
            <w:pPr>
              <w:spacing w:before="40" w:after="40" w:line="252" w:lineRule="auto"/>
              <w:jc w:val="center"/>
            </w:pPr>
            <w:r>
              <w:rPr>
                <w:b/>
                <w:sz w:val="19"/>
              </w:rPr>
              <w:t>Non-Surgical Wards (n)</w:t>
            </w:r>
          </w:p>
        </w:tc>
        <w:tc>
          <w:tcPr>
            <w:tcW w:w="1872" w:type="dxa"/>
            <w:shd w:val="clear" w:color="auto" w:fill="F2F2F2"/>
            <w:tcMar>
              <w:top w:w="70" w:type="dxa"/>
              <w:left w:w="100" w:type="dxa"/>
              <w:bottom w:w="70" w:type="dxa"/>
              <w:right w:w="100" w:type="dxa"/>
            </w:tcMar>
          </w:tcPr>
          <w:p w14:paraId="0191AD59" w14:textId="77777777" w:rsidR="00FF4EB0" w:rsidRDefault="0077332D">
            <w:pPr>
              <w:spacing w:before="40" w:after="40" w:line="252" w:lineRule="auto"/>
              <w:jc w:val="center"/>
            </w:pPr>
            <w:r>
              <w:rPr>
                <w:b/>
                <w:sz w:val="19"/>
              </w:rPr>
              <w:t>Total DDIs (N)</w:t>
            </w:r>
          </w:p>
        </w:tc>
        <w:tc>
          <w:tcPr>
            <w:tcW w:w="1872" w:type="dxa"/>
            <w:shd w:val="clear" w:color="auto" w:fill="F2F2F2"/>
            <w:tcMar>
              <w:top w:w="70" w:type="dxa"/>
              <w:left w:w="100" w:type="dxa"/>
              <w:bottom w:w="70" w:type="dxa"/>
              <w:right w:w="100" w:type="dxa"/>
            </w:tcMar>
          </w:tcPr>
          <w:p w14:paraId="4CB3DACA" w14:textId="77777777" w:rsidR="00FF4EB0" w:rsidRDefault="0077332D">
            <w:pPr>
              <w:spacing w:before="40" w:after="40" w:line="252" w:lineRule="auto"/>
              <w:jc w:val="center"/>
            </w:pPr>
            <w:r>
              <w:rPr>
                <w:b/>
                <w:sz w:val="19"/>
              </w:rPr>
              <w:t>Clinical Severity &amp; Mechanism</w:t>
            </w:r>
          </w:p>
        </w:tc>
      </w:tr>
      <w:tr w:rsidR="00FF4EB0" w14:paraId="1BC05F4D" w14:textId="77777777">
        <w:trPr>
          <w:jc w:val="center"/>
        </w:trPr>
        <w:tc>
          <w:tcPr>
            <w:tcW w:w="1872" w:type="dxa"/>
            <w:tcMar>
              <w:top w:w="70" w:type="dxa"/>
              <w:left w:w="100" w:type="dxa"/>
              <w:bottom w:w="70" w:type="dxa"/>
              <w:right w:w="100" w:type="dxa"/>
            </w:tcMar>
          </w:tcPr>
          <w:p w14:paraId="09873D91" w14:textId="77777777" w:rsidR="00FF4EB0" w:rsidRDefault="0077332D">
            <w:pPr>
              <w:spacing w:before="40" w:after="40" w:line="252" w:lineRule="auto"/>
            </w:pPr>
            <w:r>
              <w:rPr>
                <w:sz w:val="19"/>
              </w:rPr>
              <w:t>Alprazolam + Tramadol</w:t>
            </w:r>
          </w:p>
        </w:tc>
        <w:tc>
          <w:tcPr>
            <w:tcW w:w="1872" w:type="dxa"/>
            <w:tcMar>
              <w:top w:w="70" w:type="dxa"/>
              <w:left w:w="100" w:type="dxa"/>
              <w:bottom w:w="70" w:type="dxa"/>
              <w:right w:w="100" w:type="dxa"/>
            </w:tcMar>
          </w:tcPr>
          <w:p w14:paraId="2451A82A" w14:textId="77777777" w:rsidR="00FF4EB0" w:rsidRDefault="0077332D">
            <w:pPr>
              <w:spacing w:before="40" w:after="40" w:line="252" w:lineRule="auto"/>
              <w:jc w:val="center"/>
            </w:pPr>
            <w:r>
              <w:rPr>
                <w:sz w:val="19"/>
              </w:rPr>
              <w:t>29</w:t>
            </w:r>
          </w:p>
        </w:tc>
        <w:tc>
          <w:tcPr>
            <w:tcW w:w="1872" w:type="dxa"/>
            <w:tcMar>
              <w:top w:w="70" w:type="dxa"/>
              <w:left w:w="100" w:type="dxa"/>
              <w:bottom w:w="70" w:type="dxa"/>
              <w:right w:w="100" w:type="dxa"/>
            </w:tcMar>
          </w:tcPr>
          <w:p w14:paraId="6BAD077B" w14:textId="77777777" w:rsidR="00FF4EB0" w:rsidRDefault="0077332D">
            <w:pPr>
              <w:spacing w:before="40" w:after="40" w:line="252" w:lineRule="auto"/>
              <w:jc w:val="center"/>
            </w:pPr>
            <w:r>
              <w:rPr>
                <w:sz w:val="19"/>
              </w:rPr>
              <w:t>5</w:t>
            </w:r>
          </w:p>
        </w:tc>
        <w:tc>
          <w:tcPr>
            <w:tcW w:w="1872" w:type="dxa"/>
            <w:tcMar>
              <w:top w:w="70" w:type="dxa"/>
              <w:left w:w="100" w:type="dxa"/>
              <w:bottom w:w="70" w:type="dxa"/>
              <w:right w:w="100" w:type="dxa"/>
            </w:tcMar>
          </w:tcPr>
          <w:p w14:paraId="6804EAAC" w14:textId="77777777" w:rsidR="00FF4EB0" w:rsidRDefault="0077332D">
            <w:pPr>
              <w:spacing w:before="40" w:after="40" w:line="252" w:lineRule="auto"/>
              <w:jc w:val="center"/>
            </w:pPr>
            <w:r>
              <w:rPr>
                <w:sz w:val="19"/>
              </w:rPr>
              <w:t>34</w:t>
            </w:r>
          </w:p>
        </w:tc>
        <w:tc>
          <w:tcPr>
            <w:tcW w:w="1872" w:type="dxa"/>
            <w:tcMar>
              <w:top w:w="70" w:type="dxa"/>
              <w:left w:w="100" w:type="dxa"/>
              <w:bottom w:w="70" w:type="dxa"/>
              <w:right w:w="100" w:type="dxa"/>
            </w:tcMar>
          </w:tcPr>
          <w:p w14:paraId="1FABC564" w14:textId="77777777" w:rsidR="00FF4EB0" w:rsidRDefault="0077332D">
            <w:pPr>
              <w:spacing w:before="40" w:after="40" w:line="252" w:lineRule="auto"/>
              <w:jc w:val="center"/>
            </w:pPr>
            <w:r>
              <w:rPr>
                <w:sz w:val="19"/>
              </w:rPr>
              <w:t>Major (Additive CNS Depression Risk)</w:t>
            </w:r>
          </w:p>
        </w:tc>
      </w:tr>
      <w:tr w:rsidR="00FF4EB0" w14:paraId="17443B4E" w14:textId="77777777">
        <w:trPr>
          <w:jc w:val="center"/>
        </w:trPr>
        <w:tc>
          <w:tcPr>
            <w:tcW w:w="1872" w:type="dxa"/>
            <w:tcMar>
              <w:top w:w="70" w:type="dxa"/>
              <w:left w:w="100" w:type="dxa"/>
              <w:bottom w:w="70" w:type="dxa"/>
              <w:right w:w="100" w:type="dxa"/>
            </w:tcMar>
          </w:tcPr>
          <w:p w14:paraId="3E14DBDF" w14:textId="77777777" w:rsidR="00FF4EB0" w:rsidRDefault="0077332D">
            <w:pPr>
              <w:spacing w:before="40" w:after="40" w:line="252" w:lineRule="auto"/>
            </w:pPr>
            <w:r>
              <w:rPr>
                <w:sz w:val="19"/>
              </w:rPr>
              <w:t>Pregabalin + Tramadol</w:t>
            </w:r>
          </w:p>
        </w:tc>
        <w:tc>
          <w:tcPr>
            <w:tcW w:w="1872" w:type="dxa"/>
            <w:tcMar>
              <w:top w:w="70" w:type="dxa"/>
              <w:left w:w="100" w:type="dxa"/>
              <w:bottom w:w="70" w:type="dxa"/>
              <w:right w:w="100" w:type="dxa"/>
            </w:tcMar>
          </w:tcPr>
          <w:p w14:paraId="4143DE1E" w14:textId="77777777" w:rsidR="00FF4EB0" w:rsidRDefault="0077332D">
            <w:pPr>
              <w:spacing w:before="40" w:after="40" w:line="252" w:lineRule="auto"/>
              <w:jc w:val="center"/>
            </w:pPr>
            <w:r>
              <w:rPr>
                <w:sz w:val="19"/>
              </w:rPr>
              <w:t>16</w:t>
            </w:r>
          </w:p>
        </w:tc>
        <w:tc>
          <w:tcPr>
            <w:tcW w:w="1872" w:type="dxa"/>
            <w:tcMar>
              <w:top w:w="70" w:type="dxa"/>
              <w:left w:w="100" w:type="dxa"/>
              <w:bottom w:w="70" w:type="dxa"/>
              <w:right w:w="100" w:type="dxa"/>
            </w:tcMar>
          </w:tcPr>
          <w:p w14:paraId="63ACF226" w14:textId="77777777" w:rsidR="00FF4EB0" w:rsidRDefault="0077332D">
            <w:pPr>
              <w:spacing w:before="40" w:after="40" w:line="252" w:lineRule="auto"/>
              <w:jc w:val="center"/>
            </w:pPr>
            <w:r>
              <w:rPr>
                <w:sz w:val="19"/>
              </w:rPr>
              <w:t>4</w:t>
            </w:r>
          </w:p>
        </w:tc>
        <w:tc>
          <w:tcPr>
            <w:tcW w:w="1872" w:type="dxa"/>
            <w:tcMar>
              <w:top w:w="70" w:type="dxa"/>
              <w:left w:w="100" w:type="dxa"/>
              <w:bottom w:w="70" w:type="dxa"/>
              <w:right w:w="100" w:type="dxa"/>
            </w:tcMar>
          </w:tcPr>
          <w:p w14:paraId="7CD2800E" w14:textId="77777777" w:rsidR="00FF4EB0" w:rsidRDefault="0077332D">
            <w:pPr>
              <w:spacing w:before="40" w:after="40" w:line="252" w:lineRule="auto"/>
              <w:jc w:val="center"/>
            </w:pPr>
            <w:r>
              <w:rPr>
                <w:sz w:val="19"/>
              </w:rPr>
              <w:t>20</w:t>
            </w:r>
          </w:p>
        </w:tc>
        <w:tc>
          <w:tcPr>
            <w:tcW w:w="1872" w:type="dxa"/>
            <w:tcMar>
              <w:top w:w="70" w:type="dxa"/>
              <w:left w:w="100" w:type="dxa"/>
              <w:bottom w:w="70" w:type="dxa"/>
              <w:right w:w="100" w:type="dxa"/>
            </w:tcMar>
          </w:tcPr>
          <w:p w14:paraId="32879AA3" w14:textId="77777777" w:rsidR="00FF4EB0" w:rsidRDefault="0077332D">
            <w:pPr>
              <w:spacing w:before="40" w:after="40" w:line="252" w:lineRule="auto"/>
              <w:jc w:val="center"/>
            </w:pPr>
            <w:r>
              <w:rPr>
                <w:sz w:val="19"/>
              </w:rPr>
              <w:t>Major (Respiratory/CNS Depression Risk)</w:t>
            </w:r>
          </w:p>
        </w:tc>
      </w:tr>
      <w:tr w:rsidR="00FF4EB0" w14:paraId="188C7F40" w14:textId="77777777">
        <w:trPr>
          <w:jc w:val="center"/>
        </w:trPr>
        <w:tc>
          <w:tcPr>
            <w:tcW w:w="1872" w:type="dxa"/>
            <w:tcMar>
              <w:top w:w="70" w:type="dxa"/>
              <w:left w:w="100" w:type="dxa"/>
              <w:bottom w:w="70" w:type="dxa"/>
              <w:right w:w="100" w:type="dxa"/>
            </w:tcMar>
          </w:tcPr>
          <w:p w14:paraId="2FA3DBE1" w14:textId="77777777" w:rsidR="00FF4EB0" w:rsidRDefault="0077332D">
            <w:pPr>
              <w:spacing w:before="40" w:after="40" w:line="252" w:lineRule="auto"/>
            </w:pPr>
            <w:r>
              <w:rPr>
                <w:sz w:val="19"/>
              </w:rPr>
              <w:t>Nortriptyline + Tramadol</w:t>
            </w:r>
          </w:p>
        </w:tc>
        <w:tc>
          <w:tcPr>
            <w:tcW w:w="1872" w:type="dxa"/>
            <w:tcMar>
              <w:top w:w="70" w:type="dxa"/>
              <w:left w:w="100" w:type="dxa"/>
              <w:bottom w:w="70" w:type="dxa"/>
              <w:right w:w="100" w:type="dxa"/>
            </w:tcMar>
          </w:tcPr>
          <w:p w14:paraId="3C371796" w14:textId="77777777" w:rsidR="00FF4EB0" w:rsidRDefault="0077332D">
            <w:pPr>
              <w:spacing w:before="40" w:after="40" w:line="252" w:lineRule="auto"/>
              <w:jc w:val="center"/>
            </w:pPr>
            <w:r>
              <w:rPr>
                <w:sz w:val="19"/>
              </w:rPr>
              <w:t>10</w:t>
            </w:r>
          </w:p>
        </w:tc>
        <w:tc>
          <w:tcPr>
            <w:tcW w:w="1872" w:type="dxa"/>
            <w:tcMar>
              <w:top w:w="70" w:type="dxa"/>
              <w:left w:w="100" w:type="dxa"/>
              <w:bottom w:w="70" w:type="dxa"/>
              <w:right w:w="100" w:type="dxa"/>
            </w:tcMar>
          </w:tcPr>
          <w:p w14:paraId="2890AEF5" w14:textId="77777777" w:rsidR="00FF4EB0" w:rsidRDefault="0077332D">
            <w:pPr>
              <w:spacing w:before="40" w:after="40" w:line="252" w:lineRule="auto"/>
              <w:jc w:val="center"/>
            </w:pPr>
            <w:r>
              <w:rPr>
                <w:sz w:val="19"/>
              </w:rPr>
              <w:t>3</w:t>
            </w:r>
          </w:p>
        </w:tc>
        <w:tc>
          <w:tcPr>
            <w:tcW w:w="1872" w:type="dxa"/>
            <w:tcMar>
              <w:top w:w="70" w:type="dxa"/>
              <w:left w:w="100" w:type="dxa"/>
              <w:bottom w:w="70" w:type="dxa"/>
              <w:right w:w="100" w:type="dxa"/>
            </w:tcMar>
          </w:tcPr>
          <w:p w14:paraId="5194C232" w14:textId="77777777" w:rsidR="00FF4EB0" w:rsidRDefault="0077332D">
            <w:pPr>
              <w:spacing w:before="40" w:after="40" w:line="252" w:lineRule="auto"/>
              <w:jc w:val="center"/>
            </w:pPr>
            <w:r>
              <w:rPr>
                <w:sz w:val="19"/>
              </w:rPr>
              <w:t>13</w:t>
            </w:r>
          </w:p>
        </w:tc>
        <w:tc>
          <w:tcPr>
            <w:tcW w:w="1872" w:type="dxa"/>
            <w:tcMar>
              <w:top w:w="70" w:type="dxa"/>
              <w:left w:w="100" w:type="dxa"/>
              <w:bottom w:w="70" w:type="dxa"/>
              <w:right w:w="100" w:type="dxa"/>
            </w:tcMar>
          </w:tcPr>
          <w:p w14:paraId="52EAE628" w14:textId="77777777" w:rsidR="00FF4EB0" w:rsidRDefault="0077332D">
            <w:pPr>
              <w:spacing w:before="40" w:after="40" w:line="252" w:lineRule="auto"/>
              <w:jc w:val="center"/>
            </w:pPr>
            <w:r>
              <w:rPr>
                <w:sz w:val="19"/>
              </w:rPr>
              <w:t>Major (Serotonergic Syndrome Risk)</w:t>
            </w:r>
          </w:p>
        </w:tc>
      </w:tr>
      <w:tr w:rsidR="00FF4EB0" w14:paraId="2A6CE31A" w14:textId="77777777">
        <w:trPr>
          <w:jc w:val="center"/>
        </w:trPr>
        <w:tc>
          <w:tcPr>
            <w:tcW w:w="1872" w:type="dxa"/>
            <w:tcMar>
              <w:top w:w="70" w:type="dxa"/>
              <w:left w:w="100" w:type="dxa"/>
              <w:bottom w:w="70" w:type="dxa"/>
              <w:right w:w="100" w:type="dxa"/>
            </w:tcMar>
          </w:tcPr>
          <w:p w14:paraId="60FA713F" w14:textId="77777777" w:rsidR="00FF4EB0" w:rsidRDefault="0077332D">
            <w:pPr>
              <w:spacing w:before="40" w:after="40" w:line="252" w:lineRule="auto"/>
            </w:pPr>
            <w:r>
              <w:rPr>
                <w:sz w:val="19"/>
              </w:rPr>
              <w:t>Nortriptyline + Aceclofenac</w:t>
            </w:r>
          </w:p>
        </w:tc>
        <w:tc>
          <w:tcPr>
            <w:tcW w:w="1872" w:type="dxa"/>
            <w:tcMar>
              <w:top w:w="70" w:type="dxa"/>
              <w:left w:w="100" w:type="dxa"/>
              <w:bottom w:w="70" w:type="dxa"/>
              <w:right w:w="100" w:type="dxa"/>
            </w:tcMar>
          </w:tcPr>
          <w:p w14:paraId="02D7642B" w14:textId="77777777" w:rsidR="00FF4EB0" w:rsidRDefault="0077332D">
            <w:pPr>
              <w:spacing w:before="40" w:after="40" w:line="252" w:lineRule="auto"/>
              <w:jc w:val="center"/>
            </w:pPr>
            <w:r>
              <w:rPr>
                <w:sz w:val="19"/>
              </w:rPr>
              <w:t>9</w:t>
            </w:r>
          </w:p>
        </w:tc>
        <w:tc>
          <w:tcPr>
            <w:tcW w:w="1872" w:type="dxa"/>
            <w:tcMar>
              <w:top w:w="70" w:type="dxa"/>
              <w:left w:w="100" w:type="dxa"/>
              <w:bottom w:w="70" w:type="dxa"/>
              <w:right w:w="100" w:type="dxa"/>
            </w:tcMar>
          </w:tcPr>
          <w:p w14:paraId="1C2A76C7" w14:textId="77777777" w:rsidR="00FF4EB0" w:rsidRDefault="0077332D">
            <w:pPr>
              <w:spacing w:before="40" w:after="40" w:line="252" w:lineRule="auto"/>
              <w:jc w:val="center"/>
            </w:pPr>
            <w:r>
              <w:rPr>
                <w:sz w:val="19"/>
              </w:rPr>
              <w:t>2</w:t>
            </w:r>
          </w:p>
        </w:tc>
        <w:tc>
          <w:tcPr>
            <w:tcW w:w="1872" w:type="dxa"/>
            <w:tcMar>
              <w:top w:w="70" w:type="dxa"/>
              <w:left w:w="100" w:type="dxa"/>
              <w:bottom w:w="70" w:type="dxa"/>
              <w:right w:w="100" w:type="dxa"/>
            </w:tcMar>
          </w:tcPr>
          <w:p w14:paraId="241B69C4" w14:textId="77777777" w:rsidR="00FF4EB0" w:rsidRDefault="0077332D">
            <w:pPr>
              <w:spacing w:before="40" w:after="40" w:line="252" w:lineRule="auto"/>
              <w:jc w:val="center"/>
            </w:pPr>
            <w:r>
              <w:rPr>
                <w:sz w:val="19"/>
              </w:rPr>
              <w:t>11</w:t>
            </w:r>
          </w:p>
        </w:tc>
        <w:tc>
          <w:tcPr>
            <w:tcW w:w="1872" w:type="dxa"/>
            <w:tcMar>
              <w:top w:w="70" w:type="dxa"/>
              <w:left w:w="100" w:type="dxa"/>
              <w:bottom w:w="70" w:type="dxa"/>
              <w:right w:w="100" w:type="dxa"/>
            </w:tcMar>
          </w:tcPr>
          <w:p w14:paraId="4AB55AE5" w14:textId="77777777" w:rsidR="00FF4EB0" w:rsidRDefault="0077332D">
            <w:pPr>
              <w:spacing w:before="40" w:after="40" w:line="252" w:lineRule="auto"/>
              <w:jc w:val="center"/>
            </w:pPr>
            <w:r>
              <w:rPr>
                <w:sz w:val="19"/>
              </w:rPr>
              <w:t>Moderate (Gastrointestinal Mucosal Risk)</w:t>
            </w:r>
          </w:p>
        </w:tc>
      </w:tr>
      <w:tr w:rsidR="00FF4EB0" w14:paraId="590A546D" w14:textId="77777777">
        <w:trPr>
          <w:jc w:val="center"/>
        </w:trPr>
        <w:tc>
          <w:tcPr>
            <w:tcW w:w="1872" w:type="dxa"/>
            <w:tcMar>
              <w:top w:w="70" w:type="dxa"/>
              <w:left w:w="100" w:type="dxa"/>
              <w:bottom w:w="70" w:type="dxa"/>
              <w:right w:w="100" w:type="dxa"/>
            </w:tcMar>
          </w:tcPr>
          <w:p w14:paraId="2E51231B" w14:textId="77777777" w:rsidR="00FF4EB0" w:rsidRDefault="0077332D">
            <w:pPr>
              <w:spacing w:before="40" w:after="40" w:line="252" w:lineRule="auto"/>
            </w:pPr>
            <w:r>
              <w:rPr>
                <w:sz w:val="19"/>
              </w:rPr>
              <w:t>Nortriptyline + Diclofenac</w:t>
            </w:r>
          </w:p>
        </w:tc>
        <w:tc>
          <w:tcPr>
            <w:tcW w:w="1872" w:type="dxa"/>
            <w:tcMar>
              <w:top w:w="70" w:type="dxa"/>
              <w:left w:w="100" w:type="dxa"/>
              <w:bottom w:w="70" w:type="dxa"/>
              <w:right w:w="100" w:type="dxa"/>
            </w:tcMar>
          </w:tcPr>
          <w:p w14:paraId="79BC814C" w14:textId="77777777" w:rsidR="00FF4EB0" w:rsidRDefault="0077332D">
            <w:pPr>
              <w:spacing w:before="40" w:after="40" w:line="252" w:lineRule="auto"/>
              <w:jc w:val="center"/>
            </w:pPr>
            <w:r>
              <w:rPr>
                <w:sz w:val="19"/>
              </w:rPr>
              <w:t>7</w:t>
            </w:r>
          </w:p>
        </w:tc>
        <w:tc>
          <w:tcPr>
            <w:tcW w:w="1872" w:type="dxa"/>
            <w:tcMar>
              <w:top w:w="70" w:type="dxa"/>
              <w:left w:w="100" w:type="dxa"/>
              <w:bottom w:w="70" w:type="dxa"/>
              <w:right w:w="100" w:type="dxa"/>
            </w:tcMar>
          </w:tcPr>
          <w:p w14:paraId="4FB92D2E" w14:textId="77777777" w:rsidR="00FF4EB0" w:rsidRDefault="0077332D">
            <w:pPr>
              <w:spacing w:before="40" w:after="40" w:line="252" w:lineRule="auto"/>
              <w:jc w:val="center"/>
            </w:pPr>
            <w:r>
              <w:rPr>
                <w:sz w:val="19"/>
              </w:rPr>
              <w:t>2</w:t>
            </w:r>
          </w:p>
        </w:tc>
        <w:tc>
          <w:tcPr>
            <w:tcW w:w="1872" w:type="dxa"/>
            <w:tcMar>
              <w:top w:w="70" w:type="dxa"/>
              <w:left w:w="100" w:type="dxa"/>
              <w:bottom w:w="70" w:type="dxa"/>
              <w:right w:w="100" w:type="dxa"/>
            </w:tcMar>
          </w:tcPr>
          <w:p w14:paraId="0E071F32" w14:textId="77777777" w:rsidR="00FF4EB0" w:rsidRDefault="0077332D">
            <w:pPr>
              <w:spacing w:before="40" w:after="40" w:line="252" w:lineRule="auto"/>
              <w:jc w:val="center"/>
            </w:pPr>
            <w:r>
              <w:rPr>
                <w:sz w:val="19"/>
              </w:rPr>
              <w:t>9</w:t>
            </w:r>
          </w:p>
        </w:tc>
        <w:tc>
          <w:tcPr>
            <w:tcW w:w="1872" w:type="dxa"/>
            <w:tcMar>
              <w:top w:w="70" w:type="dxa"/>
              <w:left w:w="100" w:type="dxa"/>
              <w:bottom w:w="70" w:type="dxa"/>
              <w:right w:w="100" w:type="dxa"/>
            </w:tcMar>
          </w:tcPr>
          <w:p w14:paraId="424480B4" w14:textId="77777777" w:rsidR="00FF4EB0" w:rsidRDefault="0077332D">
            <w:pPr>
              <w:spacing w:before="40" w:after="40" w:line="252" w:lineRule="auto"/>
              <w:jc w:val="center"/>
            </w:pPr>
            <w:r>
              <w:rPr>
                <w:sz w:val="19"/>
              </w:rPr>
              <w:t>Moderate (Antiplatelet Bleeding Overlap)</w:t>
            </w:r>
          </w:p>
        </w:tc>
      </w:tr>
      <w:tr w:rsidR="00FF4EB0" w14:paraId="3B26E421" w14:textId="77777777">
        <w:trPr>
          <w:jc w:val="center"/>
        </w:trPr>
        <w:tc>
          <w:tcPr>
            <w:tcW w:w="1872" w:type="dxa"/>
            <w:tcMar>
              <w:top w:w="70" w:type="dxa"/>
              <w:left w:w="100" w:type="dxa"/>
              <w:bottom w:w="70" w:type="dxa"/>
              <w:right w:w="100" w:type="dxa"/>
            </w:tcMar>
          </w:tcPr>
          <w:p w14:paraId="7C55CE08" w14:textId="77777777" w:rsidR="00FF4EB0" w:rsidRDefault="0077332D">
            <w:pPr>
              <w:spacing w:before="40" w:after="40" w:line="252" w:lineRule="auto"/>
            </w:pPr>
            <w:r>
              <w:rPr>
                <w:sz w:val="19"/>
              </w:rPr>
              <w:t>Nortriptyline + Ondansetron</w:t>
            </w:r>
          </w:p>
        </w:tc>
        <w:tc>
          <w:tcPr>
            <w:tcW w:w="1872" w:type="dxa"/>
            <w:tcMar>
              <w:top w:w="70" w:type="dxa"/>
              <w:left w:w="100" w:type="dxa"/>
              <w:bottom w:w="70" w:type="dxa"/>
              <w:right w:w="100" w:type="dxa"/>
            </w:tcMar>
          </w:tcPr>
          <w:p w14:paraId="02CE1374" w14:textId="77777777" w:rsidR="00FF4EB0" w:rsidRDefault="0077332D">
            <w:pPr>
              <w:spacing w:before="40" w:after="40" w:line="252" w:lineRule="auto"/>
              <w:jc w:val="center"/>
            </w:pPr>
            <w:r>
              <w:rPr>
                <w:sz w:val="19"/>
              </w:rPr>
              <w:t>6</w:t>
            </w:r>
          </w:p>
        </w:tc>
        <w:tc>
          <w:tcPr>
            <w:tcW w:w="1872" w:type="dxa"/>
            <w:tcMar>
              <w:top w:w="70" w:type="dxa"/>
              <w:left w:w="100" w:type="dxa"/>
              <w:bottom w:w="70" w:type="dxa"/>
              <w:right w:w="100" w:type="dxa"/>
            </w:tcMar>
          </w:tcPr>
          <w:p w14:paraId="36CCF713"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702F54A4" w14:textId="77777777" w:rsidR="00FF4EB0" w:rsidRDefault="0077332D">
            <w:pPr>
              <w:spacing w:before="40" w:after="40" w:line="252" w:lineRule="auto"/>
              <w:jc w:val="center"/>
            </w:pPr>
            <w:r>
              <w:rPr>
                <w:sz w:val="19"/>
              </w:rPr>
              <w:t>7</w:t>
            </w:r>
          </w:p>
        </w:tc>
        <w:tc>
          <w:tcPr>
            <w:tcW w:w="1872" w:type="dxa"/>
            <w:tcMar>
              <w:top w:w="70" w:type="dxa"/>
              <w:left w:w="100" w:type="dxa"/>
              <w:bottom w:w="70" w:type="dxa"/>
              <w:right w:w="100" w:type="dxa"/>
            </w:tcMar>
          </w:tcPr>
          <w:p w14:paraId="62CF0605" w14:textId="77777777" w:rsidR="00FF4EB0" w:rsidRDefault="0077332D">
            <w:pPr>
              <w:spacing w:before="40" w:after="40" w:line="252" w:lineRule="auto"/>
              <w:jc w:val="center"/>
            </w:pPr>
            <w:r>
              <w:rPr>
                <w:sz w:val="19"/>
              </w:rPr>
              <w:t>Major (Additive QTc Prolongation Risk)</w:t>
            </w:r>
          </w:p>
        </w:tc>
      </w:tr>
      <w:tr w:rsidR="00FF4EB0" w14:paraId="41EA4259" w14:textId="77777777">
        <w:trPr>
          <w:jc w:val="center"/>
        </w:trPr>
        <w:tc>
          <w:tcPr>
            <w:tcW w:w="1872" w:type="dxa"/>
            <w:tcMar>
              <w:top w:w="70" w:type="dxa"/>
              <w:left w:w="100" w:type="dxa"/>
              <w:bottom w:w="70" w:type="dxa"/>
              <w:right w:w="100" w:type="dxa"/>
            </w:tcMar>
          </w:tcPr>
          <w:p w14:paraId="5E0A988F" w14:textId="77777777" w:rsidR="00FF4EB0" w:rsidRDefault="0077332D">
            <w:pPr>
              <w:spacing w:before="40" w:after="40" w:line="252" w:lineRule="auto"/>
            </w:pPr>
            <w:r>
              <w:rPr>
                <w:sz w:val="19"/>
              </w:rPr>
              <w:t>Nortriptyline + Domperidone</w:t>
            </w:r>
          </w:p>
        </w:tc>
        <w:tc>
          <w:tcPr>
            <w:tcW w:w="1872" w:type="dxa"/>
            <w:tcMar>
              <w:top w:w="70" w:type="dxa"/>
              <w:left w:w="100" w:type="dxa"/>
              <w:bottom w:w="70" w:type="dxa"/>
              <w:right w:w="100" w:type="dxa"/>
            </w:tcMar>
          </w:tcPr>
          <w:p w14:paraId="578B863B" w14:textId="77777777" w:rsidR="00FF4EB0" w:rsidRDefault="0077332D">
            <w:pPr>
              <w:spacing w:before="40" w:after="40" w:line="252" w:lineRule="auto"/>
              <w:jc w:val="center"/>
            </w:pPr>
            <w:r>
              <w:rPr>
                <w:sz w:val="19"/>
              </w:rPr>
              <w:t>3</w:t>
            </w:r>
          </w:p>
        </w:tc>
        <w:tc>
          <w:tcPr>
            <w:tcW w:w="1872" w:type="dxa"/>
            <w:tcMar>
              <w:top w:w="70" w:type="dxa"/>
              <w:left w:w="100" w:type="dxa"/>
              <w:bottom w:w="70" w:type="dxa"/>
              <w:right w:w="100" w:type="dxa"/>
            </w:tcMar>
          </w:tcPr>
          <w:p w14:paraId="1EA96EEF"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65119712" w14:textId="77777777" w:rsidR="00FF4EB0" w:rsidRDefault="0077332D">
            <w:pPr>
              <w:spacing w:before="40" w:after="40" w:line="252" w:lineRule="auto"/>
              <w:jc w:val="center"/>
            </w:pPr>
            <w:r>
              <w:rPr>
                <w:sz w:val="19"/>
              </w:rPr>
              <w:t>4</w:t>
            </w:r>
          </w:p>
        </w:tc>
        <w:tc>
          <w:tcPr>
            <w:tcW w:w="1872" w:type="dxa"/>
            <w:tcMar>
              <w:top w:w="70" w:type="dxa"/>
              <w:left w:w="100" w:type="dxa"/>
              <w:bottom w:w="70" w:type="dxa"/>
              <w:right w:w="100" w:type="dxa"/>
            </w:tcMar>
          </w:tcPr>
          <w:p w14:paraId="6EDD7BFB" w14:textId="77777777" w:rsidR="00FF4EB0" w:rsidRDefault="0077332D">
            <w:pPr>
              <w:spacing w:before="40" w:after="40" w:line="252" w:lineRule="auto"/>
              <w:jc w:val="center"/>
            </w:pPr>
            <w:r>
              <w:rPr>
                <w:sz w:val="19"/>
              </w:rPr>
              <w:t>Major (Proarrhythmic Risk)</w:t>
            </w:r>
          </w:p>
        </w:tc>
      </w:tr>
      <w:tr w:rsidR="00FF4EB0" w14:paraId="68C35BDD" w14:textId="77777777">
        <w:trPr>
          <w:jc w:val="center"/>
        </w:trPr>
        <w:tc>
          <w:tcPr>
            <w:tcW w:w="1872" w:type="dxa"/>
            <w:tcMar>
              <w:top w:w="70" w:type="dxa"/>
              <w:left w:w="100" w:type="dxa"/>
              <w:bottom w:w="70" w:type="dxa"/>
              <w:right w:w="100" w:type="dxa"/>
            </w:tcMar>
          </w:tcPr>
          <w:p w14:paraId="5300150A" w14:textId="77777777" w:rsidR="00FF4EB0" w:rsidRDefault="0077332D">
            <w:pPr>
              <w:spacing w:before="40" w:after="40" w:line="252" w:lineRule="auto"/>
            </w:pPr>
            <w:r>
              <w:rPr>
                <w:sz w:val="19"/>
              </w:rPr>
              <w:t>Lorazepam + Tramadol</w:t>
            </w:r>
          </w:p>
        </w:tc>
        <w:tc>
          <w:tcPr>
            <w:tcW w:w="1872" w:type="dxa"/>
            <w:tcMar>
              <w:top w:w="70" w:type="dxa"/>
              <w:left w:w="100" w:type="dxa"/>
              <w:bottom w:w="70" w:type="dxa"/>
              <w:right w:w="100" w:type="dxa"/>
            </w:tcMar>
          </w:tcPr>
          <w:p w14:paraId="45341020" w14:textId="77777777" w:rsidR="00FF4EB0" w:rsidRDefault="0077332D">
            <w:pPr>
              <w:spacing w:before="40" w:after="40" w:line="252" w:lineRule="auto"/>
              <w:jc w:val="center"/>
            </w:pPr>
            <w:r>
              <w:rPr>
                <w:sz w:val="19"/>
              </w:rPr>
              <w:t>3</w:t>
            </w:r>
          </w:p>
        </w:tc>
        <w:tc>
          <w:tcPr>
            <w:tcW w:w="1872" w:type="dxa"/>
            <w:tcMar>
              <w:top w:w="70" w:type="dxa"/>
              <w:left w:w="100" w:type="dxa"/>
              <w:bottom w:w="70" w:type="dxa"/>
              <w:right w:w="100" w:type="dxa"/>
            </w:tcMar>
          </w:tcPr>
          <w:p w14:paraId="795B8040" w14:textId="77777777" w:rsidR="00FF4EB0" w:rsidRDefault="0077332D">
            <w:pPr>
              <w:spacing w:before="40" w:after="40" w:line="252" w:lineRule="auto"/>
              <w:jc w:val="center"/>
            </w:pPr>
            <w:r>
              <w:rPr>
                <w:sz w:val="19"/>
              </w:rPr>
              <w:t>1</w:t>
            </w:r>
          </w:p>
        </w:tc>
        <w:tc>
          <w:tcPr>
            <w:tcW w:w="1872" w:type="dxa"/>
            <w:tcMar>
              <w:top w:w="70" w:type="dxa"/>
              <w:left w:w="100" w:type="dxa"/>
              <w:bottom w:w="70" w:type="dxa"/>
              <w:right w:w="100" w:type="dxa"/>
            </w:tcMar>
          </w:tcPr>
          <w:p w14:paraId="46541548" w14:textId="77777777" w:rsidR="00FF4EB0" w:rsidRDefault="0077332D">
            <w:pPr>
              <w:spacing w:before="40" w:after="40" w:line="252" w:lineRule="auto"/>
              <w:jc w:val="center"/>
            </w:pPr>
            <w:r>
              <w:rPr>
                <w:sz w:val="19"/>
              </w:rPr>
              <w:t>4</w:t>
            </w:r>
          </w:p>
        </w:tc>
        <w:tc>
          <w:tcPr>
            <w:tcW w:w="1872" w:type="dxa"/>
            <w:tcMar>
              <w:top w:w="70" w:type="dxa"/>
              <w:left w:w="100" w:type="dxa"/>
              <w:bottom w:w="70" w:type="dxa"/>
              <w:right w:w="100" w:type="dxa"/>
            </w:tcMar>
          </w:tcPr>
          <w:p w14:paraId="22C132B7" w14:textId="77777777" w:rsidR="00FF4EB0" w:rsidRDefault="0077332D">
            <w:pPr>
              <w:spacing w:before="40" w:after="40" w:line="252" w:lineRule="auto"/>
              <w:jc w:val="center"/>
            </w:pPr>
            <w:r>
              <w:rPr>
                <w:sz w:val="19"/>
              </w:rPr>
              <w:t>Major (Synergistic CNS Sedation)</w:t>
            </w:r>
          </w:p>
        </w:tc>
      </w:tr>
      <w:tr w:rsidR="00FF4EB0" w14:paraId="23AA75D4" w14:textId="77777777">
        <w:trPr>
          <w:jc w:val="center"/>
        </w:trPr>
        <w:tc>
          <w:tcPr>
            <w:tcW w:w="1872" w:type="dxa"/>
            <w:tcMar>
              <w:top w:w="70" w:type="dxa"/>
              <w:left w:w="100" w:type="dxa"/>
              <w:bottom w:w="70" w:type="dxa"/>
              <w:right w:w="100" w:type="dxa"/>
            </w:tcMar>
          </w:tcPr>
          <w:p w14:paraId="29A80EC5" w14:textId="77777777" w:rsidR="00FF4EB0" w:rsidRDefault="0077332D">
            <w:pPr>
              <w:spacing w:before="40" w:after="40" w:line="252" w:lineRule="auto"/>
            </w:pPr>
            <w:r>
              <w:rPr>
                <w:sz w:val="19"/>
              </w:rPr>
              <w:t>Other Miscellaneous Pairs</w:t>
            </w:r>
          </w:p>
        </w:tc>
        <w:tc>
          <w:tcPr>
            <w:tcW w:w="1872" w:type="dxa"/>
            <w:tcMar>
              <w:top w:w="70" w:type="dxa"/>
              <w:left w:w="100" w:type="dxa"/>
              <w:bottom w:w="70" w:type="dxa"/>
              <w:right w:w="100" w:type="dxa"/>
            </w:tcMar>
          </w:tcPr>
          <w:p w14:paraId="2F4B5B1B" w14:textId="77777777" w:rsidR="00FF4EB0" w:rsidRDefault="0077332D">
            <w:pPr>
              <w:spacing w:before="40" w:after="40" w:line="252" w:lineRule="auto"/>
              <w:jc w:val="center"/>
            </w:pPr>
            <w:r>
              <w:rPr>
                <w:sz w:val="19"/>
              </w:rPr>
              <w:t>18</w:t>
            </w:r>
          </w:p>
        </w:tc>
        <w:tc>
          <w:tcPr>
            <w:tcW w:w="1872" w:type="dxa"/>
            <w:tcMar>
              <w:top w:w="70" w:type="dxa"/>
              <w:left w:w="100" w:type="dxa"/>
              <w:bottom w:w="70" w:type="dxa"/>
              <w:right w:w="100" w:type="dxa"/>
            </w:tcMar>
          </w:tcPr>
          <w:p w14:paraId="78F2F5D8" w14:textId="77777777" w:rsidR="00FF4EB0" w:rsidRDefault="0077332D">
            <w:pPr>
              <w:spacing w:before="40" w:after="40" w:line="252" w:lineRule="auto"/>
              <w:jc w:val="center"/>
            </w:pPr>
            <w:r>
              <w:rPr>
                <w:sz w:val="19"/>
              </w:rPr>
              <w:t>6</w:t>
            </w:r>
          </w:p>
        </w:tc>
        <w:tc>
          <w:tcPr>
            <w:tcW w:w="1872" w:type="dxa"/>
            <w:tcMar>
              <w:top w:w="70" w:type="dxa"/>
              <w:left w:w="100" w:type="dxa"/>
              <w:bottom w:w="70" w:type="dxa"/>
              <w:right w:w="100" w:type="dxa"/>
            </w:tcMar>
          </w:tcPr>
          <w:p w14:paraId="1BCE53E9" w14:textId="77777777" w:rsidR="00FF4EB0" w:rsidRDefault="0077332D">
            <w:pPr>
              <w:spacing w:before="40" w:after="40" w:line="252" w:lineRule="auto"/>
              <w:jc w:val="center"/>
            </w:pPr>
            <w:r>
              <w:rPr>
                <w:sz w:val="19"/>
              </w:rPr>
              <w:t>24</w:t>
            </w:r>
          </w:p>
        </w:tc>
        <w:tc>
          <w:tcPr>
            <w:tcW w:w="1872" w:type="dxa"/>
            <w:tcMar>
              <w:top w:w="70" w:type="dxa"/>
              <w:left w:w="100" w:type="dxa"/>
              <w:bottom w:w="70" w:type="dxa"/>
              <w:right w:w="100" w:type="dxa"/>
            </w:tcMar>
          </w:tcPr>
          <w:p w14:paraId="5575CF9C" w14:textId="77777777" w:rsidR="00FF4EB0" w:rsidRDefault="0077332D">
            <w:pPr>
              <w:spacing w:before="40" w:after="40" w:line="252" w:lineRule="auto"/>
              <w:jc w:val="center"/>
            </w:pPr>
            <w:r>
              <w:rPr>
                <w:sz w:val="19"/>
              </w:rPr>
              <w:t>Mild to Moderate Severity Tiers</w:t>
            </w:r>
          </w:p>
        </w:tc>
      </w:tr>
      <w:tr w:rsidR="00FF4EB0" w14:paraId="47809230" w14:textId="77777777">
        <w:trPr>
          <w:jc w:val="center"/>
        </w:trPr>
        <w:tc>
          <w:tcPr>
            <w:tcW w:w="1872" w:type="dxa"/>
            <w:tcMar>
              <w:top w:w="70" w:type="dxa"/>
              <w:left w:w="100" w:type="dxa"/>
              <w:bottom w:w="70" w:type="dxa"/>
              <w:right w:w="100" w:type="dxa"/>
            </w:tcMar>
          </w:tcPr>
          <w:p w14:paraId="5D771DE8" w14:textId="77777777" w:rsidR="00FF4EB0" w:rsidRDefault="0077332D">
            <w:pPr>
              <w:spacing w:before="40" w:after="40" w:line="252" w:lineRule="auto"/>
            </w:pPr>
            <w:r>
              <w:rPr>
                <w:b/>
                <w:sz w:val="19"/>
              </w:rPr>
              <w:t>Cumulative Interaction Count</w:t>
            </w:r>
          </w:p>
        </w:tc>
        <w:tc>
          <w:tcPr>
            <w:tcW w:w="1872" w:type="dxa"/>
            <w:tcMar>
              <w:top w:w="70" w:type="dxa"/>
              <w:left w:w="100" w:type="dxa"/>
              <w:bottom w:w="70" w:type="dxa"/>
              <w:right w:w="100" w:type="dxa"/>
            </w:tcMar>
          </w:tcPr>
          <w:p w14:paraId="3DC32998" w14:textId="77777777" w:rsidR="00FF4EB0" w:rsidRDefault="0077332D">
            <w:pPr>
              <w:spacing w:before="40" w:after="40" w:line="252" w:lineRule="auto"/>
              <w:jc w:val="center"/>
            </w:pPr>
            <w:r>
              <w:rPr>
                <w:b/>
                <w:sz w:val="19"/>
              </w:rPr>
              <w:t>96</w:t>
            </w:r>
          </w:p>
        </w:tc>
        <w:tc>
          <w:tcPr>
            <w:tcW w:w="1872" w:type="dxa"/>
            <w:tcMar>
              <w:top w:w="70" w:type="dxa"/>
              <w:left w:w="100" w:type="dxa"/>
              <w:bottom w:w="70" w:type="dxa"/>
              <w:right w:w="100" w:type="dxa"/>
            </w:tcMar>
          </w:tcPr>
          <w:p w14:paraId="031F7DAB" w14:textId="77777777" w:rsidR="00FF4EB0" w:rsidRDefault="0077332D">
            <w:pPr>
              <w:spacing w:before="40" w:after="40" w:line="252" w:lineRule="auto"/>
              <w:jc w:val="center"/>
            </w:pPr>
            <w:r>
              <w:rPr>
                <w:b/>
                <w:sz w:val="19"/>
              </w:rPr>
              <w:t>30</w:t>
            </w:r>
          </w:p>
        </w:tc>
        <w:tc>
          <w:tcPr>
            <w:tcW w:w="1872" w:type="dxa"/>
            <w:tcMar>
              <w:top w:w="70" w:type="dxa"/>
              <w:left w:w="100" w:type="dxa"/>
              <w:bottom w:w="70" w:type="dxa"/>
              <w:right w:w="100" w:type="dxa"/>
            </w:tcMar>
          </w:tcPr>
          <w:p w14:paraId="6A24CD9A" w14:textId="77777777" w:rsidR="00FF4EB0" w:rsidRDefault="0077332D">
            <w:pPr>
              <w:spacing w:before="40" w:after="40" w:line="252" w:lineRule="auto"/>
              <w:jc w:val="center"/>
            </w:pPr>
            <w:r>
              <w:rPr>
                <w:b/>
                <w:sz w:val="19"/>
              </w:rPr>
              <w:t>126</w:t>
            </w:r>
          </w:p>
        </w:tc>
        <w:tc>
          <w:tcPr>
            <w:tcW w:w="1872" w:type="dxa"/>
            <w:tcMar>
              <w:top w:w="70" w:type="dxa"/>
              <w:left w:w="100" w:type="dxa"/>
              <w:bottom w:w="70" w:type="dxa"/>
              <w:right w:w="100" w:type="dxa"/>
            </w:tcMar>
          </w:tcPr>
          <w:p w14:paraId="20F08DE7" w14:textId="77777777" w:rsidR="00FF4EB0" w:rsidRDefault="0077332D">
            <w:pPr>
              <w:spacing w:before="40" w:after="40" w:line="252" w:lineRule="auto"/>
              <w:jc w:val="center"/>
            </w:pPr>
            <w:r>
              <w:rPr>
                <w:b/>
                <w:sz w:val="19"/>
              </w:rPr>
              <w:t>Major: 76.1% | Moderate: 23.1%</w:t>
            </w:r>
          </w:p>
        </w:tc>
      </w:tr>
    </w:tbl>
    <w:p w14:paraId="282D54DD" w14:textId="77777777" w:rsidR="00237695" w:rsidRDefault="0077332D" w:rsidP="00237695">
      <w:pPr>
        <w:spacing w:before="40"/>
        <w:rPr>
          <w:i/>
        </w:rPr>
      </w:pPr>
      <w:r>
        <w:rPr>
          <w:i/>
          <w:sz w:val="18"/>
        </w:rPr>
        <w:t>CNS: Central Nervous System; severity grading determined via Lexicomp and Medscape drug interaction databases.</w:t>
      </w:r>
    </w:p>
    <w:p w14:paraId="3FD70F67" w14:textId="77777777" w:rsidR="00237695" w:rsidRDefault="0077332D" w:rsidP="00237695">
      <w:pPr>
        <w:spacing w:before="40"/>
      </w:pPr>
      <w:r>
        <w:rPr>
          <w:b/>
          <w:sz w:val="25"/>
        </w:rPr>
        <w:t>4. DISCUSSION</w:t>
      </w:r>
    </w:p>
    <w:p w14:paraId="435D7D60" w14:textId="5152593F" w:rsidR="00237695" w:rsidRPr="00237695" w:rsidRDefault="00237695" w:rsidP="00237695">
      <w:pPr>
        <w:spacing w:before="40"/>
      </w:pPr>
      <w:r w:rsidRPr="00237695">
        <w:rPr>
          <w:sz w:val="22"/>
          <w:lang w:val="en-IN"/>
        </w:rPr>
        <w:lastRenderedPageBreak/>
        <w:t>This prospective, cross-sectional comparative study prospectively documented the distribution of psychotropic prescribing patterns in the surgical and general medical inpatient settings of an Indian tertiary care centre. The evidence shows widespread distribution of psychotropic agents in nonpsychiatric hospitalized population and an even greater concentration in the surgical realm than in non-surgical internal medicine wards. This distributional divergence is indicative of their expanded application as an integral part of the ongoing acutely planned course in surgical management and multiagent perioperative care [2, 5]. The contrasting pattern of drugs prescribed in ward reflected distinctly different clinical rationale and treatment objectives. In the surgical areas, short-acting benzodiazepines such as alprazolam were preferentially utilized due to acute perioperative needs such as immediate reduction in hospital associated anxiety and transient sleep onset difficulties, as well as for premedication with a view to hasten induction of anaesthesia [6, 17]. However, the widespread use of benzodiazepines should be scrutinized. In an unmonitored and repeated usage in a surgical setting, the use of benzodiazepines is associated with impaction on the quality of conscious behaviour, increased risk of fall, persistent oversedation in the postoperative phase, deep central depression when accompanied by opioid pain reliever, and central depression of breath [6, 11]. In the general internal medicine ward, there was a definite preference for antiepileptics (pregabalin dominates), and tricyclic antidepressants (TCAs) as primary neuromodulators in treating long-standing somatoform-neuropathic pain conditions (e.g. Painful diabetic peripheral neuropathy, somatoform disorders, chronic thalamic pain following a stroke, and syndromes of musculoskeletal pain) [7, 8, 20]. Furthermore, concern remains regarding the heavy drug-related problem (DRP) burden noted in the use of the Hepler-Strand criterion (126 possible drug-drug interactions, 76.1% of which may lead to major clinically significant impact); hence it is evident that it is necessary to maintain continuous drug safety awareness [15, 21]. Common DRPs include Alprazolam + tramadol interaction observed in as many as 34 cases and which could result in combined severe central nervous depression because of overlapping sedative effect of these two drug classes particularly in perioperative setting where both are in extensive use [11, 14]. The pregabalin and tramadol interaction noted in 20 patients could lead to neurotoxicity and significant respiratory depression in such co-administrations and its judicious dose balancing required [10, 15]. Combinatorial of</w:t>
      </w:r>
      <w:r>
        <w:rPr>
          <w:sz w:val="22"/>
          <w:lang w:val="en-IN"/>
        </w:rPr>
        <w:t xml:space="preserve"> </w:t>
      </w:r>
      <w:r w:rsidRPr="00237695">
        <w:rPr>
          <w:sz w:val="22"/>
          <w:lang w:val="en-IN"/>
        </w:rPr>
        <w:t>TCAs (e.g. Nortriptyline) plus most antiemetics such as ondansetron (nortriptyline– ondansetron interaction was seen in 7 cases) and domperidone (nortriptyline– domperidone interaction was seen in 4 cases) poses a significant risk of additional prolonged QT interval, contributing to life-threatening torsades des pointes arrhythmias in particularly sensitive individuals</w:t>
      </w:r>
      <w:r>
        <w:rPr>
          <w:sz w:val="22"/>
          <w:lang w:val="en-IN"/>
        </w:rPr>
        <w:t xml:space="preserve"> </w:t>
      </w:r>
      <w:r w:rsidRPr="00237695">
        <w:rPr>
          <w:sz w:val="22"/>
          <w:lang w:val="en-IN"/>
        </w:rPr>
        <w:t xml:space="preserve">[22, 23]. Similarly, nortriptyline added to the NSAIDs (e.g., </w:t>
      </w:r>
      <w:proofErr w:type="spellStart"/>
      <w:r w:rsidRPr="00237695">
        <w:rPr>
          <w:sz w:val="22"/>
          <w:lang w:val="en-IN"/>
        </w:rPr>
        <w:t>aceclofenac</w:t>
      </w:r>
      <w:proofErr w:type="spellEnd"/>
      <w:r w:rsidRPr="00237695">
        <w:rPr>
          <w:sz w:val="22"/>
          <w:lang w:val="en-IN"/>
        </w:rPr>
        <w:t xml:space="preserve"> [11 cases] or diclofenac</w:t>
      </w:r>
      <w:r>
        <w:rPr>
          <w:sz w:val="22"/>
          <w:lang w:val="en-IN"/>
        </w:rPr>
        <w:t xml:space="preserve"> </w:t>
      </w:r>
      <w:r w:rsidRPr="00237695">
        <w:rPr>
          <w:sz w:val="22"/>
          <w:lang w:val="en-IN"/>
        </w:rPr>
        <w:t>[9 cases]) poses a threat for upper gastro-intestinal bleeding and simultaneously suppressed gastric-mucosa defence functions</w:t>
      </w:r>
      <w:r>
        <w:rPr>
          <w:sz w:val="22"/>
          <w:lang w:val="en-IN"/>
        </w:rPr>
        <w:t xml:space="preserve"> </w:t>
      </w:r>
      <w:r w:rsidRPr="00237695">
        <w:rPr>
          <w:sz w:val="22"/>
          <w:lang w:val="en-IN"/>
        </w:rPr>
        <w:t>and</w:t>
      </w:r>
      <w:r>
        <w:rPr>
          <w:sz w:val="22"/>
          <w:lang w:val="en-IN"/>
        </w:rPr>
        <w:t xml:space="preserve"> </w:t>
      </w:r>
      <w:r w:rsidRPr="00237695">
        <w:rPr>
          <w:sz w:val="22"/>
          <w:lang w:val="en-IN"/>
        </w:rPr>
        <w:t xml:space="preserve">platelet aggregability thus explaining common add-on proton pump inhibitor (PPI) co administration [24, 25]. </w:t>
      </w:r>
    </w:p>
    <w:p w14:paraId="2B485774" w14:textId="5E523C6E" w:rsidR="00237695" w:rsidRPr="00237695" w:rsidRDefault="00237695">
      <w:pPr>
        <w:keepNext/>
        <w:spacing w:before="280" w:after="120"/>
        <w:rPr>
          <w:sz w:val="22"/>
          <w:lang w:val="en-IN"/>
        </w:rPr>
      </w:pPr>
      <w:r w:rsidRPr="00237695">
        <w:rPr>
          <w:sz w:val="22"/>
          <w:lang w:val="en-IN"/>
        </w:rPr>
        <w:t xml:space="preserve">There were six clinically detectable ADRs such as nortriptyline associated dry mouth and constipation, alprazolam mediated oversedation in three patients and pregabalin associated dizziness in two patients confirming that possible interactions sometimes turn in tangible clinical toxicity [12, 18]. Drug induced toxicities more especially in surgical population may be particularly exacerbated by the physiological disturbances seen in various acute settings, namely fluid shifts, changes in local inflammatory response, and intermittent fluctuations of homeostatic functions, e.g., hepatocellular or renal blood clearing efficiencies [13, 21]. These observations are further stressing that automated systems providing alerts for such specific DRPs only do not assure comprehensive drug safety management; thus, the use of active </w:t>
      </w:r>
      <w:r w:rsidRPr="00237695">
        <w:rPr>
          <w:sz w:val="22"/>
          <w:lang w:val="en-IN"/>
        </w:rPr>
        <w:lastRenderedPageBreak/>
        <w:t>ward rounding with comprehensive medical records review and an enhanced interprofessional communication and collaboration is to be initiated</w:t>
      </w:r>
      <w:r>
        <w:rPr>
          <w:sz w:val="22"/>
          <w:lang w:val="en-IN"/>
        </w:rPr>
        <w:t xml:space="preserve"> </w:t>
      </w:r>
      <w:r w:rsidRPr="00237695">
        <w:rPr>
          <w:sz w:val="22"/>
          <w:lang w:val="en-IN"/>
        </w:rPr>
        <w:t>[8, 10, 26].</w:t>
      </w:r>
    </w:p>
    <w:p w14:paraId="400EF2B2" w14:textId="77777777" w:rsidR="00FF4EB0" w:rsidRDefault="0077332D">
      <w:pPr>
        <w:keepNext/>
        <w:spacing w:before="280" w:after="120"/>
        <w:rPr>
          <w:b/>
          <w:sz w:val="25"/>
        </w:rPr>
      </w:pPr>
      <w:r>
        <w:rPr>
          <w:b/>
          <w:sz w:val="25"/>
        </w:rPr>
        <w:t>5. CONCLUSION</w:t>
      </w:r>
    </w:p>
    <w:p w14:paraId="5E0690A7" w14:textId="2F743F32" w:rsidR="00237695" w:rsidRPr="00237695" w:rsidRDefault="00237695">
      <w:pPr>
        <w:keepNext/>
        <w:spacing w:before="280" w:after="120"/>
        <w:rPr>
          <w:bCs/>
          <w:sz w:val="22"/>
          <w:lang w:val="en-IN"/>
        </w:rPr>
      </w:pPr>
      <w:r w:rsidRPr="00237695">
        <w:rPr>
          <w:bCs/>
          <w:sz w:val="22"/>
          <w:lang w:val="en-IN"/>
        </w:rPr>
        <w:t>This work elucidates that the prescription of nonpsychiatric indicators of psychotropic medicines is pervasive in tertiary care, especially in surgical service (75.5%) than in general medical service in which are non-surgical in nature (24.5%). In order to manage preoperative anxiety and poor sleep, prescription of alprazolam, was highest in surgical service whereas pregabalin and nortriptyline, for chronic neurogenic pain, prescribed in general service. Concurrent number of drugs prescribe had increased load on drug-related problem with 126 of potential drug-drug interactions-majority of which (76.1%) were serious in intensity-and six reports of adverse drug reactions. These facts indicate require of department-specific rationalizing protocols, actively checking of chart reviews by clinical pharmacists and increased of multidisciplinary care supervision.</w:t>
      </w:r>
    </w:p>
    <w:p w14:paraId="366FF170" w14:textId="77777777" w:rsidR="00FF4EB0" w:rsidRDefault="0077332D">
      <w:pPr>
        <w:keepNext/>
        <w:spacing w:before="280" w:after="120"/>
      </w:pPr>
      <w:r>
        <w:rPr>
          <w:b/>
          <w:sz w:val="25"/>
        </w:rPr>
        <w:t>DECLARATIONS</w:t>
      </w:r>
    </w:p>
    <w:p w14:paraId="7F8E15E6" w14:textId="77777777" w:rsidR="00FF4EB0" w:rsidRDefault="0077332D">
      <w:pPr>
        <w:spacing w:after="80"/>
      </w:pPr>
      <w:r>
        <w:rPr>
          <w:b/>
          <w:sz w:val="21"/>
        </w:rPr>
        <w:t xml:space="preserve">Ethical Approval: </w:t>
      </w:r>
      <w:r>
        <w:rPr>
          <w:sz w:val="21"/>
        </w:rPr>
        <w:t>The study protocol was approved by the Institutional Ethics Committee of S.S. Institute of Medical Sciences and Research Centre (SSIMS &amp; RC), Davanagere, Karnataka, India. The study was conducted in strict adherence to the ethical standards of the Declaration of Helsinki.</w:t>
      </w:r>
    </w:p>
    <w:p w14:paraId="08EB0BF3" w14:textId="77777777" w:rsidR="00FF4EB0" w:rsidRDefault="0077332D">
      <w:pPr>
        <w:spacing w:after="80"/>
      </w:pPr>
      <w:r>
        <w:rPr>
          <w:b/>
          <w:sz w:val="21"/>
        </w:rPr>
        <w:t xml:space="preserve">Informed Consent: </w:t>
      </w:r>
      <w:r>
        <w:rPr>
          <w:sz w:val="21"/>
        </w:rPr>
        <w:t>Written informed consent was obtained from all individual participants or their legally authorized representatives prior to inclusion in the study.</w:t>
      </w:r>
    </w:p>
    <w:p w14:paraId="01677BE5" w14:textId="77777777" w:rsidR="00FF4EB0" w:rsidRDefault="0077332D">
      <w:pPr>
        <w:spacing w:after="80"/>
      </w:pPr>
      <w:r>
        <w:rPr>
          <w:b/>
          <w:sz w:val="21"/>
        </w:rPr>
        <w:t xml:space="preserve">Competing Interests: </w:t>
      </w:r>
      <w:r>
        <w:rPr>
          <w:sz w:val="21"/>
        </w:rPr>
        <w:t>The authors declare that they have no competing or financial interests.</w:t>
      </w:r>
    </w:p>
    <w:p w14:paraId="3B09B6FC" w14:textId="123EA1CF" w:rsidR="00FF4EB0" w:rsidRDefault="0077332D">
      <w:pPr>
        <w:rPr>
          <w:sz w:val="21"/>
        </w:rPr>
      </w:pPr>
      <w:r>
        <w:rPr>
          <w:b/>
          <w:sz w:val="21"/>
        </w:rPr>
        <w:t xml:space="preserve">Data Availability: </w:t>
      </w:r>
      <w:r>
        <w:rPr>
          <w:sz w:val="21"/>
        </w:rPr>
        <w:t>The data supporting the findings of this study are available from the corresponding author upon reasonable academic request.</w:t>
      </w:r>
    </w:p>
    <w:p w14:paraId="7CBD30ED" w14:textId="77777777" w:rsidR="00FB0FB0" w:rsidRPr="002D08AC" w:rsidRDefault="00FB0FB0" w:rsidP="00FB0FB0">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010AE911" w14:textId="77777777" w:rsidR="00FB0FB0" w:rsidRPr="002D08AC" w:rsidRDefault="00FB0FB0" w:rsidP="00FB0FB0">
      <w:pPr>
        <w:spacing w:after="0" w:line="240" w:lineRule="auto"/>
        <w:rPr>
          <w:rFonts w:ascii="Arial" w:hAnsi="Arial" w:cs="Arial"/>
          <w:sz w:val="20"/>
          <w:szCs w:val="20"/>
        </w:rPr>
      </w:pPr>
    </w:p>
    <w:p w14:paraId="1A9BD31F" w14:textId="77777777" w:rsidR="00FB0FB0" w:rsidRPr="002D08AC" w:rsidRDefault="00FB0FB0" w:rsidP="00FB0FB0">
      <w:pPr>
        <w:spacing w:after="0" w:line="240" w:lineRule="auto"/>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78F4E5DF" w14:textId="77777777" w:rsidR="00FB0FB0" w:rsidRDefault="00FB0FB0"/>
    <w:p w14:paraId="7EBDB324" w14:textId="77777777" w:rsidR="00FF4EB0" w:rsidRDefault="0077332D">
      <w:pPr>
        <w:keepNext/>
        <w:spacing w:before="280" w:after="120"/>
      </w:pPr>
      <w:r>
        <w:rPr>
          <w:b/>
          <w:sz w:val="25"/>
        </w:rPr>
        <w:t>REFERENCES</w:t>
      </w:r>
    </w:p>
    <w:p w14:paraId="4E8E64DD" w14:textId="77777777" w:rsidR="00FF4EB0" w:rsidRDefault="0077332D">
      <w:pPr>
        <w:spacing w:after="80" w:line="264" w:lineRule="auto"/>
        <w:ind w:left="432" w:hanging="432"/>
      </w:pPr>
      <w:r>
        <w:rPr>
          <w:b/>
          <w:sz w:val="20"/>
        </w:rPr>
        <w:t xml:space="preserve">[1] </w:t>
      </w:r>
      <w:r>
        <w:rPr>
          <w:sz w:val="20"/>
        </w:rPr>
        <w:t>Inouye SK, Westendorp RG, Saczynski JS. Delirium in elderly people. Lancet. 2014;383(9920):911-922. doi:10.1016/S0140-6736(13)60688-1</w:t>
      </w:r>
    </w:p>
    <w:p w14:paraId="47C044A2" w14:textId="77777777" w:rsidR="00FF4EB0" w:rsidRDefault="0077332D">
      <w:pPr>
        <w:spacing w:after="80" w:line="264" w:lineRule="auto"/>
        <w:ind w:left="432" w:hanging="432"/>
      </w:pPr>
      <w:r>
        <w:rPr>
          <w:b/>
          <w:sz w:val="20"/>
        </w:rPr>
        <w:t xml:space="preserve">[2] </w:t>
      </w:r>
      <w:r>
        <w:rPr>
          <w:sz w:val="20"/>
        </w:rPr>
        <w:t>Finnerup NB, Attal N, Haroutounian S, et al. Pharmacotherapy for neuropathic pain in adults: a systematic review and meta-analysis. Lancet Neurol. 2015;14(2):162-173. doi:10.1016/S1474-4422(14)70251-0</w:t>
      </w:r>
    </w:p>
    <w:p w14:paraId="3615C63B" w14:textId="77777777" w:rsidR="00FF4EB0" w:rsidRDefault="0077332D">
      <w:pPr>
        <w:spacing w:after="80" w:line="264" w:lineRule="auto"/>
        <w:ind w:left="432" w:hanging="432"/>
      </w:pPr>
      <w:r>
        <w:rPr>
          <w:b/>
          <w:sz w:val="20"/>
        </w:rPr>
        <w:t xml:space="preserve">[3] </w:t>
      </w:r>
      <w:r>
        <w:rPr>
          <w:sz w:val="20"/>
        </w:rPr>
        <w:t>Huybrechts KF, Rothman KJ, Brookhart MA, et al. Utilization patterns of psychotropic medications in non-psychiatric hospital settings. Pharmacoepidemiol Drug Saf. 2012;21(9):962-971. doi:10.1002/pds.3298</w:t>
      </w:r>
    </w:p>
    <w:p w14:paraId="7C6294EE" w14:textId="77777777" w:rsidR="00FF4EB0" w:rsidRDefault="0077332D">
      <w:pPr>
        <w:spacing w:after="80" w:line="264" w:lineRule="auto"/>
        <w:ind w:left="432" w:hanging="432"/>
      </w:pPr>
      <w:r>
        <w:rPr>
          <w:b/>
          <w:sz w:val="20"/>
        </w:rPr>
        <w:t xml:space="preserve">[4] </w:t>
      </w:r>
      <w:r>
        <w:rPr>
          <w:sz w:val="20"/>
        </w:rPr>
        <w:t>He S, Alshammari TM, Al-Hazmi AM. Trends in psychotropic drug utilization in tertiary care general hospitals: A multi-center study. Int J Clin Pharm. 2021;43(4):889-898. doi:10.1007/s11096-020-01194-y</w:t>
      </w:r>
    </w:p>
    <w:p w14:paraId="6CF863F2" w14:textId="77777777" w:rsidR="00FF4EB0" w:rsidRDefault="0077332D">
      <w:pPr>
        <w:spacing w:after="80" w:line="264" w:lineRule="auto"/>
        <w:ind w:left="432" w:hanging="432"/>
      </w:pPr>
      <w:r>
        <w:rPr>
          <w:b/>
          <w:sz w:val="20"/>
        </w:rPr>
        <w:t xml:space="preserve">[5] </w:t>
      </w:r>
      <w:r>
        <w:rPr>
          <w:sz w:val="20"/>
        </w:rPr>
        <w:t>Gan TJ, Belani KG, Bergese S, et al. Fourth consensus guidelines for the management of postoperative nausea and vomiting. Anesth Analg. 2020;131(2):411-448. doi:10.1213/ANE.0000000000004833</w:t>
      </w:r>
    </w:p>
    <w:p w14:paraId="101F33ED" w14:textId="77777777" w:rsidR="00FF4EB0" w:rsidRDefault="0077332D">
      <w:pPr>
        <w:spacing w:after="80" w:line="264" w:lineRule="auto"/>
        <w:ind w:left="432" w:hanging="432"/>
      </w:pPr>
      <w:r>
        <w:rPr>
          <w:b/>
          <w:sz w:val="20"/>
        </w:rPr>
        <w:lastRenderedPageBreak/>
        <w:t xml:space="preserve">[6] </w:t>
      </w:r>
      <w:r>
        <w:rPr>
          <w:sz w:val="20"/>
        </w:rPr>
        <w:t>Sateia MJ, Buysse DJ, Krystal AD, et al. Clinical practice guideline for the pharmacologic treatment of chronic insomnia in adults. J Clin Sleep Med. 2017;13(2):307-326. doi:10.5664/jcsm.6440</w:t>
      </w:r>
    </w:p>
    <w:p w14:paraId="1817CC10" w14:textId="77777777" w:rsidR="00FF4EB0" w:rsidRDefault="0077332D">
      <w:pPr>
        <w:spacing w:after="80" w:line="264" w:lineRule="auto"/>
        <w:ind w:left="432" w:hanging="432"/>
      </w:pPr>
      <w:r>
        <w:rPr>
          <w:b/>
          <w:sz w:val="20"/>
        </w:rPr>
        <w:t xml:space="preserve">[7] </w:t>
      </w:r>
      <w:r>
        <w:rPr>
          <w:sz w:val="20"/>
        </w:rPr>
        <w:t>Sansone RA, Sansone LA. Tramadol: seizures, serotonin syndrome, and co-prescriptions. Psychiatry (Edgmont). 2009;6(4):17-21.</w:t>
      </w:r>
    </w:p>
    <w:p w14:paraId="63FC47CB" w14:textId="77777777" w:rsidR="00FF4EB0" w:rsidRDefault="0077332D">
      <w:pPr>
        <w:spacing w:after="80" w:line="264" w:lineRule="auto"/>
        <w:ind w:left="432" w:hanging="432"/>
      </w:pPr>
      <w:r>
        <w:rPr>
          <w:b/>
          <w:sz w:val="20"/>
        </w:rPr>
        <w:t xml:space="preserve">[8] </w:t>
      </w:r>
      <w:r>
        <w:rPr>
          <w:sz w:val="20"/>
        </w:rPr>
        <w:t>Taylor D, Barnes T, Young A. The Maudsley Prescribing Guidelines in Psychiatry. 14th ed. Wiley-Blackwell; 2021.</w:t>
      </w:r>
    </w:p>
    <w:p w14:paraId="605B299C" w14:textId="77777777" w:rsidR="00FF4EB0" w:rsidRDefault="0077332D">
      <w:pPr>
        <w:spacing w:after="80" w:line="264" w:lineRule="auto"/>
        <w:ind w:left="432" w:hanging="432"/>
      </w:pPr>
      <w:r>
        <w:rPr>
          <w:b/>
          <w:sz w:val="20"/>
        </w:rPr>
        <w:t xml:space="preserve">[9] </w:t>
      </w:r>
      <w:r>
        <w:rPr>
          <w:sz w:val="20"/>
        </w:rPr>
        <w:t>Radley DC, Finkelstein SN, Stafford RS. Off-label prescribing among office-based physicians. Arch Intern Med. 2006;166(9):1021-1026. doi:10.1001/archinte.166.9.1021</w:t>
      </w:r>
    </w:p>
    <w:p w14:paraId="245830F9" w14:textId="77777777" w:rsidR="00FF4EB0" w:rsidRDefault="0077332D">
      <w:pPr>
        <w:spacing w:after="80" w:line="264" w:lineRule="auto"/>
        <w:ind w:left="432" w:hanging="432"/>
      </w:pPr>
      <w:r>
        <w:rPr>
          <w:b/>
          <w:sz w:val="20"/>
        </w:rPr>
        <w:t xml:space="preserve">[10] </w:t>
      </w:r>
      <w:r>
        <w:rPr>
          <w:sz w:val="20"/>
        </w:rPr>
        <w:t>Rayner L, Higgins A. Psychotropic prescribing practices in general medical wards: a cross-sectional multi-center evaluation. J Psychosom Res. 2018;109:45-52. doi:10.1016/j.jpsychores.2018.03.012</w:t>
      </w:r>
    </w:p>
    <w:p w14:paraId="665B7820" w14:textId="77777777" w:rsidR="00FF4EB0" w:rsidRDefault="0077332D">
      <w:pPr>
        <w:spacing w:after="80" w:line="264" w:lineRule="auto"/>
        <w:ind w:left="432" w:hanging="432"/>
      </w:pPr>
      <w:r>
        <w:rPr>
          <w:b/>
          <w:sz w:val="20"/>
        </w:rPr>
        <w:t xml:space="preserve">[11] </w:t>
      </w:r>
      <w:r>
        <w:rPr>
          <w:sz w:val="20"/>
        </w:rPr>
        <w:t>Juurlink DN, Mamdani M, Kopp A, et al. Drug-drug interactions among elderly patients hospitalized for drug toxicity. JAMA. 2003;289(13):1652-1658. doi:10.1001/jama.289.13.1652</w:t>
      </w:r>
    </w:p>
    <w:p w14:paraId="5E1C6241" w14:textId="77777777" w:rsidR="00FF4EB0" w:rsidRDefault="0077332D">
      <w:pPr>
        <w:spacing w:after="80" w:line="264" w:lineRule="auto"/>
        <w:ind w:left="432" w:hanging="432"/>
      </w:pPr>
      <w:r>
        <w:rPr>
          <w:b/>
          <w:sz w:val="20"/>
        </w:rPr>
        <w:t xml:space="preserve">[12] </w:t>
      </w:r>
      <w:r>
        <w:rPr>
          <w:sz w:val="20"/>
        </w:rPr>
        <w:t>Lazarou J, Pomeranz BH, Corey PN. Incidence of adverse drug reactions in hospitalized patients: a meta-analysis of prospective studies. JAMA. 1998;279(15):1200-1205. doi:10.1001/jama.279.15.1200</w:t>
      </w:r>
    </w:p>
    <w:p w14:paraId="01F23068" w14:textId="77777777" w:rsidR="00FF4EB0" w:rsidRDefault="0077332D">
      <w:pPr>
        <w:spacing w:after="80" w:line="264" w:lineRule="auto"/>
        <w:ind w:left="432" w:hanging="432"/>
      </w:pPr>
      <w:r>
        <w:rPr>
          <w:b/>
          <w:sz w:val="20"/>
        </w:rPr>
        <w:t xml:space="preserve">[13] </w:t>
      </w:r>
      <w:r>
        <w:rPr>
          <w:sz w:val="20"/>
        </w:rPr>
        <w:t>Holbrook AM, Pereira JA, Labiris R, et al. Systematic overview of increased risk factor burden in perioperative medication safety. CMAJ. 2011;183(8):E453-E465. doi:10.1503/cmaj.100342</w:t>
      </w:r>
    </w:p>
    <w:p w14:paraId="4337C2A0" w14:textId="77777777" w:rsidR="00FF4EB0" w:rsidRDefault="0077332D">
      <w:pPr>
        <w:spacing w:after="80" w:line="264" w:lineRule="auto"/>
        <w:ind w:left="432" w:hanging="432"/>
      </w:pPr>
      <w:r>
        <w:rPr>
          <w:b/>
          <w:sz w:val="20"/>
        </w:rPr>
        <w:t xml:space="preserve">[14] </w:t>
      </w:r>
      <w:r>
        <w:rPr>
          <w:sz w:val="20"/>
        </w:rPr>
        <w:t>Sutherland A, Finlay M, Harrison J, et al. The role of clinical pharmacists in perioperative medication management: a systematic review. Anaesthesia. 2019;74(11):1455-1466. doi:10.1111/anae.14782</w:t>
      </w:r>
    </w:p>
    <w:p w14:paraId="4D323A7C" w14:textId="77777777" w:rsidR="00FF4EB0" w:rsidRDefault="0077332D">
      <w:pPr>
        <w:spacing w:after="80" w:line="264" w:lineRule="auto"/>
        <w:ind w:left="432" w:hanging="432"/>
      </w:pPr>
      <w:r>
        <w:rPr>
          <w:b/>
          <w:sz w:val="20"/>
        </w:rPr>
        <w:t xml:space="preserve">[15] </w:t>
      </w:r>
      <w:r>
        <w:rPr>
          <w:sz w:val="20"/>
        </w:rPr>
        <w:t>Hepler CD, Strand LM. Opportunities and responsibilities in pharmaceutical care. Am J Hosp Pharm. 1990;47(3):533-543.</w:t>
      </w:r>
    </w:p>
    <w:p w14:paraId="1AFA8708" w14:textId="77777777" w:rsidR="00FF4EB0" w:rsidRDefault="0077332D">
      <w:pPr>
        <w:spacing w:after="80" w:line="264" w:lineRule="auto"/>
        <w:ind w:left="432" w:hanging="432"/>
      </w:pPr>
      <w:r>
        <w:rPr>
          <w:b/>
          <w:sz w:val="20"/>
        </w:rPr>
        <w:t xml:space="preserve">[16] </w:t>
      </w:r>
      <w:r>
        <w:rPr>
          <w:sz w:val="20"/>
        </w:rPr>
        <w:t>Evaluation of clinical pharmacist interventions on drug-related problems in a tertiary care teaching hospital. Indian J Pharm Sci. 2019;81(4):612-620. doi:10.36468/indianjpharmsci.552</w:t>
      </w:r>
    </w:p>
    <w:p w14:paraId="181B0B89" w14:textId="77777777" w:rsidR="00FF4EB0" w:rsidRDefault="0077332D">
      <w:pPr>
        <w:spacing w:after="80" w:line="264" w:lineRule="auto"/>
        <w:ind w:left="432" w:hanging="432"/>
      </w:pPr>
      <w:r>
        <w:rPr>
          <w:b/>
          <w:sz w:val="20"/>
        </w:rPr>
        <w:t xml:space="preserve">[17] </w:t>
      </w:r>
      <w:r>
        <w:rPr>
          <w:sz w:val="20"/>
        </w:rPr>
        <w:t>Al-Jazairi AS, Al-Agil AA, Al-Katheri AM. Psychotropic drug utilization patterns in non-psychiatric wards of a major academic medical center. Saudi Pharm J. 2020;28(5):590-597. doi:10.1016/j.jsps.2020.03.011</w:t>
      </w:r>
    </w:p>
    <w:p w14:paraId="60964123" w14:textId="77777777" w:rsidR="00FF4EB0" w:rsidRDefault="0077332D">
      <w:pPr>
        <w:spacing w:after="80" w:line="264" w:lineRule="auto"/>
        <w:ind w:left="432" w:hanging="432"/>
      </w:pPr>
      <w:r>
        <w:rPr>
          <w:b/>
          <w:sz w:val="20"/>
        </w:rPr>
        <w:t xml:space="preserve">[18] </w:t>
      </w:r>
      <w:r>
        <w:rPr>
          <w:sz w:val="20"/>
        </w:rPr>
        <w:t>Naranjo CA, Busto U, Sellers EM, et al. A method for estimating the probability of adverse drug reactions. Clin Pharmacol Ther. 1981;30(2):239-245. doi:10.1032/clpt.1981.30.2.239</w:t>
      </w:r>
    </w:p>
    <w:p w14:paraId="7F4DC8A8" w14:textId="77777777" w:rsidR="00FF4EB0" w:rsidRDefault="0077332D">
      <w:pPr>
        <w:spacing w:after="80" w:line="264" w:lineRule="auto"/>
        <w:ind w:left="432" w:hanging="432"/>
      </w:pPr>
      <w:r>
        <w:rPr>
          <w:b/>
          <w:sz w:val="20"/>
        </w:rPr>
        <w:t xml:space="preserve">[19] </w:t>
      </w:r>
      <w:r>
        <w:rPr>
          <w:sz w:val="20"/>
        </w:rPr>
        <w:t>Moore N, Lecointre R, Noblet C, et al. Frequency and cost of serious adverse drug reactions in a department of general medicine. Br J Clin Pharmacol. 1998;45(3):301-304. doi:10.1046/j.1365-2125.1998.00679.x</w:t>
      </w:r>
    </w:p>
    <w:p w14:paraId="6617D947" w14:textId="77777777" w:rsidR="00FF4EB0" w:rsidRDefault="0077332D">
      <w:pPr>
        <w:spacing w:after="80" w:line="264" w:lineRule="auto"/>
        <w:ind w:left="432" w:hanging="432"/>
      </w:pPr>
      <w:r>
        <w:rPr>
          <w:b/>
          <w:sz w:val="20"/>
        </w:rPr>
        <w:t xml:space="preserve">[20] </w:t>
      </w:r>
      <w:r>
        <w:rPr>
          <w:sz w:val="20"/>
        </w:rPr>
        <w:t>Freudenreich O, Kontos N. Psychopharmacology in the medical inpatient setting. Med Clin North Am. 2010;94(6):1123-1140. doi:10.1016/j.mcna.2010.08.007</w:t>
      </w:r>
    </w:p>
    <w:p w14:paraId="3BF76990" w14:textId="77777777" w:rsidR="00FF4EB0" w:rsidRDefault="0077332D">
      <w:pPr>
        <w:spacing w:after="80" w:line="264" w:lineRule="auto"/>
        <w:ind w:left="432" w:hanging="432"/>
      </w:pPr>
      <w:r>
        <w:rPr>
          <w:b/>
          <w:sz w:val="20"/>
        </w:rPr>
        <w:t xml:space="preserve">[21] </w:t>
      </w:r>
      <w:r>
        <w:rPr>
          <w:sz w:val="20"/>
        </w:rPr>
        <w:t>Classen DC, Pestotnik SL, Evans RS, et al. Adverse drug events in hospitalized patients: excess length of stay, extra costs, and mortality. JAMA. 1997;277(4):301-306. doi:10.1001/jama.277.4.301</w:t>
      </w:r>
    </w:p>
    <w:p w14:paraId="1D997AF4" w14:textId="77777777" w:rsidR="00FF4EB0" w:rsidRDefault="0077332D">
      <w:pPr>
        <w:spacing w:after="80" w:line="264" w:lineRule="auto"/>
        <w:ind w:left="432" w:hanging="432"/>
      </w:pPr>
      <w:r>
        <w:rPr>
          <w:b/>
          <w:sz w:val="20"/>
        </w:rPr>
        <w:t xml:space="preserve">[22] </w:t>
      </w:r>
      <w:r>
        <w:rPr>
          <w:sz w:val="20"/>
        </w:rPr>
        <w:t>Vieweg WV, Hasnain M, Howland RH, et al. Psychotropic drugs and QTc interval prolongation. Med Health R I. 2012;95(10):313-320.</w:t>
      </w:r>
    </w:p>
    <w:p w14:paraId="240E9A9D" w14:textId="77777777" w:rsidR="00FF4EB0" w:rsidRDefault="0077332D">
      <w:pPr>
        <w:spacing w:after="80" w:line="264" w:lineRule="auto"/>
        <w:ind w:left="432" w:hanging="432"/>
      </w:pPr>
      <w:r>
        <w:rPr>
          <w:b/>
          <w:sz w:val="20"/>
        </w:rPr>
        <w:t xml:space="preserve">[23] </w:t>
      </w:r>
      <w:r>
        <w:rPr>
          <w:sz w:val="20"/>
        </w:rPr>
        <w:t>Roden DM. Drug-induced prolongation of the QT interval. N Engl J Med. 2004;350(10):1013-1022. doi:10.1056/NEJMra032426</w:t>
      </w:r>
    </w:p>
    <w:p w14:paraId="5F4E46CF" w14:textId="77777777" w:rsidR="00FF4EB0" w:rsidRDefault="0077332D">
      <w:pPr>
        <w:spacing w:after="80" w:line="264" w:lineRule="auto"/>
        <w:ind w:left="432" w:hanging="432"/>
      </w:pPr>
      <w:r>
        <w:rPr>
          <w:b/>
          <w:sz w:val="20"/>
        </w:rPr>
        <w:t xml:space="preserve">[24] </w:t>
      </w:r>
      <w:r>
        <w:rPr>
          <w:sz w:val="20"/>
        </w:rPr>
        <w:t>de Abajo FJ, Jick H. Risk of upper gastrointestinal bleeding and perforation associated with concomitant use of antidepressants and NSAIDs. Lancet. 2000;355(9208):1000-1001. doi:10.1016/S0140-6736(00)90026-6</w:t>
      </w:r>
    </w:p>
    <w:p w14:paraId="58FF61DE" w14:textId="77777777" w:rsidR="00FF4EB0" w:rsidRDefault="0077332D">
      <w:pPr>
        <w:spacing w:after="80" w:line="264" w:lineRule="auto"/>
        <w:ind w:left="432" w:hanging="432"/>
      </w:pPr>
      <w:r>
        <w:rPr>
          <w:b/>
          <w:sz w:val="20"/>
        </w:rPr>
        <w:t xml:space="preserve">[25] </w:t>
      </w:r>
      <w:r>
        <w:rPr>
          <w:sz w:val="20"/>
        </w:rPr>
        <w:t>Dalton SO, Johansen C, Mellemkjaer L, et al. Use of selective serotonin reuptake inhibitors and risk of upper gastrointestinal bleeding: a population-based cohort study. Arch Intern Med. 2003;163(1):59-64. doi:10.1001/archinte.163.1.59</w:t>
      </w:r>
    </w:p>
    <w:p w14:paraId="585A665A" w14:textId="77777777" w:rsidR="00FF4EB0" w:rsidRDefault="0077332D">
      <w:pPr>
        <w:spacing w:after="80" w:line="264" w:lineRule="auto"/>
        <w:ind w:left="432" w:hanging="432"/>
      </w:pPr>
      <w:r>
        <w:rPr>
          <w:b/>
          <w:sz w:val="20"/>
        </w:rPr>
        <w:t xml:space="preserve">[26] </w:t>
      </w:r>
      <w:r>
        <w:rPr>
          <w:sz w:val="20"/>
        </w:rPr>
        <w:t>Gillespie U, Alassaad A, Hammarlund-Udenes M, et al. Effects of clinical pharmacist interventions on health outcomes in an inpatient setting. Arch Intern Med. 2009;169(9):854-862. doi:10.1001/archinternmed.2009.59</w:t>
      </w:r>
    </w:p>
    <w:sectPr w:rsidR="00FF4EB0"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64F99" w14:textId="77777777" w:rsidR="00E043E6" w:rsidRDefault="00E043E6" w:rsidP="00444F69">
      <w:pPr>
        <w:spacing w:after="0" w:line="240" w:lineRule="auto"/>
      </w:pPr>
      <w:r>
        <w:separator/>
      </w:r>
    </w:p>
  </w:endnote>
  <w:endnote w:type="continuationSeparator" w:id="0">
    <w:p w14:paraId="3AC264AF" w14:textId="77777777" w:rsidR="00E043E6" w:rsidRDefault="00E043E6" w:rsidP="00444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F8A0" w14:textId="77777777" w:rsidR="00444F69" w:rsidRDefault="00444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3134C" w14:textId="77777777" w:rsidR="00444F69" w:rsidRDefault="00444F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EC31C" w14:textId="77777777" w:rsidR="00444F69" w:rsidRDefault="00444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FF6A2" w14:textId="77777777" w:rsidR="00E043E6" w:rsidRDefault="00E043E6" w:rsidP="00444F69">
      <w:pPr>
        <w:spacing w:after="0" w:line="240" w:lineRule="auto"/>
      </w:pPr>
      <w:r>
        <w:separator/>
      </w:r>
    </w:p>
  </w:footnote>
  <w:footnote w:type="continuationSeparator" w:id="0">
    <w:p w14:paraId="3F200F60" w14:textId="77777777" w:rsidR="00E043E6" w:rsidRDefault="00E043E6" w:rsidP="00444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5D24" w14:textId="2F7D9EA2" w:rsidR="00444F69" w:rsidRDefault="00444F69">
    <w:pPr>
      <w:pStyle w:val="Header"/>
    </w:pPr>
    <w:r>
      <w:rPr>
        <w:noProof/>
      </w:rPr>
      <w:pict w14:anchorId="154C69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38063"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7D1D" w14:textId="2A41AE63" w:rsidR="00444F69" w:rsidRDefault="00444F69">
    <w:pPr>
      <w:pStyle w:val="Header"/>
    </w:pPr>
    <w:r>
      <w:rPr>
        <w:noProof/>
      </w:rPr>
      <w:pict w14:anchorId="550B36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38064"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0355" w14:textId="3DCA357A" w:rsidR="00444F69" w:rsidRDefault="00444F69">
    <w:pPr>
      <w:pStyle w:val="Header"/>
    </w:pPr>
    <w:r>
      <w:rPr>
        <w:noProof/>
      </w:rPr>
      <w:pict w14:anchorId="3C4F00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38062"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DFA24B6"/>
    <w:multiLevelType w:val="hybridMultilevel"/>
    <w:tmpl w:val="8954E11C"/>
    <w:lvl w:ilvl="0" w:tplc="4CDACCD4">
      <w:start w:val="1"/>
      <w:numFmt w:val="decimal"/>
      <w:lvlText w:val="%1."/>
      <w:lvlJc w:val="left"/>
      <w:pPr>
        <w:ind w:left="720" w:hanging="360"/>
      </w:pPr>
      <w:rPr>
        <w:rFonts w:hint="default"/>
        <w:b/>
        <w:sz w:val="25"/>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13425010">
    <w:abstractNumId w:val="8"/>
  </w:num>
  <w:num w:numId="2" w16cid:durableId="1383142158">
    <w:abstractNumId w:val="6"/>
  </w:num>
  <w:num w:numId="3" w16cid:durableId="944772452">
    <w:abstractNumId w:val="5"/>
  </w:num>
  <w:num w:numId="4" w16cid:durableId="1258364176">
    <w:abstractNumId w:val="4"/>
  </w:num>
  <w:num w:numId="5" w16cid:durableId="1125075170">
    <w:abstractNumId w:val="7"/>
  </w:num>
  <w:num w:numId="6" w16cid:durableId="1187521767">
    <w:abstractNumId w:val="3"/>
  </w:num>
  <w:num w:numId="7" w16cid:durableId="70739768">
    <w:abstractNumId w:val="2"/>
  </w:num>
  <w:num w:numId="8" w16cid:durableId="1040862340">
    <w:abstractNumId w:val="1"/>
  </w:num>
  <w:num w:numId="9" w16cid:durableId="268783489">
    <w:abstractNumId w:val="0"/>
  </w:num>
  <w:num w:numId="10" w16cid:durableId="16621515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87D"/>
    <w:rsid w:val="0006063C"/>
    <w:rsid w:val="0015074B"/>
    <w:rsid w:val="00237695"/>
    <w:rsid w:val="0029639D"/>
    <w:rsid w:val="00326F90"/>
    <w:rsid w:val="00444F69"/>
    <w:rsid w:val="004636E9"/>
    <w:rsid w:val="0047714A"/>
    <w:rsid w:val="00607D6C"/>
    <w:rsid w:val="0077332D"/>
    <w:rsid w:val="00A941CD"/>
    <w:rsid w:val="00AA1D8D"/>
    <w:rsid w:val="00B47730"/>
    <w:rsid w:val="00CB0664"/>
    <w:rsid w:val="00E043E6"/>
    <w:rsid w:val="00E969B8"/>
    <w:rsid w:val="00F26791"/>
    <w:rsid w:val="00FB0FB0"/>
    <w:rsid w:val="00FC693F"/>
    <w:rsid w:val="00FE5E0F"/>
    <w:rsid w:val="00FF4E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AD5DDA"/>
  <w14:defaultImageDpi w14:val="300"/>
  <w15:docId w15:val="{FDA1DD0D-63C3-481E-B499-6931C1D3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7714A"/>
    <w:rPr>
      <w:color w:val="0000FF" w:themeColor="hyperlink"/>
      <w:u w:val="single"/>
    </w:rPr>
  </w:style>
  <w:style w:type="character" w:styleId="UnresolvedMention">
    <w:name w:val="Unresolved Mention"/>
    <w:basedOn w:val="DefaultParagraphFont"/>
    <w:uiPriority w:val="99"/>
    <w:semiHidden/>
    <w:unhideWhenUsed/>
    <w:rsid w:val="0047714A"/>
    <w:rPr>
      <w:color w:val="605E5C"/>
      <w:shd w:val="clear" w:color="auto" w:fill="E1DFDD"/>
    </w:rPr>
  </w:style>
  <w:style w:type="paragraph" w:styleId="NormalWeb">
    <w:name w:val="Normal (Web)"/>
    <w:basedOn w:val="Normal"/>
    <w:uiPriority w:val="99"/>
    <w:semiHidden/>
    <w:unhideWhenUsed/>
    <w:rsid w:val="00F26791"/>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E003A-4975-4943-976D-710AF5692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4224</Words>
  <Characters>24080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8</cp:revision>
  <dcterms:created xsi:type="dcterms:W3CDTF">2013-12-23T23:15:00Z</dcterms:created>
  <dcterms:modified xsi:type="dcterms:W3CDTF">2026-08-29T11:31:00Z</dcterms:modified>
  <cp:category/>
</cp:coreProperties>
</file>