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16A25" w14:textId="688AB585" w:rsidR="00E0682E" w:rsidRDefault="00225CEE">
      <w:pPr>
        <w:spacing w:after="240" w:line="300" w:lineRule="auto"/>
        <w:jc w:val="center"/>
      </w:pPr>
      <w:r>
        <w:rPr>
          <w:b/>
          <w:bCs/>
          <w:color w:val="000000"/>
          <w:sz w:val="30"/>
          <w:szCs w:val="30"/>
        </w:rPr>
        <w:t>Non-Governmental Organi</w:t>
      </w:r>
      <w:r w:rsidR="00D14F2C">
        <w:rPr>
          <w:b/>
          <w:bCs/>
          <w:color w:val="000000"/>
          <w:sz w:val="30"/>
          <w:szCs w:val="30"/>
        </w:rPr>
        <w:t>z</w:t>
      </w:r>
      <w:r>
        <w:rPr>
          <w:b/>
          <w:bCs/>
          <w:color w:val="000000"/>
          <w:sz w:val="30"/>
          <w:szCs w:val="30"/>
        </w:rPr>
        <w:t>ation Led Sustainable Funding Programs and the Financial Growth of Small Businesses in Kisumu County, Kenya</w:t>
      </w:r>
    </w:p>
    <w:p w14:paraId="51BBE934" w14:textId="77777777" w:rsidR="00A80A19" w:rsidRDefault="00A80A19">
      <w:pPr>
        <w:spacing w:after="240"/>
        <w:jc w:val="center"/>
      </w:pPr>
    </w:p>
    <w:p w14:paraId="38BE592E" w14:textId="77777777" w:rsidR="00BA559D" w:rsidRDefault="00BA559D">
      <w:pPr>
        <w:spacing w:after="240"/>
        <w:jc w:val="center"/>
      </w:pPr>
    </w:p>
    <w:p w14:paraId="637D67DC" w14:textId="77777777" w:rsidR="00E0682E" w:rsidRDefault="00225CEE">
      <w:pPr>
        <w:spacing w:after="120"/>
        <w:jc w:val="center"/>
      </w:pPr>
      <w:r>
        <w:rPr>
          <w:b/>
          <w:bCs/>
          <w:color w:val="000000"/>
          <w:sz w:val="26"/>
          <w:szCs w:val="26"/>
        </w:rPr>
        <w:t>ABSTRACT</w:t>
      </w:r>
    </w:p>
    <w:p w14:paraId="3D857F96" w14:textId="77777777" w:rsidR="00E86B36" w:rsidRDefault="00E86B36" w:rsidP="00234777">
      <w:pPr>
        <w:pStyle w:val="isselectedend"/>
        <w:spacing w:before="0" w:beforeAutospacing="0"/>
      </w:pPr>
      <w:r>
        <w:rPr>
          <w:rStyle w:val="Strong"/>
        </w:rPr>
        <w:t>Aim:</w:t>
      </w:r>
      <w:r>
        <w:t xml:space="preserve"> To examine the effect of NGO-led sustainable funding programs on the financial growth of small businesses in Kisumu County, Kenya, focusing on savings programs, revolving loan funds, grant programs, and financial literacy training.</w:t>
      </w:r>
    </w:p>
    <w:p w14:paraId="457C75D5" w14:textId="77777777" w:rsidR="00E86B36" w:rsidRDefault="00E86B36" w:rsidP="00234777">
      <w:pPr>
        <w:pStyle w:val="isselectedend"/>
        <w:spacing w:before="0" w:beforeAutospacing="0"/>
      </w:pPr>
      <w:r>
        <w:rPr>
          <w:rStyle w:val="Strong"/>
        </w:rPr>
        <w:t>Study Design:</w:t>
      </w:r>
      <w:r>
        <w:t xml:space="preserve"> Correlational research design.</w:t>
      </w:r>
    </w:p>
    <w:p w14:paraId="72A9848F" w14:textId="397B90B8" w:rsidR="00E86B36" w:rsidRDefault="00E86B36" w:rsidP="00234777">
      <w:pPr>
        <w:pStyle w:val="isselectedend"/>
        <w:spacing w:before="0" w:beforeAutospacing="0"/>
      </w:pPr>
      <w:r>
        <w:rPr>
          <w:rStyle w:val="Strong"/>
        </w:rPr>
        <w:t>Place and Duration of Study:</w:t>
      </w:r>
      <w:r>
        <w:t xml:space="preserve"> </w:t>
      </w:r>
      <w:r w:rsidR="0073206D" w:rsidRPr="0073206D">
        <w:t>Kisumu County, Kenya. Primary data were collected in 2025</w:t>
      </w:r>
      <w:r>
        <w:t>.</w:t>
      </w:r>
    </w:p>
    <w:p w14:paraId="5C92B9CC" w14:textId="2D62BBBF" w:rsidR="00E86B36" w:rsidRDefault="00E86B36" w:rsidP="00234777">
      <w:pPr>
        <w:pStyle w:val="isselectedend"/>
        <w:spacing w:before="0" w:beforeAutospacing="0"/>
      </w:pPr>
      <w:r>
        <w:rPr>
          <w:rStyle w:val="Strong"/>
        </w:rPr>
        <w:t>Methodology:</w:t>
      </w:r>
      <w:r>
        <w:t xml:space="preserve"> The study targeted 2,500 registered small businesses supported through NGO partnerships. Using Yamane's formula, a sample of 96 owner-managers was selected through stratified random sampling across the manufacturing, trade, services and agriculture sectors. Structured questionnaires yielded 83 valid responses, representing an 86% response rate. Data were analyzed using descriptive and inferential statistics, including means, standard deviations, Pearson correlation, and multiple linear regression following diagnostic tests.</w:t>
      </w:r>
    </w:p>
    <w:p w14:paraId="03EEB435" w14:textId="77777777" w:rsidR="00E86B36" w:rsidRDefault="00E86B36" w:rsidP="00234777">
      <w:pPr>
        <w:pStyle w:val="isselectedend"/>
        <w:spacing w:before="0" w:beforeAutospacing="0"/>
      </w:pPr>
      <w:r>
        <w:rPr>
          <w:rStyle w:val="Strong"/>
        </w:rPr>
        <w:t>Results:</w:t>
      </w:r>
      <w:r>
        <w:t xml:space="preserve"> The four funding programs jointly explained 76.0% of the variation in the financial growth of small businesses (R² = 0.760, F(4,78) = 61.885, </w:t>
      </w:r>
      <w:r>
        <w:rPr>
          <w:rStyle w:val="Emphasis"/>
        </w:rPr>
        <w:t>p</w:t>
      </w:r>
      <w:r>
        <w:t xml:space="preserve"> &lt; .001). Grant programs had a positive and statistically significant effect on financial growth (β = 0.482, </w:t>
      </w:r>
      <w:r>
        <w:rPr>
          <w:rStyle w:val="Emphasis"/>
        </w:rPr>
        <w:t>p</w:t>
      </w:r>
      <w:r>
        <w:t xml:space="preserve"> &lt; .001), as did financial literacy training (β = 0.435, </w:t>
      </w:r>
      <w:r>
        <w:rPr>
          <w:rStyle w:val="Emphasis"/>
        </w:rPr>
        <w:t>p</w:t>
      </w:r>
      <w:r>
        <w:t xml:space="preserve"> &lt; .001). Savings programs had a positive but statistically insignificant effect on financial growth (β = 0.085, </w:t>
      </w:r>
      <w:r>
        <w:rPr>
          <w:rStyle w:val="Emphasis"/>
        </w:rPr>
        <w:t>p</w:t>
      </w:r>
      <w:r>
        <w:t xml:space="preserve"> = .149), while revolving loan funds had a negative and statistically insignificant effect on financial growth (β = −0.091, </w:t>
      </w:r>
      <w:r>
        <w:rPr>
          <w:rStyle w:val="Emphasis"/>
        </w:rPr>
        <w:t>p</w:t>
      </w:r>
      <w:r>
        <w:t xml:space="preserve"> = .109).</w:t>
      </w:r>
    </w:p>
    <w:p w14:paraId="6706CF49" w14:textId="6390C2E2" w:rsidR="00BB318A" w:rsidRPr="00BB318A" w:rsidRDefault="00E86B36" w:rsidP="00234777">
      <w:pPr>
        <w:pStyle w:val="NormalWeb"/>
        <w:spacing w:before="0" w:beforeAutospacing="0"/>
      </w:pPr>
      <w:r>
        <w:rPr>
          <w:rStyle w:val="Strong"/>
        </w:rPr>
        <w:t>Conclusion:</w:t>
      </w:r>
      <w:r>
        <w:t xml:space="preserve"> Grant programs and financial literacy training were the strongest significant predictors of the financial growth of small businesses in Kisumu County. In contrast, savings programs and revolving loan funds did not have statistically significant effects on financial growth. NGOs and policymakers should strengthen grant support and continuous financial literacy training while reviewing the design, accessibility, processing, and repayment conditions of savings and revolving loan programs to better align them with the financing needs and cash-flow patterns of small businesses</w:t>
      </w:r>
      <w:r w:rsidR="00BB318A" w:rsidRPr="00BB318A">
        <w:t>.</w:t>
      </w:r>
    </w:p>
    <w:p w14:paraId="0B4B07B4" w14:textId="77777777" w:rsidR="00BB318A" w:rsidRPr="007F357D" w:rsidRDefault="00BB318A" w:rsidP="00234777"/>
    <w:p w14:paraId="49F30B6E" w14:textId="4002E7E1" w:rsidR="00E0682E" w:rsidRDefault="00225CEE" w:rsidP="00234777">
      <w:pPr>
        <w:spacing w:after="100"/>
        <w:jc w:val="both"/>
      </w:pPr>
      <w:r>
        <w:rPr>
          <w:b/>
          <w:bCs/>
          <w:color w:val="000000"/>
          <w:sz w:val="24"/>
          <w:szCs w:val="24"/>
        </w:rPr>
        <w:t xml:space="preserve">Keywords: </w:t>
      </w:r>
      <w:r w:rsidR="00BB318A" w:rsidRPr="00BB318A">
        <w:rPr>
          <w:color w:val="000000"/>
          <w:sz w:val="24"/>
          <w:szCs w:val="24"/>
        </w:rPr>
        <w:t>Sustainable funding, non-governmental organizations, grant programs, financial literacy training, revolving loan funds, small businesses, financial growth, Kenya</w:t>
      </w:r>
      <w:r>
        <w:rPr>
          <w:color w:val="000000"/>
          <w:sz w:val="24"/>
          <w:szCs w:val="24"/>
        </w:rPr>
        <w:t>.</w:t>
      </w:r>
    </w:p>
    <w:p w14:paraId="0C0A504F" w14:textId="5262D142" w:rsidR="00E0682E" w:rsidRPr="00BB318A" w:rsidRDefault="00225CEE" w:rsidP="00234777">
      <w:pPr>
        <w:spacing w:after="200"/>
        <w:jc w:val="both"/>
        <w:rPr>
          <w:color w:val="000000"/>
          <w:sz w:val="24"/>
          <w:szCs w:val="24"/>
        </w:rPr>
      </w:pPr>
      <w:r>
        <w:rPr>
          <w:b/>
          <w:bCs/>
          <w:color w:val="000000"/>
          <w:sz w:val="24"/>
          <w:szCs w:val="24"/>
        </w:rPr>
        <w:t xml:space="preserve">Abbreviations: </w:t>
      </w:r>
      <w:r w:rsidR="00BB318A" w:rsidRPr="00BB318A">
        <w:rPr>
          <w:b/>
          <w:bCs/>
          <w:color w:val="000000"/>
          <w:sz w:val="24"/>
          <w:szCs w:val="24"/>
        </w:rPr>
        <w:t>NGO:</w:t>
      </w:r>
      <w:r w:rsidR="00BB318A" w:rsidRPr="00BB318A">
        <w:rPr>
          <w:color w:val="000000"/>
          <w:sz w:val="24"/>
          <w:szCs w:val="24"/>
        </w:rPr>
        <w:t xml:space="preserve"> Non-Governmental Organization</w:t>
      </w:r>
      <w:r w:rsidR="00BB318A">
        <w:rPr>
          <w:color w:val="000000"/>
          <w:sz w:val="24"/>
          <w:szCs w:val="24"/>
        </w:rPr>
        <w:t xml:space="preserve">, </w:t>
      </w:r>
      <w:r w:rsidR="00BB318A" w:rsidRPr="00BB318A">
        <w:rPr>
          <w:b/>
          <w:bCs/>
          <w:color w:val="000000"/>
          <w:sz w:val="24"/>
          <w:szCs w:val="24"/>
        </w:rPr>
        <w:t>NACOSTI:</w:t>
      </w:r>
      <w:r w:rsidR="00BB318A" w:rsidRPr="00BB318A">
        <w:rPr>
          <w:color w:val="000000"/>
          <w:sz w:val="24"/>
          <w:szCs w:val="24"/>
        </w:rPr>
        <w:t xml:space="preserve"> National Commission for Science, Technology and Innovation</w:t>
      </w:r>
      <w:r>
        <w:rPr>
          <w:color w:val="000000"/>
          <w:sz w:val="24"/>
          <w:szCs w:val="24"/>
        </w:rPr>
        <w:t>.</w:t>
      </w:r>
    </w:p>
    <w:p w14:paraId="02B795E8" w14:textId="77777777" w:rsidR="00E0682E" w:rsidRDefault="00225CEE">
      <w:pPr>
        <w:spacing w:before="240" w:after="120"/>
      </w:pPr>
      <w:r>
        <w:rPr>
          <w:b/>
          <w:bCs/>
          <w:color w:val="000000"/>
          <w:sz w:val="26"/>
          <w:szCs w:val="26"/>
        </w:rPr>
        <w:t>1. INTRODUCTION</w:t>
      </w:r>
    </w:p>
    <w:p w14:paraId="57FEA964" w14:textId="42A31500" w:rsidR="00E0682E" w:rsidRDefault="00225CEE">
      <w:pPr>
        <w:spacing w:after="120"/>
        <w:jc w:val="both"/>
      </w:pPr>
      <w:r>
        <w:rPr>
          <w:color w:val="000000"/>
          <w:sz w:val="24"/>
          <w:szCs w:val="24"/>
        </w:rPr>
        <w:lastRenderedPageBreak/>
        <w:t>Financial growth in a small enterprise is the measurable improvement in its financial capacity and resources over time, reflected in indicators such as revenue growth, profitability, cash flow and capital accumulation (Yashari et al., 2022). Access to finance is central to that improvement, yet in many developing economies small firms remain locked out of formal credit because they cannot meet the collateral demands or repayment conditions set by commercial lenders (Bushe, 2019). The funding gap this creates has drawn non-governmental organi</w:t>
      </w:r>
      <w:r w:rsidR="00D14F2C">
        <w:rPr>
          <w:color w:val="000000"/>
          <w:sz w:val="24"/>
          <w:szCs w:val="24"/>
        </w:rPr>
        <w:t>z</w:t>
      </w:r>
      <w:r>
        <w:rPr>
          <w:color w:val="000000"/>
          <w:sz w:val="24"/>
          <w:szCs w:val="24"/>
        </w:rPr>
        <w:t>ations (NGOs) into small enterprise finance, where they offer alternative, sustainability oriented instruments such as savings schemes, revolving loan funds, grants and financial literacy training (Asad et al., 2019; Woldehanna et al., 2018).</w:t>
      </w:r>
    </w:p>
    <w:p w14:paraId="5FB53F70" w14:textId="4B5BA4DA" w:rsidR="00E0682E" w:rsidRDefault="00E86B36">
      <w:pPr>
        <w:spacing w:after="120"/>
        <w:jc w:val="both"/>
      </w:pPr>
      <w:r w:rsidRPr="00E86B36">
        <w:rPr>
          <w:color w:val="000000"/>
          <w:sz w:val="24"/>
          <w:szCs w:val="24"/>
        </w:rPr>
        <w:t>The economic stakes are considerable because MSMEs play a critical role in employment creation, income generation and economic development, yet their ability to sustain and expand operations is often constrained by limited access to appropriate and affordable financing. Micro, small and medium enterprises (MSMEs) contribute 61% of gross domestic product in Indonesia and employ 97% of its workforce, yet about two thirds of them operate informally with limited access to capital (International Monetary Fund [IMF], 2024). In South Africa, small firms depend heavily on alternative funding mechanisms and still record failure rates of about 70% within the first five to seven years (Bushe, 2019). Kenya shows a similar pattern. The sector accounted for 62.8% of new employment created in 2019 (Kenya National Bureau of Statistics [KNBS], 2020), yet three in five businesses collapse within their first three years of operation (Government of Kenya [GoK], 2020), and formal credit remains out of reach for many small firms (Central Bank of Kenya, 2023). Business failure on this scale costs jobs, drains liquidity from local economies and slows economic growth</w:t>
      </w:r>
      <w:r w:rsidR="00225CEE">
        <w:rPr>
          <w:color w:val="000000"/>
          <w:sz w:val="24"/>
          <w:szCs w:val="24"/>
        </w:rPr>
        <w:t>.</w:t>
      </w:r>
    </w:p>
    <w:p w14:paraId="6ECB39BB" w14:textId="77777777" w:rsidR="0073206D" w:rsidRPr="0073206D" w:rsidRDefault="0073206D" w:rsidP="0073206D">
      <w:pPr>
        <w:spacing w:after="120"/>
        <w:jc w:val="both"/>
        <w:rPr>
          <w:color w:val="000000"/>
          <w:sz w:val="24"/>
          <w:szCs w:val="24"/>
        </w:rPr>
      </w:pPr>
      <w:r w:rsidRPr="0073206D">
        <w:rPr>
          <w:color w:val="000000"/>
          <w:sz w:val="24"/>
          <w:szCs w:val="24"/>
        </w:rPr>
        <w:t>NGOs working in Kenya have responded with programs that combine finance and capacity building. The Sustainable Agriculture Community Development Program supports smallholder incomes through financial and agribusiness assistance (SACDEP, 2021), while The BOMA Project and Village Enterprise pair seed capital with mentorship and savings groups (United Nations, 2023; COSDEP, 2022). In Kisumu County, initiatives such as the Kenyan Women's Initiative for Waste Entrepreneurship and Sustainability provide women entrepreneurs with training, mentorship and linkages to funding and investors. Even so, local evidence indicates that funding shortfalls and credit access barriers continue to constrain small business growth in the county (Odhiambo &amp; Ndichu, 2025). This suggests that the availability of NGO-led funding initiatives does not necessarily translate into improved financial growth among small businesses, highlighting the need for empirical evidence on the effectiveness of specific NGO-led sustainable funding interventions.</w:t>
      </w:r>
    </w:p>
    <w:p w14:paraId="0572A0FD" w14:textId="77777777" w:rsidR="0073206D" w:rsidRPr="0073206D" w:rsidRDefault="0073206D" w:rsidP="0073206D">
      <w:pPr>
        <w:spacing w:after="120"/>
        <w:jc w:val="both"/>
        <w:rPr>
          <w:color w:val="000000"/>
          <w:sz w:val="24"/>
          <w:szCs w:val="24"/>
        </w:rPr>
      </w:pPr>
      <w:r w:rsidRPr="0073206D">
        <w:rPr>
          <w:color w:val="000000"/>
          <w:sz w:val="24"/>
          <w:szCs w:val="24"/>
        </w:rPr>
        <w:t xml:space="preserve">Existing research has not adequately addressed this gap. Studies from other economies, including work on SME funding and non-performing financing in Indonesia (Yashari et al., 2022) and access to debt finance in Nigeria (Abubakar &amp; Naruddeen, 2023), reflect regulatory and market conditions that differ from Kenya's. Kenyan studies have concentrated on related issues, such as the role of microfinance institutions in Kisii Town (Osoro &amp; Muturi, 2023) and the effect of financial deepening on small enterprise growth in Nairobi County (Ochanda, 2020). However, these studies do not specifically examine NGO-led sustainable funding interventions comprising savings programs, revolving loan funds, grant programs and financial literacy training and their relationship with the financial growth of small businesses in Kisumu County. The persistence of undercapitalization and weak financial performance among small businesses in Kisumu County, despite the presence of multiple NGO programs, therefore points to an empirical gap regarding the </w:t>
      </w:r>
      <w:r w:rsidRPr="0073206D">
        <w:rPr>
          <w:color w:val="000000"/>
          <w:sz w:val="24"/>
          <w:szCs w:val="24"/>
        </w:rPr>
        <w:lastRenderedPageBreak/>
        <w:t>contribution of these specific interventions to financial growth. The present study addressed this gap using primary data collected through structured questionnaires from small business owner-managers in Kisumu County.</w:t>
      </w:r>
    </w:p>
    <w:p w14:paraId="0DD0D36F" w14:textId="2E78E3E3" w:rsidR="00E0682E" w:rsidRDefault="00225CEE">
      <w:pPr>
        <w:spacing w:after="120"/>
        <w:jc w:val="both"/>
      </w:pPr>
      <w:r>
        <w:rPr>
          <w:color w:val="000000"/>
          <w:sz w:val="24"/>
          <w:szCs w:val="24"/>
        </w:rPr>
        <w:t>.</w:t>
      </w:r>
    </w:p>
    <w:p w14:paraId="1F4C0C16" w14:textId="77777777" w:rsidR="00E0682E" w:rsidRDefault="00225CEE">
      <w:pPr>
        <w:spacing w:before="240" w:after="120"/>
      </w:pPr>
      <w:r>
        <w:rPr>
          <w:b/>
          <w:bCs/>
          <w:color w:val="000000"/>
          <w:sz w:val="26"/>
          <w:szCs w:val="26"/>
        </w:rPr>
        <w:t>2. LITERATURE REVIEW</w:t>
      </w:r>
    </w:p>
    <w:p w14:paraId="43787BC3" w14:textId="77777777" w:rsidR="00E0682E" w:rsidRDefault="00225CEE">
      <w:pPr>
        <w:spacing w:before="180" w:after="100"/>
      </w:pPr>
      <w:r>
        <w:rPr>
          <w:b/>
          <w:bCs/>
          <w:color w:val="000000"/>
          <w:sz w:val="24"/>
          <w:szCs w:val="24"/>
        </w:rPr>
        <w:t>2.1 Theoretical Review</w:t>
      </w:r>
    </w:p>
    <w:p w14:paraId="0030C488" w14:textId="77777777" w:rsidR="00E0682E" w:rsidRDefault="00225CEE">
      <w:pPr>
        <w:spacing w:after="120"/>
        <w:jc w:val="both"/>
      </w:pPr>
      <w:r>
        <w:rPr>
          <w:color w:val="000000"/>
          <w:sz w:val="24"/>
          <w:szCs w:val="24"/>
        </w:rPr>
        <w:t>Four theories anchored the study, each mapped to one of the funding mechanisms under investigation.</w:t>
      </w:r>
    </w:p>
    <w:p w14:paraId="69F03CF7" w14:textId="2D7CE832" w:rsidR="00E0682E" w:rsidRDefault="00225CEE">
      <w:pPr>
        <w:spacing w:after="120"/>
        <w:jc w:val="both"/>
      </w:pPr>
      <w:r>
        <w:rPr>
          <w:color w:val="000000"/>
          <w:sz w:val="24"/>
          <w:szCs w:val="24"/>
        </w:rPr>
        <w:t>Behavioural economics theory, associated with Kahneman and Tversky (1979), holds that psychological and social factors pull economic decisions away from the predictions of rational choice models, and that people tend to discount future benefits in favour of immediate ones. This tendency explains why business owners may underuse savings facilities even when steady accumulation would serve them well in the long run, and it directs attention to how the design of NGO savings programs, including contribution levels and withdrawal rules, shapes participation and outcomes.</w:t>
      </w:r>
    </w:p>
    <w:p w14:paraId="405FCC57" w14:textId="167B9421" w:rsidR="00E0682E" w:rsidRDefault="00425849">
      <w:pPr>
        <w:spacing w:after="120"/>
        <w:jc w:val="both"/>
      </w:pPr>
      <w:r>
        <w:rPr>
          <w:color w:val="000000"/>
          <w:sz w:val="24"/>
          <w:szCs w:val="24"/>
        </w:rPr>
        <w:t xml:space="preserve">Signaling theory (Spence, 1974) addresses how parties reduce information asymmetry by conveying credible signals about their quality (Connelly et al., 2011). In grant markets, small firms compete for non-repayable funds by </w:t>
      </w:r>
      <w:r w:rsidR="00D14F2C">
        <w:rPr>
          <w:color w:val="000000"/>
          <w:sz w:val="24"/>
          <w:szCs w:val="24"/>
        </w:rPr>
        <w:t>signaling</w:t>
      </w:r>
      <w:r>
        <w:rPr>
          <w:color w:val="000000"/>
          <w:sz w:val="24"/>
          <w:szCs w:val="24"/>
        </w:rPr>
        <w:t xml:space="preserve"> competence, performance and potential to NGOs and donors, so the theory frames how grant size, grant categories and grant duration relate to the financial growth of recipient businesses.</w:t>
      </w:r>
    </w:p>
    <w:p w14:paraId="362EEA17" w14:textId="77777777" w:rsidR="00E0682E" w:rsidRDefault="00225CEE">
      <w:pPr>
        <w:spacing w:after="120"/>
        <w:jc w:val="both"/>
      </w:pPr>
      <w:r>
        <w:rPr>
          <w:color w:val="000000"/>
          <w:sz w:val="24"/>
          <w:szCs w:val="24"/>
        </w:rPr>
        <w:t>Credit rationing theory (Stiglitz &amp; Weiss, 1981) explains why lenders restrict credit even to borrowers willing to pay higher interest rates, because imperfect information creates adverse selection and moral hazard. Revolving loan funds run by NGOs typically serve borrowers without collateral or formal credit histories, so the theory illuminates how approval processes, loan sizes and repayment conditions determine whether such funds actually ease the constraint they were created to address.</w:t>
      </w:r>
    </w:p>
    <w:p w14:paraId="40D74EF2" w14:textId="77777777" w:rsidR="00E0682E" w:rsidRDefault="00225CEE">
      <w:pPr>
        <w:spacing w:after="120"/>
        <w:jc w:val="both"/>
      </w:pPr>
      <w:r>
        <w:rPr>
          <w:color w:val="000000"/>
          <w:sz w:val="24"/>
          <w:szCs w:val="24"/>
        </w:rPr>
        <w:t>Social learning theory (Bandura, 1977) holds that people acquire skills and behaviours through observation, imitation and guided practice within social settings. Financial literacy training operates on exactly this logic: owners learn budgeting, cash flow management and investment appraisal from trainers and peers, and the theory links training duration, advice seeking behaviour and comprehension of financial concepts to improved business decisions.</w:t>
      </w:r>
    </w:p>
    <w:p w14:paraId="1EFC648C" w14:textId="382BD36B" w:rsidR="00E0682E" w:rsidRDefault="00225CEE">
      <w:pPr>
        <w:spacing w:after="120"/>
        <w:jc w:val="both"/>
      </w:pPr>
      <w:r>
        <w:rPr>
          <w:color w:val="000000"/>
          <w:sz w:val="24"/>
          <w:szCs w:val="24"/>
        </w:rPr>
        <w:t xml:space="preserve">Taken together, the four theories offer complementary lenses. Behavioural economics speaks to savings behaviour, </w:t>
      </w:r>
      <w:r w:rsidR="00D14F2C">
        <w:rPr>
          <w:color w:val="000000"/>
          <w:sz w:val="24"/>
          <w:szCs w:val="24"/>
        </w:rPr>
        <w:t>signaling</w:t>
      </w:r>
      <w:r>
        <w:rPr>
          <w:color w:val="000000"/>
          <w:sz w:val="24"/>
          <w:szCs w:val="24"/>
        </w:rPr>
        <w:t xml:space="preserve"> to grant acquisition, credit rationing to loan access and social learning to the conversion of financial knowledge into practice.</w:t>
      </w:r>
    </w:p>
    <w:p w14:paraId="53A9FF0A" w14:textId="114A984A" w:rsidR="00E0682E" w:rsidRDefault="00225CEE">
      <w:pPr>
        <w:spacing w:before="180" w:after="100"/>
      </w:pPr>
      <w:r>
        <w:rPr>
          <w:b/>
          <w:bCs/>
          <w:color w:val="000000"/>
          <w:sz w:val="24"/>
          <w:szCs w:val="24"/>
        </w:rPr>
        <w:t>2</w:t>
      </w:r>
      <w:r w:rsidR="00864B21">
        <w:rPr>
          <w:b/>
          <w:bCs/>
          <w:color w:val="000000"/>
          <w:sz w:val="24"/>
          <w:szCs w:val="24"/>
        </w:rPr>
        <w:t>.2 Empirical Review</w:t>
      </w:r>
    </w:p>
    <w:p w14:paraId="3CB8EED4" w14:textId="77777777" w:rsidR="00864B21" w:rsidRPr="00864B21" w:rsidRDefault="00864B21" w:rsidP="00864B21">
      <w:pPr>
        <w:spacing w:after="120"/>
        <w:jc w:val="both"/>
        <w:rPr>
          <w:color w:val="000000"/>
          <w:sz w:val="24"/>
          <w:szCs w:val="24"/>
        </w:rPr>
      </w:pPr>
      <w:r w:rsidRPr="00864B21">
        <w:rPr>
          <w:color w:val="000000"/>
          <w:sz w:val="24"/>
          <w:szCs w:val="24"/>
        </w:rPr>
        <w:t>Empirical studies on NGO-led sustainable funding programs show varied outcomes depending on the type of intervention, the beneficiaries involved and the context in which the programs operate. In line with the objectives of this study, the review examines evidence relating to savings programs, revolving loan funds, grant programs and financial literacy training, with particular attention to their implications for the financial growth of small businesses.</w:t>
      </w:r>
    </w:p>
    <w:p w14:paraId="1DAF0D4A" w14:textId="77777777" w:rsidR="00864B21" w:rsidRPr="00864B21" w:rsidRDefault="00864B21" w:rsidP="00864B21">
      <w:pPr>
        <w:spacing w:after="120"/>
        <w:jc w:val="both"/>
        <w:rPr>
          <w:color w:val="000000"/>
          <w:sz w:val="24"/>
          <w:szCs w:val="24"/>
        </w:rPr>
      </w:pPr>
      <w:r w:rsidRPr="00864B21">
        <w:rPr>
          <w:color w:val="000000"/>
          <w:sz w:val="24"/>
          <w:szCs w:val="24"/>
        </w:rPr>
        <w:lastRenderedPageBreak/>
        <w:t xml:space="preserve">With regard to </w:t>
      </w:r>
      <w:r w:rsidRPr="00864B21">
        <w:rPr>
          <w:b/>
          <w:bCs/>
          <w:color w:val="000000"/>
          <w:sz w:val="24"/>
          <w:szCs w:val="24"/>
        </w:rPr>
        <w:t>savings programs</w:t>
      </w:r>
      <w:r w:rsidRPr="00864B21">
        <w:rPr>
          <w:color w:val="000000"/>
          <w:sz w:val="24"/>
          <w:szCs w:val="24"/>
        </w:rPr>
        <w:t>, existing studies generally suggest that organized saving mechanisms can support business development, although much of the evidence originates outside Kenya. Perkasa et al. (2024) reported that a savings and loan cooperative in Indonesia provided an alternative source of business capital for MSMEs that were not adequately served by conventional financial institutions. Similarly, Jirwanto (2024), in a study involving 89 MSMEs in Medan City, established a positive relationship between financial digitalization, saving practices and reductions in operating costs. In rural Zimbabwe, Ndhlovu et al. (2024) found that participation in internal savings and lending groups enabled women-owned enterprises to expand operations, attract additional customers, employ more workers and improve profitability. Majenga et al. (2024), however, found that voluntary financial saving groups in Tanzania produced statistically significant but relatively modest improvements in enterprise performance. In Kenya, Lomongin et al. (2023) observed that the benefits of table banking in Turkana County were strengthened when participants received continued training in financial management. Although these studies demonstrate the potential value of savings initiatives, they provide limited evidence on the extent to which NGO-led savings programs contribute to the financial growth of small businesses in Kisumu County. This study therefore examined the effect of savings programs on financial growth within this specific setting.</w:t>
      </w:r>
    </w:p>
    <w:p w14:paraId="5F9D944A" w14:textId="77777777" w:rsidR="00864B21" w:rsidRPr="00864B21" w:rsidRDefault="00864B21" w:rsidP="00864B21">
      <w:pPr>
        <w:spacing w:after="120"/>
        <w:jc w:val="both"/>
        <w:rPr>
          <w:color w:val="000000"/>
          <w:sz w:val="24"/>
          <w:szCs w:val="24"/>
        </w:rPr>
      </w:pPr>
      <w:r w:rsidRPr="00864B21">
        <w:rPr>
          <w:color w:val="000000"/>
          <w:sz w:val="24"/>
          <w:szCs w:val="24"/>
        </w:rPr>
        <w:t xml:space="preserve">Empirical evidence concerning </w:t>
      </w:r>
      <w:r w:rsidRPr="00864B21">
        <w:rPr>
          <w:b/>
          <w:bCs/>
          <w:color w:val="000000"/>
          <w:sz w:val="24"/>
          <w:szCs w:val="24"/>
        </w:rPr>
        <w:t>revolving loan funds</w:t>
      </w:r>
      <w:r w:rsidRPr="00864B21">
        <w:rPr>
          <w:color w:val="000000"/>
          <w:sz w:val="24"/>
          <w:szCs w:val="24"/>
        </w:rPr>
        <w:t xml:space="preserve"> presents less consistent findings. Fanida and Niswah (2015) found that revolving fund arrangements contributed to SME empowerment, although their reliance on qualitative secondary data limited the extent to which the findings could establish measurable relationships between revolving funds and business outcomes. Bantu (2022), using data from 328 participants in Ethiopia, found that the effectiveness of a youth revolving fund was constrained by inadequate beneficiary training and repayment arrangements that did not adequately reflect borrowers' financial circumstances. Within Kenya, Njuguna (2020) established that education and training played an important role in determining the performance of revolving funds among women's groups in Kiambu County. Sharun and Bett (2019) similarly found that knowledge transfer, leadership development and training improved the performance of micro and small enterprises associated with revolving fund practices in Wajir County. While these studies provide useful evidence, most concentrate on specific groups such as women or youth and do not sufficiently explain how NGO-managed revolving loan funds influence the financial growth of a wider population of small businesses. The present study addressed this gap by examining the effect of revolving loan funds among small businesses in Kisumu County.</w:t>
      </w:r>
    </w:p>
    <w:p w14:paraId="3B4ED4DE" w14:textId="77777777" w:rsidR="00864B21" w:rsidRPr="00864B21" w:rsidRDefault="00864B21" w:rsidP="00864B21">
      <w:pPr>
        <w:spacing w:after="120"/>
        <w:jc w:val="both"/>
        <w:rPr>
          <w:color w:val="000000"/>
          <w:sz w:val="24"/>
          <w:szCs w:val="24"/>
        </w:rPr>
      </w:pPr>
      <w:r w:rsidRPr="00864B21">
        <w:rPr>
          <w:color w:val="000000"/>
          <w:sz w:val="24"/>
          <w:szCs w:val="24"/>
        </w:rPr>
        <w:t xml:space="preserve">Studies relating to </w:t>
      </w:r>
      <w:r w:rsidRPr="00864B21">
        <w:rPr>
          <w:b/>
          <w:bCs/>
          <w:color w:val="000000"/>
          <w:sz w:val="24"/>
          <w:szCs w:val="24"/>
        </w:rPr>
        <w:t>grant programs</w:t>
      </w:r>
      <w:r w:rsidRPr="00864B21">
        <w:rPr>
          <w:color w:val="000000"/>
          <w:sz w:val="24"/>
          <w:szCs w:val="24"/>
        </w:rPr>
        <w:t xml:space="preserve"> also report differing outcomes. Nuyen et al. (2022) found that access to SME financing within a supportive institutional environment improved financing choices and business conditions in Vietnam. Nkombe and Phir (2022) further established that awareness of funding opportunities and managerial capability improved the ability of South African start-ups to obtain external grant finance. However, Adetoro et al. (2021), in Kwara State, Nigeria, reported that although financial empowerment supported the establishment of new ventures among NGO beneficiaries, grant support by itself was associated with less favourable outcomes in new venture formation. In Kenya, Munene (2021) found that grant-related activities influenced the sustainability of small enterprises supported by the Tumaini Fund, with technical assistance emerging as an important complementary factor. Adwa (2023) similarly emphasized the importance of donor guidelines, accountability and project management practices in sustaining donor-funded initiatives in Nairobi City County. These findings indicate that the effectiveness of grants may depend not only on the availability of funds but also on how the support is structured and managed. Nevertheless, there remains limited direct evidence on the effect of NGO-led grant </w:t>
      </w:r>
      <w:r w:rsidRPr="00864B21">
        <w:rPr>
          <w:color w:val="000000"/>
          <w:sz w:val="24"/>
          <w:szCs w:val="24"/>
        </w:rPr>
        <w:lastRenderedPageBreak/>
        <w:t>programs on the financial growth of small businesses in Kisumu County. The study therefore evaluated the effect of grant programs on financial growth within the county.</w:t>
      </w:r>
    </w:p>
    <w:p w14:paraId="5A491766" w14:textId="77777777" w:rsidR="00864B21" w:rsidRPr="00864B21" w:rsidRDefault="00864B21" w:rsidP="00864B21">
      <w:pPr>
        <w:spacing w:after="120"/>
        <w:jc w:val="both"/>
        <w:rPr>
          <w:color w:val="000000"/>
          <w:sz w:val="24"/>
          <w:szCs w:val="24"/>
        </w:rPr>
      </w:pPr>
      <w:r w:rsidRPr="00864B21">
        <w:rPr>
          <w:color w:val="000000"/>
          <w:sz w:val="24"/>
          <w:szCs w:val="24"/>
        </w:rPr>
        <w:t xml:space="preserve">The literature on </w:t>
      </w:r>
      <w:r w:rsidRPr="00864B21">
        <w:rPr>
          <w:b/>
          <w:bCs/>
          <w:color w:val="000000"/>
          <w:sz w:val="24"/>
          <w:szCs w:val="24"/>
        </w:rPr>
        <w:t>financial literacy training</w:t>
      </w:r>
      <w:r w:rsidRPr="00864B21">
        <w:rPr>
          <w:color w:val="000000"/>
          <w:sz w:val="24"/>
          <w:szCs w:val="24"/>
        </w:rPr>
        <w:t xml:space="preserve"> provides comparatively more consistent evidence of positive business outcomes. Abdallah et al. (2024) found that financial literacy strengthened the financial management capacity of SMEs and contributed to improved business outcomes in Kuwait. In Zimbabwe, Nyagope (2024) identified financial knowledge and understanding as important determinants of SME success and resilience. Evidence from Uganda by Nyeko et al. (2024) further showed that financial literacy, when combined with access to finance, improved the financial performance of youth-led SMEs. Kenyan studies report similar patterns. Owino et al. (2024) linked financial literacy capability to competitive advantage among deposit-taking savings and credit cooperative societies, while Bii et al. (2024) associated financial literacy with sustainable entrepreneurship among young people in Bomet County. Despite these findings, many previous studies have examined financial literacy separately from other financing mechanisms. The present study therefore assessed the effect of financial literacy training on the financial growth of small businesses in Kisumu County while simultaneously considering savings programs, revolving loan funds and grant programs within the same analytical model.</w:t>
      </w:r>
    </w:p>
    <w:p w14:paraId="41137A39" w14:textId="77777777" w:rsidR="00864B21" w:rsidRPr="00864B21" w:rsidRDefault="00864B21" w:rsidP="00864B21">
      <w:pPr>
        <w:spacing w:after="120"/>
        <w:jc w:val="both"/>
        <w:rPr>
          <w:color w:val="000000"/>
          <w:sz w:val="24"/>
          <w:szCs w:val="24"/>
        </w:rPr>
      </w:pPr>
      <w:r w:rsidRPr="00864B21">
        <w:rPr>
          <w:color w:val="000000"/>
          <w:sz w:val="24"/>
          <w:szCs w:val="24"/>
        </w:rPr>
        <w:t>Overall, the reviewed studies demonstrate that savings programs, revolving loan funds, grant programs and financial literacy training can influence business outcomes, but the magnitude and direction of these outcomes vary across geographical and institutional settings. Much of the existing evidence is drawn from countries outside Kenya or from studies concentrating on specific beneficiary groups and isolated financing mechanisms. Consequently, there remains limited empirical evidence showing how the four NGO-led sustainable funding interventions jointly relate to the financial growth of small businesses in Kisumu County. The current study sought to address this empirical and contextual gap.</w:t>
      </w:r>
    </w:p>
    <w:p w14:paraId="372BCCAD" w14:textId="5A7B0699" w:rsidR="00E0682E" w:rsidRDefault="00225CEE">
      <w:pPr>
        <w:spacing w:after="120"/>
        <w:jc w:val="both"/>
      </w:pPr>
      <w:r>
        <w:rPr>
          <w:color w:val="000000"/>
          <w:sz w:val="24"/>
          <w:szCs w:val="24"/>
        </w:rPr>
        <w:t>.</w:t>
      </w:r>
    </w:p>
    <w:p w14:paraId="2657DDBE" w14:textId="77777777" w:rsidR="00E0682E" w:rsidRDefault="00225CEE">
      <w:pPr>
        <w:spacing w:before="180" w:after="100"/>
      </w:pPr>
      <w:r>
        <w:rPr>
          <w:b/>
          <w:bCs/>
          <w:color w:val="000000"/>
          <w:sz w:val="24"/>
          <w:szCs w:val="24"/>
        </w:rPr>
        <w:t>2.3 Conceptual Framework</w:t>
      </w:r>
    </w:p>
    <w:p w14:paraId="13E29426" w14:textId="08A4726E" w:rsidR="00E0682E" w:rsidRDefault="00225CEE">
      <w:pPr>
        <w:spacing w:after="120"/>
        <w:jc w:val="both"/>
        <w:rPr>
          <w:color w:val="000000"/>
          <w:sz w:val="24"/>
          <w:szCs w:val="24"/>
        </w:rPr>
      </w:pPr>
      <w:r>
        <w:rPr>
          <w:color w:val="000000"/>
          <w:sz w:val="24"/>
          <w:szCs w:val="24"/>
        </w:rPr>
        <w:t>Fig. 1 presents the conceptual framework. Savings programs were measured through contribution amounts, withdrawal rules and program duration, since accessible internal capital reserves reduce reliance on external debt (Beck &amp; Demirgüç-Kunt, 2006). Revolving loan funds were captured through the approval process, loan size and repayment conditions, reflecting their nature as self-replenishing credit facilities (Ledgerwood, 2013). Grant programs were assessed through grant size, grant categories and grant duration, because non-repayable funds permit investment that would be too risky under debt financing (World Bank, 2020). Financial literacy training was measured through training duration and schedule, willingness to seek financial advice and understanding of financial concepts, on the ground that funding rarely produces growth without the skills to manage it (Lusardi &amp; Mitchell, 2014). Financial growth, the dependent variable, was indicated by revenue growth, cash flow management, and compliance and governance.</w:t>
      </w:r>
    </w:p>
    <w:p w14:paraId="765A2C46" w14:textId="77777777" w:rsidR="00E0682E" w:rsidRDefault="00225CEE">
      <w:pPr>
        <w:spacing w:before="120" w:after="80"/>
        <w:jc w:val="center"/>
      </w:pPr>
      <w:r>
        <w:rPr>
          <w:noProof/>
        </w:rPr>
        <w:lastRenderedPageBreak/>
        <w:drawing>
          <wp:inline distT="0" distB="0" distL="0" distR="0" wp14:anchorId="37C5434B" wp14:editId="3FC94BAE">
            <wp:extent cx="5334000" cy="3556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334000" cy="3556000"/>
                    </a:xfrm>
                    <a:prstGeom prst="rect">
                      <a:avLst/>
                    </a:prstGeom>
                  </pic:spPr>
                </pic:pic>
              </a:graphicData>
            </a:graphic>
          </wp:inline>
        </w:drawing>
      </w:r>
    </w:p>
    <w:p w14:paraId="7C617BA7" w14:textId="77777777" w:rsidR="00E0682E" w:rsidRDefault="00225CEE">
      <w:pPr>
        <w:spacing w:after="240"/>
        <w:jc w:val="center"/>
      </w:pPr>
      <w:r>
        <w:rPr>
          <w:b/>
          <w:bCs/>
          <w:color w:val="000000"/>
          <w:sz w:val="24"/>
          <w:szCs w:val="24"/>
        </w:rPr>
        <w:t xml:space="preserve">Fig. 1. </w:t>
      </w:r>
      <w:r>
        <w:rPr>
          <w:color w:val="000000"/>
          <w:sz w:val="24"/>
          <w:szCs w:val="24"/>
        </w:rPr>
        <w:t>Conceptual framework</w:t>
      </w:r>
    </w:p>
    <w:p w14:paraId="42D1AA2E" w14:textId="77777777" w:rsidR="00E0682E" w:rsidRDefault="00225CEE">
      <w:pPr>
        <w:spacing w:before="240" w:after="120"/>
      </w:pPr>
      <w:r>
        <w:rPr>
          <w:b/>
          <w:bCs/>
          <w:color w:val="000000"/>
          <w:sz w:val="26"/>
          <w:szCs w:val="26"/>
        </w:rPr>
        <w:t>3. MATERIALS AND METHODS</w:t>
      </w:r>
    </w:p>
    <w:p w14:paraId="007A91F0" w14:textId="77777777" w:rsidR="00E0682E" w:rsidRDefault="00225CEE">
      <w:pPr>
        <w:spacing w:before="180" w:after="100"/>
      </w:pPr>
      <w:r>
        <w:rPr>
          <w:b/>
          <w:bCs/>
          <w:color w:val="000000"/>
          <w:sz w:val="24"/>
          <w:szCs w:val="24"/>
        </w:rPr>
        <w:t>3.1 Research Design</w:t>
      </w:r>
    </w:p>
    <w:p w14:paraId="793D54E3" w14:textId="77777777" w:rsidR="00E0682E" w:rsidRDefault="00225CEE">
      <w:pPr>
        <w:spacing w:after="120"/>
        <w:jc w:val="both"/>
      </w:pPr>
      <w:r>
        <w:rPr>
          <w:color w:val="000000"/>
          <w:sz w:val="24"/>
          <w:szCs w:val="24"/>
        </w:rPr>
        <w:t>The study adopted a correlational research design. The design suits questions about the strength and direction of relationships between naturally occurring variables that a researcher cannot ethically or practically manipulate (Creswell &amp; Creswell, 2018), and it accommodates several predictors within a single model, which matched the study's aim of assessing four funding mechanisms simultaneously.</w:t>
      </w:r>
    </w:p>
    <w:p w14:paraId="40EE8B37" w14:textId="77777777" w:rsidR="00E0682E" w:rsidRDefault="00225CEE">
      <w:pPr>
        <w:spacing w:before="180" w:after="100"/>
      </w:pPr>
      <w:r>
        <w:rPr>
          <w:b/>
          <w:bCs/>
          <w:color w:val="000000"/>
          <w:sz w:val="24"/>
          <w:szCs w:val="24"/>
        </w:rPr>
        <w:t>3.2 Target Population</w:t>
      </w:r>
    </w:p>
    <w:p w14:paraId="1A5FA103" w14:textId="77777777" w:rsidR="00E0682E" w:rsidRDefault="00225CEE">
      <w:pPr>
        <w:spacing w:after="120"/>
        <w:jc w:val="both"/>
      </w:pPr>
      <w:r>
        <w:rPr>
          <w:color w:val="000000"/>
          <w:sz w:val="24"/>
          <w:szCs w:val="24"/>
        </w:rPr>
        <w:t>The target population comprised 2,500 registered small-scale businesses in Kisumu County that had received financial support through partnerships between the county government and NGOs, among them the Kenya Community Development Foundation, Sida initiatives in Kenya, UK Aid and the Alliance for a Green Revolution in Africa. According to county business registration records for 2024, the population was distributed across four sectors as shown in Table 1.</w:t>
      </w:r>
    </w:p>
    <w:p w14:paraId="61B0B65F" w14:textId="77777777" w:rsidR="00E0682E" w:rsidRDefault="00225CEE">
      <w:pPr>
        <w:spacing w:before="200" w:after="100"/>
        <w:jc w:val="center"/>
      </w:pPr>
      <w:r>
        <w:rPr>
          <w:b/>
          <w:bCs/>
          <w:color w:val="000000"/>
          <w:sz w:val="24"/>
          <w:szCs w:val="24"/>
        </w:rPr>
        <w:t xml:space="preserve">Table 1. </w:t>
      </w:r>
      <w:r>
        <w:rPr>
          <w:color w:val="000000"/>
          <w:sz w:val="24"/>
          <w:szCs w:val="24"/>
        </w:rPr>
        <w:t>Distribution of the target population</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60"/>
        <w:gridCol w:w="2400"/>
        <w:gridCol w:w="2000"/>
      </w:tblGrid>
      <w:tr w:rsidR="00E0682E" w14:paraId="45AC58C5" w14:textId="77777777">
        <w:tc>
          <w:tcPr>
            <w:tcW w:w="49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35142E3" w14:textId="77777777" w:rsidR="00E0682E" w:rsidRDefault="00225CEE">
            <w:pPr>
              <w:spacing w:after="20" w:line="260" w:lineRule="auto"/>
            </w:pPr>
            <w:r>
              <w:rPr>
                <w:b/>
                <w:bCs/>
                <w:color w:val="000000"/>
                <w:sz w:val="22"/>
                <w:szCs w:val="22"/>
              </w:rPr>
              <w:t>Category</w:t>
            </w:r>
          </w:p>
        </w:tc>
        <w:tc>
          <w:tcPr>
            <w:tcW w:w="24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F7FD946" w14:textId="77777777" w:rsidR="00E0682E" w:rsidRDefault="00225CEE">
            <w:pPr>
              <w:spacing w:after="20" w:line="260" w:lineRule="auto"/>
              <w:jc w:val="center"/>
            </w:pPr>
            <w:r>
              <w:rPr>
                <w:b/>
                <w:bCs/>
                <w:color w:val="000000"/>
                <w:sz w:val="22"/>
                <w:szCs w:val="22"/>
              </w:rPr>
              <w:t>Target population</w:t>
            </w:r>
          </w:p>
        </w:tc>
        <w:tc>
          <w:tcPr>
            <w:tcW w:w="2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6BF5854" w14:textId="77777777" w:rsidR="00E0682E" w:rsidRDefault="00225CEE">
            <w:pPr>
              <w:spacing w:after="20" w:line="260" w:lineRule="auto"/>
              <w:jc w:val="center"/>
            </w:pPr>
            <w:r>
              <w:rPr>
                <w:b/>
                <w:bCs/>
                <w:color w:val="000000"/>
                <w:sz w:val="22"/>
                <w:szCs w:val="22"/>
              </w:rPr>
              <w:t>Percentage</w:t>
            </w:r>
          </w:p>
        </w:tc>
      </w:tr>
      <w:tr w:rsidR="00E0682E" w14:paraId="3E46011C"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FD657A0" w14:textId="77777777" w:rsidR="00E0682E" w:rsidRDefault="00225CEE">
            <w:pPr>
              <w:spacing w:after="20" w:line="260" w:lineRule="auto"/>
            </w:pPr>
            <w:r>
              <w:rPr>
                <w:color w:val="000000"/>
                <w:sz w:val="22"/>
                <w:szCs w:val="22"/>
              </w:rPr>
              <w:t>Manufacturing</w:t>
            </w:r>
          </w:p>
        </w:tc>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CECA210" w14:textId="77777777" w:rsidR="00E0682E" w:rsidRDefault="00225CEE">
            <w:pPr>
              <w:spacing w:after="20" w:line="260" w:lineRule="auto"/>
              <w:jc w:val="center"/>
            </w:pPr>
            <w:r>
              <w:rPr>
                <w:color w:val="000000"/>
                <w:sz w:val="22"/>
                <w:szCs w:val="22"/>
              </w:rPr>
              <w:t>400</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D123346" w14:textId="77777777" w:rsidR="00E0682E" w:rsidRDefault="00225CEE">
            <w:pPr>
              <w:spacing w:after="20" w:line="260" w:lineRule="auto"/>
              <w:jc w:val="center"/>
            </w:pPr>
            <w:r>
              <w:rPr>
                <w:color w:val="000000"/>
                <w:sz w:val="22"/>
                <w:szCs w:val="22"/>
              </w:rPr>
              <w:t>16.0</w:t>
            </w:r>
          </w:p>
        </w:tc>
      </w:tr>
      <w:tr w:rsidR="00E0682E" w14:paraId="0113BA9E"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EA5729B" w14:textId="77777777" w:rsidR="00E0682E" w:rsidRDefault="00225CEE">
            <w:pPr>
              <w:spacing w:after="20" w:line="260" w:lineRule="auto"/>
            </w:pPr>
            <w:r>
              <w:rPr>
                <w:color w:val="000000"/>
                <w:sz w:val="22"/>
                <w:szCs w:val="22"/>
              </w:rPr>
              <w:t>Trade</w:t>
            </w:r>
          </w:p>
        </w:tc>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C2A5935" w14:textId="77777777" w:rsidR="00E0682E" w:rsidRDefault="00225CEE">
            <w:pPr>
              <w:spacing w:after="20" w:line="260" w:lineRule="auto"/>
              <w:jc w:val="center"/>
            </w:pPr>
            <w:r>
              <w:rPr>
                <w:color w:val="000000"/>
                <w:sz w:val="22"/>
                <w:szCs w:val="22"/>
              </w:rPr>
              <w:t>300</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FAD293D" w14:textId="77777777" w:rsidR="00E0682E" w:rsidRDefault="00225CEE">
            <w:pPr>
              <w:spacing w:after="20" w:line="260" w:lineRule="auto"/>
              <w:jc w:val="center"/>
            </w:pPr>
            <w:r>
              <w:rPr>
                <w:color w:val="000000"/>
                <w:sz w:val="22"/>
                <w:szCs w:val="22"/>
              </w:rPr>
              <w:t>12.0</w:t>
            </w:r>
          </w:p>
        </w:tc>
      </w:tr>
      <w:tr w:rsidR="00E0682E" w14:paraId="6EFAD9E4"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CEAEE60" w14:textId="77777777" w:rsidR="00E0682E" w:rsidRDefault="00225CEE">
            <w:pPr>
              <w:spacing w:after="20" w:line="260" w:lineRule="auto"/>
            </w:pPr>
            <w:r>
              <w:rPr>
                <w:color w:val="000000"/>
                <w:sz w:val="22"/>
                <w:szCs w:val="22"/>
              </w:rPr>
              <w:t>Services</w:t>
            </w:r>
          </w:p>
        </w:tc>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BC7D4D0" w14:textId="77777777" w:rsidR="00E0682E" w:rsidRDefault="00225CEE">
            <w:pPr>
              <w:spacing w:after="20" w:line="260" w:lineRule="auto"/>
              <w:jc w:val="center"/>
            </w:pPr>
            <w:r>
              <w:rPr>
                <w:color w:val="000000"/>
                <w:sz w:val="22"/>
                <w:szCs w:val="22"/>
              </w:rPr>
              <w:t>800</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C3BD8DA" w14:textId="77777777" w:rsidR="00E0682E" w:rsidRDefault="00225CEE">
            <w:pPr>
              <w:spacing w:after="20" w:line="260" w:lineRule="auto"/>
              <w:jc w:val="center"/>
            </w:pPr>
            <w:r>
              <w:rPr>
                <w:color w:val="000000"/>
                <w:sz w:val="22"/>
                <w:szCs w:val="22"/>
              </w:rPr>
              <w:t>32.0</w:t>
            </w:r>
          </w:p>
        </w:tc>
      </w:tr>
      <w:tr w:rsidR="00E0682E" w14:paraId="7E475BE0"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885F099" w14:textId="77777777" w:rsidR="00E0682E" w:rsidRDefault="00225CEE">
            <w:pPr>
              <w:spacing w:after="20" w:line="260" w:lineRule="auto"/>
            </w:pPr>
            <w:r>
              <w:rPr>
                <w:color w:val="000000"/>
                <w:sz w:val="22"/>
                <w:szCs w:val="22"/>
              </w:rPr>
              <w:lastRenderedPageBreak/>
              <w:t>Agriculture</w:t>
            </w:r>
          </w:p>
        </w:tc>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56BDF4C" w14:textId="77777777" w:rsidR="00E0682E" w:rsidRDefault="00225CEE">
            <w:pPr>
              <w:spacing w:after="20" w:line="260" w:lineRule="auto"/>
              <w:jc w:val="center"/>
            </w:pPr>
            <w:r>
              <w:rPr>
                <w:color w:val="000000"/>
                <w:sz w:val="22"/>
                <w:szCs w:val="22"/>
              </w:rPr>
              <w:t>1,000</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62258E" w14:textId="77777777" w:rsidR="00E0682E" w:rsidRDefault="00225CEE">
            <w:pPr>
              <w:spacing w:after="20" w:line="260" w:lineRule="auto"/>
              <w:jc w:val="center"/>
            </w:pPr>
            <w:r>
              <w:rPr>
                <w:color w:val="000000"/>
                <w:sz w:val="22"/>
                <w:szCs w:val="22"/>
              </w:rPr>
              <w:t>40.0</w:t>
            </w:r>
          </w:p>
        </w:tc>
      </w:tr>
      <w:tr w:rsidR="00E0682E" w14:paraId="43F513D7" w14:textId="77777777">
        <w:tc>
          <w:tcPr>
            <w:tcW w:w="49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29C8F6C" w14:textId="77777777" w:rsidR="00E0682E" w:rsidRDefault="00225CEE">
            <w:pPr>
              <w:spacing w:after="20" w:line="260" w:lineRule="auto"/>
            </w:pPr>
            <w:r>
              <w:rPr>
                <w:b/>
                <w:bCs/>
                <w:color w:val="000000"/>
                <w:sz w:val="22"/>
                <w:szCs w:val="22"/>
              </w:rPr>
              <w:t>Total</w:t>
            </w:r>
          </w:p>
        </w:tc>
        <w:tc>
          <w:tcPr>
            <w:tcW w:w="24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B36DD35" w14:textId="77777777" w:rsidR="00E0682E" w:rsidRDefault="00225CEE">
            <w:pPr>
              <w:spacing w:after="20" w:line="260" w:lineRule="auto"/>
              <w:jc w:val="center"/>
            </w:pPr>
            <w:r>
              <w:rPr>
                <w:b/>
                <w:bCs/>
                <w:color w:val="000000"/>
                <w:sz w:val="22"/>
                <w:szCs w:val="22"/>
              </w:rPr>
              <w:t>2,500</w:t>
            </w:r>
          </w:p>
        </w:tc>
        <w:tc>
          <w:tcPr>
            <w:tcW w:w="2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2D0EBDC" w14:textId="77777777" w:rsidR="00E0682E" w:rsidRDefault="00225CEE">
            <w:pPr>
              <w:spacing w:after="20" w:line="260" w:lineRule="auto"/>
              <w:jc w:val="center"/>
            </w:pPr>
            <w:r>
              <w:rPr>
                <w:b/>
                <w:bCs/>
                <w:color w:val="000000"/>
                <w:sz w:val="22"/>
                <w:szCs w:val="22"/>
              </w:rPr>
              <w:t>100.0</w:t>
            </w:r>
          </w:p>
        </w:tc>
      </w:tr>
    </w:tbl>
    <w:p w14:paraId="2C06EC6F" w14:textId="77777777" w:rsidR="00E0682E" w:rsidRDefault="00225CEE">
      <w:pPr>
        <w:spacing w:after="200"/>
      </w:pPr>
      <w:r>
        <w:rPr>
          <w:i/>
          <w:iCs/>
          <w:color w:val="000000"/>
        </w:rPr>
        <w:t>Source: Kisumu County Business Registration Bureau (2024)</w:t>
      </w:r>
    </w:p>
    <w:p w14:paraId="20A92330" w14:textId="77777777" w:rsidR="00E0682E" w:rsidRDefault="00225CEE">
      <w:pPr>
        <w:spacing w:before="180" w:after="100"/>
      </w:pPr>
      <w:r>
        <w:rPr>
          <w:b/>
          <w:bCs/>
          <w:color w:val="000000"/>
          <w:sz w:val="24"/>
          <w:szCs w:val="24"/>
        </w:rPr>
        <w:t>3.3 Sample Size and Sampling Technique</w:t>
      </w:r>
    </w:p>
    <w:p w14:paraId="13B79925" w14:textId="77777777" w:rsidR="00E0682E" w:rsidRDefault="00225CEE">
      <w:pPr>
        <w:spacing w:after="120"/>
        <w:jc w:val="both"/>
      </w:pPr>
      <w:r>
        <w:rPr>
          <w:color w:val="000000"/>
          <w:sz w:val="24"/>
          <w:szCs w:val="24"/>
        </w:rPr>
        <w:t>The sample size was determined with Yamane's (1967) formula, n = N / (1 + N(e)²), at a 10% margin of error, which gave n = 2,500 / (1 + 2,500(0.10)²) = 96 respondents. Stratified random sampling was then applied, with the four sectors in Table 1 serving as strata and owner-managers selected randomly from each stratum. Stratification ensured that every segment of the county's small business economy was represented in the sample (Mugenda &amp; Mugenda, 2003).</w:t>
      </w:r>
    </w:p>
    <w:p w14:paraId="057AD678" w14:textId="77777777" w:rsidR="00E0682E" w:rsidRDefault="00225CEE">
      <w:pPr>
        <w:spacing w:before="180" w:after="100"/>
      </w:pPr>
      <w:r>
        <w:rPr>
          <w:b/>
          <w:bCs/>
          <w:color w:val="000000"/>
          <w:sz w:val="24"/>
          <w:szCs w:val="24"/>
        </w:rPr>
        <w:t>3.4 Research Instrument and Data Collection</w:t>
      </w:r>
    </w:p>
    <w:p w14:paraId="54826BA5" w14:textId="76455249" w:rsidR="00E0682E" w:rsidRDefault="00225CEE">
      <w:pPr>
        <w:spacing w:after="120"/>
        <w:jc w:val="both"/>
      </w:pPr>
      <w:r>
        <w:rPr>
          <w:color w:val="000000"/>
          <w:sz w:val="24"/>
          <w:szCs w:val="24"/>
        </w:rPr>
        <w:t>Primary data were collected using a structured, closed-ended questionnaire anchored on a five-point Likert scale running from 1 (strongly disagree) to 5 (strongly agree). The instrument contained a demographic section and five substantive sections of six items each, covering savings programs, revolving loan funds, grant programs, financial literacy training and financial growth. Questionnaires were delivered to respondents under an introduction letter from KCA University and collected after an agreed period, an approach that gave owner-managers time to respond without interviewer pressure.</w:t>
      </w:r>
    </w:p>
    <w:p w14:paraId="2A687FAB" w14:textId="77777777" w:rsidR="00E0682E" w:rsidRDefault="00225CEE">
      <w:pPr>
        <w:spacing w:before="180" w:after="100"/>
      </w:pPr>
      <w:r>
        <w:rPr>
          <w:b/>
          <w:bCs/>
          <w:color w:val="000000"/>
          <w:sz w:val="24"/>
          <w:szCs w:val="24"/>
        </w:rPr>
        <w:t>3.5 Validity and Reliability</w:t>
      </w:r>
    </w:p>
    <w:p w14:paraId="05F69E17" w14:textId="77777777" w:rsidR="00E0682E" w:rsidRDefault="00225CEE">
      <w:pPr>
        <w:spacing w:after="120"/>
        <w:jc w:val="both"/>
      </w:pPr>
      <w:r>
        <w:rPr>
          <w:color w:val="000000"/>
          <w:sz w:val="24"/>
          <w:szCs w:val="24"/>
        </w:rPr>
        <w:t>Content and construct validity were established through expert review, with the questionnaire items checked against the study objectives and the theoretical framework before administration. A pilot test was then conducted on nine respondents, about 10% of the sample, drawn from comparable businesses and excluded from the final analysis. Internal consistency was assessed with Cronbach's alpha against the 0.70 threshold recommended by Nunnally and Bernstein (1994). As Table 2 shows, all five scales comfortably exceeded the threshold, with coefficients ranging from 0.927 to 0.953, so the instrument was applied without alteration.</w:t>
      </w:r>
    </w:p>
    <w:p w14:paraId="611B7919" w14:textId="77777777" w:rsidR="00E0682E" w:rsidRDefault="00225CEE">
      <w:pPr>
        <w:spacing w:before="200" w:after="100"/>
        <w:jc w:val="center"/>
      </w:pPr>
      <w:r>
        <w:rPr>
          <w:b/>
          <w:bCs/>
          <w:color w:val="000000"/>
          <w:sz w:val="24"/>
          <w:szCs w:val="24"/>
        </w:rPr>
        <w:t xml:space="preserve">Table 2. </w:t>
      </w:r>
      <w:r>
        <w:rPr>
          <w:color w:val="000000"/>
          <w:sz w:val="24"/>
          <w:szCs w:val="24"/>
        </w:rPr>
        <w:t>Reliability test results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360"/>
        <w:gridCol w:w="1300"/>
        <w:gridCol w:w="1900"/>
        <w:gridCol w:w="1800"/>
      </w:tblGrid>
      <w:tr w:rsidR="00E0682E" w14:paraId="58BBE87A" w14:textId="77777777">
        <w:tc>
          <w:tcPr>
            <w:tcW w:w="43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76019C61" w14:textId="77777777" w:rsidR="00E0682E" w:rsidRDefault="00225CEE">
            <w:pPr>
              <w:spacing w:after="20" w:line="260" w:lineRule="auto"/>
            </w:pPr>
            <w:r>
              <w:rPr>
                <w:b/>
                <w:bCs/>
                <w:color w:val="000000"/>
                <w:sz w:val="22"/>
                <w:szCs w:val="22"/>
              </w:rPr>
              <w:t>Variable</w:t>
            </w:r>
          </w:p>
        </w:tc>
        <w:tc>
          <w:tcPr>
            <w:tcW w:w="13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6D92F72" w14:textId="77777777" w:rsidR="00E0682E" w:rsidRDefault="00225CEE">
            <w:pPr>
              <w:spacing w:after="20" w:line="260" w:lineRule="auto"/>
              <w:jc w:val="center"/>
            </w:pPr>
            <w:r>
              <w:rPr>
                <w:b/>
                <w:bCs/>
                <w:color w:val="000000"/>
                <w:sz w:val="22"/>
                <w:szCs w:val="22"/>
              </w:rPr>
              <w:t>Items</w:t>
            </w:r>
          </w:p>
        </w:tc>
        <w:tc>
          <w:tcPr>
            <w:tcW w:w="19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4FE0C25" w14:textId="77777777" w:rsidR="00E0682E" w:rsidRDefault="00225CEE">
            <w:pPr>
              <w:spacing w:after="20" w:line="260" w:lineRule="auto"/>
              <w:jc w:val="center"/>
            </w:pPr>
            <w:r>
              <w:rPr>
                <w:b/>
                <w:bCs/>
                <w:color w:val="000000"/>
                <w:sz w:val="22"/>
                <w:szCs w:val="22"/>
              </w:rPr>
              <w:t>Cronbach's alpha</w:t>
            </w:r>
          </w:p>
        </w:tc>
        <w:tc>
          <w:tcPr>
            <w:tcW w:w="18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124B836" w14:textId="77777777" w:rsidR="00E0682E" w:rsidRDefault="00225CEE">
            <w:pPr>
              <w:spacing w:after="20" w:line="260" w:lineRule="auto"/>
              <w:jc w:val="center"/>
            </w:pPr>
            <w:r>
              <w:rPr>
                <w:b/>
                <w:bCs/>
                <w:color w:val="000000"/>
                <w:sz w:val="22"/>
                <w:szCs w:val="22"/>
              </w:rPr>
              <w:t>Verdict</w:t>
            </w:r>
          </w:p>
        </w:tc>
      </w:tr>
      <w:tr w:rsidR="00E0682E" w14:paraId="230D9597" w14:textId="77777777">
        <w:tc>
          <w:tcPr>
            <w:tcW w:w="4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BD269A3" w14:textId="7B4D2CF2" w:rsidR="00E0682E" w:rsidRDefault="00225CEE">
            <w:pPr>
              <w:spacing w:after="20" w:line="260" w:lineRule="auto"/>
            </w:pPr>
            <w:r>
              <w:rPr>
                <w:color w:val="000000"/>
                <w:sz w:val="22"/>
                <w:szCs w:val="22"/>
              </w:rPr>
              <w:t>Savings programs</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22B597A"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41446D5" w14:textId="77777777" w:rsidR="00E0682E" w:rsidRDefault="00225CEE">
            <w:pPr>
              <w:spacing w:after="20" w:line="260" w:lineRule="auto"/>
              <w:jc w:val="center"/>
            </w:pPr>
            <w:r>
              <w:rPr>
                <w:color w:val="000000"/>
                <w:sz w:val="22"/>
                <w:szCs w:val="22"/>
              </w:rPr>
              <w:t>0.953</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EE24FB" w14:textId="77777777" w:rsidR="00E0682E" w:rsidRDefault="00225CEE">
            <w:pPr>
              <w:spacing w:after="20" w:line="260" w:lineRule="auto"/>
              <w:jc w:val="center"/>
            </w:pPr>
            <w:r>
              <w:rPr>
                <w:color w:val="000000"/>
                <w:sz w:val="22"/>
                <w:szCs w:val="22"/>
              </w:rPr>
              <w:t>Reliable</w:t>
            </w:r>
          </w:p>
        </w:tc>
      </w:tr>
      <w:tr w:rsidR="00E0682E" w14:paraId="2767CB3D" w14:textId="77777777">
        <w:tc>
          <w:tcPr>
            <w:tcW w:w="4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B30849E" w14:textId="77777777" w:rsidR="00E0682E" w:rsidRDefault="00225CEE">
            <w:pPr>
              <w:spacing w:after="20" w:line="260" w:lineRule="auto"/>
            </w:pPr>
            <w:r>
              <w:rPr>
                <w:color w:val="000000"/>
                <w:sz w:val="22"/>
                <w:szCs w:val="22"/>
              </w:rPr>
              <w:t>Revolving loan funds</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F5C752A"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907CF4F" w14:textId="77777777" w:rsidR="00E0682E" w:rsidRDefault="00225CEE">
            <w:pPr>
              <w:spacing w:after="20" w:line="260" w:lineRule="auto"/>
              <w:jc w:val="center"/>
            </w:pPr>
            <w:r>
              <w:rPr>
                <w:color w:val="000000"/>
                <w:sz w:val="22"/>
                <w:szCs w:val="22"/>
              </w:rPr>
              <w:t>0.940</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BA8D7B3" w14:textId="77777777" w:rsidR="00E0682E" w:rsidRDefault="00225CEE">
            <w:pPr>
              <w:spacing w:after="20" w:line="260" w:lineRule="auto"/>
              <w:jc w:val="center"/>
            </w:pPr>
            <w:r>
              <w:rPr>
                <w:color w:val="000000"/>
                <w:sz w:val="22"/>
                <w:szCs w:val="22"/>
              </w:rPr>
              <w:t>Reliable</w:t>
            </w:r>
          </w:p>
        </w:tc>
      </w:tr>
      <w:tr w:rsidR="00E0682E" w14:paraId="0014C852" w14:textId="77777777">
        <w:tc>
          <w:tcPr>
            <w:tcW w:w="4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3ECBB80" w14:textId="679E8207" w:rsidR="00E0682E" w:rsidRDefault="00225CEE">
            <w:pPr>
              <w:spacing w:after="20" w:line="260" w:lineRule="auto"/>
            </w:pPr>
            <w:r>
              <w:rPr>
                <w:color w:val="000000"/>
                <w:sz w:val="22"/>
                <w:szCs w:val="22"/>
              </w:rPr>
              <w:t>Grant programs</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BE1FD42"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7BDAC0F" w14:textId="77777777" w:rsidR="00E0682E" w:rsidRDefault="00225CEE">
            <w:pPr>
              <w:spacing w:after="20" w:line="260" w:lineRule="auto"/>
              <w:jc w:val="center"/>
            </w:pPr>
            <w:r>
              <w:rPr>
                <w:color w:val="000000"/>
                <w:sz w:val="22"/>
                <w:szCs w:val="22"/>
              </w:rPr>
              <w:t>0.927</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27EA88B" w14:textId="77777777" w:rsidR="00E0682E" w:rsidRDefault="00225CEE">
            <w:pPr>
              <w:spacing w:after="20" w:line="260" w:lineRule="auto"/>
              <w:jc w:val="center"/>
            </w:pPr>
            <w:r>
              <w:rPr>
                <w:color w:val="000000"/>
                <w:sz w:val="22"/>
                <w:szCs w:val="22"/>
              </w:rPr>
              <w:t>Reliable</w:t>
            </w:r>
          </w:p>
        </w:tc>
      </w:tr>
      <w:tr w:rsidR="00E0682E" w14:paraId="3772C3A3" w14:textId="77777777">
        <w:tc>
          <w:tcPr>
            <w:tcW w:w="4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55B3F4" w14:textId="77777777" w:rsidR="00E0682E" w:rsidRDefault="00225CEE">
            <w:pPr>
              <w:spacing w:after="20" w:line="260" w:lineRule="auto"/>
            </w:pPr>
            <w:r>
              <w:rPr>
                <w:color w:val="000000"/>
                <w:sz w:val="22"/>
                <w:szCs w:val="22"/>
              </w:rPr>
              <w:t>Financial literacy training</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AE55A07"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BBBA378" w14:textId="77777777" w:rsidR="00E0682E" w:rsidRDefault="00225CEE">
            <w:pPr>
              <w:spacing w:after="20" w:line="260" w:lineRule="auto"/>
              <w:jc w:val="center"/>
            </w:pPr>
            <w:r>
              <w:rPr>
                <w:color w:val="000000"/>
                <w:sz w:val="22"/>
                <w:szCs w:val="22"/>
              </w:rPr>
              <w:t>0.936</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87B2622" w14:textId="77777777" w:rsidR="00E0682E" w:rsidRDefault="00225CEE">
            <w:pPr>
              <w:spacing w:after="20" w:line="260" w:lineRule="auto"/>
              <w:jc w:val="center"/>
            </w:pPr>
            <w:r>
              <w:rPr>
                <w:color w:val="000000"/>
                <w:sz w:val="22"/>
                <w:szCs w:val="22"/>
              </w:rPr>
              <w:t>Reliable</w:t>
            </w:r>
          </w:p>
        </w:tc>
      </w:tr>
      <w:tr w:rsidR="00E0682E" w14:paraId="0C69E411" w14:textId="77777777">
        <w:tc>
          <w:tcPr>
            <w:tcW w:w="43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8C82386" w14:textId="77777777" w:rsidR="00E0682E" w:rsidRDefault="00225CEE">
            <w:pPr>
              <w:spacing w:after="20" w:line="260" w:lineRule="auto"/>
            </w:pPr>
            <w:r>
              <w:rPr>
                <w:color w:val="000000"/>
                <w:sz w:val="22"/>
                <w:szCs w:val="22"/>
              </w:rPr>
              <w:t>Financial growth of small businesses</w:t>
            </w:r>
          </w:p>
        </w:tc>
        <w:tc>
          <w:tcPr>
            <w:tcW w:w="13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107A751" w14:textId="77777777" w:rsidR="00E0682E" w:rsidRDefault="00225CEE">
            <w:pPr>
              <w:spacing w:after="20" w:line="260" w:lineRule="auto"/>
              <w:jc w:val="center"/>
            </w:pPr>
            <w:r>
              <w:rPr>
                <w:color w:val="000000"/>
                <w:sz w:val="22"/>
                <w:szCs w:val="22"/>
              </w:rPr>
              <w:t>6</w:t>
            </w:r>
          </w:p>
        </w:tc>
        <w:tc>
          <w:tcPr>
            <w:tcW w:w="19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DAAADE2" w14:textId="77777777" w:rsidR="00E0682E" w:rsidRDefault="00225CEE">
            <w:pPr>
              <w:spacing w:after="20" w:line="260" w:lineRule="auto"/>
              <w:jc w:val="center"/>
            </w:pPr>
            <w:r>
              <w:rPr>
                <w:color w:val="000000"/>
                <w:sz w:val="22"/>
                <w:szCs w:val="22"/>
              </w:rPr>
              <w:t>0.946</w:t>
            </w:r>
          </w:p>
        </w:tc>
        <w:tc>
          <w:tcPr>
            <w:tcW w:w="18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7DDA0AC" w14:textId="77777777" w:rsidR="00E0682E" w:rsidRDefault="00225CEE">
            <w:pPr>
              <w:spacing w:after="20" w:line="260" w:lineRule="auto"/>
              <w:jc w:val="center"/>
            </w:pPr>
            <w:r>
              <w:rPr>
                <w:color w:val="000000"/>
                <w:sz w:val="22"/>
                <w:szCs w:val="22"/>
              </w:rPr>
              <w:t>Reliable</w:t>
            </w:r>
          </w:p>
        </w:tc>
      </w:tr>
    </w:tbl>
    <w:p w14:paraId="555F2423" w14:textId="77777777" w:rsidR="00E0682E" w:rsidRDefault="00225CEE">
      <w:pPr>
        <w:spacing w:after="200"/>
      </w:pPr>
      <w:r>
        <w:rPr>
          <w:i/>
          <w:iCs/>
          <w:color w:val="000000"/>
        </w:rPr>
        <w:t>Source: Field data (2025)</w:t>
      </w:r>
    </w:p>
    <w:p w14:paraId="3DFA22E3" w14:textId="77777777" w:rsidR="00E0682E" w:rsidRDefault="00225CEE">
      <w:pPr>
        <w:spacing w:before="180" w:after="100"/>
      </w:pPr>
      <w:r>
        <w:rPr>
          <w:b/>
          <w:bCs/>
          <w:color w:val="000000"/>
          <w:sz w:val="24"/>
          <w:szCs w:val="24"/>
        </w:rPr>
        <w:t>3.6 Data Analysis</w:t>
      </w:r>
    </w:p>
    <w:p w14:paraId="401945F1" w14:textId="05648140" w:rsidR="00E0682E" w:rsidRDefault="00225CEE">
      <w:pPr>
        <w:spacing w:after="120"/>
        <w:jc w:val="both"/>
      </w:pPr>
      <w:r>
        <w:rPr>
          <w:color w:val="000000"/>
          <w:sz w:val="24"/>
          <w:szCs w:val="24"/>
        </w:rPr>
        <w:t xml:space="preserve">Completed questionnaires were coded and </w:t>
      </w:r>
      <w:r w:rsidR="00425849">
        <w:rPr>
          <w:color w:val="000000"/>
          <w:sz w:val="24"/>
          <w:szCs w:val="24"/>
        </w:rPr>
        <w:t>analyzed</w:t>
      </w:r>
      <w:r>
        <w:rPr>
          <w:color w:val="000000"/>
          <w:sz w:val="24"/>
          <w:szCs w:val="24"/>
        </w:rPr>
        <w:t xml:space="preserve"> in the Statistical Package for the Social Sciences (SPSS) version 26. Descriptive statistics, namely means and standard deviations, </w:t>
      </w:r>
      <w:r w:rsidR="00425849">
        <w:rPr>
          <w:color w:val="000000"/>
          <w:sz w:val="24"/>
          <w:szCs w:val="24"/>
        </w:rPr>
        <w:t>summarized</w:t>
      </w:r>
      <w:r>
        <w:rPr>
          <w:color w:val="000000"/>
          <w:sz w:val="24"/>
          <w:szCs w:val="24"/>
        </w:rPr>
        <w:t xml:space="preserve"> responses on each variable. Pearson correlation measured the strength and direction </w:t>
      </w:r>
      <w:r>
        <w:rPr>
          <w:color w:val="000000"/>
          <w:sz w:val="24"/>
          <w:szCs w:val="24"/>
        </w:rPr>
        <w:lastRenderedPageBreak/>
        <w:t>of the bivariate relationships, and multiple linear regression estimated the joint and individual effects of the four programs on financial growth using the model:</w:t>
      </w:r>
    </w:p>
    <w:p w14:paraId="249D0279" w14:textId="77777777" w:rsidR="00E0682E" w:rsidRDefault="00225CEE">
      <w:pPr>
        <w:spacing w:after="100"/>
        <w:jc w:val="center"/>
      </w:pPr>
      <w:r>
        <w:rPr>
          <w:color w:val="000000"/>
          <w:sz w:val="24"/>
          <w:szCs w:val="24"/>
        </w:rPr>
        <w:t>Y = β₀ + β₁X₁ + β₂X₂ + β₃X₃ + β₄X₄ + ε</w:t>
      </w:r>
    </w:p>
    <w:p w14:paraId="3674A038" w14:textId="7455AFCC" w:rsidR="00E0682E" w:rsidRDefault="00225CEE">
      <w:pPr>
        <w:spacing w:after="120"/>
        <w:jc w:val="both"/>
      </w:pPr>
      <w:r>
        <w:rPr>
          <w:color w:val="000000"/>
          <w:sz w:val="24"/>
          <w:szCs w:val="24"/>
        </w:rPr>
        <w:t xml:space="preserve">where Y is financial growth, X₁ is savings </w:t>
      </w:r>
      <w:r w:rsidR="00425849">
        <w:rPr>
          <w:color w:val="000000"/>
          <w:sz w:val="24"/>
          <w:szCs w:val="24"/>
        </w:rPr>
        <w:t>programs</w:t>
      </w:r>
      <w:r>
        <w:rPr>
          <w:color w:val="000000"/>
          <w:sz w:val="24"/>
          <w:szCs w:val="24"/>
        </w:rPr>
        <w:t xml:space="preserve">, X₂ is revolving loan funds, X₃ is grant </w:t>
      </w:r>
      <w:r w:rsidR="00425849">
        <w:rPr>
          <w:color w:val="000000"/>
          <w:sz w:val="24"/>
          <w:szCs w:val="24"/>
        </w:rPr>
        <w:t>programs</w:t>
      </w:r>
      <w:r>
        <w:rPr>
          <w:color w:val="000000"/>
          <w:sz w:val="24"/>
          <w:szCs w:val="24"/>
        </w:rPr>
        <w:t xml:space="preserve">, X₄ is financial literacy training, β₀ is the constant, β₁ to β₄ are the coefficients and ε is the error term. Before estimation, the data were screened for normality using the Shapiro-Wilk test, for multicollinearity using collinearity diagnostics, for homoscedasticity using the Breusch-Pagan test and for linearity using the lack-of-fit </w:t>
      </w:r>
      <w:r>
        <w:rPr>
          <w:i/>
          <w:iCs/>
          <w:color w:val="000000"/>
          <w:sz w:val="24"/>
          <w:szCs w:val="24"/>
        </w:rPr>
        <w:t>F</w:t>
      </w:r>
      <w:r>
        <w:rPr>
          <w:color w:val="000000"/>
          <w:sz w:val="24"/>
          <w:szCs w:val="24"/>
        </w:rPr>
        <w:t xml:space="preserve"> test.</w:t>
      </w:r>
    </w:p>
    <w:p w14:paraId="33334A07" w14:textId="77777777" w:rsidR="00E0682E" w:rsidRDefault="00225CEE">
      <w:pPr>
        <w:spacing w:before="180" w:after="100"/>
      </w:pPr>
      <w:r>
        <w:rPr>
          <w:b/>
          <w:bCs/>
          <w:color w:val="000000"/>
          <w:sz w:val="24"/>
          <w:szCs w:val="24"/>
        </w:rPr>
        <w:t>3.7 Ethical Considerations</w:t>
      </w:r>
    </w:p>
    <w:p w14:paraId="51ABC589" w14:textId="77777777" w:rsidR="00E0682E" w:rsidRDefault="00225CEE">
      <w:pPr>
        <w:spacing w:after="120"/>
        <w:jc w:val="both"/>
      </w:pPr>
      <w:r>
        <w:rPr>
          <w:color w:val="000000"/>
          <w:sz w:val="24"/>
          <w:szCs w:val="24"/>
        </w:rPr>
        <w:t>Participation was voluntary and based on written informed consent, with respondents told the purpose of the study and their right to withdraw at any point. Responses were coded to protect anonymity, only aggregated data were reported and all records were held in password protected files. Ethical clearance was obtained from the KCA University Ethics Review Committee, and a research permit was secured from the National Commission for Science, Technology and Innovation before fieldwork began.</w:t>
      </w:r>
    </w:p>
    <w:p w14:paraId="45C5EE30" w14:textId="77777777" w:rsidR="00E0682E" w:rsidRDefault="00225CEE">
      <w:pPr>
        <w:spacing w:before="240" w:after="120"/>
      </w:pPr>
      <w:r>
        <w:rPr>
          <w:b/>
          <w:bCs/>
          <w:color w:val="000000"/>
          <w:sz w:val="26"/>
          <w:szCs w:val="26"/>
        </w:rPr>
        <w:t>4. RESULTS AND DISCUSSION</w:t>
      </w:r>
    </w:p>
    <w:p w14:paraId="554F83F9" w14:textId="77777777" w:rsidR="00E0682E" w:rsidRDefault="00225CEE">
      <w:pPr>
        <w:spacing w:before="180" w:after="100"/>
      </w:pPr>
      <w:r>
        <w:rPr>
          <w:b/>
          <w:bCs/>
          <w:color w:val="000000"/>
          <w:sz w:val="24"/>
          <w:szCs w:val="24"/>
        </w:rPr>
        <w:t>4.1 Response Rate</w:t>
      </w:r>
    </w:p>
    <w:p w14:paraId="6686CDCF" w14:textId="77777777" w:rsidR="00E0682E" w:rsidRDefault="00225CEE">
      <w:pPr>
        <w:spacing w:after="120"/>
        <w:jc w:val="both"/>
      </w:pPr>
      <w:r>
        <w:rPr>
          <w:color w:val="000000"/>
          <w:sz w:val="24"/>
          <w:szCs w:val="24"/>
        </w:rPr>
        <w:t>Of the 96 questionnaires administered, 83 were completed and returned, a response rate of 86%, while 13 questionnaires (14%) were not returned. A response rate above 70% is considered very good for survey research of this kind (Mugenda &amp; Mugenda, 2003), so the returned instruments were judged adequate for analysis.</w:t>
      </w:r>
    </w:p>
    <w:p w14:paraId="5C925CAF" w14:textId="77777777" w:rsidR="00E0682E" w:rsidRDefault="00225CEE">
      <w:pPr>
        <w:spacing w:before="180" w:after="100"/>
      </w:pPr>
      <w:r>
        <w:rPr>
          <w:b/>
          <w:bCs/>
          <w:color w:val="000000"/>
          <w:sz w:val="24"/>
          <w:szCs w:val="24"/>
        </w:rPr>
        <w:t>4.2 Demographic Profile of Respondents</w:t>
      </w:r>
    </w:p>
    <w:p w14:paraId="75FA8149" w14:textId="493BBF6B" w:rsidR="00E0682E" w:rsidRDefault="00225CEE">
      <w:pPr>
        <w:spacing w:after="120"/>
        <w:jc w:val="both"/>
      </w:pPr>
      <w:r>
        <w:rPr>
          <w:color w:val="000000"/>
          <w:sz w:val="24"/>
          <w:szCs w:val="24"/>
        </w:rPr>
        <w:t xml:space="preserve">Table 3 </w:t>
      </w:r>
      <w:r w:rsidR="00425849">
        <w:rPr>
          <w:color w:val="000000"/>
          <w:sz w:val="24"/>
          <w:szCs w:val="24"/>
        </w:rPr>
        <w:t>summarizes</w:t>
      </w:r>
      <w:r>
        <w:rPr>
          <w:color w:val="000000"/>
          <w:sz w:val="24"/>
          <w:szCs w:val="24"/>
        </w:rPr>
        <w:t xml:space="preserve"> the profile of the 83 respondents. Gender was nearly balanced, with 43 men (51.8%) and 40 women (48.2%), which reduces the risk that the findings reflect the experience of one gender alone. Most respondents were seasoned operators: 41.0% had run their businesses for 12 to 17 years and a further 18.1% for 6 to 11 years, while only 10.8% had traded for less than a year. Education levels were modest but functional, with 48.2% holding diplomas, 24.1% ordinary level certificates and 19.3% bachelor's degrees. A sample of experienced and reasonably educated owner-managers can be expected to give informed assessments of funding </w:t>
      </w:r>
      <w:r w:rsidR="00425849">
        <w:rPr>
          <w:color w:val="000000"/>
          <w:sz w:val="24"/>
          <w:szCs w:val="24"/>
        </w:rPr>
        <w:t>programs</w:t>
      </w:r>
      <w:r>
        <w:rPr>
          <w:color w:val="000000"/>
          <w:sz w:val="24"/>
          <w:szCs w:val="24"/>
        </w:rPr>
        <w:t xml:space="preserve"> they have actually used (Creswell &amp; Creswell, 2018).</w:t>
      </w:r>
    </w:p>
    <w:p w14:paraId="263EB3F3" w14:textId="77777777" w:rsidR="00E0682E" w:rsidRDefault="00225CEE">
      <w:pPr>
        <w:spacing w:before="200" w:after="100"/>
        <w:jc w:val="center"/>
      </w:pPr>
      <w:r>
        <w:rPr>
          <w:b/>
          <w:bCs/>
          <w:color w:val="000000"/>
          <w:sz w:val="24"/>
          <w:szCs w:val="24"/>
        </w:rPr>
        <w:t xml:space="preserve">Table 3. </w:t>
      </w:r>
      <w:r>
        <w:rPr>
          <w:color w:val="000000"/>
          <w:sz w:val="24"/>
          <w:szCs w:val="24"/>
        </w:rPr>
        <w:t>Demographic characteristics of respondents (n = 83)</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gridCol w:w="3560"/>
        <w:gridCol w:w="1500"/>
        <w:gridCol w:w="1700"/>
      </w:tblGrid>
      <w:tr w:rsidR="00E0682E" w14:paraId="6E8934D3" w14:textId="77777777">
        <w:tc>
          <w:tcPr>
            <w:tcW w:w="26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E8A3071" w14:textId="77777777" w:rsidR="00E0682E" w:rsidRDefault="00225CEE">
            <w:pPr>
              <w:spacing w:after="20" w:line="260" w:lineRule="auto"/>
            </w:pPr>
            <w:r>
              <w:rPr>
                <w:b/>
                <w:bCs/>
                <w:color w:val="000000"/>
                <w:sz w:val="22"/>
                <w:szCs w:val="22"/>
              </w:rPr>
              <w:t>Characteristic</w:t>
            </w:r>
          </w:p>
        </w:tc>
        <w:tc>
          <w:tcPr>
            <w:tcW w:w="35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6713D9D" w14:textId="77777777" w:rsidR="00E0682E" w:rsidRDefault="00225CEE">
            <w:pPr>
              <w:spacing w:after="20" w:line="260" w:lineRule="auto"/>
            </w:pPr>
            <w:r>
              <w:rPr>
                <w:b/>
                <w:bCs/>
                <w:color w:val="000000"/>
                <w:sz w:val="22"/>
                <w:szCs w:val="22"/>
              </w:rPr>
              <w:t>Category</w:t>
            </w:r>
          </w:p>
        </w:tc>
        <w:tc>
          <w:tcPr>
            <w:tcW w:w="15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1556C5A" w14:textId="77777777" w:rsidR="00E0682E" w:rsidRDefault="00225CEE">
            <w:pPr>
              <w:spacing w:after="20" w:line="260" w:lineRule="auto"/>
              <w:jc w:val="center"/>
            </w:pPr>
            <w:r>
              <w:rPr>
                <w:b/>
                <w:bCs/>
                <w:color w:val="000000"/>
                <w:sz w:val="22"/>
                <w:szCs w:val="22"/>
              </w:rPr>
              <w:t>Frequency</w:t>
            </w:r>
          </w:p>
        </w:tc>
        <w:tc>
          <w:tcPr>
            <w:tcW w:w="1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52A9B01" w14:textId="77777777" w:rsidR="00E0682E" w:rsidRDefault="00225CEE">
            <w:pPr>
              <w:spacing w:after="20" w:line="260" w:lineRule="auto"/>
              <w:jc w:val="center"/>
            </w:pPr>
            <w:r>
              <w:rPr>
                <w:b/>
                <w:bCs/>
                <w:color w:val="000000"/>
                <w:sz w:val="22"/>
                <w:szCs w:val="22"/>
              </w:rPr>
              <w:t>Percentage</w:t>
            </w:r>
          </w:p>
        </w:tc>
      </w:tr>
      <w:tr w:rsidR="00E0682E" w14:paraId="0BFED94E"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0BC7D16" w14:textId="77777777" w:rsidR="00E0682E" w:rsidRDefault="00225CEE">
            <w:pPr>
              <w:spacing w:after="20" w:line="260" w:lineRule="auto"/>
            </w:pPr>
            <w:r>
              <w:rPr>
                <w:color w:val="000000"/>
                <w:sz w:val="22"/>
                <w:szCs w:val="22"/>
              </w:rPr>
              <w:t>Gender</w:t>
            </w: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A178756" w14:textId="77777777" w:rsidR="00E0682E" w:rsidRDefault="00225CEE">
            <w:pPr>
              <w:spacing w:after="20" w:line="260" w:lineRule="auto"/>
            </w:pPr>
            <w:r>
              <w:rPr>
                <w:color w:val="000000"/>
                <w:sz w:val="22"/>
                <w:szCs w:val="22"/>
              </w:rPr>
              <w:t>Male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3AFDFFB" w14:textId="77777777" w:rsidR="00E0682E" w:rsidRDefault="00225CEE">
            <w:pPr>
              <w:spacing w:after="20" w:line="260" w:lineRule="auto"/>
              <w:jc w:val="center"/>
            </w:pPr>
            <w:r>
              <w:rPr>
                <w:color w:val="000000"/>
                <w:sz w:val="22"/>
                <w:szCs w:val="22"/>
              </w:rPr>
              <w:t>43</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D309632" w14:textId="77777777" w:rsidR="00E0682E" w:rsidRDefault="00225CEE">
            <w:pPr>
              <w:spacing w:after="20" w:line="260" w:lineRule="auto"/>
              <w:jc w:val="center"/>
            </w:pPr>
            <w:r>
              <w:rPr>
                <w:color w:val="000000"/>
                <w:sz w:val="22"/>
                <w:szCs w:val="22"/>
              </w:rPr>
              <w:t>51.8</w:t>
            </w:r>
          </w:p>
        </w:tc>
      </w:tr>
      <w:tr w:rsidR="00E0682E" w14:paraId="44B24FD0"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AE33058"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8C283DA" w14:textId="77777777" w:rsidR="00E0682E" w:rsidRDefault="00225CEE">
            <w:pPr>
              <w:spacing w:after="20" w:line="260" w:lineRule="auto"/>
            </w:pPr>
            <w:r>
              <w:rPr>
                <w:color w:val="000000"/>
                <w:sz w:val="22"/>
                <w:szCs w:val="22"/>
              </w:rPr>
              <w:t>Female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948FA8B" w14:textId="77777777" w:rsidR="00E0682E" w:rsidRDefault="00225CEE">
            <w:pPr>
              <w:spacing w:after="20" w:line="260" w:lineRule="auto"/>
              <w:jc w:val="center"/>
            </w:pPr>
            <w:r>
              <w:rPr>
                <w:color w:val="000000"/>
                <w:sz w:val="22"/>
                <w:szCs w:val="22"/>
              </w:rPr>
              <w:t>40</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FC070BF" w14:textId="77777777" w:rsidR="00E0682E" w:rsidRDefault="00225CEE">
            <w:pPr>
              <w:spacing w:after="20" w:line="260" w:lineRule="auto"/>
              <w:jc w:val="center"/>
            </w:pPr>
            <w:r>
              <w:rPr>
                <w:color w:val="000000"/>
                <w:sz w:val="22"/>
                <w:szCs w:val="22"/>
              </w:rPr>
              <w:t>48.2</w:t>
            </w:r>
          </w:p>
        </w:tc>
      </w:tr>
      <w:tr w:rsidR="00E0682E" w14:paraId="3EF8FF41"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7ACC54B" w14:textId="77777777" w:rsidR="00E0682E" w:rsidRDefault="00225CEE">
            <w:pPr>
              <w:spacing w:after="20" w:line="260" w:lineRule="auto"/>
            </w:pPr>
            <w:r>
              <w:rPr>
                <w:color w:val="000000"/>
                <w:sz w:val="22"/>
                <w:szCs w:val="22"/>
              </w:rPr>
              <w:t>Period in business</w:t>
            </w: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A1982D9" w14:textId="77777777" w:rsidR="00E0682E" w:rsidRDefault="00225CEE">
            <w:pPr>
              <w:spacing w:after="20" w:line="260" w:lineRule="auto"/>
            </w:pPr>
            <w:r>
              <w:rPr>
                <w:color w:val="000000"/>
                <w:sz w:val="22"/>
                <w:szCs w:val="22"/>
              </w:rPr>
              <w:t>Below 1 year</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FBD85F1" w14:textId="77777777" w:rsidR="00E0682E" w:rsidRDefault="00225CEE">
            <w:pPr>
              <w:spacing w:after="20" w:line="260" w:lineRule="auto"/>
              <w:jc w:val="center"/>
            </w:pPr>
            <w:r>
              <w:rPr>
                <w:color w:val="000000"/>
                <w:sz w:val="22"/>
                <w:szCs w:val="22"/>
              </w:rPr>
              <w:t>9</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4C8307C" w14:textId="77777777" w:rsidR="00E0682E" w:rsidRDefault="00225CEE">
            <w:pPr>
              <w:spacing w:after="20" w:line="260" w:lineRule="auto"/>
              <w:jc w:val="center"/>
            </w:pPr>
            <w:r>
              <w:rPr>
                <w:color w:val="000000"/>
                <w:sz w:val="22"/>
                <w:szCs w:val="22"/>
              </w:rPr>
              <w:t>10.8</w:t>
            </w:r>
          </w:p>
        </w:tc>
      </w:tr>
      <w:tr w:rsidR="00E0682E" w14:paraId="1E7993E4"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1654457"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4FBB4BE" w14:textId="77777777" w:rsidR="00E0682E" w:rsidRDefault="00225CEE">
            <w:pPr>
              <w:spacing w:after="20" w:line="260" w:lineRule="auto"/>
            </w:pPr>
            <w:r>
              <w:rPr>
                <w:color w:val="000000"/>
                <w:sz w:val="22"/>
                <w:szCs w:val="22"/>
              </w:rPr>
              <w:t>1–5 years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751AFAB" w14:textId="77777777" w:rsidR="00E0682E" w:rsidRDefault="00225CEE">
            <w:pPr>
              <w:spacing w:after="20" w:line="260" w:lineRule="auto"/>
              <w:jc w:val="center"/>
            </w:pPr>
            <w:r>
              <w:rPr>
                <w:color w:val="000000"/>
                <w:sz w:val="22"/>
                <w:szCs w:val="22"/>
              </w:rPr>
              <w:t>13</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3CD1A5F" w14:textId="77777777" w:rsidR="00E0682E" w:rsidRDefault="00225CEE">
            <w:pPr>
              <w:spacing w:after="20" w:line="260" w:lineRule="auto"/>
              <w:jc w:val="center"/>
            </w:pPr>
            <w:r>
              <w:rPr>
                <w:color w:val="000000"/>
                <w:sz w:val="22"/>
                <w:szCs w:val="22"/>
              </w:rPr>
              <w:t>15.7</w:t>
            </w:r>
          </w:p>
        </w:tc>
      </w:tr>
      <w:tr w:rsidR="00E0682E" w14:paraId="6F525F49"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92B6287"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06FA092" w14:textId="77777777" w:rsidR="00E0682E" w:rsidRDefault="00225CEE">
            <w:pPr>
              <w:spacing w:after="20" w:line="260" w:lineRule="auto"/>
            </w:pPr>
            <w:r>
              <w:rPr>
                <w:color w:val="000000"/>
                <w:sz w:val="22"/>
                <w:szCs w:val="22"/>
              </w:rPr>
              <w:t>6–11 years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56FDE79" w14:textId="77777777" w:rsidR="00E0682E" w:rsidRDefault="00225CEE">
            <w:pPr>
              <w:spacing w:after="20" w:line="260" w:lineRule="auto"/>
              <w:jc w:val="center"/>
            </w:pPr>
            <w:r>
              <w:rPr>
                <w:color w:val="000000"/>
                <w:sz w:val="22"/>
                <w:szCs w:val="22"/>
              </w:rPr>
              <w:t>15</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FB6B535" w14:textId="77777777" w:rsidR="00E0682E" w:rsidRDefault="00225CEE">
            <w:pPr>
              <w:spacing w:after="20" w:line="260" w:lineRule="auto"/>
              <w:jc w:val="center"/>
            </w:pPr>
            <w:r>
              <w:rPr>
                <w:color w:val="000000"/>
                <w:sz w:val="22"/>
                <w:szCs w:val="22"/>
              </w:rPr>
              <w:t>18.1</w:t>
            </w:r>
          </w:p>
        </w:tc>
      </w:tr>
      <w:tr w:rsidR="00E0682E" w14:paraId="3D18FD2C"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61E53BA"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47EE91B" w14:textId="77777777" w:rsidR="00E0682E" w:rsidRDefault="00225CEE">
            <w:pPr>
              <w:spacing w:after="20" w:line="260" w:lineRule="auto"/>
            </w:pPr>
            <w:r>
              <w:rPr>
                <w:color w:val="000000"/>
                <w:sz w:val="22"/>
                <w:szCs w:val="22"/>
              </w:rPr>
              <w:t>12–17 years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3C15ED0" w14:textId="77777777" w:rsidR="00E0682E" w:rsidRDefault="00225CEE">
            <w:pPr>
              <w:spacing w:after="20" w:line="260" w:lineRule="auto"/>
              <w:jc w:val="center"/>
            </w:pPr>
            <w:r>
              <w:rPr>
                <w:color w:val="000000"/>
                <w:sz w:val="22"/>
                <w:szCs w:val="22"/>
              </w:rPr>
              <w:t>34</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C5F3FA3" w14:textId="77777777" w:rsidR="00E0682E" w:rsidRDefault="00225CEE">
            <w:pPr>
              <w:spacing w:after="20" w:line="260" w:lineRule="auto"/>
              <w:jc w:val="center"/>
            </w:pPr>
            <w:r>
              <w:rPr>
                <w:color w:val="000000"/>
                <w:sz w:val="22"/>
                <w:szCs w:val="22"/>
              </w:rPr>
              <w:t>41.0</w:t>
            </w:r>
          </w:p>
        </w:tc>
      </w:tr>
      <w:tr w:rsidR="00E0682E" w14:paraId="2839E94D"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2B55A3A"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253235D" w14:textId="77777777" w:rsidR="00E0682E" w:rsidRDefault="00225CEE">
            <w:pPr>
              <w:spacing w:after="20" w:line="260" w:lineRule="auto"/>
            </w:pPr>
            <w:r>
              <w:rPr>
                <w:color w:val="000000"/>
                <w:sz w:val="22"/>
                <w:szCs w:val="22"/>
              </w:rPr>
              <w:t>Over 17 years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A80546B" w14:textId="77777777" w:rsidR="00E0682E" w:rsidRDefault="00225CEE">
            <w:pPr>
              <w:spacing w:after="20" w:line="260" w:lineRule="auto"/>
              <w:jc w:val="center"/>
            </w:pPr>
            <w:r>
              <w:rPr>
                <w:color w:val="000000"/>
                <w:sz w:val="22"/>
                <w:szCs w:val="22"/>
              </w:rPr>
              <w:t>12</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336F19" w14:textId="77777777" w:rsidR="00E0682E" w:rsidRDefault="00225CEE">
            <w:pPr>
              <w:spacing w:after="20" w:line="260" w:lineRule="auto"/>
              <w:jc w:val="center"/>
            </w:pPr>
            <w:r>
              <w:rPr>
                <w:color w:val="000000"/>
                <w:sz w:val="22"/>
                <w:szCs w:val="22"/>
              </w:rPr>
              <w:t>14.5</w:t>
            </w:r>
          </w:p>
        </w:tc>
      </w:tr>
      <w:tr w:rsidR="00E0682E" w14:paraId="04A988C4"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0B7F2EF" w14:textId="77777777" w:rsidR="00E0682E" w:rsidRDefault="00225CEE">
            <w:pPr>
              <w:spacing w:after="20" w:line="260" w:lineRule="auto"/>
            </w:pPr>
            <w:r>
              <w:rPr>
                <w:color w:val="000000"/>
                <w:sz w:val="22"/>
                <w:szCs w:val="22"/>
              </w:rPr>
              <w:t>Highest education level</w:t>
            </w: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BEF8B00" w14:textId="77777777" w:rsidR="00E0682E" w:rsidRDefault="00225CEE">
            <w:pPr>
              <w:spacing w:after="20" w:line="260" w:lineRule="auto"/>
            </w:pPr>
            <w:r>
              <w:rPr>
                <w:color w:val="000000"/>
                <w:sz w:val="22"/>
                <w:szCs w:val="22"/>
              </w:rPr>
              <w:t>Ordinary level</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FB4401C" w14:textId="77777777" w:rsidR="00E0682E" w:rsidRDefault="00225CEE">
            <w:pPr>
              <w:spacing w:after="20" w:line="260" w:lineRule="auto"/>
              <w:jc w:val="center"/>
            </w:pPr>
            <w:r>
              <w:rPr>
                <w:color w:val="000000"/>
                <w:sz w:val="22"/>
                <w:szCs w:val="22"/>
              </w:rPr>
              <w:t>20</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10C6C74" w14:textId="77777777" w:rsidR="00E0682E" w:rsidRDefault="00225CEE">
            <w:pPr>
              <w:spacing w:after="20" w:line="260" w:lineRule="auto"/>
              <w:jc w:val="center"/>
            </w:pPr>
            <w:r>
              <w:rPr>
                <w:color w:val="000000"/>
                <w:sz w:val="22"/>
                <w:szCs w:val="22"/>
              </w:rPr>
              <w:t>24.1</w:t>
            </w:r>
          </w:p>
        </w:tc>
      </w:tr>
      <w:tr w:rsidR="00E0682E" w14:paraId="269E9292"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6F08CF5"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55C9755" w14:textId="77777777" w:rsidR="00E0682E" w:rsidRDefault="00225CEE">
            <w:pPr>
              <w:spacing w:after="20" w:line="260" w:lineRule="auto"/>
            </w:pPr>
            <w:r>
              <w:rPr>
                <w:color w:val="000000"/>
                <w:sz w:val="22"/>
                <w:szCs w:val="22"/>
              </w:rPr>
              <w:t>Diploma</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C2642F6" w14:textId="77777777" w:rsidR="00E0682E" w:rsidRDefault="00225CEE">
            <w:pPr>
              <w:spacing w:after="20" w:line="260" w:lineRule="auto"/>
              <w:jc w:val="center"/>
            </w:pPr>
            <w:r>
              <w:rPr>
                <w:color w:val="000000"/>
                <w:sz w:val="22"/>
                <w:szCs w:val="22"/>
              </w:rPr>
              <w:t>40</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2E3C236" w14:textId="77777777" w:rsidR="00E0682E" w:rsidRDefault="00225CEE">
            <w:pPr>
              <w:spacing w:after="20" w:line="260" w:lineRule="auto"/>
              <w:jc w:val="center"/>
            </w:pPr>
            <w:r>
              <w:rPr>
                <w:color w:val="000000"/>
                <w:sz w:val="22"/>
                <w:szCs w:val="22"/>
              </w:rPr>
              <w:t>48.2</w:t>
            </w:r>
          </w:p>
        </w:tc>
      </w:tr>
      <w:tr w:rsidR="00E0682E" w14:paraId="5A9D80B9"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C69B5BE"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E6E1788" w14:textId="77777777" w:rsidR="00E0682E" w:rsidRDefault="00225CEE">
            <w:pPr>
              <w:spacing w:after="20" w:line="260" w:lineRule="auto"/>
            </w:pPr>
            <w:r>
              <w:rPr>
                <w:color w:val="000000"/>
                <w:sz w:val="22"/>
                <w:szCs w:val="22"/>
              </w:rPr>
              <w:t>Bachelor's degree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089B0A0" w14:textId="77777777" w:rsidR="00E0682E" w:rsidRDefault="00225CEE">
            <w:pPr>
              <w:spacing w:after="20" w:line="260" w:lineRule="auto"/>
              <w:jc w:val="center"/>
            </w:pPr>
            <w:r>
              <w:rPr>
                <w:color w:val="000000"/>
                <w:sz w:val="22"/>
                <w:szCs w:val="22"/>
              </w:rPr>
              <w:t>16</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D49931D" w14:textId="77777777" w:rsidR="00E0682E" w:rsidRDefault="00225CEE">
            <w:pPr>
              <w:spacing w:after="20" w:line="260" w:lineRule="auto"/>
              <w:jc w:val="center"/>
            </w:pPr>
            <w:r>
              <w:rPr>
                <w:color w:val="000000"/>
                <w:sz w:val="22"/>
                <w:szCs w:val="22"/>
              </w:rPr>
              <w:t>19.3</w:t>
            </w:r>
          </w:p>
        </w:tc>
      </w:tr>
      <w:tr w:rsidR="00E0682E" w14:paraId="11BC5689" w14:textId="77777777">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7601418" w14:textId="77777777" w:rsidR="00E0682E" w:rsidRDefault="00E0682E">
            <w:pPr>
              <w:spacing w:after="20" w:line="260" w:lineRule="auto"/>
            </w:pPr>
          </w:p>
        </w:tc>
        <w:tc>
          <w:tcPr>
            <w:tcW w:w="3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BEFC338" w14:textId="77777777" w:rsidR="00E0682E" w:rsidRDefault="00225CEE">
            <w:pPr>
              <w:spacing w:after="20" w:line="260" w:lineRule="auto"/>
            </w:pPr>
            <w:r>
              <w:rPr>
                <w:color w:val="000000"/>
                <w:sz w:val="22"/>
                <w:szCs w:val="22"/>
              </w:rPr>
              <w:t>Master's degree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2127C3" w14:textId="77777777" w:rsidR="00E0682E" w:rsidRDefault="00225CEE">
            <w:pPr>
              <w:spacing w:after="20" w:line="260" w:lineRule="auto"/>
              <w:jc w:val="center"/>
            </w:pPr>
            <w:r>
              <w:rPr>
                <w:color w:val="000000"/>
                <w:sz w:val="22"/>
                <w:szCs w:val="22"/>
              </w:rPr>
              <w:t>4</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AFF5DBF" w14:textId="77777777" w:rsidR="00E0682E" w:rsidRDefault="00225CEE">
            <w:pPr>
              <w:spacing w:after="20" w:line="260" w:lineRule="auto"/>
              <w:jc w:val="center"/>
            </w:pPr>
            <w:r>
              <w:rPr>
                <w:color w:val="000000"/>
                <w:sz w:val="22"/>
                <w:szCs w:val="22"/>
              </w:rPr>
              <w:t>4.8</w:t>
            </w:r>
          </w:p>
        </w:tc>
      </w:tr>
      <w:tr w:rsidR="00E0682E" w14:paraId="6CADEC7E" w14:textId="77777777">
        <w:tc>
          <w:tcPr>
            <w:tcW w:w="26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15079B3" w14:textId="77777777" w:rsidR="00E0682E" w:rsidRDefault="00E0682E">
            <w:pPr>
              <w:spacing w:after="20" w:line="260" w:lineRule="auto"/>
            </w:pPr>
          </w:p>
        </w:tc>
        <w:tc>
          <w:tcPr>
            <w:tcW w:w="35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75976C9" w14:textId="77777777" w:rsidR="00E0682E" w:rsidRDefault="00225CEE">
            <w:pPr>
              <w:spacing w:after="20" w:line="260" w:lineRule="auto"/>
            </w:pPr>
            <w:r>
              <w:rPr>
                <w:color w:val="000000"/>
                <w:sz w:val="22"/>
                <w:szCs w:val="22"/>
              </w:rPr>
              <w:t>Other certifications</w:t>
            </w:r>
          </w:p>
        </w:tc>
        <w:tc>
          <w:tcPr>
            <w:tcW w:w="15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E2EBDB0" w14:textId="77777777" w:rsidR="00E0682E" w:rsidRDefault="00225CEE">
            <w:pPr>
              <w:spacing w:after="20" w:line="260" w:lineRule="auto"/>
              <w:jc w:val="center"/>
            </w:pPr>
            <w:r>
              <w:rPr>
                <w:color w:val="000000"/>
                <w:sz w:val="22"/>
                <w:szCs w:val="22"/>
              </w:rPr>
              <w:t>3</w:t>
            </w:r>
          </w:p>
        </w:tc>
        <w:tc>
          <w:tcPr>
            <w:tcW w:w="1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22FBE8D" w14:textId="77777777" w:rsidR="00E0682E" w:rsidRDefault="00225CEE">
            <w:pPr>
              <w:spacing w:after="20" w:line="260" w:lineRule="auto"/>
              <w:jc w:val="center"/>
            </w:pPr>
            <w:r>
              <w:rPr>
                <w:color w:val="000000"/>
                <w:sz w:val="22"/>
                <w:szCs w:val="22"/>
              </w:rPr>
              <w:t>3.6</w:t>
            </w:r>
          </w:p>
        </w:tc>
      </w:tr>
    </w:tbl>
    <w:p w14:paraId="675687FB" w14:textId="77777777" w:rsidR="00E0682E" w:rsidRDefault="00225CEE">
      <w:pPr>
        <w:spacing w:after="200"/>
      </w:pPr>
      <w:r>
        <w:rPr>
          <w:i/>
          <w:iCs/>
          <w:color w:val="000000"/>
        </w:rPr>
        <w:t>Source: Field data (2025)</w:t>
      </w:r>
    </w:p>
    <w:p w14:paraId="7DABA77C" w14:textId="77777777" w:rsidR="00E0682E" w:rsidRDefault="00225CEE">
      <w:pPr>
        <w:spacing w:before="180" w:after="100"/>
      </w:pPr>
      <w:r>
        <w:rPr>
          <w:b/>
          <w:bCs/>
          <w:color w:val="000000"/>
          <w:sz w:val="24"/>
          <w:szCs w:val="24"/>
        </w:rPr>
        <w:t>4.3 Descriptive Analysis of Study Variables</w:t>
      </w:r>
    </w:p>
    <w:p w14:paraId="3D453130" w14:textId="5C1DFD47" w:rsidR="00E0682E" w:rsidRDefault="00225CEE">
      <w:pPr>
        <w:spacing w:before="160" w:after="80"/>
      </w:pPr>
      <w:r>
        <w:rPr>
          <w:b/>
          <w:bCs/>
          <w:i/>
          <w:iCs/>
          <w:color w:val="000000"/>
          <w:sz w:val="24"/>
          <w:szCs w:val="24"/>
        </w:rPr>
        <w:t xml:space="preserve">4.3.1 Savings </w:t>
      </w:r>
      <w:r w:rsidR="00425849">
        <w:rPr>
          <w:b/>
          <w:bCs/>
          <w:i/>
          <w:iCs/>
          <w:color w:val="000000"/>
          <w:sz w:val="24"/>
          <w:szCs w:val="24"/>
        </w:rPr>
        <w:t>programs</w:t>
      </w:r>
    </w:p>
    <w:p w14:paraId="227CE311" w14:textId="13DE692C" w:rsidR="00E0682E" w:rsidRDefault="00225CEE">
      <w:pPr>
        <w:spacing w:after="120"/>
        <w:jc w:val="both"/>
      </w:pPr>
      <w:r>
        <w:rPr>
          <w:color w:val="000000"/>
          <w:sz w:val="24"/>
          <w:szCs w:val="24"/>
        </w:rPr>
        <w:t xml:space="preserve">Table 4 reports responses on savings </w:t>
      </w:r>
      <w:r w:rsidR="00425849">
        <w:rPr>
          <w:color w:val="000000"/>
          <w:sz w:val="24"/>
          <w:szCs w:val="24"/>
        </w:rPr>
        <w:t>programs</w:t>
      </w:r>
      <w:r>
        <w:rPr>
          <w:color w:val="000000"/>
          <w:sz w:val="24"/>
          <w:szCs w:val="24"/>
        </w:rPr>
        <w:t>. Item means clustered in a narrow band between 2.88 and 2.94 on the five-point scale, with standard deviations of 0.739 to 0.841, indicating that respondents were, on balance, neutral to mildly positive about the schemes. The highest rated item concerned flexible withdrawal policies (</w:t>
      </w:r>
      <w:r>
        <w:rPr>
          <w:i/>
          <w:iCs/>
          <w:color w:val="000000"/>
          <w:sz w:val="24"/>
          <w:szCs w:val="24"/>
        </w:rPr>
        <w:t>M</w:t>
      </w:r>
      <w:r>
        <w:rPr>
          <w:color w:val="000000"/>
          <w:sz w:val="24"/>
          <w:szCs w:val="24"/>
        </w:rPr>
        <w:t xml:space="preserve"> = 2.94, </w:t>
      </w:r>
      <w:r>
        <w:rPr>
          <w:i/>
          <w:iCs/>
          <w:color w:val="000000"/>
          <w:sz w:val="24"/>
          <w:szCs w:val="24"/>
        </w:rPr>
        <w:t>SD</w:t>
      </w:r>
      <w:r>
        <w:rPr>
          <w:color w:val="000000"/>
          <w:sz w:val="24"/>
          <w:szCs w:val="24"/>
        </w:rPr>
        <w:t xml:space="preserve"> = 0.755), while the lowest concerned long program durations (</w:t>
      </w:r>
      <w:r>
        <w:rPr>
          <w:i/>
          <w:iCs/>
          <w:color w:val="000000"/>
          <w:sz w:val="24"/>
          <w:szCs w:val="24"/>
        </w:rPr>
        <w:t>M</w:t>
      </w:r>
      <w:r>
        <w:rPr>
          <w:color w:val="000000"/>
          <w:sz w:val="24"/>
          <w:szCs w:val="24"/>
        </w:rPr>
        <w:t xml:space="preserve"> = 2.88, </w:t>
      </w:r>
      <w:r>
        <w:rPr>
          <w:i/>
          <w:iCs/>
          <w:color w:val="000000"/>
          <w:sz w:val="24"/>
          <w:szCs w:val="24"/>
        </w:rPr>
        <w:t>SD</w:t>
      </w:r>
      <w:r>
        <w:rPr>
          <w:color w:val="000000"/>
          <w:sz w:val="24"/>
          <w:szCs w:val="24"/>
        </w:rPr>
        <w:t xml:space="preserve"> = 0.739). Read together, the pattern suggests that owner-managers value savings facilities mainly to the extent that funds remain reachable, and that rules which lock capital away for long periods are experienced as a constraint rather than a benefit. Similar tensions between accumulation and liquidity have been observed in cooperative savings arrangements in Indonesia (Perkasa et al., 2024) and in internal savings and lending schemes in Zimbabwe, where accessibility largely determined whether savings supported enterprise growth (Ndhlovu et al., 2024).</w:t>
      </w:r>
    </w:p>
    <w:p w14:paraId="2C1FDAD8" w14:textId="75760D5C" w:rsidR="00E0682E" w:rsidRDefault="00225CEE">
      <w:pPr>
        <w:spacing w:before="200" w:after="100"/>
        <w:jc w:val="center"/>
      </w:pPr>
      <w:r>
        <w:rPr>
          <w:b/>
          <w:bCs/>
          <w:color w:val="000000"/>
          <w:sz w:val="24"/>
          <w:szCs w:val="24"/>
        </w:rPr>
        <w:t xml:space="preserve">Table 4. </w:t>
      </w:r>
      <w:r>
        <w:rPr>
          <w:color w:val="000000"/>
          <w:sz w:val="24"/>
          <w:szCs w:val="24"/>
        </w:rPr>
        <w:t xml:space="preserve">Descriptive statistics for savings </w:t>
      </w:r>
      <w:r w:rsidR="00425849">
        <w:rPr>
          <w:color w:val="000000"/>
          <w:sz w:val="24"/>
          <w:szCs w:val="24"/>
        </w:rPr>
        <w:t>programs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60"/>
        <w:gridCol w:w="700"/>
        <w:gridCol w:w="700"/>
        <w:gridCol w:w="700"/>
        <w:gridCol w:w="1000"/>
        <w:gridCol w:w="1100"/>
      </w:tblGrid>
      <w:tr w:rsidR="00E0682E" w14:paraId="7647442A" w14:textId="77777777">
        <w:tc>
          <w:tcPr>
            <w:tcW w:w="5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D1B57E0" w14:textId="77777777" w:rsidR="00E0682E" w:rsidRDefault="00225CEE">
            <w:pPr>
              <w:spacing w:after="20" w:line="260" w:lineRule="auto"/>
            </w:pPr>
            <w:r>
              <w:rPr>
                <w:b/>
                <w:bCs/>
                <w:color w:val="000000"/>
                <w:sz w:val="22"/>
                <w:szCs w:val="22"/>
              </w:rPr>
              <w:t>Statement</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7D070A2F" w14:textId="77777777" w:rsidR="00E0682E" w:rsidRDefault="00225CEE">
            <w:pPr>
              <w:spacing w:after="20" w:line="260" w:lineRule="auto"/>
              <w:jc w:val="center"/>
            </w:pPr>
            <w:r>
              <w:rPr>
                <w:b/>
                <w:bCs/>
                <w:color w:val="000000"/>
                <w:sz w:val="22"/>
                <w:szCs w:val="22"/>
              </w:rPr>
              <w:t>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21E96CD" w14:textId="77777777" w:rsidR="00E0682E" w:rsidRDefault="00225CEE">
            <w:pPr>
              <w:spacing w:after="20" w:line="260" w:lineRule="auto"/>
              <w:jc w:val="center"/>
            </w:pPr>
            <w:r>
              <w:rPr>
                <w:b/>
                <w:bCs/>
                <w:color w:val="000000"/>
                <w:sz w:val="22"/>
                <w:szCs w:val="22"/>
              </w:rPr>
              <w:t>Min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A8BF557" w14:textId="77777777" w:rsidR="00E0682E" w:rsidRDefault="00225CEE">
            <w:pPr>
              <w:spacing w:after="20" w:line="260" w:lineRule="auto"/>
              <w:jc w:val="center"/>
            </w:pPr>
            <w:r>
              <w:rPr>
                <w:b/>
                <w:bCs/>
                <w:color w:val="000000"/>
                <w:sz w:val="22"/>
                <w:szCs w:val="22"/>
              </w:rPr>
              <w:t>Max</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64FCD4B" w14:textId="77777777" w:rsidR="00E0682E" w:rsidRDefault="00225CEE">
            <w:pPr>
              <w:spacing w:after="20" w:line="260" w:lineRule="auto"/>
              <w:jc w:val="center"/>
            </w:pPr>
            <w:r>
              <w:rPr>
                <w:b/>
                <w:bCs/>
                <w:color w:val="000000"/>
                <w:sz w:val="22"/>
                <w:szCs w:val="22"/>
              </w:rPr>
              <w:t>Mean</w:t>
            </w:r>
          </w:p>
        </w:tc>
        <w:tc>
          <w:tcPr>
            <w:tcW w:w="11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E83830C" w14:textId="77777777" w:rsidR="00E0682E" w:rsidRDefault="00225CEE">
            <w:pPr>
              <w:spacing w:after="20" w:line="260" w:lineRule="auto"/>
              <w:jc w:val="center"/>
            </w:pPr>
            <w:r>
              <w:rPr>
                <w:b/>
                <w:bCs/>
                <w:color w:val="000000"/>
                <w:sz w:val="22"/>
                <w:szCs w:val="22"/>
              </w:rPr>
              <w:t>SD</w:t>
            </w:r>
          </w:p>
        </w:tc>
      </w:tr>
      <w:tr w:rsidR="00E0682E" w14:paraId="5B430458"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70EF32C" w14:textId="77777777" w:rsidR="00E0682E" w:rsidRDefault="00225CEE">
            <w:pPr>
              <w:spacing w:after="20" w:line="260" w:lineRule="auto"/>
            </w:pPr>
            <w:r>
              <w:rPr>
                <w:color w:val="000000"/>
                <w:sz w:val="22"/>
                <w:szCs w:val="22"/>
              </w:rPr>
              <w:t>A higher contribution amount helps businesses cushion against economic shocks such as inflation</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393B8D4"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5264853"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B1718B"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A5DAFBA" w14:textId="77777777" w:rsidR="00E0682E" w:rsidRDefault="00225CEE">
            <w:pPr>
              <w:spacing w:after="20" w:line="260" w:lineRule="auto"/>
              <w:jc w:val="center"/>
            </w:pPr>
            <w:r>
              <w:rPr>
                <w:color w:val="000000"/>
                <w:sz w:val="22"/>
                <w:szCs w:val="22"/>
              </w:rPr>
              <w:t>2.93</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72B17F6" w14:textId="77777777" w:rsidR="00E0682E" w:rsidRDefault="00225CEE">
            <w:pPr>
              <w:spacing w:after="20" w:line="260" w:lineRule="auto"/>
              <w:jc w:val="center"/>
            </w:pPr>
            <w:r>
              <w:rPr>
                <w:color w:val="000000"/>
                <w:sz w:val="22"/>
                <w:szCs w:val="22"/>
              </w:rPr>
              <w:t>0.777</w:t>
            </w:r>
          </w:p>
        </w:tc>
      </w:tr>
      <w:tr w:rsidR="00E0682E" w14:paraId="6587602E"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50A84DA" w14:textId="77777777" w:rsidR="00E0682E" w:rsidRDefault="00225CEE">
            <w:pPr>
              <w:spacing w:after="20" w:line="260" w:lineRule="auto"/>
            </w:pPr>
            <w:r>
              <w:rPr>
                <w:color w:val="000000"/>
                <w:sz w:val="22"/>
                <w:szCs w:val="22"/>
              </w:rPr>
              <w:t>NGOs that provide larger contributions or guarantee loans help businesses build creditworthiness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F9773B6"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03F0920"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D4DDBC8"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EF54241" w14:textId="77777777" w:rsidR="00E0682E" w:rsidRDefault="00225CEE">
            <w:pPr>
              <w:spacing w:after="20" w:line="260" w:lineRule="auto"/>
              <w:jc w:val="center"/>
            </w:pPr>
            <w:r>
              <w:rPr>
                <w:color w:val="000000"/>
                <w:sz w:val="22"/>
                <w:szCs w:val="22"/>
              </w:rPr>
              <w:t>2.89</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1FB6CBD" w14:textId="77777777" w:rsidR="00E0682E" w:rsidRDefault="00225CEE">
            <w:pPr>
              <w:spacing w:after="20" w:line="260" w:lineRule="auto"/>
              <w:jc w:val="center"/>
            </w:pPr>
            <w:r>
              <w:rPr>
                <w:color w:val="000000"/>
                <w:sz w:val="22"/>
                <w:szCs w:val="22"/>
              </w:rPr>
              <w:t>0.765</w:t>
            </w:r>
          </w:p>
        </w:tc>
      </w:tr>
      <w:tr w:rsidR="00E0682E" w14:paraId="2B822563"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581B688" w14:textId="77777777" w:rsidR="00E0682E" w:rsidRDefault="00225CEE">
            <w:pPr>
              <w:spacing w:after="20" w:line="260" w:lineRule="auto"/>
            </w:pPr>
            <w:r>
              <w:rPr>
                <w:color w:val="000000"/>
                <w:sz w:val="22"/>
                <w:szCs w:val="22"/>
              </w:rPr>
              <w:t>Strict withdrawal rules may limit access to funds when businesses need immediate capital for operations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C442F83"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EDF7F98"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F2EBD3D"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F1EB0E3" w14:textId="77777777" w:rsidR="00E0682E" w:rsidRDefault="00225CEE">
            <w:pPr>
              <w:spacing w:after="20" w:line="260" w:lineRule="auto"/>
              <w:jc w:val="center"/>
            </w:pPr>
            <w:r>
              <w:rPr>
                <w:color w:val="000000"/>
                <w:sz w:val="22"/>
                <w:szCs w:val="22"/>
              </w:rPr>
              <w:t>2.92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774EBAE" w14:textId="77777777" w:rsidR="00E0682E" w:rsidRDefault="00225CEE">
            <w:pPr>
              <w:spacing w:after="20" w:line="260" w:lineRule="auto"/>
              <w:jc w:val="center"/>
            </w:pPr>
            <w:r>
              <w:rPr>
                <w:color w:val="000000"/>
                <w:sz w:val="22"/>
                <w:szCs w:val="22"/>
              </w:rPr>
              <w:t>0.752</w:t>
            </w:r>
          </w:p>
        </w:tc>
      </w:tr>
      <w:tr w:rsidR="00E0682E" w14:paraId="7105A0E4"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AE12321" w14:textId="77777777" w:rsidR="00E0682E" w:rsidRDefault="00225CEE">
            <w:pPr>
              <w:spacing w:after="20" w:line="260" w:lineRule="auto"/>
            </w:pPr>
            <w:r>
              <w:rPr>
                <w:color w:val="000000"/>
                <w:sz w:val="22"/>
                <w:szCs w:val="22"/>
              </w:rPr>
              <w:t>Flexible withdrawal policies allow businesses to access funds when needed, ensuring smooth operations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A0D6C7F"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008373B"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63B85E8"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48D0D51" w14:textId="77777777" w:rsidR="00E0682E" w:rsidRDefault="00225CEE">
            <w:pPr>
              <w:spacing w:after="20" w:line="260" w:lineRule="auto"/>
              <w:jc w:val="center"/>
            </w:pPr>
            <w:r>
              <w:rPr>
                <w:color w:val="000000"/>
                <w:sz w:val="22"/>
                <w:szCs w:val="22"/>
              </w:rPr>
              <w:t>2.94</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244B5F8" w14:textId="77777777" w:rsidR="00E0682E" w:rsidRDefault="00225CEE">
            <w:pPr>
              <w:spacing w:after="20" w:line="260" w:lineRule="auto"/>
              <w:jc w:val="center"/>
            </w:pPr>
            <w:r>
              <w:rPr>
                <w:color w:val="000000"/>
                <w:sz w:val="22"/>
                <w:szCs w:val="22"/>
              </w:rPr>
              <w:t>0.755</w:t>
            </w:r>
          </w:p>
        </w:tc>
      </w:tr>
      <w:tr w:rsidR="00E0682E" w14:paraId="6C424846"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FFA34B3" w14:textId="00ABD523" w:rsidR="00E0682E" w:rsidRDefault="00225CEE">
            <w:pPr>
              <w:spacing w:after="20" w:line="260" w:lineRule="auto"/>
            </w:pPr>
            <w:r>
              <w:rPr>
                <w:color w:val="000000"/>
                <w:sz w:val="22"/>
                <w:szCs w:val="22"/>
              </w:rPr>
              <w:t>Longer program durations allow businesses to accumulate more savings, leading to larger investment capital</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CC4AA31"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FC1FAAE"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FBAE018"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F33CE5D" w14:textId="77777777" w:rsidR="00E0682E" w:rsidRDefault="00225CEE">
            <w:pPr>
              <w:spacing w:after="20" w:line="260" w:lineRule="auto"/>
              <w:jc w:val="center"/>
            </w:pPr>
            <w:r>
              <w:rPr>
                <w:color w:val="000000"/>
                <w:sz w:val="22"/>
                <w:szCs w:val="22"/>
              </w:rPr>
              <w:t>2.88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18090DC" w14:textId="77777777" w:rsidR="00E0682E" w:rsidRDefault="00225CEE">
            <w:pPr>
              <w:spacing w:after="20" w:line="260" w:lineRule="auto"/>
              <w:jc w:val="center"/>
            </w:pPr>
            <w:r>
              <w:rPr>
                <w:color w:val="000000"/>
                <w:sz w:val="22"/>
                <w:szCs w:val="22"/>
              </w:rPr>
              <w:t>0.739</w:t>
            </w:r>
          </w:p>
        </w:tc>
      </w:tr>
      <w:tr w:rsidR="00E0682E" w14:paraId="393C54F0" w14:textId="77777777">
        <w:tc>
          <w:tcPr>
            <w:tcW w:w="5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5DB851D" w14:textId="67CD3AB0" w:rsidR="00E0682E" w:rsidRDefault="00225CEE">
            <w:pPr>
              <w:spacing w:after="20" w:line="260" w:lineRule="auto"/>
            </w:pPr>
            <w:r>
              <w:rPr>
                <w:color w:val="000000"/>
                <w:sz w:val="22"/>
                <w:szCs w:val="22"/>
              </w:rPr>
              <w:t>Long-term programs tie up funds for extended periods, potentially restricting access to working capital</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18E81BB"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3138E65"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04A79A8"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429E805" w14:textId="77777777" w:rsidR="00E0682E" w:rsidRDefault="00225CEE">
            <w:pPr>
              <w:spacing w:after="20" w:line="260" w:lineRule="auto"/>
              <w:jc w:val="center"/>
            </w:pPr>
            <w:r>
              <w:rPr>
                <w:color w:val="000000"/>
                <w:sz w:val="22"/>
                <w:szCs w:val="22"/>
              </w:rPr>
              <w:t>2.89</w:t>
            </w:r>
          </w:p>
        </w:tc>
        <w:tc>
          <w:tcPr>
            <w:tcW w:w="11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6B6ADF4" w14:textId="77777777" w:rsidR="00E0682E" w:rsidRDefault="00225CEE">
            <w:pPr>
              <w:spacing w:after="20" w:line="260" w:lineRule="auto"/>
              <w:jc w:val="center"/>
            </w:pPr>
            <w:r>
              <w:rPr>
                <w:color w:val="000000"/>
                <w:sz w:val="22"/>
                <w:szCs w:val="22"/>
              </w:rPr>
              <w:t>0.841</w:t>
            </w:r>
          </w:p>
        </w:tc>
      </w:tr>
    </w:tbl>
    <w:p w14:paraId="5A935939" w14:textId="77777777" w:rsidR="00E0682E" w:rsidRDefault="00225CEE">
      <w:pPr>
        <w:spacing w:after="200"/>
      </w:pPr>
      <w:r>
        <w:rPr>
          <w:i/>
          <w:iCs/>
          <w:color w:val="000000"/>
        </w:rPr>
        <w:t>Source: Field data (2025)</w:t>
      </w:r>
    </w:p>
    <w:p w14:paraId="61D2B7F9" w14:textId="77777777" w:rsidR="00E0682E" w:rsidRDefault="00225CEE">
      <w:pPr>
        <w:spacing w:before="160" w:after="80"/>
      </w:pPr>
      <w:r>
        <w:rPr>
          <w:b/>
          <w:bCs/>
          <w:i/>
          <w:iCs/>
          <w:color w:val="000000"/>
          <w:sz w:val="24"/>
          <w:szCs w:val="24"/>
        </w:rPr>
        <w:lastRenderedPageBreak/>
        <w:t>4.3.2 Revolving loan funds</w:t>
      </w:r>
    </w:p>
    <w:p w14:paraId="6BE8A43F" w14:textId="77777777" w:rsidR="00E0682E" w:rsidRDefault="00225CEE">
      <w:pPr>
        <w:spacing w:after="120"/>
        <w:jc w:val="both"/>
      </w:pPr>
      <w:r>
        <w:rPr>
          <w:color w:val="000000"/>
          <w:sz w:val="24"/>
          <w:szCs w:val="24"/>
        </w:rPr>
        <w:t>Responses on revolving loan funds, presented in Table 5, followed the same broadly neutral pattern, with item means between 2.82 and 2.95 and standard deviations between 0.729 and 0.795. Concern about inflexible approval processes attracted the highest mean (</w:t>
      </w:r>
      <w:r>
        <w:rPr>
          <w:i/>
          <w:iCs/>
          <w:color w:val="000000"/>
          <w:sz w:val="24"/>
          <w:szCs w:val="24"/>
        </w:rPr>
        <w:t>M</w:t>
      </w:r>
      <w:r>
        <w:rPr>
          <w:color w:val="000000"/>
          <w:sz w:val="24"/>
          <w:szCs w:val="24"/>
        </w:rPr>
        <w:t xml:space="preserve"> = 2.95, </w:t>
      </w:r>
      <w:r>
        <w:rPr>
          <w:i/>
          <w:iCs/>
          <w:color w:val="000000"/>
          <w:sz w:val="24"/>
          <w:szCs w:val="24"/>
        </w:rPr>
        <w:t>SD</w:t>
      </w:r>
      <w:r>
        <w:rPr>
          <w:color w:val="000000"/>
          <w:sz w:val="24"/>
          <w:szCs w:val="24"/>
        </w:rPr>
        <w:t xml:space="preserve"> = 0.795), while the statement that repayment terms allow businesses to generate profits before repaying scored lowest (</w:t>
      </w:r>
      <w:r>
        <w:rPr>
          <w:i/>
          <w:iCs/>
          <w:color w:val="000000"/>
          <w:sz w:val="24"/>
          <w:szCs w:val="24"/>
        </w:rPr>
        <w:t>M</w:t>
      </w:r>
      <w:r>
        <w:rPr>
          <w:color w:val="000000"/>
          <w:sz w:val="24"/>
          <w:szCs w:val="24"/>
        </w:rPr>
        <w:t xml:space="preserve"> = 2.82, </w:t>
      </w:r>
      <w:r>
        <w:rPr>
          <w:i/>
          <w:iCs/>
          <w:color w:val="000000"/>
          <w:sz w:val="24"/>
          <w:szCs w:val="24"/>
        </w:rPr>
        <w:t>SD</w:t>
      </w:r>
      <w:r>
        <w:rPr>
          <w:color w:val="000000"/>
          <w:sz w:val="24"/>
          <w:szCs w:val="24"/>
        </w:rPr>
        <w:t xml:space="preserve"> = 0.751). The results point to friction at both ends of the lending cycle: slow entry through cumbersome approvals, and pressure at exit through repayment schedules that run ahead of business cash flow. Comparable weaknesses have been reported in Ethiopia's youth revolving funds, where repayment plans were poorly matched to borrowers (Bantu, 2022), while Kenyan evidence stresses that training and sound administration are preconditions for revolving funds to work (Njuguna, 2020; Sharun &amp; Bett, 2019).</w:t>
      </w:r>
    </w:p>
    <w:p w14:paraId="56F1E817" w14:textId="77777777" w:rsidR="00E0682E" w:rsidRDefault="00225CEE">
      <w:pPr>
        <w:spacing w:before="200" w:after="100"/>
        <w:jc w:val="center"/>
      </w:pPr>
      <w:r>
        <w:rPr>
          <w:b/>
          <w:bCs/>
          <w:color w:val="000000"/>
          <w:sz w:val="24"/>
          <w:szCs w:val="24"/>
        </w:rPr>
        <w:t xml:space="preserve">Table 5. </w:t>
      </w:r>
      <w:r>
        <w:rPr>
          <w:color w:val="000000"/>
          <w:sz w:val="24"/>
          <w:szCs w:val="24"/>
        </w:rPr>
        <w:t>Descriptive statistics for revolving loan funds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60"/>
        <w:gridCol w:w="700"/>
        <w:gridCol w:w="700"/>
        <w:gridCol w:w="700"/>
        <w:gridCol w:w="1000"/>
        <w:gridCol w:w="1100"/>
      </w:tblGrid>
      <w:tr w:rsidR="00E0682E" w14:paraId="6D2A4833" w14:textId="77777777">
        <w:tc>
          <w:tcPr>
            <w:tcW w:w="5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961A714" w14:textId="77777777" w:rsidR="00E0682E" w:rsidRDefault="00225CEE">
            <w:pPr>
              <w:spacing w:after="20" w:line="260" w:lineRule="auto"/>
            </w:pPr>
            <w:r>
              <w:rPr>
                <w:b/>
                <w:bCs/>
                <w:color w:val="000000"/>
                <w:sz w:val="22"/>
                <w:szCs w:val="22"/>
              </w:rPr>
              <w:t>Statement</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253733F" w14:textId="77777777" w:rsidR="00E0682E" w:rsidRDefault="00225CEE">
            <w:pPr>
              <w:spacing w:after="20" w:line="260" w:lineRule="auto"/>
              <w:jc w:val="center"/>
            </w:pPr>
            <w:r>
              <w:rPr>
                <w:b/>
                <w:bCs/>
                <w:color w:val="000000"/>
                <w:sz w:val="22"/>
                <w:szCs w:val="22"/>
              </w:rPr>
              <w:t>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6790E94" w14:textId="77777777" w:rsidR="00E0682E" w:rsidRDefault="00225CEE">
            <w:pPr>
              <w:spacing w:after="20" w:line="260" w:lineRule="auto"/>
              <w:jc w:val="center"/>
            </w:pPr>
            <w:r>
              <w:rPr>
                <w:b/>
                <w:bCs/>
                <w:color w:val="000000"/>
                <w:sz w:val="22"/>
                <w:szCs w:val="22"/>
              </w:rPr>
              <w:t>Min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D3123AC" w14:textId="77777777" w:rsidR="00E0682E" w:rsidRDefault="00225CEE">
            <w:pPr>
              <w:spacing w:after="20" w:line="260" w:lineRule="auto"/>
              <w:jc w:val="center"/>
            </w:pPr>
            <w:r>
              <w:rPr>
                <w:b/>
                <w:bCs/>
                <w:color w:val="000000"/>
                <w:sz w:val="22"/>
                <w:szCs w:val="22"/>
              </w:rPr>
              <w:t>Max</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71326A81" w14:textId="77777777" w:rsidR="00E0682E" w:rsidRDefault="00225CEE">
            <w:pPr>
              <w:spacing w:after="20" w:line="260" w:lineRule="auto"/>
              <w:jc w:val="center"/>
            </w:pPr>
            <w:r>
              <w:rPr>
                <w:b/>
                <w:bCs/>
                <w:color w:val="000000"/>
                <w:sz w:val="22"/>
                <w:szCs w:val="22"/>
              </w:rPr>
              <w:t>Mean</w:t>
            </w:r>
          </w:p>
        </w:tc>
        <w:tc>
          <w:tcPr>
            <w:tcW w:w="11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62CBBB8" w14:textId="77777777" w:rsidR="00E0682E" w:rsidRDefault="00225CEE">
            <w:pPr>
              <w:spacing w:after="20" w:line="260" w:lineRule="auto"/>
              <w:jc w:val="center"/>
            </w:pPr>
            <w:r>
              <w:rPr>
                <w:b/>
                <w:bCs/>
                <w:color w:val="000000"/>
                <w:sz w:val="22"/>
                <w:szCs w:val="22"/>
              </w:rPr>
              <w:t>SD</w:t>
            </w:r>
          </w:p>
        </w:tc>
      </w:tr>
      <w:tr w:rsidR="00E0682E" w14:paraId="025C0376"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A20BBE0" w14:textId="77777777" w:rsidR="00E0682E" w:rsidRDefault="00225CEE">
            <w:pPr>
              <w:spacing w:after="20" w:line="260" w:lineRule="auto"/>
            </w:pPr>
            <w:r>
              <w:rPr>
                <w:color w:val="000000"/>
                <w:sz w:val="22"/>
                <w:szCs w:val="22"/>
              </w:rPr>
              <w:t>A transparent and fair approval process allows businesses to build a positive credit history, improving future loan eligibility</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4D430DB"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B630909"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15EA96A"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79606D2" w14:textId="77777777" w:rsidR="00E0682E" w:rsidRDefault="00225CEE">
            <w:pPr>
              <w:spacing w:after="20" w:line="260" w:lineRule="auto"/>
              <w:jc w:val="center"/>
            </w:pPr>
            <w:r>
              <w:rPr>
                <w:color w:val="000000"/>
                <w:sz w:val="22"/>
                <w:szCs w:val="22"/>
              </w:rPr>
              <w:t>2.92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19092C9" w14:textId="77777777" w:rsidR="00E0682E" w:rsidRDefault="00225CEE">
            <w:pPr>
              <w:spacing w:after="20" w:line="260" w:lineRule="auto"/>
              <w:jc w:val="center"/>
            </w:pPr>
            <w:r>
              <w:rPr>
                <w:color w:val="000000"/>
                <w:sz w:val="22"/>
                <w:szCs w:val="22"/>
              </w:rPr>
              <w:t>0.752</w:t>
            </w:r>
          </w:p>
        </w:tc>
      </w:tr>
      <w:tr w:rsidR="00E0682E" w14:paraId="690A4B65"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EFD8290" w14:textId="77777777" w:rsidR="00E0682E" w:rsidRDefault="00225CEE">
            <w:pPr>
              <w:spacing w:after="20" w:line="260" w:lineRule="auto"/>
            </w:pPr>
            <w:r>
              <w:rPr>
                <w:color w:val="000000"/>
                <w:sz w:val="22"/>
                <w:szCs w:val="22"/>
              </w:rPr>
              <w:t>Inflexible approval processes can slow down business growth</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E8686BB"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9EBC287"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4925BA2"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DD21E3B" w14:textId="77777777" w:rsidR="00E0682E" w:rsidRDefault="00225CEE">
            <w:pPr>
              <w:spacing w:after="20" w:line="260" w:lineRule="auto"/>
              <w:jc w:val="center"/>
            </w:pPr>
            <w:r>
              <w:rPr>
                <w:color w:val="000000"/>
                <w:sz w:val="22"/>
                <w:szCs w:val="22"/>
              </w:rPr>
              <w:t>2.95</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0DEA91B" w14:textId="77777777" w:rsidR="00E0682E" w:rsidRDefault="00225CEE">
            <w:pPr>
              <w:spacing w:after="20" w:line="260" w:lineRule="auto"/>
              <w:jc w:val="center"/>
            </w:pPr>
            <w:r>
              <w:rPr>
                <w:color w:val="000000"/>
                <w:sz w:val="22"/>
                <w:szCs w:val="22"/>
              </w:rPr>
              <w:t>0.795</w:t>
            </w:r>
          </w:p>
        </w:tc>
      </w:tr>
      <w:tr w:rsidR="00E0682E" w14:paraId="7C6E4840"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AFB52AF" w14:textId="77777777" w:rsidR="00E0682E" w:rsidRDefault="00225CEE">
            <w:pPr>
              <w:spacing w:after="20" w:line="260" w:lineRule="auto"/>
            </w:pPr>
            <w:r>
              <w:rPr>
                <w:color w:val="000000"/>
                <w:sz w:val="22"/>
                <w:szCs w:val="22"/>
              </w:rPr>
              <w:t>Small loans may restrict access to necessary business improvements, limiting long-term growth</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69FDA1E"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D7F82DE"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FCC73E8"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18795BF" w14:textId="77777777" w:rsidR="00E0682E" w:rsidRDefault="00225CEE">
            <w:pPr>
              <w:spacing w:after="20" w:line="260" w:lineRule="auto"/>
              <w:jc w:val="center"/>
            </w:pPr>
            <w:r>
              <w:rPr>
                <w:color w:val="000000"/>
                <w:sz w:val="22"/>
                <w:szCs w:val="22"/>
              </w:rPr>
              <w:t>2.90</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988B401" w14:textId="77777777" w:rsidR="00E0682E" w:rsidRDefault="00225CEE">
            <w:pPr>
              <w:spacing w:after="20" w:line="260" w:lineRule="auto"/>
              <w:jc w:val="center"/>
            </w:pPr>
            <w:r>
              <w:rPr>
                <w:color w:val="000000"/>
                <w:sz w:val="22"/>
                <w:szCs w:val="22"/>
              </w:rPr>
              <w:t>0.790</w:t>
            </w:r>
          </w:p>
        </w:tc>
      </w:tr>
      <w:tr w:rsidR="00E0682E" w14:paraId="7879C055"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DD6C0CD" w14:textId="77777777" w:rsidR="00E0682E" w:rsidRDefault="00225CEE">
            <w:pPr>
              <w:spacing w:after="20" w:line="260" w:lineRule="auto"/>
            </w:pPr>
            <w:r>
              <w:rPr>
                <w:color w:val="000000"/>
                <w:sz w:val="22"/>
                <w:szCs w:val="22"/>
              </w:rPr>
              <w:t>Businesses that manage larger loan sizes responsibly can improve their creditworthiness, gaining access to more funding in the future</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2AF5490"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B4BD4DB"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731A667"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6C9BD3E" w14:textId="77777777" w:rsidR="00E0682E" w:rsidRDefault="00225CEE">
            <w:pPr>
              <w:spacing w:after="20" w:line="260" w:lineRule="auto"/>
              <w:jc w:val="center"/>
            </w:pPr>
            <w:r>
              <w:rPr>
                <w:color w:val="000000"/>
                <w:sz w:val="22"/>
                <w:szCs w:val="22"/>
              </w:rPr>
              <w:t>2.90</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46DEF15" w14:textId="77777777" w:rsidR="00E0682E" w:rsidRDefault="00225CEE">
            <w:pPr>
              <w:spacing w:after="20" w:line="260" w:lineRule="auto"/>
              <w:jc w:val="center"/>
            </w:pPr>
            <w:r>
              <w:rPr>
                <w:color w:val="000000"/>
                <w:sz w:val="22"/>
                <w:szCs w:val="22"/>
              </w:rPr>
              <w:t>0.775</w:t>
            </w:r>
          </w:p>
        </w:tc>
      </w:tr>
      <w:tr w:rsidR="00E0682E" w14:paraId="5CFD296E"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1D4768F" w14:textId="77777777" w:rsidR="00E0682E" w:rsidRDefault="00225CEE">
            <w:pPr>
              <w:spacing w:after="20" w:line="260" w:lineRule="auto"/>
            </w:pPr>
            <w:r>
              <w:rPr>
                <w:color w:val="000000"/>
                <w:sz w:val="22"/>
                <w:szCs w:val="22"/>
              </w:rPr>
              <w:t>Favourable repayment terms allow businesses to generate profits before repaying the loan, ensuring sustainability</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ED54B8C"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7C046F3"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6EB352"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FE1F880" w14:textId="77777777" w:rsidR="00E0682E" w:rsidRDefault="00225CEE">
            <w:pPr>
              <w:spacing w:after="20" w:line="260" w:lineRule="auto"/>
              <w:jc w:val="center"/>
            </w:pPr>
            <w:r>
              <w:rPr>
                <w:color w:val="000000"/>
                <w:sz w:val="22"/>
                <w:szCs w:val="22"/>
              </w:rPr>
              <w:t>2.82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B072AAD" w14:textId="77777777" w:rsidR="00E0682E" w:rsidRDefault="00225CEE">
            <w:pPr>
              <w:spacing w:after="20" w:line="260" w:lineRule="auto"/>
              <w:jc w:val="center"/>
            </w:pPr>
            <w:r>
              <w:rPr>
                <w:color w:val="000000"/>
                <w:sz w:val="22"/>
                <w:szCs w:val="22"/>
              </w:rPr>
              <w:t>0.751</w:t>
            </w:r>
          </w:p>
        </w:tc>
      </w:tr>
      <w:tr w:rsidR="00E0682E" w14:paraId="476411FA" w14:textId="77777777">
        <w:tc>
          <w:tcPr>
            <w:tcW w:w="5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72B4117" w14:textId="77777777" w:rsidR="00E0682E" w:rsidRDefault="00225CEE">
            <w:pPr>
              <w:spacing w:after="20" w:line="260" w:lineRule="auto"/>
            </w:pPr>
            <w:r>
              <w:rPr>
                <w:color w:val="000000"/>
                <w:sz w:val="22"/>
                <w:szCs w:val="22"/>
              </w:rPr>
              <w:t>Harsh repayment terms increase the chances of default, damaging the business's credit profile</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16D1148"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03CCFCB"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7FC9A61"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0BB49D6" w14:textId="77777777" w:rsidR="00E0682E" w:rsidRDefault="00225CEE">
            <w:pPr>
              <w:spacing w:after="20" w:line="260" w:lineRule="auto"/>
              <w:jc w:val="center"/>
            </w:pPr>
            <w:r>
              <w:rPr>
                <w:color w:val="000000"/>
                <w:sz w:val="22"/>
                <w:szCs w:val="22"/>
              </w:rPr>
              <w:t>2.93</w:t>
            </w:r>
          </w:p>
        </w:tc>
        <w:tc>
          <w:tcPr>
            <w:tcW w:w="11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C0C8556" w14:textId="77777777" w:rsidR="00E0682E" w:rsidRDefault="00225CEE">
            <w:pPr>
              <w:spacing w:after="20" w:line="260" w:lineRule="auto"/>
              <w:jc w:val="center"/>
            </w:pPr>
            <w:r>
              <w:rPr>
                <w:color w:val="000000"/>
                <w:sz w:val="22"/>
                <w:szCs w:val="22"/>
              </w:rPr>
              <w:t>0.729</w:t>
            </w:r>
          </w:p>
        </w:tc>
      </w:tr>
    </w:tbl>
    <w:p w14:paraId="65128693" w14:textId="77777777" w:rsidR="00E0682E" w:rsidRDefault="00225CEE">
      <w:pPr>
        <w:spacing w:after="200"/>
      </w:pPr>
      <w:r>
        <w:rPr>
          <w:i/>
          <w:iCs/>
          <w:color w:val="000000"/>
        </w:rPr>
        <w:t>Source: Field data (2025)</w:t>
      </w:r>
    </w:p>
    <w:p w14:paraId="12C19EAE" w14:textId="19472FC1" w:rsidR="00E0682E" w:rsidRDefault="00225CEE">
      <w:pPr>
        <w:spacing w:before="160" w:after="80"/>
      </w:pPr>
      <w:r>
        <w:rPr>
          <w:b/>
          <w:bCs/>
          <w:i/>
          <w:iCs/>
          <w:color w:val="000000"/>
          <w:sz w:val="24"/>
          <w:szCs w:val="24"/>
        </w:rPr>
        <w:t xml:space="preserve">4.3.3 Grant </w:t>
      </w:r>
      <w:r w:rsidR="00425849">
        <w:rPr>
          <w:b/>
          <w:bCs/>
          <w:i/>
          <w:iCs/>
          <w:color w:val="000000"/>
          <w:sz w:val="24"/>
          <w:szCs w:val="24"/>
        </w:rPr>
        <w:t>programs</w:t>
      </w:r>
    </w:p>
    <w:p w14:paraId="28F1348E" w14:textId="239BC91C" w:rsidR="00E0682E" w:rsidRDefault="00225CEE">
      <w:pPr>
        <w:spacing w:after="120"/>
        <w:jc w:val="both"/>
      </w:pPr>
      <w:r>
        <w:rPr>
          <w:color w:val="000000"/>
          <w:sz w:val="24"/>
          <w:szCs w:val="24"/>
        </w:rPr>
        <w:t xml:space="preserve">Table 6 shows that grant items were rated between 2.78 and 2.98, with standard deviations between 0.705 and 0.841. The strongest agreement was with the statement that grants empower </w:t>
      </w:r>
      <w:r w:rsidR="00425849">
        <w:rPr>
          <w:color w:val="000000"/>
          <w:sz w:val="24"/>
          <w:szCs w:val="24"/>
        </w:rPr>
        <w:t>marginalized</w:t>
      </w:r>
      <w:r>
        <w:rPr>
          <w:color w:val="000000"/>
          <w:sz w:val="24"/>
          <w:szCs w:val="24"/>
        </w:rPr>
        <w:t xml:space="preserve"> groups by widening access to capital (</w:t>
      </w:r>
      <w:r>
        <w:rPr>
          <w:i/>
          <w:iCs/>
          <w:color w:val="000000"/>
          <w:sz w:val="24"/>
          <w:szCs w:val="24"/>
        </w:rPr>
        <w:t>M</w:t>
      </w:r>
      <w:r>
        <w:rPr>
          <w:color w:val="000000"/>
          <w:sz w:val="24"/>
          <w:szCs w:val="24"/>
        </w:rPr>
        <w:t xml:space="preserve"> = 2.98, </w:t>
      </w:r>
      <w:r>
        <w:rPr>
          <w:i/>
          <w:iCs/>
          <w:color w:val="000000"/>
          <w:sz w:val="24"/>
          <w:szCs w:val="24"/>
        </w:rPr>
        <w:t>SD</w:t>
      </w:r>
      <w:r>
        <w:rPr>
          <w:color w:val="000000"/>
          <w:sz w:val="24"/>
          <w:szCs w:val="24"/>
        </w:rPr>
        <w:t xml:space="preserve"> = 0.841), followed by the link between grant categories, job creation and household incomes (</w:t>
      </w:r>
      <w:r>
        <w:rPr>
          <w:i/>
          <w:iCs/>
          <w:color w:val="000000"/>
          <w:sz w:val="24"/>
          <w:szCs w:val="24"/>
        </w:rPr>
        <w:t>M</w:t>
      </w:r>
      <w:r>
        <w:rPr>
          <w:color w:val="000000"/>
          <w:sz w:val="24"/>
          <w:szCs w:val="24"/>
        </w:rPr>
        <w:t xml:space="preserve"> = 2.96, </w:t>
      </w:r>
      <w:r>
        <w:rPr>
          <w:i/>
          <w:iCs/>
          <w:color w:val="000000"/>
          <w:sz w:val="24"/>
          <w:szCs w:val="24"/>
        </w:rPr>
        <w:t>SD</w:t>
      </w:r>
      <w:r>
        <w:rPr>
          <w:color w:val="000000"/>
          <w:sz w:val="24"/>
          <w:szCs w:val="24"/>
        </w:rPr>
        <w:t xml:space="preserve"> = 0.756). The weakest item was the perception that larger grants improve creditworthiness in the eyes of other financiers (</w:t>
      </w:r>
      <w:r>
        <w:rPr>
          <w:i/>
          <w:iCs/>
          <w:color w:val="000000"/>
          <w:sz w:val="24"/>
          <w:szCs w:val="24"/>
        </w:rPr>
        <w:t>M</w:t>
      </w:r>
      <w:r>
        <w:rPr>
          <w:color w:val="000000"/>
          <w:sz w:val="24"/>
          <w:szCs w:val="24"/>
        </w:rPr>
        <w:t xml:space="preserve"> = 2.78, </w:t>
      </w:r>
      <w:r>
        <w:rPr>
          <w:i/>
          <w:iCs/>
          <w:color w:val="000000"/>
          <w:sz w:val="24"/>
          <w:szCs w:val="24"/>
        </w:rPr>
        <w:t>SD</w:t>
      </w:r>
      <w:r>
        <w:rPr>
          <w:color w:val="000000"/>
          <w:sz w:val="24"/>
          <w:szCs w:val="24"/>
        </w:rPr>
        <w:t xml:space="preserve"> = 0.766). Respondents therefore </w:t>
      </w:r>
      <w:r w:rsidR="00425849">
        <w:rPr>
          <w:color w:val="000000"/>
          <w:sz w:val="24"/>
          <w:szCs w:val="24"/>
        </w:rPr>
        <w:t>recognized</w:t>
      </w:r>
      <w:r>
        <w:rPr>
          <w:color w:val="000000"/>
          <w:sz w:val="24"/>
          <w:szCs w:val="24"/>
        </w:rPr>
        <w:t xml:space="preserve"> the inclusion and employment benefits of grants while doubting that grant receipt yet functions as a credible signal to lenders, which is precisely the </w:t>
      </w:r>
      <w:r w:rsidR="00425849">
        <w:rPr>
          <w:color w:val="000000"/>
          <w:sz w:val="24"/>
          <w:szCs w:val="24"/>
        </w:rPr>
        <w:t>signaling</w:t>
      </w:r>
      <w:r>
        <w:rPr>
          <w:color w:val="000000"/>
          <w:sz w:val="24"/>
          <w:szCs w:val="24"/>
        </w:rPr>
        <w:t xml:space="preserve"> channel that theory suggests could multiply the value of grant </w:t>
      </w:r>
      <w:r w:rsidR="00425849">
        <w:rPr>
          <w:color w:val="000000"/>
          <w:sz w:val="24"/>
          <w:szCs w:val="24"/>
        </w:rPr>
        <w:t>programs</w:t>
      </w:r>
      <w:r>
        <w:rPr>
          <w:color w:val="000000"/>
          <w:sz w:val="24"/>
          <w:szCs w:val="24"/>
        </w:rPr>
        <w:t xml:space="preserve"> (Connelly et al., 2011). The reservation about short funding windows echoes Munene (2021), who found that grant activities sustain small enterprises mainly when accompanied by technical support.</w:t>
      </w:r>
    </w:p>
    <w:p w14:paraId="487A0008" w14:textId="6338F140" w:rsidR="00E0682E" w:rsidRDefault="00225CEE">
      <w:pPr>
        <w:spacing w:before="200" w:after="100"/>
        <w:jc w:val="center"/>
      </w:pPr>
      <w:r>
        <w:rPr>
          <w:b/>
          <w:bCs/>
          <w:color w:val="000000"/>
          <w:sz w:val="24"/>
          <w:szCs w:val="24"/>
        </w:rPr>
        <w:lastRenderedPageBreak/>
        <w:t xml:space="preserve">Table 6. </w:t>
      </w:r>
      <w:r>
        <w:rPr>
          <w:color w:val="000000"/>
          <w:sz w:val="24"/>
          <w:szCs w:val="24"/>
        </w:rPr>
        <w:t xml:space="preserve">Descriptive statistics for grant </w:t>
      </w:r>
      <w:r w:rsidR="00425849">
        <w:rPr>
          <w:color w:val="000000"/>
          <w:sz w:val="24"/>
          <w:szCs w:val="24"/>
        </w:rPr>
        <w:t>programs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60"/>
        <w:gridCol w:w="700"/>
        <w:gridCol w:w="700"/>
        <w:gridCol w:w="700"/>
        <w:gridCol w:w="1000"/>
        <w:gridCol w:w="1100"/>
      </w:tblGrid>
      <w:tr w:rsidR="00E0682E" w14:paraId="02B69FE3" w14:textId="77777777">
        <w:tc>
          <w:tcPr>
            <w:tcW w:w="5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0B600196" w14:textId="77777777" w:rsidR="00E0682E" w:rsidRDefault="00225CEE">
            <w:pPr>
              <w:spacing w:after="20" w:line="260" w:lineRule="auto"/>
            </w:pPr>
            <w:r>
              <w:rPr>
                <w:b/>
                <w:bCs/>
                <w:color w:val="000000"/>
                <w:sz w:val="22"/>
                <w:szCs w:val="22"/>
              </w:rPr>
              <w:t>Statement</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7D298053" w14:textId="77777777" w:rsidR="00E0682E" w:rsidRDefault="00225CEE">
            <w:pPr>
              <w:spacing w:after="20" w:line="260" w:lineRule="auto"/>
              <w:jc w:val="center"/>
            </w:pPr>
            <w:r>
              <w:rPr>
                <w:b/>
                <w:bCs/>
                <w:color w:val="000000"/>
                <w:sz w:val="22"/>
                <w:szCs w:val="22"/>
              </w:rPr>
              <w:t>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C2CF021" w14:textId="77777777" w:rsidR="00E0682E" w:rsidRDefault="00225CEE">
            <w:pPr>
              <w:spacing w:after="20" w:line="260" w:lineRule="auto"/>
              <w:jc w:val="center"/>
            </w:pPr>
            <w:r>
              <w:rPr>
                <w:b/>
                <w:bCs/>
                <w:color w:val="000000"/>
                <w:sz w:val="22"/>
                <w:szCs w:val="22"/>
              </w:rPr>
              <w:t>Min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305051F" w14:textId="77777777" w:rsidR="00E0682E" w:rsidRDefault="00225CEE">
            <w:pPr>
              <w:spacing w:after="20" w:line="260" w:lineRule="auto"/>
              <w:jc w:val="center"/>
            </w:pPr>
            <w:r>
              <w:rPr>
                <w:b/>
                <w:bCs/>
                <w:color w:val="000000"/>
                <w:sz w:val="22"/>
                <w:szCs w:val="22"/>
              </w:rPr>
              <w:t>Max</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2A235A7" w14:textId="77777777" w:rsidR="00E0682E" w:rsidRDefault="00225CEE">
            <w:pPr>
              <w:spacing w:after="20" w:line="260" w:lineRule="auto"/>
              <w:jc w:val="center"/>
            </w:pPr>
            <w:r>
              <w:rPr>
                <w:b/>
                <w:bCs/>
                <w:color w:val="000000"/>
                <w:sz w:val="22"/>
                <w:szCs w:val="22"/>
              </w:rPr>
              <w:t>Mean</w:t>
            </w:r>
          </w:p>
        </w:tc>
        <w:tc>
          <w:tcPr>
            <w:tcW w:w="11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73F114C4" w14:textId="77777777" w:rsidR="00E0682E" w:rsidRDefault="00225CEE">
            <w:pPr>
              <w:spacing w:after="20" w:line="260" w:lineRule="auto"/>
              <w:jc w:val="center"/>
            </w:pPr>
            <w:r>
              <w:rPr>
                <w:b/>
                <w:bCs/>
                <w:color w:val="000000"/>
                <w:sz w:val="22"/>
                <w:szCs w:val="22"/>
              </w:rPr>
              <w:t>SD</w:t>
            </w:r>
          </w:p>
        </w:tc>
      </w:tr>
      <w:tr w:rsidR="00E0682E" w14:paraId="1592BFCD"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3208488" w14:textId="0ACE7568" w:rsidR="00E0682E" w:rsidRDefault="00225CEE">
            <w:pPr>
              <w:spacing w:after="20" w:line="260" w:lineRule="auto"/>
            </w:pPr>
            <w:r>
              <w:rPr>
                <w:color w:val="000000"/>
                <w:sz w:val="22"/>
                <w:szCs w:val="22"/>
              </w:rPr>
              <w:t>A well-structured revolving grant program ensures that funds are continuously available, reducing financial strain</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18930AD"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71D0A1C"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0197C90"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CCC5B9E" w14:textId="77777777" w:rsidR="00E0682E" w:rsidRDefault="00225CEE">
            <w:pPr>
              <w:spacing w:after="20" w:line="260" w:lineRule="auto"/>
              <w:jc w:val="center"/>
            </w:pPr>
            <w:r>
              <w:rPr>
                <w:color w:val="000000"/>
                <w:sz w:val="22"/>
                <w:szCs w:val="22"/>
              </w:rPr>
              <w:t>2.88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6E3A08A" w14:textId="77777777" w:rsidR="00E0682E" w:rsidRDefault="00225CEE">
            <w:pPr>
              <w:spacing w:after="20" w:line="260" w:lineRule="auto"/>
              <w:jc w:val="center"/>
            </w:pPr>
            <w:r>
              <w:rPr>
                <w:color w:val="000000"/>
                <w:sz w:val="22"/>
                <w:szCs w:val="22"/>
              </w:rPr>
              <w:t>0.705</w:t>
            </w:r>
          </w:p>
        </w:tc>
      </w:tr>
      <w:tr w:rsidR="00E0682E" w14:paraId="53682D50"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9D4E414" w14:textId="77777777" w:rsidR="00E0682E" w:rsidRDefault="00225CEE">
            <w:pPr>
              <w:spacing w:after="20" w:line="260" w:lineRule="auto"/>
            </w:pPr>
            <w:r>
              <w:rPr>
                <w:color w:val="000000"/>
                <w:sz w:val="22"/>
                <w:szCs w:val="22"/>
              </w:rPr>
              <w:t>Businesses receiving larger grants are seen as more creditworthy, improving their ability to secure additional financing</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73EAD7B"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A9215D5"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15C7787" w14:textId="77777777" w:rsidR="00E0682E" w:rsidRDefault="00225CEE">
            <w:pPr>
              <w:spacing w:after="20" w:line="260" w:lineRule="auto"/>
              <w:jc w:val="center"/>
            </w:pPr>
            <w:r>
              <w:rPr>
                <w:color w:val="000000"/>
                <w:sz w:val="22"/>
                <w:szCs w:val="22"/>
              </w:rPr>
              <w:t>4</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362464A" w14:textId="77777777" w:rsidR="00E0682E" w:rsidRDefault="00225CEE">
            <w:pPr>
              <w:spacing w:after="20" w:line="260" w:lineRule="auto"/>
              <w:jc w:val="center"/>
            </w:pPr>
            <w:r>
              <w:rPr>
                <w:color w:val="000000"/>
                <w:sz w:val="22"/>
                <w:szCs w:val="22"/>
              </w:rPr>
              <w:t>2.78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C2F7354" w14:textId="77777777" w:rsidR="00E0682E" w:rsidRDefault="00225CEE">
            <w:pPr>
              <w:spacing w:after="20" w:line="260" w:lineRule="auto"/>
              <w:jc w:val="center"/>
            </w:pPr>
            <w:r>
              <w:rPr>
                <w:color w:val="000000"/>
                <w:sz w:val="22"/>
                <w:szCs w:val="22"/>
              </w:rPr>
              <w:t>0.766</w:t>
            </w:r>
          </w:p>
        </w:tc>
      </w:tr>
      <w:tr w:rsidR="00E0682E" w14:paraId="50DD4940"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E9F410F" w14:textId="5886307A" w:rsidR="00E0682E" w:rsidRDefault="00225CEE">
            <w:pPr>
              <w:spacing w:after="20" w:line="260" w:lineRule="auto"/>
            </w:pPr>
            <w:r>
              <w:rPr>
                <w:color w:val="000000"/>
                <w:sz w:val="22"/>
                <w:szCs w:val="22"/>
              </w:rPr>
              <w:t xml:space="preserve">The grants empower </w:t>
            </w:r>
            <w:r w:rsidR="00425849">
              <w:rPr>
                <w:color w:val="000000"/>
                <w:sz w:val="22"/>
                <w:szCs w:val="22"/>
              </w:rPr>
              <w:t>marginalized</w:t>
            </w:r>
            <w:r>
              <w:rPr>
                <w:color w:val="000000"/>
                <w:sz w:val="22"/>
                <w:szCs w:val="22"/>
              </w:rPr>
              <w:t xml:space="preserve"> groups by providing capital access, increasing financial inclusion</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E8FC4FA"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C846D36"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F5E618B"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2D102C9" w14:textId="77777777" w:rsidR="00E0682E" w:rsidRDefault="00225CEE">
            <w:pPr>
              <w:spacing w:after="20" w:line="260" w:lineRule="auto"/>
              <w:jc w:val="center"/>
            </w:pPr>
            <w:r>
              <w:rPr>
                <w:color w:val="000000"/>
                <w:sz w:val="22"/>
                <w:szCs w:val="22"/>
              </w:rPr>
              <w:t>2.98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764CB6F" w14:textId="77777777" w:rsidR="00E0682E" w:rsidRDefault="00225CEE">
            <w:pPr>
              <w:spacing w:after="20" w:line="260" w:lineRule="auto"/>
              <w:jc w:val="center"/>
            </w:pPr>
            <w:r>
              <w:rPr>
                <w:color w:val="000000"/>
                <w:sz w:val="22"/>
                <w:szCs w:val="22"/>
              </w:rPr>
              <w:t>0.841</w:t>
            </w:r>
          </w:p>
        </w:tc>
      </w:tr>
      <w:tr w:rsidR="00E0682E" w14:paraId="2FE0BB23"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44FF39E" w14:textId="7AC097F4" w:rsidR="00E0682E" w:rsidRDefault="00225CEE">
            <w:pPr>
              <w:spacing w:after="20" w:line="260" w:lineRule="auto"/>
            </w:pPr>
            <w:r>
              <w:rPr>
                <w:color w:val="000000"/>
                <w:sz w:val="22"/>
                <w:szCs w:val="22"/>
              </w:rPr>
              <w:t xml:space="preserve">Grant </w:t>
            </w:r>
            <w:r w:rsidR="00425849">
              <w:rPr>
                <w:color w:val="000000"/>
                <w:sz w:val="22"/>
                <w:szCs w:val="22"/>
              </w:rPr>
              <w:t>categorizations</w:t>
            </w:r>
            <w:r>
              <w:rPr>
                <w:color w:val="000000"/>
                <w:sz w:val="22"/>
                <w:szCs w:val="22"/>
              </w:rPr>
              <w:t xml:space="preserve"> lead to job creation and increased household incomes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A41C64C"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61198A"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01DAB5B"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D43B54C" w14:textId="77777777" w:rsidR="00E0682E" w:rsidRDefault="00225CEE">
            <w:pPr>
              <w:spacing w:after="20" w:line="260" w:lineRule="auto"/>
              <w:jc w:val="center"/>
            </w:pPr>
            <w:r>
              <w:rPr>
                <w:color w:val="000000"/>
                <w:sz w:val="22"/>
                <w:szCs w:val="22"/>
              </w:rPr>
              <w:t>2.96</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98F0C88" w14:textId="77777777" w:rsidR="00E0682E" w:rsidRDefault="00225CEE">
            <w:pPr>
              <w:spacing w:after="20" w:line="260" w:lineRule="auto"/>
              <w:jc w:val="center"/>
            </w:pPr>
            <w:r>
              <w:rPr>
                <w:color w:val="000000"/>
                <w:sz w:val="22"/>
                <w:szCs w:val="22"/>
              </w:rPr>
              <w:t>0.756</w:t>
            </w:r>
          </w:p>
        </w:tc>
      </w:tr>
      <w:tr w:rsidR="00E0682E" w14:paraId="3EDD94BE"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B77FF9C" w14:textId="77777777" w:rsidR="00E0682E" w:rsidRDefault="00225CEE">
            <w:pPr>
              <w:spacing w:after="20" w:line="260" w:lineRule="auto"/>
            </w:pPr>
            <w:r>
              <w:rPr>
                <w:color w:val="000000"/>
                <w:sz w:val="22"/>
                <w:szCs w:val="22"/>
              </w:rPr>
              <w:t>Short-term grants help businesses address immediate financial challenges but may not support long-term investment</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595F1F8"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47078F6"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9DD1BE1"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2836E83" w14:textId="77777777" w:rsidR="00E0682E" w:rsidRDefault="00225CEE">
            <w:pPr>
              <w:spacing w:after="20" w:line="260" w:lineRule="auto"/>
              <w:jc w:val="center"/>
            </w:pPr>
            <w:r>
              <w:rPr>
                <w:color w:val="000000"/>
                <w:sz w:val="22"/>
                <w:szCs w:val="22"/>
              </w:rPr>
              <w:t>2.87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7338761" w14:textId="77777777" w:rsidR="00E0682E" w:rsidRDefault="00225CEE">
            <w:pPr>
              <w:spacing w:after="20" w:line="260" w:lineRule="auto"/>
              <w:jc w:val="center"/>
            </w:pPr>
            <w:r>
              <w:rPr>
                <w:color w:val="000000"/>
                <w:sz w:val="22"/>
                <w:szCs w:val="22"/>
              </w:rPr>
              <w:t>0.808</w:t>
            </w:r>
          </w:p>
        </w:tc>
      </w:tr>
      <w:tr w:rsidR="00E0682E" w14:paraId="60AAED5E" w14:textId="77777777">
        <w:tc>
          <w:tcPr>
            <w:tcW w:w="5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5A00434" w14:textId="77777777" w:rsidR="00E0682E" w:rsidRDefault="00225CEE">
            <w:pPr>
              <w:spacing w:after="20" w:line="260" w:lineRule="auto"/>
            </w:pPr>
            <w:r>
              <w:rPr>
                <w:color w:val="000000"/>
                <w:sz w:val="22"/>
                <w:szCs w:val="22"/>
              </w:rPr>
              <w:t>Grant durations provide a fixed amount of funding for a specific purpose</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6CE2E28"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ECDAA9E"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317536E"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0E8693F" w14:textId="77777777" w:rsidR="00E0682E" w:rsidRDefault="00225CEE">
            <w:pPr>
              <w:spacing w:after="20" w:line="260" w:lineRule="auto"/>
              <w:jc w:val="center"/>
            </w:pPr>
            <w:r>
              <w:rPr>
                <w:color w:val="000000"/>
                <w:sz w:val="22"/>
                <w:szCs w:val="22"/>
              </w:rPr>
              <w:t>2.88</w:t>
            </w:r>
          </w:p>
        </w:tc>
        <w:tc>
          <w:tcPr>
            <w:tcW w:w="11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F1A57E5" w14:textId="77777777" w:rsidR="00E0682E" w:rsidRDefault="00225CEE">
            <w:pPr>
              <w:spacing w:after="20" w:line="260" w:lineRule="auto"/>
              <w:jc w:val="center"/>
            </w:pPr>
            <w:r>
              <w:rPr>
                <w:color w:val="000000"/>
                <w:sz w:val="22"/>
                <w:szCs w:val="22"/>
              </w:rPr>
              <w:t>0.802</w:t>
            </w:r>
          </w:p>
        </w:tc>
      </w:tr>
    </w:tbl>
    <w:p w14:paraId="18611A39" w14:textId="77777777" w:rsidR="00E0682E" w:rsidRDefault="00225CEE">
      <w:pPr>
        <w:spacing w:after="200"/>
      </w:pPr>
      <w:r>
        <w:rPr>
          <w:i/>
          <w:iCs/>
          <w:color w:val="000000"/>
        </w:rPr>
        <w:t>Source: Field data (2025)</w:t>
      </w:r>
    </w:p>
    <w:p w14:paraId="6037C5D6" w14:textId="77777777" w:rsidR="00E0682E" w:rsidRDefault="00225CEE">
      <w:pPr>
        <w:spacing w:before="160" w:after="80"/>
      </w:pPr>
      <w:r>
        <w:rPr>
          <w:b/>
          <w:bCs/>
          <w:i/>
          <w:iCs/>
          <w:color w:val="000000"/>
          <w:sz w:val="24"/>
          <w:szCs w:val="24"/>
        </w:rPr>
        <w:t>4.3.4 Financial literacy training</w:t>
      </w:r>
    </w:p>
    <w:p w14:paraId="56AD875F" w14:textId="12BB7E26" w:rsidR="00E0682E" w:rsidRDefault="00225CEE">
      <w:pPr>
        <w:spacing w:after="120"/>
        <w:jc w:val="both"/>
      </w:pPr>
      <w:r>
        <w:rPr>
          <w:color w:val="000000"/>
          <w:sz w:val="24"/>
          <w:szCs w:val="24"/>
        </w:rPr>
        <w:t>Item means for financial literacy training, shown in Table 7, ranged from 2.87 to 2.95 with standard deviations between 0.684 and 0.832. The highest rated statement linked advice seeking to realistic budgets and financial plans (</w:t>
      </w:r>
      <w:r>
        <w:rPr>
          <w:i/>
          <w:iCs/>
          <w:color w:val="000000"/>
          <w:sz w:val="24"/>
          <w:szCs w:val="24"/>
        </w:rPr>
        <w:t>M</w:t>
      </w:r>
      <w:r>
        <w:rPr>
          <w:color w:val="000000"/>
          <w:sz w:val="24"/>
          <w:szCs w:val="24"/>
        </w:rPr>
        <w:t xml:space="preserve"> = 2.95, </w:t>
      </w:r>
      <w:r>
        <w:rPr>
          <w:i/>
          <w:iCs/>
          <w:color w:val="000000"/>
          <w:sz w:val="24"/>
          <w:szCs w:val="24"/>
        </w:rPr>
        <w:t>SD</w:t>
      </w:r>
      <w:r>
        <w:rPr>
          <w:color w:val="000000"/>
          <w:sz w:val="24"/>
          <w:szCs w:val="24"/>
        </w:rPr>
        <w:t xml:space="preserve"> = 0.714), while the items on consistent participation (</w:t>
      </w:r>
      <w:r>
        <w:rPr>
          <w:i/>
          <w:iCs/>
          <w:color w:val="000000"/>
          <w:sz w:val="24"/>
          <w:szCs w:val="24"/>
        </w:rPr>
        <w:t>M</w:t>
      </w:r>
      <w:r>
        <w:rPr>
          <w:color w:val="000000"/>
          <w:sz w:val="24"/>
          <w:szCs w:val="24"/>
        </w:rPr>
        <w:t xml:space="preserve"> = 2.87, </w:t>
      </w:r>
      <w:r>
        <w:rPr>
          <w:i/>
          <w:iCs/>
          <w:color w:val="000000"/>
          <w:sz w:val="24"/>
          <w:szCs w:val="24"/>
        </w:rPr>
        <w:t>SD</w:t>
      </w:r>
      <w:r>
        <w:rPr>
          <w:color w:val="000000"/>
          <w:sz w:val="24"/>
          <w:szCs w:val="24"/>
        </w:rPr>
        <w:t xml:space="preserve"> = 0.745) and on advice seeking encouraging cash flow monitoring (</w:t>
      </w:r>
      <w:r>
        <w:rPr>
          <w:i/>
          <w:iCs/>
          <w:color w:val="000000"/>
          <w:sz w:val="24"/>
          <w:szCs w:val="24"/>
        </w:rPr>
        <w:t>M</w:t>
      </w:r>
      <w:r>
        <w:rPr>
          <w:color w:val="000000"/>
          <w:sz w:val="24"/>
          <w:szCs w:val="24"/>
        </w:rPr>
        <w:t xml:space="preserve"> = 2.87, </w:t>
      </w:r>
      <w:r>
        <w:rPr>
          <w:i/>
          <w:iCs/>
          <w:color w:val="000000"/>
          <w:sz w:val="24"/>
          <w:szCs w:val="24"/>
        </w:rPr>
        <w:t>SD</w:t>
      </w:r>
      <w:r>
        <w:rPr>
          <w:color w:val="000000"/>
          <w:sz w:val="24"/>
          <w:szCs w:val="24"/>
        </w:rPr>
        <w:t xml:space="preserve"> = 0.808) scored lowest. The picture is of training that owner-managers find useful in principle but hard to attend consistently, given the daily demands of running a small business. This matches findings from Kuwait and Uganda that literacy raises financial management capacity where </w:t>
      </w:r>
      <w:r w:rsidR="00425849">
        <w:rPr>
          <w:color w:val="000000"/>
          <w:sz w:val="24"/>
          <w:szCs w:val="24"/>
        </w:rPr>
        <w:t>programs</w:t>
      </w:r>
      <w:r>
        <w:rPr>
          <w:color w:val="000000"/>
          <w:sz w:val="24"/>
          <w:szCs w:val="24"/>
        </w:rPr>
        <w:t xml:space="preserve"> are actually completed (Abdallah et al., 2024; Nyeko et al., 2024).</w:t>
      </w:r>
    </w:p>
    <w:p w14:paraId="5A2F1F2D" w14:textId="77777777" w:rsidR="00E0682E" w:rsidRDefault="00225CEE">
      <w:pPr>
        <w:spacing w:before="200" w:after="100"/>
        <w:jc w:val="center"/>
      </w:pPr>
      <w:r>
        <w:rPr>
          <w:b/>
          <w:bCs/>
          <w:color w:val="000000"/>
          <w:sz w:val="24"/>
          <w:szCs w:val="24"/>
        </w:rPr>
        <w:t xml:space="preserve">Table 7. </w:t>
      </w:r>
      <w:r>
        <w:rPr>
          <w:color w:val="000000"/>
          <w:sz w:val="24"/>
          <w:szCs w:val="24"/>
        </w:rPr>
        <w:t>Descriptive statistics for financial literacy training</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60"/>
        <w:gridCol w:w="700"/>
        <w:gridCol w:w="700"/>
        <w:gridCol w:w="700"/>
        <w:gridCol w:w="1000"/>
        <w:gridCol w:w="1100"/>
      </w:tblGrid>
      <w:tr w:rsidR="00E0682E" w14:paraId="61521904" w14:textId="77777777">
        <w:tc>
          <w:tcPr>
            <w:tcW w:w="5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CCBEF1E" w14:textId="77777777" w:rsidR="00E0682E" w:rsidRDefault="00225CEE">
            <w:pPr>
              <w:spacing w:after="20" w:line="260" w:lineRule="auto"/>
            </w:pPr>
            <w:r>
              <w:rPr>
                <w:b/>
                <w:bCs/>
                <w:color w:val="000000"/>
                <w:sz w:val="22"/>
                <w:szCs w:val="22"/>
              </w:rPr>
              <w:t>Statement</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6A12FB6" w14:textId="77777777" w:rsidR="00E0682E" w:rsidRDefault="00225CEE">
            <w:pPr>
              <w:spacing w:after="20" w:line="260" w:lineRule="auto"/>
              <w:jc w:val="center"/>
            </w:pPr>
            <w:r>
              <w:rPr>
                <w:b/>
                <w:bCs/>
                <w:color w:val="000000"/>
                <w:sz w:val="22"/>
                <w:szCs w:val="22"/>
              </w:rPr>
              <w:t>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0B01C7A" w14:textId="77777777" w:rsidR="00E0682E" w:rsidRDefault="00225CEE">
            <w:pPr>
              <w:spacing w:after="20" w:line="260" w:lineRule="auto"/>
              <w:jc w:val="center"/>
            </w:pPr>
            <w:r>
              <w:rPr>
                <w:b/>
                <w:bCs/>
                <w:color w:val="000000"/>
                <w:sz w:val="22"/>
                <w:szCs w:val="22"/>
              </w:rPr>
              <w:t>Min</w:t>
            </w:r>
          </w:p>
        </w:tc>
        <w:tc>
          <w:tcPr>
            <w:tcW w:w="7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F415979" w14:textId="77777777" w:rsidR="00E0682E" w:rsidRDefault="00225CEE">
            <w:pPr>
              <w:spacing w:after="20" w:line="260" w:lineRule="auto"/>
              <w:jc w:val="center"/>
            </w:pPr>
            <w:r>
              <w:rPr>
                <w:b/>
                <w:bCs/>
                <w:color w:val="000000"/>
                <w:sz w:val="22"/>
                <w:szCs w:val="22"/>
              </w:rPr>
              <w:t>Max</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912590A" w14:textId="77777777" w:rsidR="00E0682E" w:rsidRDefault="00225CEE">
            <w:pPr>
              <w:spacing w:after="20" w:line="260" w:lineRule="auto"/>
              <w:jc w:val="center"/>
            </w:pPr>
            <w:r>
              <w:rPr>
                <w:b/>
                <w:bCs/>
                <w:color w:val="000000"/>
                <w:sz w:val="22"/>
                <w:szCs w:val="22"/>
              </w:rPr>
              <w:t>Mean</w:t>
            </w:r>
          </w:p>
        </w:tc>
        <w:tc>
          <w:tcPr>
            <w:tcW w:w="11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FEEA58E" w14:textId="77777777" w:rsidR="00E0682E" w:rsidRDefault="00225CEE">
            <w:pPr>
              <w:spacing w:after="20" w:line="260" w:lineRule="auto"/>
              <w:jc w:val="center"/>
            </w:pPr>
            <w:r>
              <w:rPr>
                <w:b/>
                <w:bCs/>
                <w:color w:val="000000"/>
                <w:sz w:val="22"/>
                <w:szCs w:val="22"/>
              </w:rPr>
              <w:t>SD</w:t>
            </w:r>
          </w:p>
        </w:tc>
      </w:tr>
      <w:tr w:rsidR="00E0682E" w14:paraId="223EC495"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596A5E4" w14:textId="77777777" w:rsidR="00E0682E" w:rsidRDefault="00225CEE">
            <w:pPr>
              <w:spacing w:after="20" w:line="260" w:lineRule="auto"/>
            </w:pPr>
            <w:r>
              <w:rPr>
                <w:color w:val="000000"/>
                <w:sz w:val="22"/>
                <w:szCs w:val="22"/>
              </w:rPr>
              <w:t>Limited time may prevent in-depth training on advanced financial topics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F66E3D6"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93F5192"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D293D29"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21C0FAE" w14:textId="77777777" w:rsidR="00E0682E" w:rsidRDefault="00225CEE">
            <w:pPr>
              <w:spacing w:after="20" w:line="260" w:lineRule="auto"/>
              <w:jc w:val="center"/>
            </w:pPr>
            <w:r>
              <w:rPr>
                <w:color w:val="000000"/>
                <w:sz w:val="22"/>
                <w:szCs w:val="22"/>
              </w:rPr>
              <w:t>2.90</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992727C" w14:textId="77777777" w:rsidR="00E0682E" w:rsidRDefault="00225CEE">
            <w:pPr>
              <w:spacing w:after="20" w:line="260" w:lineRule="auto"/>
              <w:jc w:val="center"/>
            </w:pPr>
            <w:r>
              <w:rPr>
                <w:color w:val="000000"/>
                <w:sz w:val="22"/>
                <w:szCs w:val="22"/>
              </w:rPr>
              <w:t>0.759</w:t>
            </w:r>
          </w:p>
        </w:tc>
      </w:tr>
      <w:tr w:rsidR="00E0682E" w14:paraId="64EDF6DD"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D08512F" w14:textId="77777777" w:rsidR="00E0682E" w:rsidRDefault="00225CEE">
            <w:pPr>
              <w:spacing w:after="20" w:line="260" w:lineRule="auto"/>
            </w:pPr>
            <w:r>
              <w:rPr>
                <w:color w:val="000000"/>
                <w:sz w:val="22"/>
                <w:szCs w:val="22"/>
              </w:rPr>
              <w:t>The duration of training requires consistent participation, which may be challenging for busy entrepreneurs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31F55BD"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428E917"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082B807" w14:textId="77777777" w:rsidR="00E0682E" w:rsidRDefault="00225CEE">
            <w:pPr>
              <w:spacing w:after="20" w:line="260" w:lineRule="auto"/>
              <w:jc w:val="center"/>
            </w:pPr>
            <w:r>
              <w:rPr>
                <w:color w:val="000000"/>
                <w:sz w:val="22"/>
                <w:szCs w:val="22"/>
              </w:rPr>
              <w:t>4</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1DA9F84" w14:textId="77777777" w:rsidR="00E0682E" w:rsidRDefault="00225CEE">
            <w:pPr>
              <w:spacing w:after="20" w:line="260" w:lineRule="auto"/>
              <w:jc w:val="center"/>
            </w:pPr>
            <w:r>
              <w:rPr>
                <w:color w:val="000000"/>
                <w:sz w:val="22"/>
                <w:szCs w:val="22"/>
              </w:rPr>
              <w:t>2.87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B263C8E" w14:textId="77777777" w:rsidR="00E0682E" w:rsidRDefault="00225CEE">
            <w:pPr>
              <w:spacing w:after="20" w:line="260" w:lineRule="auto"/>
              <w:jc w:val="center"/>
            </w:pPr>
            <w:r>
              <w:rPr>
                <w:color w:val="000000"/>
                <w:sz w:val="22"/>
                <w:szCs w:val="22"/>
              </w:rPr>
              <w:t>0.745</w:t>
            </w:r>
          </w:p>
        </w:tc>
      </w:tr>
      <w:tr w:rsidR="00E0682E" w14:paraId="2AF066A9"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8246FFA" w14:textId="77777777" w:rsidR="00E0682E" w:rsidRDefault="00225CEE">
            <w:pPr>
              <w:spacing w:after="20" w:line="260" w:lineRule="auto"/>
            </w:pPr>
            <w:r>
              <w:rPr>
                <w:color w:val="000000"/>
                <w:sz w:val="22"/>
                <w:szCs w:val="22"/>
              </w:rPr>
              <w:t>Seeking financial advice is helping businesses develop realistic budgets and financial plans aligned with business goals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8E88EAE"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CB68048"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064002F"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767BD21" w14:textId="77777777" w:rsidR="00E0682E" w:rsidRDefault="00225CEE">
            <w:pPr>
              <w:spacing w:after="20" w:line="260" w:lineRule="auto"/>
              <w:jc w:val="center"/>
            </w:pPr>
            <w:r>
              <w:rPr>
                <w:color w:val="000000"/>
                <w:sz w:val="22"/>
                <w:szCs w:val="22"/>
              </w:rPr>
              <w:t>2.95</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1CF5B5B" w14:textId="77777777" w:rsidR="00E0682E" w:rsidRDefault="00225CEE">
            <w:pPr>
              <w:spacing w:after="20" w:line="260" w:lineRule="auto"/>
              <w:jc w:val="center"/>
            </w:pPr>
            <w:r>
              <w:rPr>
                <w:color w:val="000000"/>
                <w:sz w:val="22"/>
                <w:szCs w:val="22"/>
              </w:rPr>
              <w:t>0.714</w:t>
            </w:r>
          </w:p>
        </w:tc>
      </w:tr>
      <w:tr w:rsidR="00E0682E" w14:paraId="2DB53AB2"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39F2880" w14:textId="77777777" w:rsidR="00E0682E" w:rsidRDefault="00225CEE">
            <w:pPr>
              <w:spacing w:after="20" w:line="260" w:lineRule="auto"/>
            </w:pPr>
            <w:r>
              <w:rPr>
                <w:color w:val="000000"/>
                <w:sz w:val="22"/>
                <w:szCs w:val="22"/>
              </w:rPr>
              <w:lastRenderedPageBreak/>
              <w:t>Seeking financial advice encourages cash flow monitoring, reducing the risk of liquidity crises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BE19ECC"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995F251"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87DF128"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2995C4E" w14:textId="77777777" w:rsidR="00E0682E" w:rsidRDefault="00225CEE">
            <w:pPr>
              <w:spacing w:after="20" w:line="260" w:lineRule="auto"/>
              <w:jc w:val="center"/>
            </w:pPr>
            <w:r>
              <w:rPr>
                <w:color w:val="000000"/>
                <w:sz w:val="22"/>
                <w:szCs w:val="22"/>
              </w:rPr>
              <w:t>2.87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076EED5" w14:textId="77777777" w:rsidR="00E0682E" w:rsidRDefault="00225CEE">
            <w:pPr>
              <w:spacing w:after="20" w:line="260" w:lineRule="auto"/>
              <w:jc w:val="center"/>
            </w:pPr>
            <w:r>
              <w:rPr>
                <w:color w:val="000000"/>
                <w:sz w:val="22"/>
                <w:szCs w:val="22"/>
              </w:rPr>
              <w:t>0.808</w:t>
            </w:r>
          </w:p>
        </w:tc>
      </w:tr>
      <w:tr w:rsidR="00E0682E" w14:paraId="0DA97669" w14:textId="77777777">
        <w:tc>
          <w:tcPr>
            <w:tcW w:w="5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C9985EC" w14:textId="77777777" w:rsidR="00E0682E" w:rsidRDefault="00225CEE">
            <w:pPr>
              <w:spacing w:after="20" w:line="260" w:lineRule="auto"/>
            </w:pPr>
            <w:r>
              <w:rPr>
                <w:color w:val="000000"/>
                <w:sz w:val="22"/>
                <w:szCs w:val="22"/>
              </w:rPr>
              <w:t>Limited knowledge may hinder access to financing due to poor loan application or credit management skills</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8B37E9C"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90CF247"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0B74BD5" w14:textId="77777777" w:rsidR="00E0682E" w:rsidRDefault="00225CEE">
            <w:pPr>
              <w:spacing w:after="20" w:line="260" w:lineRule="auto"/>
              <w:jc w:val="center"/>
            </w:pPr>
            <w:r>
              <w:rPr>
                <w:color w:val="000000"/>
                <w:sz w:val="22"/>
                <w:szCs w:val="22"/>
              </w:rPr>
              <w:t>5</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2E51381" w14:textId="77777777" w:rsidR="00E0682E" w:rsidRDefault="00225CEE">
            <w:pPr>
              <w:spacing w:after="20" w:line="260" w:lineRule="auto"/>
              <w:jc w:val="center"/>
            </w:pPr>
            <w:r>
              <w:rPr>
                <w:color w:val="000000"/>
                <w:sz w:val="22"/>
                <w:szCs w:val="22"/>
              </w:rPr>
              <w:t>2.88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92A0FB5" w14:textId="77777777" w:rsidR="00E0682E" w:rsidRDefault="00225CEE">
            <w:pPr>
              <w:spacing w:after="20" w:line="260" w:lineRule="auto"/>
              <w:jc w:val="center"/>
            </w:pPr>
            <w:r>
              <w:rPr>
                <w:color w:val="000000"/>
                <w:sz w:val="22"/>
                <w:szCs w:val="22"/>
              </w:rPr>
              <w:t>0.832</w:t>
            </w:r>
          </w:p>
        </w:tc>
      </w:tr>
      <w:tr w:rsidR="00E0682E" w14:paraId="4E615AAC" w14:textId="77777777">
        <w:tc>
          <w:tcPr>
            <w:tcW w:w="5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93063F3" w14:textId="77777777" w:rsidR="00E0682E" w:rsidRDefault="00225CEE">
            <w:pPr>
              <w:spacing w:after="20" w:line="260" w:lineRule="auto"/>
            </w:pPr>
            <w:r>
              <w:rPr>
                <w:color w:val="000000"/>
                <w:sz w:val="22"/>
                <w:szCs w:val="22"/>
              </w:rPr>
              <w:t>Understanding of financial concepts has enabled businesses to diversify income sources and reinvest profits, ensuring sustainable growth</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07737E6" w14:textId="77777777" w:rsidR="00E0682E" w:rsidRDefault="00225CEE">
            <w:pPr>
              <w:spacing w:after="20" w:line="260" w:lineRule="auto"/>
              <w:jc w:val="center"/>
            </w:pPr>
            <w:r>
              <w:rPr>
                <w:color w:val="000000"/>
                <w:sz w:val="22"/>
                <w:szCs w:val="22"/>
              </w:rPr>
              <w:t>83</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8A82522" w14:textId="77777777" w:rsidR="00E0682E" w:rsidRDefault="00225CEE">
            <w:pPr>
              <w:spacing w:after="20" w:line="260" w:lineRule="auto"/>
              <w:jc w:val="center"/>
            </w:pPr>
            <w:r>
              <w:rPr>
                <w:color w:val="000000"/>
                <w:sz w:val="22"/>
                <w:szCs w:val="22"/>
              </w:rPr>
              <w:t>1</w:t>
            </w:r>
          </w:p>
        </w:tc>
        <w:tc>
          <w:tcPr>
            <w:tcW w:w="7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5A55421" w14:textId="77777777" w:rsidR="00E0682E" w:rsidRDefault="00225CEE">
            <w:pPr>
              <w:spacing w:after="20" w:line="260" w:lineRule="auto"/>
              <w:jc w:val="center"/>
            </w:pPr>
            <w:r>
              <w:rPr>
                <w:color w:val="000000"/>
                <w:sz w:val="22"/>
                <w:szCs w:val="22"/>
              </w:rPr>
              <w:t>4</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2995A77" w14:textId="77777777" w:rsidR="00E0682E" w:rsidRDefault="00225CEE">
            <w:pPr>
              <w:spacing w:after="20" w:line="260" w:lineRule="auto"/>
              <w:jc w:val="center"/>
            </w:pPr>
            <w:r>
              <w:rPr>
                <w:color w:val="000000"/>
                <w:sz w:val="22"/>
                <w:szCs w:val="22"/>
              </w:rPr>
              <w:t>2.92</w:t>
            </w:r>
          </w:p>
        </w:tc>
        <w:tc>
          <w:tcPr>
            <w:tcW w:w="11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0307766" w14:textId="77777777" w:rsidR="00E0682E" w:rsidRDefault="00225CEE">
            <w:pPr>
              <w:spacing w:after="20" w:line="260" w:lineRule="auto"/>
              <w:jc w:val="center"/>
            </w:pPr>
            <w:r>
              <w:rPr>
                <w:color w:val="000000"/>
                <w:sz w:val="22"/>
                <w:szCs w:val="22"/>
              </w:rPr>
              <w:t>0.684</w:t>
            </w:r>
          </w:p>
        </w:tc>
      </w:tr>
    </w:tbl>
    <w:p w14:paraId="07E0516E" w14:textId="77777777" w:rsidR="00E0682E" w:rsidRDefault="00225CEE">
      <w:pPr>
        <w:spacing w:after="200"/>
      </w:pPr>
      <w:r>
        <w:rPr>
          <w:i/>
          <w:iCs/>
          <w:color w:val="000000"/>
        </w:rPr>
        <w:t>Source: Field data (2025)</w:t>
      </w:r>
    </w:p>
    <w:p w14:paraId="43A08D60" w14:textId="77777777" w:rsidR="00E0682E" w:rsidRDefault="00225CEE">
      <w:pPr>
        <w:spacing w:before="160" w:after="80"/>
      </w:pPr>
      <w:r>
        <w:rPr>
          <w:b/>
          <w:bCs/>
          <w:i/>
          <w:iCs/>
          <w:color w:val="000000"/>
          <w:sz w:val="24"/>
          <w:szCs w:val="24"/>
        </w:rPr>
        <w:t>4.3.5 Financial growth</w:t>
      </w:r>
    </w:p>
    <w:p w14:paraId="015C805C" w14:textId="4EF1DB79" w:rsidR="00E0682E" w:rsidRDefault="00225CEE">
      <w:pPr>
        <w:spacing w:after="120"/>
        <w:jc w:val="both"/>
      </w:pPr>
      <w:r>
        <w:rPr>
          <w:color w:val="000000"/>
          <w:sz w:val="24"/>
          <w:szCs w:val="24"/>
        </w:rPr>
        <w:t>The dependent variable was measured with six statements covering access to local and international markets, participation in trade fairs and electronic commerce, dependence on NGO support, relief of financial constraints for women and youth led businesses, credit management training and follow-up support. Item means ranged from 2.78 to 2.92 on the five-point scale, with standard deviations between 0.684 and 0.832. The broadly neutral tendency indicates that respondents saw real but limited financial progress arising from NGO support, tempered by concerns about dependence on external funding and about what happens to businesses once program support ends.</w:t>
      </w:r>
    </w:p>
    <w:p w14:paraId="54B4ECC9" w14:textId="77777777" w:rsidR="00E0682E" w:rsidRDefault="00225CEE">
      <w:pPr>
        <w:spacing w:before="180" w:after="100"/>
      </w:pPr>
      <w:r>
        <w:rPr>
          <w:b/>
          <w:bCs/>
          <w:color w:val="000000"/>
          <w:sz w:val="24"/>
          <w:szCs w:val="24"/>
        </w:rPr>
        <w:t>4.4 Diagnostic Tests</w:t>
      </w:r>
    </w:p>
    <w:p w14:paraId="3BECD109" w14:textId="45649821" w:rsidR="00E0682E" w:rsidRDefault="00225CEE">
      <w:pPr>
        <w:spacing w:after="120"/>
        <w:jc w:val="both"/>
      </w:pPr>
      <w:r>
        <w:rPr>
          <w:color w:val="000000"/>
          <w:sz w:val="24"/>
          <w:szCs w:val="24"/>
        </w:rPr>
        <w:t xml:space="preserve">Table 8 reports the Shapiro-Wilk results. Savings </w:t>
      </w:r>
      <w:r w:rsidR="00425849">
        <w:rPr>
          <w:color w:val="000000"/>
          <w:sz w:val="24"/>
          <w:szCs w:val="24"/>
        </w:rPr>
        <w:t>programs</w:t>
      </w:r>
      <w:r>
        <w:rPr>
          <w:color w:val="000000"/>
          <w:sz w:val="24"/>
          <w:szCs w:val="24"/>
        </w:rPr>
        <w:t xml:space="preserve"> (</w:t>
      </w:r>
      <w:r>
        <w:rPr>
          <w:i/>
          <w:iCs/>
          <w:color w:val="000000"/>
          <w:sz w:val="24"/>
          <w:szCs w:val="24"/>
        </w:rPr>
        <w:t>P</w:t>
      </w:r>
      <w:r>
        <w:rPr>
          <w:color w:val="000000"/>
          <w:sz w:val="24"/>
          <w:szCs w:val="24"/>
        </w:rPr>
        <w:t xml:space="preserve"> = .07), grant </w:t>
      </w:r>
      <w:r w:rsidR="00425849">
        <w:rPr>
          <w:color w:val="000000"/>
          <w:sz w:val="24"/>
          <w:szCs w:val="24"/>
        </w:rPr>
        <w:t>programs</w:t>
      </w:r>
      <w:r>
        <w:rPr>
          <w:color w:val="000000"/>
          <w:sz w:val="24"/>
          <w:szCs w:val="24"/>
        </w:rPr>
        <w:t xml:space="preserve"> (</w:t>
      </w:r>
      <w:r>
        <w:rPr>
          <w:i/>
          <w:iCs/>
          <w:color w:val="000000"/>
          <w:sz w:val="24"/>
          <w:szCs w:val="24"/>
        </w:rPr>
        <w:t>P</w:t>
      </w:r>
      <w:r>
        <w:rPr>
          <w:color w:val="000000"/>
          <w:sz w:val="24"/>
          <w:szCs w:val="24"/>
        </w:rPr>
        <w:t xml:space="preserve"> = .20) and financial literacy training (</w:t>
      </w:r>
      <w:r>
        <w:rPr>
          <w:i/>
          <w:iCs/>
          <w:color w:val="000000"/>
          <w:sz w:val="24"/>
          <w:szCs w:val="24"/>
        </w:rPr>
        <w:t>P</w:t>
      </w:r>
      <w:r>
        <w:rPr>
          <w:color w:val="000000"/>
          <w:sz w:val="24"/>
          <w:szCs w:val="24"/>
        </w:rPr>
        <w:t xml:space="preserve"> = .17) did not deviate significantly from normality, while revolving loan funds and financial growth returned values at the conventional boundary (</w:t>
      </w:r>
      <w:r>
        <w:rPr>
          <w:i/>
          <w:iCs/>
          <w:color w:val="000000"/>
          <w:sz w:val="24"/>
          <w:szCs w:val="24"/>
        </w:rPr>
        <w:t>P</w:t>
      </w:r>
      <w:r>
        <w:rPr>
          <w:color w:val="000000"/>
          <w:sz w:val="24"/>
          <w:szCs w:val="24"/>
        </w:rPr>
        <w:t xml:space="preserve"> = .05). Given that parametric procedures are robust to minor departures from normality in samples above 30, the data were retained for parametric analysis. Collinearity diagnostics produced condition indices below the critical value of 30, with no dimension showing high variance proportions on two or more predictors at once, so multicollinearity was not a material concern. The Breusch-Pagan test returned χ²(4) = 4.32, </w:t>
      </w:r>
      <w:r>
        <w:rPr>
          <w:i/>
          <w:iCs/>
          <w:color w:val="000000"/>
          <w:sz w:val="24"/>
          <w:szCs w:val="24"/>
        </w:rPr>
        <w:t>P</w:t>
      </w:r>
      <w:r>
        <w:rPr>
          <w:color w:val="000000"/>
          <w:sz w:val="24"/>
          <w:szCs w:val="24"/>
        </w:rPr>
        <w:t xml:space="preserve"> = .36, consistent with constant error variance, and lack-of-fit </w:t>
      </w:r>
      <w:r>
        <w:rPr>
          <w:i/>
          <w:iCs/>
          <w:color w:val="000000"/>
          <w:sz w:val="24"/>
          <w:szCs w:val="24"/>
        </w:rPr>
        <w:t>F</w:t>
      </w:r>
      <w:r>
        <w:rPr>
          <w:color w:val="000000"/>
          <w:sz w:val="24"/>
          <w:szCs w:val="24"/>
        </w:rPr>
        <w:t xml:space="preserve"> tests for the four predictors were all non-significant (</w:t>
      </w:r>
      <w:r>
        <w:rPr>
          <w:i/>
          <w:iCs/>
          <w:color w:val="000000"/>
          <w:sz w:val="24"/>
          <w:szCs w:val="24"/>
        </w:rPr>
        <w:t>P</w:t>
      </w:r>
      <w:r>
        <w:rPr>
          <w:color w:val="000000"/>
          <w:sz w:val="24"/>
          <w:szCs w:val="24"/>
        </w:rPr>
        <w:t xml:space="preserve"> values from .18 to .36), supporting the linearity assumption.</w:t>
      </w:r>
    </w:p>
    <w:p w14:paraId="071C086F" w14:textId="77777777" w:rsidR="00E0682E" w:rsidRDefault="00225CEE">
      <w:pPr>
        <w:spacing w:before="200" w:after="100"/>
        <w:jc w:val="center"/>
      </w:pPr>
      <w:r>
        <w:rPr>
          <w:b/>
          <w:bCs/>
          <w:color w:val="000000"/>
          <w:sz w:val="24"/>
          <w:szCs w:val="24"/>
        </w:rPr>
        <w:t xml:space="preserve">Table 8. </w:t>
      </w:r>
      <w:r>
        <w:rPr>
          <w:color w:val="000000"/>
          <w:sz w:val="24"/>
          <w:szCs w:val="24"/>
        </w:rPr>
        <w:t>Shapiro-Wilk normality test results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60"/>
        <w:gridCol w:w="1600"/>
        <w:gridCol w:w="1200"/>
        <w:gridCol w:w="1600"/>
      </w:tblGrid>
      <w:tr w:rsidR="00E0682E" w14:paraId="2AC7A87E" w14:textId="77777777">
        <w:tc>
          <w:tcPr>
            <w:tcW w:w="49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97C4CB6" w14:textId="77777777" w:rsidR="00E0682E" w:rsidRDefault="00225CEE">
            <w:pPr>
              <w:spacing w:after="20" w:line="260" w:lineRule="auto"/>
            </w:pPr>
            <w:r>
              <w:rPr>
                <w:b/>
                <w:bCs/>
                <w:color w:val="000000"/>
                <w:sz w:val="22"/>
                <w:szCs w:val="22"/>
              </w:rPr>
              <w:t>Variable</w:t>
            </w:r>
          </w:p>
        </w:tc>
        <w:tc>
          <w:tcPr>
            <w:tcW w:w="16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097B969" w14:textId="77777777" w:rsidR="00E0682E" w:rsidRDefault="00225CEE">
            <w:pPr>
              <w:spacing w:after="20" w:line="260" w:lineRule="auto"/>
              <w:jc w:val="center"/>
            </w:pPr>
            <w:r>
              <w:rPr>
                <w:b/>
                <w:bCs/>
                <w:color w:val="000000"/>
                <w:sz w:val="22"/>
                <w:szCs w:val="22"/>
              </w:rPr>
              <w:t>Statistic</w:t>
            </w:r>
          </w:p>
        </w:tc>
        <w:tc>
          <w:tcPr>
            <w:tcW w:w="12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7B0BC13" w14:textId="77777777" w:rsidR="00E0682E" w:rsidRDefault="00225CEE">
            <w:pPr>
              <w:spacing w:after="20" w:line="260" w:lineRule="auto"/>
              <w:jc w:val="center"/>
            </w:pPr>
            <w:r>
              <w:rPr>
                <w:b/>
                <w:bCs/>
                <w:color w:val="000000"/>
                <w:sz w:val="22"/>
                <w:szCs w:val="22"/>
              </w:rPr>
              <w:t>df</w:t>
            </w:r>
          </w:p>
        </w:tc>
        <w:tc>
          <w:tcPr>
            <w:tcW w:w="16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22BF0F4" w14:textId="77777777" w:rsidR="00E0682E" w:rsidRDefault="00225CEE">
            <w:pPr>
              <w:spacing w:after="20" w:line="260" w:lineRule="auto"/>
              <w:jc w:val="center"/>
            </w:pPr>
            <w:r>
              <w:rPr>
                <w:b/>
                <w:bCs/>
                <w:i/>
                <w:iCs/>
                <w:color w:val="000000"/>
                <w:sz w:val="22"/>
                <w:szCs w:val="22"/>
              </w:rPr>
              <w:t>P</w:t>
            </w:r>
          </w:p>
        </w:tc>
      </w:tr>
      <w:tr w:rsidR="00E0682E" w14:paraId="2AE80C41"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897BA2C" w14:textId="3E575DE9" w:rsidR="00E0682E" w:rsidRDefault="00225CEE">
            <w:pPr>
              <w:spacing w:after="20" w:line="260" w:lineRule="auto"/>
            </w:pPr>
            <w:r>
              <w:rPr>
                <w:color w:val="000000"/>
                <w:sz w:val="22"/>
                <w:szCs w:val="22"/>
              </w:rPr>
              <w:t xml:space="preserve">Savings </w:t>
            </w:r>
            <w:r w:rsidR="00425849">
              <w:rPr>
                <w:color w:val="000000"/>
                <w:sz w:val="22"/>
                <w:szCs w:val="22"/>
              </w:rPr>
              <w:t>programs</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FCE0000" w14:textId="77777777" w:rsidR="00E0682E" w:rsidRDefault="00225CEE">
            <w:pPr>
              <w:spacing w:after="20" w:line="260" w:lineRule="auto"/>
              <w:jc w:val="center"/>
            </w:pPr>
            <w:r>
              <w:rPr>
                <w:color w:val="000000"/>
                <w:sz w:val="22"/>
                <w:szCs w:val="22"/>
              </w:rPr>
              <w:t>0.973</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CE2EDEC"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8CE3C31" w14:textId="77777777" w:rsidR="00E0682E" w:rsidRDefault="00225CEE">
            <w:pPr>
              <w:spacing w:after="20" w:line="260" w:lineRule="auto"/>
              <w:jc w:val="center"/>
            </w:pPr>
            <w:r>
              <w:rPr>
                <w:color w:val="000000"/>
                <w:sz w:val="22"/>
                <w:szCs w:val="22"/>
              </w:rPr>
              <w:t>.07</w:t>
            </w:r>
          </w:p>
        </w:tc>
      </w:tr>
      <w:tr w:rsidR="00E0682E" w14:paraId="23C32C97"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32AD509" w14:textId="77777777" w:rsidR="00E0682E" w:rsidRDefault="00225CEE">
            <w:pPr>
              <w:spacing w:after="20" w:line="260" w:lineRule="auto"/>
            </w:pPr>
            <w:r>
              <w:rPr>
                <w:color w:val="000000"/>
                <w:sz w:val="22"/>
                <w:szCs w:val="22"/>
              </w:rPr>
              <w:t>Revolving loan funds</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D3B6F52" w14:textId="77777777" w:rsidR="00E0682E" w:rsidRDefault="00225CEE">
            <w:pPr>
              <w:spacing w:after="20" w:line="260" w:lineRule="auto"/>
              <w:jc w:val="center"/>
            </w:pPr>
            <w:r>
              <w:rPr>
                <w:color w:val="000000"/>
                <w:sz w:val="22"/>
                <w:szCs w:val="22"/>
              </w:rPr>
              <w:t>0.969</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C2A6758"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1CB6A8A" w14:textId="77777777" w:rsidR="00E0682E" w:rsidRDefault="00225CEE">
            <w:pPr>
              <w:spacing w:after="20" w:line="260" w:lineRule="auto"/>
              <w:jc w:val="center"/>
            </w:pPr>
            <w:r>
              <w:rPr>
                <w:color w:val="000000"/>
                <w:sz w:val="22"/>
                <w:szCs w:val="22"/>
              </w:rPr>
              <w:t>.05</w:t>
            </w:r>
          </w:p>
        </w:tc>
      </w:tr>
      <w:tr w:rsidR="00E0682E" w14:paraId="63AAA2AB"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1926B75" w14:textId="6726277A" w:rsidR="00E0682E" w:rsidRDefault="00225CEE">
            <w:pPr>
              <w:spacing w:after="20" w:line="260" w:lineRule="auto"/>
            </w:pPr>
            <w:r>
              <w:rPr>
                <w:color w:val="000000"/>
                <w:sz w:val="22"/>
                <w:szCs w:val="22"/>
              </w:rPr>
              <w:t xml:space="preserve">Grant </w:t>
            </w:r>
            <w:r w:rsidR="00425849">
              <w:rPr>
                <w:color w:val="000000"/>
                <w:sz w:val="22"/>
                <w:szCs w:val="22"/>
              </w:rPr>
              <w:t>programs</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9312FBC" w14:textId="77777777" w:rsidR="00E0682E" w:rsidRDefault="00225CEE">
            <w:pPr>
              <w:spacing w:after="20" w:line="260" w:lineRule="auto"/>
              <w:jc w:val="center"/>
            </w:pPr>
            <w:r>
              <w:rPr>
                <w:color w:val="000000"/>
                <w:sz w:val="22"/>
                <w:szCs w:val="22"/>
              </w:rPr>
              <w:t>0.979</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F011D09"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8C39EA9" w14:textId="77777777" w:rsidR="00E0682E" w:rsidRDefault="00225CEE">
            <w:pPr>
              <w:spacing w:after="20" w:line="260" w:lineRule="auto"/>
              <w:jc w:val="center"/>
            </w:pPr>
            <w:r>
              <w:rPr>
                <w:color w:val="000000"/>
                <w:sz w:val="22"/>
                <w:szCs w:val="22"/>
              </w:rPr>
              <w:t>.20</w:t>
            </w:r>
          </w:p>
        </w:tc>
      </w:tr>
      <w:tr w:rsidR="00E0682E" w14:paraId="77782A46"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42F5BD4" w14:textId="77777777" w:rsidR="00E0682E" w:rsidRDefault="00225CEE">
            <w:pPr>
              <w:spacing w:after="20" w:line="260" w:lineRule="auto"/>
            </w:pPr>
            <w:r>
              <w:rPr>
                <w:color w:val="000000"/>
                <w:sz w:val="22"/>
                <w:szCs w:val="22"/>
              </w:rPr>
              <w:t>Financial literacy training</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7E2A876" w14:textId="77777777" w:rsidR="00E0682E" w:rsidRDefault="00225CEE">
            <w:pPr>
              <w:spacing w:after="20" w:line="260" w:lineRule="auto"/>
              <w:jc w:val="center"/>
            </w:pPr>
            <w:r>
              <w:rPr>
                <w:color w:val="000000"/>
                <w:sz w:val="22"/>
                <w:szCs w:val="22"/>
              </w:rPr>
              <w:t>0.978</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D65858A"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AC0F4B3" w14:textId="77777777" w:rsidR="00E0682E" w:rsidRDefault="00225CEE">
            <w:pPr>
              <w:spacing w:after="20" w:line="260" w:lineRule="auto"/>
              <w:jc w:val="center"/>
            </w:pPr>
            <w:r>
              <w:rPr>
                <w:color w:val="000000"/>
                <w:sz w:val="22"/>
                <w:szCs w:val="22"/>
              </w:rPr>
              <w:t>.17</w:t>
            </w:r>
          </w:p>
        </w:tc>
      </w:tr>
      <w:tr w:rsidR="00E0682E" w14:paraId="059991EB" w14:textId="77777777">
        <w:tc>
          <w:tcPr>
            <w:tcW w:w="49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7FAC8EC" w14:textId="77777777" w:rsidR="00E0682E" w:rsidRDefault="00225CEE">
            <w:pPr>
              <w:spacing w:after="20" w:line="260" w:lineRule="auto"/>
            </w:pPr>
            <w:r>
              <w:rPr>
                <w:color w:val="000000"/>
                <w:sz w:val="22"/>
                <w:szCs w:val="22"/>
              </w:rPr>
              <w:t>Financial growth</w:t>
            </w:r>
          </w:p>
        </w:tc>
        <w:tc>
          <w:tcPr>
            <w:tcW w:w="16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AFAEB90" w14:textId="77777777" w:rsidR="00E0682E" w:rsidRDefault="00225CEE">
            <w:pPr>
              <w:spacing w:after="20" w:line="260" w:lineRule="auto"/>
              <w:jc w:val="center"/>
            </w:pPr>
            <w:r>
              <w:rPr>
                <w:color w:val="000000"/>
                <w:sz w:val="22"/>
                <w:szCs w:val="22"/>
              </w:rPr>
              <w:t>0.971</w:t>
            </w:r>
          </w:p>
        </w:tc>
        <w:tc>
          <w:tcPr>
            <w:tcW w:w="1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72BC763" w14:textId="77777777" w:rsidR="00E0682E" w:rsidRDefault="00225CEE">
            <w:pPr>
              <w:spacing w:after="20" w:line="260" w:lineRule="auto"/>
              <w:jc w:val="center"/>
            </w:pPr>
            <w:r>
              <w:rPr>
                <w:color w:val="000000"/>
                <w:sz w:val="22"/>
                <w:szCs w:val="22"/>
              </w:rPr>
              <w:t>83</w:t>
            </w:r>
          </w:p>
        </w:tc>
        <w:tc>
          <w:tcPr>
            <w:tcW w:w="16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58CCCCD" w14:textId="77777777" w:rsidR="00E0682E" w:rsidRDefault="00225CEE">
            <w:pPr>
              <w:spacing w:after="20" w:line="260" w:lineRule="auto"/>
              <w:jc w:val="center"/>
            </w:pPr>
            <w:r>
              <w:rPr>
                <w:color w:val="000000"/>
                <w:sz w:val="22"/>
                <w:szCs w:val="22"/>
              </w:rPr>
              <w:t>.05</w:t>
            </w:r>
          </w:p>
        </w:tc>
      </w:tr>
    </w:tbl>
    <w:p w14:paraId="6F7F95BF" w14:textId="77777777" w:rsidR="00E0682E" w:rsidRDefault="00225CEE">
      <w:pPr>
        <w:spacing w:after="200"/>
      </w:pPr>
      <w:r>
        <w:rPr>
          <w:i/>
          <w:iCs/>
          <w:color w:val="000000"/>
        </w:rPr>
        <w:t>Source: Field data (2025)</w:t>
      </w:r>
    </w:p>
    <w:p w14:paraId="0CA0B521" w14:textId="77777777" w:rsidR="00E0682E" w:rsidRDefault="00225CEE">
      <w:pPr>
        <w:spacing w:before="180" w:after="100"/>
      </w:pPr>
      <w:r>
        <w:rPr>
          <w:b/>
          <w:bCs/>
          <w:color w:val="000000"/>
          <w:sz w:val="24"/>
          <w:szCs w:val="24"/>
        </w:rPr>
        <w:t>4.5 Correlation Analysis</w:t>
      </w:r>
    </w:p>
    <w:p w14:paraId="0C516678" w14:textId="154044F0" w:rsidR="00E0682E" w:rsidRDefault="00225CEE">
      <w:pPr>
        <w:spacing w:after="120"/>
        <w:jc w:val="both"/>
      </w:pPr>
      <w:r>
        <w:rPr>
          <w:color w:val="000000"/>
          <w:sz w:val="24"/>
          <w:szCs w:val="24"/>
        </w:rPr>
        <w:lastRenderedPageBreak/>
        <w:t xml:space="preserve">Table 9 presents the Pearson correlations between each program and financial growth. Savings </w:t>
      </w:r>
      <w:r w:rsidR="00425849">
        <w:rPr>
          <w:color w:val="000000"/>
          <w:sz w:val="24"/>
          <w:szCs w:val="24"/>
        </w:rPr>
        <w:t>programs</w:t>
      </w:r>
      <w:r>
        <w:rPr>
          <w:color w:val="000000"/>
          <w:sz w:val="24"/>
          <w:szCs w:val="24"/>
        </w:rPr>
        <w:t xml:space="preserve"> (</w:t>
      </w:r>
      <w:r>
        <w:rPr>
          <w:i/>
          <w:iCs/>
          <w:color w:val="000000"/>
          <w:sz w:val="24"/>
          <w:szCs w:val="24"/>
        </w:rPr>
        <w:t>r</w:t>
      </w:r>
      <w:r>
        <w:rPr>
          <w:color w:val="000000"/>
          <w:sz w:val="24"/>
          <w:szCs w:val="24"/>
        </w:rPr>
        <w:t xml:space="preserve"> = .036, </w:t>
      </w:r>
      <w:r>
        <w:rPr>
          <w:i/>
          <w:iCs/>
          <w:color w:val="000000"/>
          <w:sz w:val="24"/>
          <w:szCs w:val="24"/>
        </w:rPr>
        <w:t>P</w:t>
      </w:r>
      <w:r>
        <w:rPr>
          <w:color w:val="000000"/>
          <w:sz w:val="24"/>
          <w:szCs w:val="24"/>
        </w:rPr>
        <w:t xml:space="preserve"> = .75) and revolving loan funds (</w:t>
      </w:r>
      <w:r>
        <w:rPr>
          <w:i/>
          <w:iCs/>
          <w:color w:val="000000"/>
          <w:sz w:val="24"/>
          <w:szCs w:val="24"/>
        </w:rPr>
        <w:t>r</w:t>
      </w:r>
      <w:r>
        <w:rPr>
          <w:color w:val="000000"/>
          <w:sz w:val="24"/>
          <w:szCs w:val="24"/>
        </w:rPr>
        <w:t xml:space="preserve"> = .052, </w:t>
      </w:r>
      <w:r>
        <w:rPr>
          <w:i/>
          <w:iCs/>
          <w:color w:val="000000"/>
          <w:sz w:val="24"/>
          <w:szCs w:val="24"/>
        </w:rPr>
        <w:t>P</w:t>
      </w:r>
      <w:r>
        <w:rPr>
          <w:color w:val="000000"/>
          <w:sz w:val="24"/>
          <w:szCs w:val="24"/>
        </w:rPr>
        <w:t xml:space="preserve"> = .64) showed very weak, statistically non-significant associations with financial growth. Grant </w:t>
      </w:r>
      <w:r w:rsidR="00425849">
        <w:rPr>
          <w:color w:val="000000"/>
          <w:sz w:val="24"/>
          <w:szCs w:val="24"/>
        </w:rPr>
        <w:t>programs</w:t>
      </w:r>
      <w:r>
        <w:rPr>
          <w:color w:val="000000"/>
          <w:sz w:val="24"/>
          <w:szCs w:val="24"/>
        </w:rPr>
        <w:t xml:space="preserve"> (</w:t>
      </w:r>
      <w:r>
        <w:rPr>
          <w:i/>
          <w:iCs/>
          <w:color w:val="000000"/>
          <w:sz w:val="24"/>
          <w:szCs w:val="24"/>
        </w:rPr>
        <w:t>r</w:t>
      </w:r>
      <w:r>
        <w:rPr>
          <w:color w:val="000000"/>
          <w:sz w:val="24"/>
          <w:szCs w:val="24"/>
        </w:rPr>
        <w:t xml:space="preserve"> = .826, </w:t>
      </w:r>
      <w:r>
        <w:rPr>
          <w:i/>
          <w:iCs/>
          <w:color w:val="000000"/>
          <w:sz w:val="24"/>
          <w:szCs w:val="24"/>
        </w:rPr>
        <w:t>P</w:t>
      </w:r>
      <w:r>
        <w:rPr>
          <w:color w:val="000000"/>
          <w:sz w:val="24"/>
          <w:szCs w:val="24"/>
        </w:rPr>
        <w:t xml:space="preserve"> &lt; .001) and financial literacy training (</w:t>
      </w:r>
      <w:r>
        <w:rPr>
          <w:i/>
          <w:iCs/>
          <w:color w:val="000000"/>
          <w:sz w:val="24"/>
          <w:szCs w:val="24"/>
        </w:rPr>
        <w:t>r</w:t>
      </w:r>
      <w:r>
        <w:rPr>
          <w:color w:val="000000"/>
          <w:sz w:val="24"/>
          <w:szCs w:val="24"/>
        </w:rPr>
        <w:t xml:space="preserve"> = .831, </w:t>
      </w:r>
      <w:r>
        <w:rPr>
          <w:i/>
          <w:iCs/>
          <w:color w:val="000000"/>
          <w:sz w:val="24"/>
          <w:szCs w:val="24"/>
        </w:rPr>
        <w:t>P</w:t>
      </w:r>
      <w:r>
        <w:rPr>
          <w:color w:val="000000"/>
          <w:sz w:val="24"/>
          <w:szCs w:val="24"/>
        </w:rPr>
        <w:t xml:space="preserve"> &lt; .001) showed very strong, statistically significant positive associations. On the bivariate evidence, grants and training move together with financial growth, while savings and loan schemes, as currently designed, do not.</w:t>
      </w:r>
    </w:p>
    <w:p w14:paraId="29D4B4E7" w14:textId="119FBE1B" w:rsidR="00E0682E" w:rsidRDefault="00225CEE">
      <w:pPr>
        <w:spacing w:before="200" w:after="100"/>
        <w:jc w:val="center"/>
      </w:pPr>
      <w:r>
        <w:rPr>
          <w:b/>
          <w:bCs/>
          <w:color w:val="000000"/>
          <w:sz w:val="24"/>
          <w:szCs w:val="24"/>
        </w:rPr>
        <w:t xml:space="preserve">Table 9. </w:t>
      </w:r>
      <w:r>
        <w:rPr>
          <w:color w:val="000000"/>
          <w:sz w:val="24"/>
          <w:szCs w:val="24"/>
        </w:rPr>
        <w:t xml:space="preserve">Correlation between the funding </w:t>
      </w:r>
      <w:r w:rsidR="00425849">
        <w:rPr>
          <w:color w:val="000000"/>
          <w:sz w:val="24"/>
          <w:szCs w:val="24"/>
        </w:rPr>
        <w:t>programs</w:t>
      </w:r>
      <w:r>
        <w:rPr>
          <w:color w:val="000000"/>
          <w:sz w:val="24"/>
          <w:szCs w:val="24"/>
        </w:rPr>
        <w:t xml:space="preserve"> and financial growth (n = 83)</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960"/>
        <w:gridCol w:w="2200"/>
        <w:gridCol w:w="2200"/>
      </w:tblGrid>
      <w:tr w:rsidR="00E0682E" w14:paraId="67D9352C" w14:textId="77777777">
        <w:tc>
          <w:tcPr>
            <w:tcW w:w="49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02CDB4E" w14:textId="77777777" w:rsidR="00E0682E" w:rsidRDefault="00225CEE">
            <w:pPr>
              <w:spacing w:after="20" w:line="260" w:lineRule="auto"/>
            </w:pPr>
            <w:r>
              <w:rPr>
                <w:b/>
                <w:bCs/>
                <w:color w:val="000000"/>
                <w:sz w:val="22"/>
                <w:szCs w:val="22"/>
              </w:rPr>
              <w:t>Variable</w:t>
            </w:r>
          </w:p>
        </w:tc>
        <w:tc>
          <w:tcPr>
            <w:tcW w:w="22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3E633ED" w14:textId="77777777" w:rsidR="00E0682E" w:rsidRDefault="00225CEE">
            <w:pPr>
              <w:spacing w:after="20" w:line="260" w:lineRule="auto"/>
              <w:jc w:val="center"/>
            </w:pPr>
            <w:r>
              <w:rPr>
                <w:b/>
                <w:bCs/>
                <w:color w:val="000000"/>
                <w:sz w:val="22"/>
                <w:szCs w:val="22"/>
              </w:rPr>
              <w:t xml:space="preserve">Pearson </w:t>
            </w:r>
            <w:r>
              <w:rPr>
                <w:b/>
                <w:bCs/>
                <w:i/>
                <w:iCs/>
                <w:color w:val="000000"/>
                <w:sz w:val="22"/>
                <w:szCs w:val="22"/>
              </w:rPr>
              <w:t>r</w:t>
            </w:r>
          </w:p>
        </w:tc>
        <w:tc>
          <w:tcPr>
            <w:tcW w:w="22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2162D6DA" w14:textId="77777777" w:rsidR="00E0682E" w:rsidRDefault="00225CEE">
            <w:pPr>
              <w:spacing w:after="20" w:line="260" w:lineRule="auto"/>
              <w:jc w:val="center"/>
            </w:pPr>
            <w:r>
              <w:rPr>
                <w:b/>
                <w:bCs/>
                <w:i/>
                <w:iCs/>
                <w:color w:val="000000"/>
                <w:sz w:val="22"/>
                <w:szCs w:val="22"/>
              </w:rPr>
              <w:t>P</w:t>
            </w:r>
            <w:r>
              <w:rPr>
                <w:b/>
                <w:bCs/>
                <w:color w:val="000000"/>
                <w:sz w:val="22"/>
                <w:szCs w:val="22"/>
              </w:rPr>
              <w:t xml:space="preserve"> (2-tailed)</w:t>
            </w:r>
          </w:p>
        </w:tc>
      </w:tr>
      <w:tr w:rsidR="00E0682E" w14:paraId="461104C8"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2D9B9DF" w14:textId="7730310C" w:rsidR="00E0682E" w:rsidRDefault="00225CEE">
            <w:pPr>
              <w:spacing w:after="20" w:line="260" w:lineRule="auto"/>
            </w:pPr>
            <w:r>
              <w:rPr>
                <w:color w:val="000000"/>
                <w:sz w:val="22"/>
                <w:szCs w:val="22"/>
              </w:rPr>
              <w:t xml:space="preserve">Savings </w:t>
            </w:r>
            <w:r w:rsidR="00425849">
              <w:rPr>
                <w:color w:val="000000"/>
                <w:sz w:val="22"/>
                <w:szCs w:val="22"/>
              </w:rPr>
              <w:t>programs</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5BC4E2B" w14:textId="77777777" w:rsidR="00E0682E" w:rsidRDefault="00225CEE">
            <w:pPr>
              <w:spacing w:after="20" w:line="260" w:lineRule="auto"/>
              <w:jc w:val="center"/>
            </w:pPr>
            <w:r>
              <w:rPr>
                <w:color w:val="000000"/>
                <w:sz w:val="22"/>
                <w:szCs w:val="22"/>
              </w:rPr>
              <w:t>.036</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40F9D43" w14:textId="77777777" w:rsidR="00E0682E" w:rsidRDefault="00225CEE">
            <w:pPr>
              <w:spacing w:after="20" w:line="260" w:lineRule="auto"/>
              <w:jc w:val="center"/>
            </w:pPr>
            <w:r>
              <w:rPr>
                <w:color w:val="000000"/>
                <w:sz w:val="22"/>
                <w:szCs w:val="22"/>
              </w:rPr>
              <w:t>.75</w:t>
            </w:r>
          </w:p>
        </w:tc>
      </w:tr>
      <w:tr w:rsidR="00E0682E" w14:paraId="583C747C"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5F146A6" w14:textId="77777777" w:rsidR="00E0682E" w:rsidRDefault="00225CEE">
            <w:pPr>
              <w:spacing w:after="20" w:line="260" w:lineRule="auto"/>
            </w:pPr>
            <w:r>
              <w:rPr>
                <w:color w:val="000000"/>
                <w:sz w:val="22"/>
                <w:szCs w:val="22"/>
              </w:rPr>
              <w:t>Revolving loan funds</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430078C" w14:textId="77777777" w:rsidR="00E0682E" w:rsidRDefault="00225CEE">
            <w:pPr>
              <w:spacing w:after="20" w:line="260" w:lineRule="auto"/>
              <w:jc w:val="center"/>
            </w:pPr>
            <w:r>
              <w:rPr>
                <w:color w:val="000000"/>
                <w:sz w:val="22"/>
                <w:szCs w:val="22"/>
              </w:rPr>
              <w:t>.052</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19E7D5F" w14:textId="77777777" w:rsidR="00E0682E" w:rsidRDefault="00225CEE">
            <w:pPr>
              <w:spacing w:after="20" w:line="260" w:lineRule="auto"/>
              <w:jc w:val="center"/>
            </w:pPr>
            <w:r>
              <w:rPr>
                <w:color w:val="000000"/>
                <w:sz w:val="22"/>
                <w:szCs w:val="22"/>
              </w:rPr>
              <w:t>.64</w:t>
            </w:r>
          </w:p>
        </w:tc>
      </w:tr>
      <w:tr w:rsidR="00E0682E" w14:paraId="481B80AB" w14:textId="77777777">
        <w:tc>
          <w:tcPr>
            <w:tcW w:w="4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24DA41F" w14:textId="57ABD3A1" w:rsidR="00E0682E" w:rsidRDefault="00225CEE">
            <w:pPr>
              <w:spacing w:after="20" w:line="260" w:lineRule="auto"/>
            </w:pPr>
            <w:r>
              <w:rPr>
                <w:color w:val="000000"/>
                <w:sz w:val="22"/>
                <w:szCs w:val="22"/>
              </w:rPr>
              <w:t xml:space="preserve">Grant </w:t>
            </w:r>
            <w:r w:rsidR="00425849">
              <w:rPr>
                <w:color w:val="000000"/>
                <w:sz w:val="22"/>
                <w:szCs w:val="22"/>
              </w:rPr>
              <w:t>programs</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79E0265" w14:textId="77777777" w:rsidR="00E0682E" w:rsidRDefault="00225CEE">
            <w:pPr>
              <w:spacing w:after="20" w:line="260" w:lineRule="auto"/>
              <w:jc w:val="center"/>
            </w:pPr>
            <w:r>
              <w:rPr>
                <w:color w:val="000000"/>
                <w:sz w:val="22"/>
                <w:szCs w:val="22"/>
              </w:rPr>
              <w:t>.826</w:t>
            </w:r>
          </w:p>
        </w:tc>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3CE9AF5" w14:textId="77777777" w:rsidR="00E0682E" w:rsidRDefault="00225CEE">
            <w:pPr>
              <w:spacing w:after="20" w:line="260" w:lineRule="auto"/>
              <w:jc w:val="center"/>
            </w:pPr>
            <w:r>
              <w:rPr>
                <w:color w:val="000000"/>
                <w:sz w:val="22"/>
                <w:szCs w:val="22"/>
              </w:rPr>
              <w:t>&lt; .001</w:t>
            </w:r>
          </w:p>
        </w:tc>
      </w:tr>
      <w:tr w:rsidR="00E0682E" w14:paraId="5736A357" w14:textId="77777777">
        <w:tc>
          <w:tcPr>
            <w:tcW w:w="49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2240DE4" w14:textId="77777777" w:rsidR="00E0682E" w:rsidRDefault="00225CEE">
            <w:pPr>
              <w:spacing w:after="20" w:line="260" w:lineRule="auto"/>
            </w:pPr>
            <w:r>
              <w:rPr>
                <w:color w:val="000000"/>
                <w:sz w:val="22"/>
                <w:szCs w:val="22"/>
              </w:rPr>
              <w:t>Financial literacy training</w:t>
            </w:r>
          </w:p>
        </w:tc>
        <w:tc>
          <w:tcPr>
            <w:tcW w:w="2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C35C1A4" w14:textId="77777777" w:rsidR="00E0682E" w:rsidRDefault="00225CEE">
            <w:pPr>
              <w:spacing w:after="20" w:line="260" w:lineRule="auto"/>
              <w:jc w:val="center"/>
            </w:pPr>
            <w:r>
              <w:rPr>
                <w:color w:val="000000"/>
                <w:sz w:val="22"/>
                <w:szCs w:val="22"/>
              </w:rPr>
              <w:t>.831</w:t>
            </w:r>
          </w:p>
        </w:tc>
        <w:tc>
          <w:tcPr>
            <w:tcW w:w="2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55273F0" w14:textId="77777777" w:rsidR="00E0682E" w:rsidRDefault="00225CEE">
            <w:pPr>
              <w:spacing w:after="20" w:line="260" w:lineRule="auto"/>
              <w:jc w:val="center"/>
            </w:pPr>
            <w:r>
              <w:rPr>
                <w:color w:val="000000"/>
                <w:sz w:val="22"/>
                <w:szCs w:val="22"/>
              </w:rPr>
              <w:t>&lt; .001</w:t>
            </w:r>
          </w:p>
        </w:tc>
      </w:tr>
    </w:tbl>
    <w:p w14:paraId="662522AF" w14:textId="77777777" w:rsidR="00E0682E" w:rsidRDefault="00225CEE">
      <w:pPr>
        <w:spacing w:after="200"/>
      </w:pPr>
      <w:r>
        <w:rPr>
          <w:i/>
          <w:iCs/>
          <w:color w:val="000000"/>
        </w:rPr>
        <w:t>** Correlation is significant at the 0.01 level (2-tailed). Source: Field data (2025)</w:t>
      </w:r>
    </w:p>
    <w:p w14:paraId="39B08ADC" w14:textId="77777777" w:rsidR="00E0682E" w:rsidRDefault="00225CEE">
      <w:pPr>
        <w:spacing w:before="180" w:after="100"/>
      </w:pPr>
      <w:r>
        <w:rPr>
          <w:b/>
          <w:bCs/>
          <w:color w:val="000000"/>
          <w:sz w:val="24"/>
          <w:szCs w:val="24"/>
        </w:rPr>
        <w:t>4.6 Regression Analysis</w:t>
      </w:r>
    </w:p>
    <w:p w14:paraId="44CBFA5B" w14:textId="77777777" w:rsidR="00E0682E" w:rsidRDefault="00225CEE">
      <w:pPr>
        <w:spacing w:after="120"/>
        <w:jc w:val="both"/>
      </w:pPr>
      <w:r>
        <w:rPr>
          <w:color w:val="000000"/>
          <w:sz w:val="24"/>
          <w:szCs w:val="24"/>
        </w:rPr>
        <w:t>The overall model results appear in Table 10. The four predictors jointly correlated strongly with financial growth (</w:t>
      </w:r>
      <w:r>
        <w:rPr>
          <w:i/>
          <w:iCs/>
          <w:color w:val="000000"/>
          <w:sz w:val="24"/>
          <w:szCs w:val="24"/>
        </w:rPr>
        <w:t>R</w:t>
      </w:r>
      <w:r>
        <w:rPr>
          <w:color w:val="000000"/>
          <w:sz w:val="24"/>
          <w:szCs w:val="24"/>
        </w:rPr>
        <w:t xml:space="preserve"> = .872) and explained 76.0% of its variance (</w:t>
      </w:r>
      <w:r>
        <w:rPr>
          <w:i/>
          <w:iCs/>
          <w:color w:val="000000"/>
          <w:sz w:val="24"/>
          <w:szCs w:val="24"/>
        </w:rPr>
        <w:t>R</w:t>
      </w:r>
      <w:r>
        <w:rPr>
          <w:color w:val="000000"/>
          <w:sz w:val="24"/>
          <w:szCs w:val="24"/>
        </w:rPr>
        <w:t xml:space="preserve">² = .760, adjusted </w:t>
      </w:r>
      <w:r>
        <w:rPr>
          <w:i/>
          <w:iCs/>
          <w:color w:val="000000"/>
          <w:sz w:val="24"/>
          <w:szCs w:val="24"/>
        </w:rPr>
        <w:t>R</w:t>
      </w:r>
      <w:r>
        <w:rPr>
          <w:color w:val="000000"/>
          <w:sz w:val="24"/>
          <w:szCs w:val="24"/>
        </w:rPr>
        <w:t xml:space="preserve">² = .748), with a standard error of the estimate of 6.849. Table 11 confirms the overall significance of the model, </w:t>
      </w:r>
      <w:r>
        <w:rPr>
          <w:i/>
          <w:iCs/>
          <w:color w:val="000000"/>
          <w:sz w:val="24"/>
          <w:szCs w:val="24"/>
        </w:rPr>
        <w:t>F</w:t>
      </w:r>
      <w:r>
        <w:rPr>
          <w:color w:val="000000"/>
          <w:sz w:val="24"/>
          <w:szCs w:val="24"/>
        </w:rPr>
        <w:t xml:space="preserve">(4, 78) = 61.885, </w:t>
      </w:r>
      <w:r>
        <w:rPr>
          <w:i/>
          <w:iCs/>
          <w:color w:val="000000"/>
          <w:sz w:val="24"/>
          <w:szCs w:val="24"/>
        </w:rPr>
        <w:t>P</w:t>
      </w:r>
      <w:r>
        <w:rPr>
          <w:color w:val="000000"/>
          <w:sz w:val="24"/>
          <w:szCs w:val="24"/>
        </w:rPr>
        <w:t xml:space="preserve"> &lt; .001, with the regression sum of squares (11,612.007) far exceeding the residual (3,658.943).</w:t>
      </w:r>
    </w:p>
    <w:p w14:paraId="60504621" w14:textId="77777777" w:rsidR="00E0682E" w:rsidRDefault="00225CEE">
      <w:pPr>
        <w:spacing w:before="200" w:after="100"/>
        <w:jc w:val="center"/>
      </w:pPr>
      <w:r>
        <w:rPr>
          <w:b/>
          <w:bCs/>
          <w:color w:val="000000"/>
          <w:sz w:val="24"/>
          <w:szCs w:val="24"/>
        </w:rPr>
        <w:t xml:space="preserve">Table 10. </w:t>
      </w:r>
      <w:r>
        <w:rPr>
          <w:color w:val="000000"/>
          <w:sz w:val="24"/>
          <w:szCs w:val="24"/>
        </w:rPr>
        <w:t>Regression model summary</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200"/>
        <w:gridCol w:w="2040"/>
        <w:gridCol w:w="2040"/>
        <w:gridCol w:w="2040"/>
        <w:gridCol w:w="2040"/>
      </w:tblGrid>
      <w:tr w:rsidR="00E0682E" w14:paraId="1738C712" w14:textId="77777777">
        <w:tc>
          <w:tcPr>
            <w:tcW w:w="12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029F4E5D" w14:textId="77777777" w:rsidR="00E0682E" w:rsidRDefault="00225CEE">
            <w:pPr>
              <w:spacing w:after="20" w:line="260" w:lineRule="auto"/>
              <w:jc w:val="center"/>
            </w:pPr>
            <w:r>
              <w:rPr>
                <w:b/>
                <w:bCs/>
                <w:color w:val="000000"/>
                <w:sz w:val="22"/>
                <w:szCs w:val="22"/>
              </w:rPr>
              <w:t>Model</w:t>
            </w:r>
          </w:p>
        </w:tc>
        <w:tc>
          <w:tcPr>
            <w:tcW w:w="20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48DE841" w14:textId="77777777" w:rsidR="00E0682E" w:rsidRDefault="00225CEE">
            <w:pPr>
              <w:spacing w:after="20" w:line="260" w:lineRule="auto"/>
              <w:jc w:val="center"/>
            </w:pPr>
            <w:r>
              <w:rPr>
                <w:b/>
                <w:bCs/>
                <w:i/>
                <w:iCs/>
                <w:color w:val="000000"/>
                <w:sz w:val="22"/>
                <w:szCs w:val="22"/>
              </w:rPr>
              <w:t>R</w:t>
            </w:r>
          </w:p>
        </w:tc>
        <w:tc>
          <w:tcPr>
            <w:tcW w:w="20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4313CE5F" w14:textId="77777777" w:rsidR="00E0682E" w:rsidRDefault="00225CEE">
            <w:pPr>
              <w:spacing w:after="20" w:line="260" w:lineRule="auto"/>
              <w:jc w:val="center"/>
            </w:pPr>
            <w:r>
              <w:rPr>
                <w:b/>
                <w:bCs/>
                <w:i/>
                <w:iCs/>
                <w:color w:val="000000"/>
                <w:sz w:val="22"/>
                <w:szCs w:val="22"/>
              </w:rPr>
              <w:t>R</w:t>
            </w:r>
            <w:r>
              <w:rPr>
                <w:b/>
                <w:bCs/>
                <w:color w:val="000000"/>
                <w:sz w:val="22"/>
                <w:szCs w:val="22"/>
              </w:rPr>
              <w:t>²</w:t>
            </w:r>
          </w:p>
        </w:tc>
        <w:tc>
          <w:tcPr>
            <w:tcW w:w="20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9E0EB4D" w14:textId="77777777" w:rsidR="00E0682E" w:rsidRDefault="00225CEE">
            <w:pPr>
              <w:spacing w:after="20" w:line="260" w:lineRule="auto"/>
              <w:jc w:val="center"/>
            </w:pPr>
            <w:r>
              <w:rPr>
                <w:b/>
                <w:bCs/>
                <w:color w:val="000000"/>
                <w:sz w:val="22"/>
                <w:szCs w:val="22"/>
              </w:rPr>
              <w:t xml:space="preserve">Adjusted </w:t>
            </w:r>
            <w:r>
              <w:rPr>
                <w:b/>
                <w:bCs/>
                <w:i/>
                <w:iCs/>
                <w:color w:val="000000"/>
                <w:sz w:val="22"/>
                <w:szCs w:val="22"/>
              </w:rPr>
              <w:t>R</w:t>
            </w:r>
            <w:r>
              <w:rPr>
                <w:b/>
                <w:bCs/>
                <w:color w:val="000000"/>
                <w:sz w:val="22"/>
                <w:szCs w:val="22"/>
              </w:rPr>
              <w:t>²</w:t>
            </w:r>
          </w:p>
        </w:tc>
        <w:tc>
          <w:tcPr>
            <w:tcW w:w="20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74AFCC2D" w14:textId="77777777" w:rsidR="00E0682E" w:rsidRDefault="00225CEE">
            <w:pPr>
              <w:spacing w:after="20" w:line="260" w:lineRule="auto"/>
              <w:jc w:val="center"/>
            </w:pPr>
            <w:r>
              <w:rPr>
                <w:b/>
                <w:bCs/>
                <w:color w:val="000000"/>
                <w:sz w:val="22"/>
                <w:szCs w:val="22"/>
              </w:rPr>
              <w:t>Std. error of estimate</w:t>
            </w:r>
          </w:p>
        </w:tc>
      </w:tr>
      <w:tr w:rsidR="00E0682E" w14:paraId="571FAB2B" w14:textId="77777777">
        <w:tc>
          <w:tcPr>
            <w:tcW w:w="1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7839C697" w14:textId="77777777" w:rsidR="00E0682E" w:rsidRDefault="00225CEE">
            <w:pPr>
              <w:spacing w:after="20" w:line="260" w:lineRule="auto"/>
              <w:jc w:val="center"/>
            </w:pPr>
            <w:r>
              <w:rPr>
                <w:color w:val="000000"/>
                <w:sz w:val="22"/>
                <w:szCs w:val="22"/>
              </w:rPr>
              <w:t>1</w:t>
            </w:r>
          </w:p>
        </w:tc>
        <w:tc>
          <w:tcPr>
            <w:tcW w:w="20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B8492E1" w14:textId="77777777" w:rsidR="00E0682E" w:rsidRDefault="00225CEE">
            <w:pPr>
              <w:spacing w:after="20" w:line="260" w:lineRule="auto"/>
              <w:jc w:val="center"/>
            </w:pPr>
            <w:r>
              <w:rPr>
                <w:color w:val="000000"/>
                <w:sz w:val="22"/>
                <w:szCs w:val="22"/>
              </w:rPr>
              <w:t>.872ᵃ</w:t>
            </w:r>
          </w:p>
        </w:tc>
        <w:tc>
          <w:tcPr>
            <w:tcW w:w="20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8039DAE" w14:textId="77777777" w:rsidR="00E0682E" w:rsidRDefault="00225CEE">
            <w:pPr>
              <w:spacing w:after="20" w:line="260" w:lineRule="auto"/>
              <w:jc w:val="center"/>
            </w:pPr>
            <w:r>
              <w:rPr>
                <w:color w:val="000000"/>
                <w:sz w:val="22"/>
                <w:szCs w:val="22"/>
              </w:rPr>
              <w:t>.760</w:t>
            </w:r>
          </w:p>
        </w:tc>
        <w:tc>
          <w:tcPr>
            <w:tcW w:w="20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DC4CAD2" w14:textId="77777777" w:rsidR="00E0682E" w:rsidRDefault="00225CEE">
            <w:pPr>
              <w:spacing w:after="20" w:line="260" w:lineRule="auto"/>
              <w:jc w:val="center"/>
            </w:pPr>
            <w:r>
              <w:rPr>
                <w:color w:val="000000"/>
                <w:sz w:val="22"/>
                <w:szCs w:val="22"/>
              </w:rPr>
              <w:t>.748</w:t>
            </w:r>
          </w:p>
        </w:tc>
        <w:tc>
          <w:tcPr>
            <w:tcW w:w="20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1A58D04" w14:textId="77777777" w:rsidR="00E0682E" w:rsidRDefault="00225CEE">
            <w:pPr>
              <w:spacing w:after="20" w:line="260" w:lineRule="auto"/>
              <w:jc w:val="center"/>
            </w:pPr>
            <w:r>
              <w:rPr>
                <w:color w:val="000000"/>
                <w:sz w:val="22"/>
                <w:szCs w:val="22"/>
              </w:rPr>
              <w:t>6.849</w:t>
            </w:r>
          </w:p>
        </w:tc>
      </w:tr>
    </w:tbl>
    <w:p w14:paraId="74F66CDB" w14:textId="6D6BEE55" w:rsidR="00E0682E" w:rsidRDefault="00225CEE">
      <w:pPr>
        <w:spacing w:after="200"/>
      </w:pPr>
      <w:r>
        <w:rPr>
          <w:i/>
          <w:iCs/>
          <w:color w:val="000000"/>
        </w:rPr>
        <w:t xml:space="preserve">ᵃ Predictors: (Constant), financial literacy training, revolving loan funds, savings </w:t>
      </w:r>
      <w:r w:rsidR="00425849">
        <w:rPr>
          <w:i/>
          <w:iCs/>
          <w:color w:val="000000"/>
        </w:rPr>
        <w:t>programs</w:t>
      </w:r>
      <w:r>
        <w:rPr>
          <w:i/>
          <w:iCs/>
          <w:color w:val="000000"/>
        </w:rPr>
        <w:t xml:space="preserve">, grant </w:t>
      </w:r>
      <w:r w:rsidR="00425849">
        <w:rPr>
          <w:i/>
          <w:iCs/>
          <w:color w:val="000000"/>
        </w:rPr>
        <w:t>programs</w:t>
      </w:r>
      <w:r>
        <w:rPr>
          <w:i/>
          <w:iCs/>
          <w:color w:val="000000"/>
        </w:rPr>
        <w:t>. Source: Field data (2025)</w:t>
      </w:r>
    </w:p>
    <w:p w14:paraId="2CBAFE67" w14:textId="77777777" w:rsidR="00E0682E" w:rsidRDefault="00225CEE">
      <w:pPr>
        <w:spacing w:before="200" w:after="100"/>
        <w:jc w:val="center"/>
      </w:pPr>
      <w:r>
        <w:rPr>
          <w:b/>
          <w:bCs/>
          <w:color w:val="000000"/>
          <w:sz w:val="24"/>
          <w:szCs w:val="24"/>
        </w:rPr>
        <w:t xml:space="preserve">Table 11. </w:t>
      </w:r>
      <w:r>
        <w:rPr>
          <w:color w:val="000000"/>
          <w:sz w:val="24"/>
          <w:szCs w:val="24"/>
        </w:rPr>
        <w:t>Analysis of variance for the regression model</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60"/>
        <w:gridCol w:w="2000"/>
        <w:gridCol w:w="1000"/>
        <w:gridCol w:w="2000"/>
        <w:gridCol w:w="1300"/>
        <w:gridCol w:w="1300"/>
      </w:tblGrid>
      <w:tr w:rsidR="00E0682E" w14:paraId="35A38DFA" w14:textId="77777777">
        <w:tc>
          <w:tcPr>
            <w:tcW w:w="17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CBE7E2D" w14:textId="77777777" w:rsidR="00E0682E" w:rsidRDefault="00225CEE">
            <w:pPr>
              <w:spacing w:after="20" w:line="260" w:lineRule="auto"/>
            </w:pPr>
            <w:r>
              <w:rPr>
                <w:b/>
                <w:bCs/>
                <w:color w:val="000000"/>
                <w:sz w:val="22"/>
                <w:szCs w:val="22"/>
              </w:rPr>
              <w:t>Model</w:t>
            </w:r>
          </w:p>
        </w:tc>
        <w:tc>
          <w:tcPr>
            <w:tcW w:w="2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2FB4622" w14:textId="77777777" w:rsidR="00E0682E" w:rsidRDefault="00225CEE">
            <w:pPr>
              <w:spacing w:after="20" w:line="260" w:lineRule="auto"/>
              <w:jc w:val="center"/>
            </w:pPr>
            <w:r>
              <w:rPr>
                <w:b/>
                <w:bCs/>
                <w:color w:val="000000"/>
                <w:sz w:val="22"/>
                <w:szCs w:val="22"/>
              </w:rPr>
              <w:t>Sum of squares</w:t>
            </w:r>
          </w:p>
        </w:tc>
        <w:tc>
          <w:tcPr>
            <w:tcW w:w="1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0CBE72A0" w14:textId="77777777" w:rsidR="00E0682E" w:rsidRDefault="00225CEE">
            <w:pPr>
              <w:spacing w:after="20" w:line="260" w:lineRule="auto"/>
              <w:jc w:val="center"/>
            </w:pPr>
            <w:r>
              <w:rPr>
                <w:b/>
                <w:bCs/>
                <w:color w:val="000000"/>
                <w:sz w:val="22"/>
                <w:szCs w:val="22"/>
              </w:rPr>
              <w:t>df</w:t>
            </w:r>
          </w:p>
        </w:tc>
        <w:tc>
          <w:tcPr>
            <w:tcW w:w="20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014029AA" w14:textId="77777777" w:rsidR="00E0682E" w:rsidRDefault="00225CEE">
            <w:pPr>
              <w:spacing w:after="20" w:line="260" w:lineRule="auto"/>
              <w:jc w:val="center"/>
            </w:pPr>
            <w:r>
              <w:rPr>
                <w:b/>
                <w:bCs/>
                <w:color w:val="000000"/>
                <w:sz w:val="22"/>
                <w:szCs w:val="22"/>
              </w:rPr>
              <w:t>Mean square</w:t>
            </w:r>
          </w:p>
        </w:tc>
        <w:tc>
          <w:tcPr>
            <w:tcW w:w="13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58B0174" w14:textId="77777777" w:rsidR="00E0682E" w:rsidRDefault="00225CEE">
            <w:pPr>
              <w:spacing w:after="20" w:line="260" w:lineRule="auto"/>
              <w:jc w:val="center"/>
            </w:pPr>
            <w:r>
              <w:rPr>
                <w:b/>
                <w:bCs/>
                <w:i/>
                <w:iCs/>
                <w:color w:val="000000"/>
                <w:sz w:val="22"/>
                <w:szCs w:val="22"/>
              </w:rPr>
              <w:t>F</w:t>
            </w:r>
          </w:p>
        </w:tc>
        <w:tc>
          <w:tcPr>
            <w:tcW w:w="130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10C37671" w14:textId="77777777" w:rsidR="00E0682E" w:rsidRDefault="00225CEE">
            <w:pPr>
              <w:spacing w:after="20" w:line="260" w:lineRule="auto"/>
              <w:jc w:val="center"/>
            </w:pPr>
            <w:r>
              <w:rPr>
                <w:b/>
                <w:bCs/>
                <w:i/>
                <w:iCs/>
                <w:color w:val="000000"/>
                <w:sz w:val="22"/>
                <w:szCs w:val="22"/>
              </w:rPr>
              <w:t>P</w:t>
            </w:r>
          </w:p>
        </w:tc>
      </w:tr>
      <w:tr w:rsidR="00E0682E" w14:paraId="0185660D" w14:textId="77777777">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E8A8580" w14:textId="77777777" w:rsidR="00E0682E" w:rsidRDefault="00225CEE">
            <w:pPr>
              <w:spacing w:after="20" w:line="260" w:lineRule="auto"/>
            </w:pPr>
            <w:r>
              <w:rPr>
                <w:color w:val="000000"/>
                <w:sz w:val="22"/>
                <w:szCs w:val="22"/>
              </w:rPr>
              <w:t>Regression</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3306136" w14:textId="77777777" w:rsidR="00E0682E" w:rsidRDefault="00225CEE">
            <w:pPr>
              <w:spacing w:after="20" w:line="260" w:lineRule="auto"/>
              <w:jc w:val="center"/>
            </w:pPr>
            <w:r>
              <w:rPr>
                <w:color w:val="000000"/>
                <w:sz w:val="22"/>
                <w:szCs w:val="22"/>
              </w:rPr>
              <w:t>11,612.007</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20E02B2" w14:textId="77777777" w:rsidR="00E0682E" w:rsidRDefault="00225CEE">
            <w:pPr>
              <w:spacing w:after="20" w:line="260" w:lineRule="auto"/>
              <w:jc w:val="center"/>
            </w:pPr>
            <w:r>
              <w:rPr>
                <w:color w:val="000000"/>
                <w:sz w:val="22"/>
                <w:szCs w:val="22"/>
              </w:rPr>
              <w:t>4</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E8A5BB5" w14:textId="77777777" w:rsidR="00E0682E" w:rsidRDefault="00225CEE">
            <w:pPr>
              <w:spacing w:after="20" w:line="260" w:lineRule="auto"/>
              <w:jc w:val="center"/>
            </w:pPr>
            <w:r>
              <w:rPr>
                <w:color w:val="000000"/>
                <w:sz w:val="22"/>
                <w:szCs w:val="22"/>
              </w:rPr>
              <w:t>2,903.002</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CECEEAB" w14:textId="77777777" w:rsidR="00E0682E" w:rsidRDefault="00225CEE">
            <w:pPr>
              <w:spacing w:after="20" w:line="260" w:lineRule="auto"/>
              <w:jc w:val="center"/>
            </w:pPr>
            <w:r>
              <w:rPr>
                <w:color w:val="000000"/>
                <w:sz w:val="22"/>
                <w:szCs w:val="22"/>
              </w:rPr>
              <w:t>61.885</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8CEDA3" w14:textId="77777777" w:rsidR="00E0682E" w:rsidRDefault="00225CEE">
            <w:pPr>
              <w:spacing w:after="20" w:line="260" w:lineRule="auto"/>
              <w:jc w:val="center"/>
            </w:pPr>
            <w:r>
              <w:rPr>
                <w:color w:val="000000"/>
                <w:sz w:val="22"/>
                <w:szCs w:val="22"/>
              </w:rPr>
              <w:t>&lt; .001</w:t>
            </w:r>
          </w:p>
        </w:tc>
      </w:tr>
      <w:tr w:rsidR="00E0682E" w14:paraId="3C5D8453" w14:textId="77777777">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5A8C069" w14:textId="77777777" w:rsidR="00E0682E" w:rsidRDefault="00225CEE">
            <w:pPr>
              <w:spacing w:after="20" w:line="260" w:lineRule="auto"/>
            </w:pPr>
            <w:r>
              <w:rPr>
                <w:color w:val="000000"/>
                <w:sz w:val="22"/>
                <w:szCs w:val="22"/>
              </w:rPr>
              <w:t>Residual</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5EA651E" w14:textId="77777777" w:rsidR="00E0682E" w:rsidRDefault="00225CEE">
            <w:pPr>
              <w:spacing w:after="20" w:line="260" w:lineRule="auto"/>
              <w:jc w:val="center"/>
            </w:pPr>
            <w:r>
              <w:rPr>
                <w:color w:val="000000"/>
                <w:sz w:val="22"/>
                <w:szCs w:val="22"/>
              </w:rPr>
              <w:t>3,658.943</w:t>
            </w:r>
          </w:p>
        </w:tc>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C3627B5" w14:textId="77777777" w:rsidR="00E0682E" w:rsidRDefault="00225CEE">
            <w:pPr>
              <w:spacing w:after="20" w:line="260" w:lineRule="auto"/>
              <w:jc w:val="center"/>
            </w:pPr>
            <w:r>
              <w:rPr>
                <w:color w:val="000000"/>
                <w:sz w:val="22"/>
                <w:szCs w:val="22"/>
              </w:rPr>
              <w:t>78</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49E3599" w14:textId="77777777" w:rsidR="00E0682E" w:rsidRDefault="00225CEE">
            <w:pPr>
              <w:spacing w:after="20" w:line="260" w:lineRule="auto"/>
              <w:jc w:val="center"/>
            </w:pPr>
            <w:r>
              <w:rPr>
                <w:color w:val="000000"/>
                <w:sz w:val="22"/>
                <w:szCs w:val="22"/>
              </w:rPr>
              <w:t>46.910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47B2FAE" w14:textId="77777777" w:rsidR="00E0682E" w:rsidRDefault="00E0682E">
            <w:pPr>
              <w:spacing w:after="20" w:line="260" w:lineRule="auto"/>
              <w:jc w:val="cente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4E12537" w14:textId="77777777" w:rsidR="00E0682E" w:rsidRDefault="00E0682E">
            <w:pPr>
              <w:spacing w:after="20" w:line="260" w:lineRule="auto"/>
              <w:jc w:val="center"/>
            </w:pPr>
          </w:p>
        </w:tc>
      </w:tr>
      <w:tr w:rsidR="00E0682E" w14:paraId="0C6F1724" w14:textId="77777777">
        <w:tc>
          <w:tcPr>
            <w:tcW w:w="17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AAA39B8" w14:textId="77777777" w:rsidR="00E0682E" w:rsidRDefault="00225CEE">
            <w:pPr>
              <w:spacing w:after="20" w:line="260" w:lineRule="auto"/>
            </w:pPr>
            <w:r>
              <w:rPr>
                <w:color w:val="000000"/>
                <w:sz w:val="22"/>
                <w:szCs w:val="22"/>
              </w:rPr>
              <w:t>Total</w:t>
            </w:r>
          </w:p>
        </w:tc>
        <w:tc>
          <w:tcPr>
            <w:tcW w:w="2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F753252" w14:textId="77777777" w:rsidR="00E0682E" w:rsidRDefault="00225CEE">
            <w:pPr>
              <w:spacing w:after="20" w:line="260" w:lineRule="auto"/>
              <w:jc w:val="center"/>
            </w:pPr>
            <w:r>
              <w:rPr>
                <w:color w:val="000000"/>
                <w:sz w:val="22"/>
                <w:szCs w:val="22"/>
              </w:rPr>
              <w:t>15,270.950</w:t>
            </w:r>
          </w:p>
        </w:tc>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6E182B89" w14:textId="77777777" w:rsidR="00E0682E" w:rsidRDefault="00225CEE">
            <w:pPr>
              <w:spacing w:after="20" w:line="260" w:lineRule="auto"/>
              <w:jc w:val="center"/>
            </w:pPr>
            <w:r>
              <w:rPr>
                <w:color w:val="000000"/>
                <w:sz w:val="22"/>
                <w:szCs w:val="22"/>
              </w:rPr>
              <w:t>82</w:t>
            </w:r>
          </w:p>
        </w:tc>
        <w:tc>
          <w:tcPr>
            <w:tcW w:w="2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04B0601" w14:textId="77777777" w:rsidR="00E0682E" w:rsidRDefault="00E0682E">
            <w:pPr>
              <w:spacing w:after="20" w:line="260" w:lineRule="auto"/>
              <w:jc w:val="center"/>
            </w:pPr>
          </w:p>
        </w:tc>
        <w:tc>
          <w:tcPr>
            <w:tcW w:w="13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4932291B" w14:textId="77777777" w:rsidR="00E0682E" w:rsidRDefault="00E0682E">
            <w:pPr>
              <w:spacing w:after="20" w:line="260" w:lineRule="auto"/>
              <w:jc w:val="center"/>
            </w:pPr>
          </w:p>
        </w:tc>
        <w:tc>
          <w:tcPr>
            <w:tcW w:w="13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245FDB5C" w14:textId="77777777" w:rsidR="00E0682E" w:rsidRDefault="00E0682E">
            <w:pPr>
              <w:spacing w:after="20" w:line="260" w:lineRule="auto"/>
              <w:jc w:val="center"/>
            </w:pPr>
          </w:p>
        </w:tc>
      </w:tr>
    </w:tbl>
    <w:p w14:paraId="1CD774D5" w14:textId="77777777" w:rsidR="00E0682E" w:rsidRDefault="00225CEE">
      <w:pPr>
        <w:spacing w:after="200"/>
      </w:pPr>
      <w:r>
        <w:rPr>
          <w:i/>
          <w:iCs/>
          <w:color w:val="000000"/>
        </w:rPr>
        <w:t>Dependent variable: financial growth. Source: Field data (2025)</w:t>
      </w:r>
    </w:p>
    <w:p w14:paraId="10A9BE10" w14:textId="77777777" w:rsidR="00E0682E" w:rsidRDefault="00225CEE">
      <w:pPr>
        <w:spacing w:after="120"/>
        <w:jc w:val="both"/>
      </w:pPr>
      <w:r>
        <w:rPr>
          <w:color w:val="000000"/>
          <w:sz w:val="24"/>
          <w:szCs w:val="24"/>
        </w:rPr>
        <w:t>Table 12 reports the coefficients. The fitted model was:</w:t>
      </w:r>
    </w:p>
    <w:p w14:paraId="5AED2582" w14:textId="77777777" w:rsidR="00E0682E" w:rsidRDefault="00225CEE">
      <w:pPr>
        <w:spacing w:after="100"/>
        <w:jc w:val="center"/>
      </w:pPr>
      <w:r>
        <w:rPr>
          <w:color w:val="000000"/>
          <w:sz w:val="24"/>
          <w:szCs w:val="24"/>
        </w:rPr>
        <w:t>Y = 5.254 + 0.091X₁ − 0.105X₂ + 0.492X₃ + 0.449X₄</w:t>
      </w:r>
    </w:p>
    <w:p w14:paraId="56C4C0D2" w14:textId="5ADDB82E" w:rsidR="00E0682E" w:rsidRDefault="00225CEE">
      <w:pPr>
        <w:spacing w:after="120"/>
        <w:jc w:val="both"/>
      </w:pPr>
      <w:r>
        <w:rPr>
          <w:color w:val="000000"/>
          <w:sz w:val="24"/>
          <w:szCs w:val="24"/>
        </w:rPr>
        <w:t xml:space="preserve">The constant was not significant (B = 5.254, </w:t>
      </w:r>
      <w:r>
        <w:rPr>
          <w:i/>
          <w:iCs/>
          <w:color w:val="000000"/>
          <w:sz w:val="24"/>
          <w:szCs w:val="24"/>
        </w:rPr>
        <w:t>P</w:t>
      </w:r>
      <w:r>
        <w:rPr>
          <w:color w:val="000000"/>
          <w:sz w:val="24"/>
          <w:szCs w:val="24"/>
        </w:rPr>
        <w:t xml:space="preserve"> = .45). Savings </w:t>
      </w:r>
      <w:r w:rsidR="00425849">
        <w:rPr>
          <w:color w:val="000000"/>
          <w:sz w:val="24"/>
          <w:szCs w:val="24"/>
        </w:rPr>
        <w:t>programs</w:t>
      </w:r>
      <w:r>
        <w:rPr>
          <w:color w:val="000000"/>
          <w:sz w:val="24"/>
          <w:szCs w:val="24"/>
        </w:rPr>
        <w:t xml:space="preserve"> carried a positive but non-significant coefficient (B = 0.091, β = 0.085, </w:t>
      </w:r>
      <w:r>
        <w:rPr>
          <w:i/>
          <w:iCs/>
          <w:color w:val="000000"/>
          <w:sz w:val="24"/>
          <w:szCs w:val="24"/>
        </w:rPr>
        <w:t>t</w:t>
      </w:r>
      <w:r>
        <w:rPr>
          <w:color w:val="000000"/>
          <w:sz w:val="24"/>
          <w:szCs w:val="24"/>
        </w:rPr>
        <w:t xml:space="preserve"> = 1.457, </w:t>
      </w:r>
      <w:r>
        <w:rPr>
          <w:i/>
          <w:iCs/>
          <w:color w:val="000000"/>
          <w:sz w:val="24"/>
          <w:szCs w:val="24"/>
        </w:rPr>
        <w:t>P</w:t>
      </w:r>
      <w:r>
        <w:rPr>
          <w:color w:val="000000"/>
          <w:sz w:val="24"/>
          <w:szCs w:val="24"/>
        </w:rPr>
        <w:t xml:space="preserve"> = .15), and revolving loan funds a </w:t>
      </w:r>
      <w:r>
        <w:rPr>
          <w:color w:val="000000"/>
          <w:sz w:val="24"/>
          <w:szCs w:val="24"/>
        </w:rPr>
        <w:lastRenderedPageBreak/>
        <w:t xml:space="preserve">negative, non-significant coefficient (B = −0.105, β = −0.091, </w:t>
      </w:r>
      <w:r>
        <w:rPr>
          <w:i/>
          <w:iCs/>
          <w:color w:val="000000"/>
          <w:sz w:val="24"/>
          <w:szCs w:val="24"/>
        </w:rPr>
        <w:t>t</w:t>
      </w:r>
      <w:r>
        <w:rPr>
          <w:color w:val="000000"/>
          <w:sz w:val="24"/>
          <w:szCs w:val="24"/>
        </w:rPr>
        <w:t xml:space="preserve"> = −1.623, </w:t>
      </w:r>
      <w:r>
        <w:rPr>
          <w:i/>
          <w:iCs/>
          <w:color w:val="000000"/>
          <w:sz w:val="24"/>
          <w:szCs w:val="24"/>
        </w:rPr>
        <w:t>P</w:t>
      </w:r>
      <w:r>
        <w:rPr>
          <w:color w:val="000000"/>
          <w:sz w:val="24"/>
          <w:szCs w:val="24"/>
        </w:rPr>
        <w:t xml:space="preserve"> = .11). By contrast, grant </w:t>
      </w:r>
      <w:r w:rsidR="00425849">
        <w:rPr>
          <w:color w:val="000000"/>
          <w:sz w:val="24"/>
          <w:szCs w:val="24"/>
        </w:rPr>
        <w:t>programs</w:t>
      </w:r>
      <w:r>
        <w:rPr>
          <w:color w:val="000000"/>
          <w:sz w:val="24"/>
          <w:szCs w:val="24"/>
        </w:rPr>
        <w:t xml:space="preserve"> exerted a strong positive and statistically significant effect (B = 0.492, β = 0.482, </w:t>
      </w:r>
      <w:r>
        <w:rPr>
          <w:i/>
          <w:iCs/>
          <w:color w:val="000000"/>
          <w:sz w:val="24"/>
          <w:szCs w:val="24"/>
        </w:rPr>
        <w:t>t</w:t>
      </w:r>
      <w:r>
        <w:rPr>
          <w:color w:val="000000"/>
          <w:sz w:val="24"/>
          <w:szCs w:val="24"/>
        </w:rPr>
        <w:t xml:space="preserve"> = 4.491, </w:t>
      </w:r>
      <w:r>
        <w:rPr>
          <w:i/>
          <w:iCs/>
          <w:color w:val="000000"/>
          <w:sz w:val="24"/>
          <w:szCs w:val="24"/>
        </w:rPr>
        <w:t>P</w:t>
      </w:r>
      <w:r>
        <w:rPr>
          <w:color w:val="000000"/>
          <w:sz w:val="24"/>
          <w:szCs w:val="24"/>
        </w:rPr>
        <w:t xml:space="preserve"> &lt; .001), as did financial literacy training (B = 0.449, β = 0.435, </w:t>
      </w:r>
      <w:r>
        <w:rPr>
          <w:i/>
          <w:iCs/>
          <w:color w:val="000000"/>
          <w:sz w:val="24"/>
          <w:szCs w:val="24"/>
        </w:rPr>
        <w:t>t</w:t>
      </w:r>
      <w:r>
        <w:rPr>
          <w:color w:val="000000"/>
          <w:sz w:val="24"/>
          <w:szCs w:val="24"/>
        </w:rPr>
        <w:t xml:space="preserve"> = 4.127, </w:t>
      </w:r>
      <w:r>
        <w:rPr>
          <w:i/>
          <w:iCs/>
          <w:color w:val="000000"/>
          <w:sz w:val="24"/>
          <w:szCs w:val="24"/>
        </w:rPr>
        <w:t>P</w:t>
      </w:r>
      <w:r>
        <w:rPr>
          <w:color w:val="000000"/>
          <w:sz w:val="24"/>
          <w:szCs w:val="24"/>
        </w:rPr>
        <w:t xml:space="preserve"> &lt; .001). Holding the other </w:t>
      </w:r>
      <w:r w:rsidR="00425849">
        <w:rPr>
          <w:color w:val="000000"/>
          <w:sz w:val="24"/>
          <w:szCs w:val="24"/>
        </w:rPr>
        <w:t>programs</w:t>
      </w:r>
      <w:r>
        <w:rPr>
          <w:color w:val="000000"/>
          <w:sz w:val="24"/>
          <w:szCs w:val="24"/>
        </w:rPr>
        <w:t xml:space="preserve"> constant, a one unit improvement in grant provision was associated with a 0.492 unit gain in financial growth, and a one unit improvement in literacy training with a 0.449 unit gain.</w:t>
      </w:r>
    </w:p>
    <w:p w14:paraId="552614E6" w14:textId="77777777" w:rsidR="00E0682E" w:rsidRDefault="00225CEE">
      <w:pPr>
        <w:spacing w:before="200" w:after="100"/>
        <w:jc w:val="center"/>
      </w:pPr>
      <w:r>
        <w:rPr>
          <w:b/>
          <w:bCs/>
          <w:color w:val="000000"/>
          <w:sz w:val="24"/>
          <w:szCs w:val="24"/>
        </w:rPr>
        <w:t xml:space="preserve">Table 12. </w:t>
      </w:r>
      <w:r>
        <w:rPr>
          <w:color w:val="000000"/>
          <w:sz w:val="24"/>
          <w:szCs w:val="24"/>
        </w:rPr>
        <w:t>Regression coefficients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160"/>
        <w:gridCol w:w="1240"/>
        <w:gridCol w:w="1240"/>
        <w:gridCol w:w="1240"/>
        <w:gridCol w:w="1240"/>
        <w:gridCol w:w="1240"/>
      </w:tblGrid>
      <w:tr w:rsidR="00E0682E" w14:paraId="486BD744" w14:textId="77777777">
        <w:tc>
          <w:tcPr>
            <w:tcW w:w="316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0FCA8E0" w14:textId="77777777" w:rsidR="00E0682E" w:rsidRDefault="00225CEE">
            <w:pPr>
              <w:spacing w:after="20" w:line="260" w:lineRule="auto"/>
            </w:pPr>
            <w:r>
              <w:rPr>
                <w:b/>
                <w:bCs/>
                <w:color w:val="000000"/>
                <w:sz w:val="22"/>
                <w:szCs w:val="22"/>
              </w:rPr>
              <w:t>Predictor</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7E773BD" w14:textId="77777777" w:rsidR="00E0682E" w:rsidRDefault="00225CEE">
            <w:pPr>
              <w:spacing w:after="20" w:line="260" w:lineRule="auto"/>
              <w:jc w:val="center"/>
            </w:pPr>
            <w:r>
              <w:rPr>
                <w:b/>
                <w:bCs/>
                <w:color w:val="000000"/>
                <w:sz w:val="22"/>
                <w:szCs w:val="22"/>
              </w:rPr>
              <w:t>B</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354FF5BF" w14:textId="77777777" w:rsidR="00E0682E" w:rsidRDefault="00225CEE">
            <w:pPr>
              <w:spacing w:after="20" w:line="260" w:lineRule="auto"/>
              <w:jc w:val="center"/>
            </w:pPr>
            <w:r>
              <w:rPr>
                <w:b/>
                <w:bCs/>
                <w:color w:val="000000"/>
                <w:sz w:val="22"/>
                <w:szCs w:val="22"/>
              </w:rPr>
              <w:t>Std. error</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793834A" w14:textId="120561B5" w:rsidR="00E0682E" w:rsidRDefault="0068556F">
            <w:pPr>
              <w:spacing w:after="20" w:line="260" w:lineRule="auto"/>
              <w:jc w:val="center"/>
            </w:pPr>
            <w:r>
              <w:rPr>
                <w:b/>
                <w:bCs/>
                <w:color w:val="000000"/>
                <w:sz w:val="22"/>
                <w:szCs w:val="22"/>
              </w:rPr>
              <w:t>Β</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5120A518" w14:textId="77777777" w:rsidR="00E0682E" w:rsidRDefault="00225CEE">
            <w:pPr>
              <w:spacing w:after="20" w:line="260" w:lineRule="auto"/>
              <w:jc w:val="center"/>
            </w:pPr>
            <w:r>
              <w:rPr>
                <w:b/>
                <w:bCs/>
                <w:i/>
                <w:iCs/>
                <w:color w:val="000000"/>
                <w:sz w:val="22"/>
                <w:szCs w:val="22"/>
              </w:rPr>
              <w:t>t</w:t>
            </w:r>
          </w:p>
        </w:tc>
        <w:tc>
          <w:tcPr>
            <w:tcW w:w="1240" w:type="dxa"/>
            <w:tcBorders>
              <w:top w:val="single" w:sz="8" w:space="0" w:color="000000"/>
              <w:left w:val="none" w:sz="0" w:space="0" w:color="FFFFFF"/>
              <w:bottom w:val="single" w:sz="4" w:space="0" w:color="000000"/>
              <w:right w:val="none" w:sz="0" w:space="0" w:color="FFFFFF"/>
            </w:tcBorders>
            <w:tcMar>
              <w:top w:w="60" w:type="dxa"/>
              <w:left w:w="80" w:type="dxa"/>
              <w:bottom w:w="60" w:type="dxa"/>
              <w:right w:w="80" w:type="dxa"/>
            </w:tcMar>
            <w:vAlign w:val="center"/>
          </w:tcPr>
          <w:p w14:paraId="6C6A632E" w14:textId="77777777" w:rsidR="00E0682E" w:rsidRDefault="00225CEE">
            <w:pPr>
              <w:spacing w:after="20" w:line="260" w:lineRule="auto"/>
              <w:jc w:val="center"/>
            </w:pPr>
            <w:r>
              <w:rPr>
                <w:b/>
                <w:bCs/>
                <w:i/>
                <w:iCs/>
                <w:color w:val="000000"/>
                <w:sz w:val="22"/>
                <w:szCs w:val="22"/>
              </w:rPr>
              <w:t>P</w:t>
            </w:r>
          </w:p>
        </w:tc>
      </w:tr>
      <w:tr w:rsidR="00E0682E" w14:paraId="4FF22C78" w14:textId="77777777">
        <w:tc>
          <w:tcPr>
            <w:tcW w:w="3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C2E39C5" w14:textId="77777777" w:rsidR="00E0682E" w:rsidRDefault="00225CEE">
            <w:pPr>
              <w:spacing w:after="20" w:line="260" w:lineRule="auto"/>
            </w:pPr>
            <w:r>
              <w:rPr>
                <w:color w:val="000000"/>
                <w:sz w:val="22"/>
                <w:szCs w:val="22"/>
              </w:rPr>
              <w:t>(Constant)</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446B3440" w14:textId="77777777" w:rsidR="00E0682E" w:rsidRDefault="00225CEE">
            <w:pPr>
              <w:spacing w:after="20" w:line="260" w:lineRule="auto"/>
              <w:jc w:val="center"/>
            </w:pPr>
            <w:r>
              <w:rPr>
                <w:color w:val="000000"/>
                <w:sz w:val="22"/>
                <w:szCs w:val="22"/>
              </w:rPr>
              <w:t>5.254</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FC0547D" w14:textId="77777777" w:rsidR="00E0682E" w:rsidRDefault="00225CEE">
            <w:pPr>
              <w:spacing w:after="20" w:line="260" w:lineRule="auto"/>
              <w:jc w:val="center"/>
            </w:pPr>
            <w:r>
              <w:rPr>
                <w:color w:val="000000"/>
                <w:sz w:val="22"/>
                <w:szCs w:val="22"/>
              </w:rPr>
              <w:t>6.962</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076260F" w14:textId="77777777" w:rsidR="00E0682E" w:rsidRDefault="00E0682E">
            <w:pPr>
              <w:spacing w:after="20" w:line="260" w:lineRule="auto"/>
              <w:jc w:val="center"/>
            </w:pP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F9F07CE" w14:textId="77777777" w:rsidR="00E0682E" w:rsidRDefault="00225CEE">
            <w:pPr>
              <w:spacing w:after="20" w:line="260" w:lineRule="auto"/>
              <w:jc w:val="center"/>
            </w:pPr>
            <w:r>
              <w:rPr>
                <w:color w:val="000000"/>
                <w:sz w:val="22"/>
                <w:szCs w:val="22"/>
              </w:rPr>
              <w:t>0.755</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2FB5B81" w14:textId="77777777" w:rsidR="00E0682E" w:rsidRDefault="00225CEE">
            <w:pPr>
              <w:spacing w:after="20" w:line="260" w:lineRule="auto"/>
              <w:jc w:val="center"/>
            </w:pPr>
            <w:r>
              <w:rPr>
                <w:color w:val="000000"/>
                <w:sz w:val="22"/>
                <w:szCs w:val="22"/>
              </w:rPr>
              <w:t>.45</w:t>
            </w:r>
          </w:p>
        </w:tc>
      </w:tr>
      <w:tr w:rsidR="00E0682E" w14:paraId="5CA37727" w14:textId="77777777">
        <w:tc>
          <w:tcPr>
            <w:tcW w:w="3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8A0D1CF" w14:textId="3186445A" w:rsidR="00E0682E" w:rsidRDefault="00225CEE">
            <w:pPr>
              <w:spacing w:after="20" w:line="260" w:lineRule="auto"/>
            </w:pPr>
            <w:r>
              <w:rPr>
                <w:color w:val="000000"/>
                <w:sz w:val="22"/>
                <w:szCs w:val="22"/>
              </w:rPr>
              <w:t xml:space="preserve">Savings </w:t>
            </w:r>
            <w:r w:rsidR="00425849">
              <w:rPr>
                <w:color w:val="000000"/>
                <w:sz w:val="22"/>
                <w:szCs w:val="22"/>
              </w:rPr>
              <w:t>programs</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C9DC059" w14:textId="77777777" w:rsidR="00E0682E" w:rsidRDefault="00225CEE">
            <w:pPr>
              <w:spacing w:after="20" w:line="260" w:lineRule="auto"/>
              <w:jc w:val="center"/>
            </w:pPr>
            <w:r>
              <w:rPr>
                <w:color w:val="000000"/>
                <w:sz w:val="22"/>
                <w:szCs w:val="22"/>
              </w:rPr>
              <w:t>0.091</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7AE9017A" w14:textId="77777777" w:rsidR="00E0682E" w:rsidRDefault="00225CEE">
            <w:pPr>
              <w:spacing w:after="20" w:line="260" w:lineRule="auto"/>
              <w:jc w:val="center"/>
            </w:pPr>
            <w:r>
              <w:rPr>
                <w:color w:val="000000"/>
                <w:sz w:val="22"/>
                <w:szCs w:val="22"/>
              </w:rPr>
              <w:t>0.062</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7EA9BEE" w14:textId="77777777" w:rsidR="00E0682E" w:rsidRDefault="00225CEE">
            <w:pPr>
              <w:spacing w:after="20" w:line="260" w:lineRule="auto"/>
              <w:jc w:val="center"/>
            </w:pPr>
            <w:r>
              <w:rPr>
                <w:color w:val="000000"/>
                <w:sz w:val="22"/>
                <w:szCs w:val="22"/>
              </w:rPr>
              <w:t>0.085</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E6CE7FB" w14:textId="77777777" w:rsidR="00E0682E" w:rsidRDefault="00225CEE">
            <w:pPr>
              <w:spacing w:after="20" w:line="260" w:lineRule="auto"/>
              <w:jc w:val="center"/>
            </w:pPr>
            <w:r>
              <w:rPr>
                <w:color w:val="000000"/>
                <w:sz w:val="22"/>
                <w:szCs w:val="22"/>
              </w:rPr>
              <w:t>1.457</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30C5EF4" w14:textId="77777777" w:rsidR="00E0682E" w:rsidRDefault="00225CEE">
            <w:pPr>
              <w:spacing w:after="20" w:line="260" w:lineRule="auto"/>
              <w:jc w:val="center"/>
            </w:pPr>
            <w:r>
              <w:rPr>
                <w:color w:val="000000"/>
                <w:sz w:val="22"/>
                <w:szCs w:val="22"/>
              </w:rPr>
              <w:t>.15</w:t>
            </w:r>
          </w:p>
        </w:tc>
      </w:tr>
      <w:tr w:rsidR="00E0682E" w14:paraId="379DB6C9" w14:textId="77777777">
        <w:tc>
          <w:tcPr>
            <w:tcW w:w="3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61EFC12" w14:textId="77777777" w:rsidR="00E0682E" w:rsidRDefault="00225CEE">
            <w:pPr>
              <w:spacing w:after="20" w:line="260" w:lineRule="auto"/>
            </w:pPr>
            <w:r>
              <w:rPr>
                <w:color w:val="000000"/>
                <w:sz w:val="22"/>
                <w:szCs w:val="22"/>
              </w:rPr>
              <w:t>Revolving loan funds</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DB8FD67" w14:textId="77777777" w:rsidR="00E0682E" w:rsidRDefault="00225CEE">
            <w:pPr>
              <w:spacing w:after="20" w:line="260" w:lineRule="auto"/>
              <w:jc w:val="center"/>
            </w:pPr>
            <w:r>
              <w:rPr>
                <w:color w:val="000000"/>
                <w:sz w:val="22"/>
                <w:szCs w:val="22"/>
              </w:rPr>
              <w:t>−0.105</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CDE4177" w14:textId="77777777" w:rsidR="00E0682E" w:rsidRDefault="00225CEE">
            <w:pPr>
              <w:spacing w:after="20" w:line="260" w:lineRule="auto"/>
              <w:jc w:val="center"/>
            </w:pPr>
            <w:r>
              <w:rPr>
                <w:color w:val="000000"/>
                <w:sz w:val="22"/>
                <w:szCs w:val="22"/>
              </w:rPr>
              <w:t>0.065</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2582658C" w14:textId="77777777" w:rsidR="00E0682E" w:rsidRDefault="00225CEE">
            <w:pPr>
              <w:spacing w:after="20" w:line="260" w:lineRule="auto"/>
              <w:jc w:val="center"/>
            </w:pPr>
            <w:r>
              <w:rPr>
                <w:color w:val="000000"/>
                <w:sz w:val="22"/>
                <w:szCs w:val="22"/>
              </w:rPr>
              <w:t>−0.091</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167E7451" w14:textId="77777777" w:rsidR="00E0682E" w:rsidRDefault="00225CEE">
            <w:pPr>
              <w:spacing w:after="20" w:line="260" w:lineRule="auto"/>
              <w:jc w:val="center"/>
            </w:pPr>
            <w:r>
              <w:rPr>
                <w:color w:val="000000"/>
                <w:sz w:val="22"/>
                <w:szCs w:val="22"/>
              </w:rPr>
              <w:t>−1.623</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0C4113B5" w14:textId="77777777" w:rsidR="00E0682E" w:rsidRDefault="00225CEE">
            <w:pPr>
              <w:spacing w:after="20" w:line="260" w:lineRule="auto"/>
              <w:jc w:val="center"/>
            </w:pPr>
            <w:r>
              <w:rPr>
                <w:color w:val="000000"/>
                <w:sz w:val="22"/>
                <w:szCs w:val="22"/>
              </w:rPr>
              <w:t>.11</w:t>
            </w:r>
          </w:p>
        </w:tc>
      </w:tr>
      <w:tr w:rsidR="00E0682E" w14:paraId="2A0796C9" w14:textId="77777777">
        <w:tc>
          <w:tcPr>
            <w:tcW w:w="31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87A010E" w14:textId="189AB806" w:rsidR="00E0682E" w:rsidRDefault="00225CEE">
            <w:pPr>
              <w:spacing w:after="20" w:line="260" w:lineRule="auto"/>
            </w:pPr>
            <w:r>
              <w:rPr>
                <w:color w:val="000000"/>
                <w:sz w:val="22"/>
                <w:szCs w:val="22"/>
              </w:rPr>
              <w:t xml:space="preserve">Grant </w:t>
            </w:r>
            <w:r w:rsidR="00425849">
              <w:rPr>
                <w:color w:val="000000"/>
                <w:sz w:val="22"/>
                <w:szCs w:val="22"/>
              </w:rPr>
              <w:t>programs</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B874D3A" w14:textId="77777777" w:rsidR="00E0682E" w:rsidRDefault="00225CEE">
            <w:pPr>
              <w:spacing w:after="20" w:line="260" w:lineRule="auto"/>
              <w:jc w:val="center"/>
            </w:pPr>
            <w:r>
              <w:rPr>
                <w:color w:val="000000"/>
                <w:sz w:val="22"/>
                <w:szCs w:val="22"/>
              </w:rPr>
              <w:t>0.492</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50AA8D6D" w14:textId="77777777" w:rsidR="00E0682E" w:rsidRDefault="00225CEE">
            <w:pPr>
              <w:spacing w:after="20" w:line="260" w:lineRule="auto"/>
              <w:jc w:val="center"/>
            </w:pPr>
            <w:r>
              <w:rPr>
                <w:color w:val="000000"/>
                <w:sz w:val="22"/>
                <w:szCs w:val="22"/>
              </w:rPr>
              <w:t>0.109</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A0062E5" w14:textId="77777777" w:rsidR="00E0682E" w:rsidRDefault="00225CEE">
            <w:pPr>
              <w:spacing w:after="20" w:line="260" w:lineRule="auto"/>
              <w:jc w:val="center"/>
            </w:pPr>
            <w:r>
              <w:rPr>
                <w:color w:val="000000"/>
                <w:sz w:val="22"/>
                <w:szCs w:val="22"/>
              </w:rPr>
              <w:t>0.482</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3BDEABEE" w14:textId="77777777" w:rsidR="00E0682E" w:rsidRDefault="00225CEE">
            <w:pPr>
              <w:spacing w:after="20" w:line="260" w:lineRule="auto"/>
              <w:jc w:val="center"/>
            </w:pPr>
            <w:r>
              <w:rPr>
                <w:color w:val="000000"/>
                <w:sz w:val="22"/>
                <w:szCs w:val="22"/>
              </w:rPr>
              <w:t>4.491</w:t>
            </w:r>
          </w:p>
        </w:tc>
        <w:tc>
          <w:tcPr>
            <w:tcW w:w="12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vAlign w:val="center"/>
          </w:tcPr>
          <w:p w14:paraId="6876A0E6" w14:textId="77777777" w:rsidR="00E0682E" w:rsidRDefault="00225CEE">
            <w:pPr>
              <w:spacing w:after="20" w:line="260" w:lineRule="auto"/>
              <w:jc w:val="center"/>
            </w:pPr>
            <w:r>
              <w:rPr>
                <w:color w:val="000000"/>
                <w:sz w:val="22"/>
                <w:szCs w:val="22"/>
              </w:rPr>
              <w:t>&lt; .001</w:t>
            </w:r>
          </w:p>
        </w:tc>
      </w:tr>
      <w:tr w:rsidR="00E0682E" w14:paraId="40D4DD40" w14:textId="77777777">
        <w:tc>
          <w:tcPr>
            <w:tcW w:w="31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003060D5" w14:textId="77777777" w:rsidR="00E0682E" w:rsidRDefault="00225CEE">
            <w:pPr>
              <w:spacing w:after="20" w:line="260" w:lineRule="auto"/>
            </w:pPr>
            <w:r>
              <w:rPr>
                <w:color w:val="000000"/>
                <w:sz w:val="22"/>
                <w:szCs w:val="22"/>
              </w:rPr>
              <w:t>Financial literacy training</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AFF8D9D" w14:textId="77777777" w:rsidR="00E0682E" w:rsidRDefault="00225CEE">
            <w:pPr>
              <w:spacing w:after="20" w:line="260" w:lineRule="auto"/>
              <w:jc w:val="center"/>
            </w:pPr>
            <w:r>
              <w:rPr>
                <w:color w:val="000000"/>
                <w:sz w:val="22"/>
                <w:szCs w:val="22"/>
              </w:rPr>
              <w:t>0.449</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8E8AFC2" w14:textId="77777777" w:rsidR="00E0682E" w:rsidRDefault="00225CEE">
            <w:pPr>
              <w:spacing w:after="20" w:line="260" w:lineRule="auto"/>
              <w:jc w:val="center"/>
            </w:pPr>
            <w:r>
              <w:rPr>
                <w:color w:val="000000"/>
                <w:sz w:val="22"/>
                <w:szCs w:val="22"/>
              </w:rPr>
              <w:t>0.109</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31AB60AC" w14:textId="77777777" w:rsidR="00E0682E" w:rsidRDefault="00225CEE">
            <w:pPr>
              <w:spacing w:after="20" w:line="260" w:lineRule="auto"/>
              <w:jc w:val="center"/>
            </w:pPr>
            <w:r>
              <w:rPr>
                <w:color w:val="000000"/>
                <w:sz w:val="22"/>
                <w:szCs w:val="22"/>
              </w:rPr>
              <w:t>0.435</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16A86CFF" w14:textId="77777777" w:rsidR="00E0682E" w:rsidRDefault="00225CEE">
            <w:pPr>
              <w:spacing w:after="20" w:line="260" w:lineRule="auto"/>
              <w:jc w:val="center"/>
            </w:pPr>
            <w:r>
              <w:rPr>
                <w:color w:val="000000"/>
                <w:sz w:val="22"/>
                <w:szCs w:val="22"/>
              </w:rPr>
              <w:t>4.127</w:t>
            </w:r>
          </w:p>
        </w:tc>
        <w:tc>
          <w:tcPr>
            <w:tcW w:w="124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vAlign w:val="center"/>
          </w:tcPr>
          <w:p w14:paraId="566A2330" w14:textId="77777777" w:rsidR="00E0682E" w:rsidRDefault="00225CEE">
            <w:pPr>
              <w:spacing w:after="20" w:line="260" w:lineRule="auto"/>
              <w:jc w:val="center"/>
            </w:pPr>
            <w:r>
              <w:rPr>
                <w:color w:val="000000"/>
                <w:sz w:val="22"/>
                <w:szCs w:val="22"/>
              </w:rPr>
              <w:t>&lt; .001</w:t>
            </w:r>
          </w:p>
        </w:tc>
      </w:tr>
    </w:tbl>
    <w:p w14:paraId="4138C0E8" w14:textId="77777777" w:rsidR="00E0682E" w:rsidRDefault="00225CEE">
      <w:pPr>
        <w:spacing w:after="200"/>
      </w:pPr>
      <w:r>
        <w:rPr>
          <w:i/>
          <w:iCs/>
          <w:color w:val="000000"/>
        </w:rPr>
        <w:t>Dependent variable: financial growth. Source: Field data (2025)</w:t>
      </w:r>
    </w:p>
    <w:p w14:paraId="394D6A42" w14:textId="77777777" w:rsidR="00E0682E" w:rsidRDefault="00225CEE">
      <w:pPr>
        <w:spacing w:before="180" w:after="100"/>
      </w:pPr>
      <w:r>
        <w:rPr>
          <w:b/>
          <w:bCs/>
          <w:color w:val="000000"/>
          <w:sz w:val="24"/>
          <w:szCs w:val="24"/>
        </w:rPr>
        <w:t>4.7 Discussion of Findings</w:t>
      </w:r>
    </w:p>
    <w:p w14:paraId="69F247FB" w14:textId="277DA685" w:rsidR="00E0682E" w:rsidRDefault="00225CEE">
      <w:pPr>
        <w:spacing w:after="120"/>
        <w:jc w:val="both"/>
      </w:pPr>
      <w:r>
        <w:rPr>
          <w:color w:val="000000"/>
          <w:sz w:val="24"/>
          <w:szCs w:val="24"/>
        </w:rPr>
        <w:t xml:space="preserve">The results tell a consistent story across the correlation and regression analyses. Grants and financial literacy training are the active ingredients in the NGO funding mix in Kisumu County, while savings </w:t>
      </w:r>
      <w:r w:rsidR="00425849">
        <w:rPr>
          <w:color w:val="000000"/>
          <w:sz w:val="24"/>
          <w:szCs w:val="24"/>
        </w:rPr>
        <w:t>programs</w:t>
      </w:r>
      <w:r>
        <w:rPr>
          <w:color w:val="000000"/>
          <w:sz w:val="24"/>
          <w:szCs w:val="24"/>
        </w:rPr>
        <w:t xml:space="preserve"> and revolving loan funds, in their present form, contribute little that is statistically detectable. The strength of the grant effect sits comfortably with </w:t>
      </w:r>
      <w:r w:rsidR="00425849">
        <w:rPr>
          <w:color w:val="000000"/>
          <w:sz w:val="24"/>
          <w:szCs w:val="24"/>
        </w:rPr>
        <w:t>signaling</w:t>
      </w:r>
      <w:r>
        <w:rPr>
          <w:color w:val="000000"/>
          <w:sz w:val="24"/>
          <w:szCs w:val="24"/>
        </w:rPr>
        <w:t xml:space="preserve"> and credit rationing arguments: non-repayable capital relieves the constraint that rationing creates for firms without collateral, and Vietnamese and South African evidence likewise associates well-structured external funding with improved business conditions and access to further finance (Nuyen et al., 2022; Nkombe &amp; Phir, 2022). At the same time, the descriptive results caution that grants are not yet translating into creditworthiness signals for local lenders, and Nigerian evidence that grants on their own can even discourage venture creation (Adetoro et al., 2021) is a reminder that design and accompaniment matter as much as disbursement (Munene, 2021).</w:t>
      </w:r>
    </w:p>
    <w:p w14:paraId="01A3F656" w14:textId="77777777" w:rsidR="00321895" w:rsidRPr="00321895" w:rsidRDefault="00321895" w:rsidP="00321895">
      <w:pPr>
        <w:spacing w:after="120"/>
        <w:jc w:val="both"/>
        <w:rPr>
          <w:color w:val="000000"/>
          <w:sz w:val="24"/>
          <w:szCs w:val="24"/>
        </w:rPr>
      </w:pPr>
      <w:r w:rsidRPr="00321895">
        <w:rPr>
          <w:color w:val="000000"/>
          <w:sz w:val="24"/>
          <w:szCs w:val="24"/>
        </w:rPr>
        <w:t>The significant effect of financial literacy training is consistent with a growing body of regional and international evidence showing that financial knowledge contributes positively to small business performance. Financial understanding improves budgeting, cash flow control and borrowing decisions among SMEs in Kuwait (Abdallah et al., 2024), Zimbabwe (Nyagope, 2024) and Uganda (Nyeko et al., 2024). Kenyan studies have similarly reported positive outcomes among cooperative societies and young entrepreneurs (Owino et al., 2024; Bii et al., 2024). Social learning theory provides a useful explanation for this finding, as financial skills acquired through structured and practical instruction can shape how business owners make everyday financial decisions. The significant effect of financial literacy training after controlling for the three funding instruments further suggests that financial knowledge makes a distinct contribution to the financial growth of small businesses rather than functioning solely as a complement to financial capital.</w:t>
      </w:r>
    </w:p>
    <w:p w14:paraId="04100B0F" w14:textId="188E7D1F" w:rsidR="00E0682E" w:rsidRPr="00321895" w:rsidRDefault="00321895">
      <w:pPr>
        <w:spacing w:after="120"/>
        <w:jc w:val="both"/>
        <w:rPr>
          <w:color w:val="000000"/>
          <w:sz w:val="24"/>
          <w:szCs w:val="24"/>
        </w:rPr>
      </w:pPr>
      <w:r w:rsidRPr="00321895">
        <w:rPr>
          <w:color w:val="000000"/>
          <w:sz w:val="24"/>
          <w:szCs w:val="24"/>
        </w:rPr>
        <w:t xml:space="preserve">The statistically insignificant effects of savings programs and revolving loan funds should not, however, be interpreted to mean that savings and credit are unimportant to small businesses. The descriptive findings suggest that program design may influence their effectiveness. Restrictive </w:t>
      </w:r>
      <w:r w:rsidRPr="00321895">
        <w:rPr>
          <w:color w:val="000000"/>
          <w:sz w:val="24"/>
          <w:szCs w:val="24"/>
        </w:rPr>
        <w:lastRenderedPageBreak/>
        <w:t>withdrawal conditions and lengthy saving periods may limit access to funds when businesses require liquidity, while slow loan approval processes, relatively small loan amounts and repayment conditions may reduce the usefulness of revolving credit to participating businesses. Behavioural economics suggests that individuals may be less inclined to commit resources to savings arrangements that restrict immediate access to funds (Kahneman &amp; Tversky, 1979). Credit rationing theory similarly indicates that financing arrangements that do not adequately respond to borrowers' needs may fail to address existing financial constraints (Stiglitz &amp; Weiss, 1981). Although revolving loan funds recorded a negative coefficient, the relationship was not statistically significant and should therefore be interpreted cautiously. Nevertheless, the finding is comparable to Bantu (2022), who identified repayment arrangements that were poorly aligned with borrowers' circumstances as a challenge among beneficiaries of a revolving fund in Ethiopia. Studies in Kenya have further shown that training, knowledge transfer and effective program administration can strengthen the outcomes of savings and revolving fund initiatives (Njuguna, 2020; Sharun &amp; Bett, 2019; Lomongin et al., 2023). Taken together, these findings suggest that the financial outcomes associated with savings and revolving loan programs may depend partly on how the programs are designed, administered and supported by financial capability development</w:t>
      </w:r>
      <w:r w:rsidR="00225CEE">
        <w:rPr>
          <w:color w:val="000000"/>
          <w:sz w:val="24"/>
          <w:szCs w:val="24"/>
        </w:rPr>
        <w:t>.</w:t>
      </w:r>
    </w:p>
    <w:p w14:paraId="7684E8C8" w14:textId="77777777" w:rsidR="00E0682E" w:rsidRDefault="00225CEE">
      <w:pPr>
        <w:spacing w:before="240" w:after="120"/>
      </w:pPr>
      <w:r>
        <w:rPr>
          <w:b/>
          <w:bCs/>
          <w:color w:val="000000"/>
          <w:sz w:val="26"/>
          <w:szCs w:val="26"/>
        </w:rPr>
        <w:t>5. CONCLUSIONS AND RECOMMENDATIONS</w:t>
      </w:r>
    </w:p>
    <w:p w14:paraId="63E3328C" w14:textId="19A75F47" w:rsidR="00E0682E" w:rsidRDefault="00225CEE">
      <w:pPr>
        <w:spacing w:after="120"/>
        <w:jc w:val="both"/>
      </w:pPr>
      <w:r>
        <w:rPr>
          <w:color w:val="000000"/>
          <w:sz w:val="24"/>
          <w:szCs w:val="24"/>
        </w:rPr>
        <w:t xml:space="preserve">The study concludes, first, that grant </w:t>
      </w:r>
      <w:r w:rsidR="00425849">
        <w:rPr>
          <w:color w:val="000000"/>
          <w:sz w:val="24"/>
          <w:szCs w:val="24"/>
        </w:rPr>
        <w:t>programs</w:t>
      </w:r>
      <w:r>
        <w:rPr>
          <w:color w:val="000000"/>
          <w:sz w:val="24"/>
          <w:szCs w:val="24"/>
        </w:rPr>
        <w:t xml:space="preserve"> have a positive and statistically significant effect on the financial growth of small businesses in Kisumu County and, second, that financial literacy training has a comparably strong positive and significant effect. Third, savings </w:t>
      </w:r>
      <w:r w:rsidR="00425849">
        <w:rPr>
          <w:color w:val="000000"/>
          <w:sz w:val="24"/>
          <w:szCs w:val="24"/>
        </w:rPr>
        <w:t>programs</w:t>
      </w:r>
      <w:r>
        <w:rPr>
          <w:color w:val="000000"/>
          <w:sz w:val="24"/>
          <w:szCs w:val="24"/>
        </w:rPr>
        <w:t xml:space="preserve">, although positively related to financial growth, do not exert a statistically significant effect in their current design and, fourth, revolving loan funds show no significant effect, with rigid approvals, small loan sizes and demanding repayment terms the most plausible explanations. Together the four </w:t>
      </w:r>
      <w:r w:rsidR="00425849">
        <w:rPr>
          <w:color w:val="000000"/>
          <w:sz w:val="24"/>
          <w:szCs w:val="24"/>
        </w:rPr>
        <w:t>programs</w:t>
      </w:r>
      <w:r>
        <w:rPr>
          <w:color w:val="000000"/>
          <w:sz w:val="24"/>
          <w:szCs w:val="24"/>
        </w:rPr>
        <w:t xml:space="preserve"> account for about three quarters of the variation in financial growth, which confirms that NGO-led sustainable funding matters greatly, but that its value is concentrated in two of its four instruments.</w:t>
      </w:r>
    </w:p>
    <w:p w14:paraId="1E17024C" w14:textId="495A2BDF" w:rsidR="00E0682E" w:rsidRDefault="00225CEE">
      <w:pPr>
        <w:spacing w:after="120"/>
        <w:jc w:val="both"/>
      </w:pPr>
      <w:r>
        <w:rPr>
          <w:color w:val="000000"/>
          <w:sz w:val="24"/>
          <w:szCs w:val="24"/>
        </w:rPr>
        <w:t xml:space="preserve">Three practical recommendations follow. NGOs and their partners should, first, protect and expand grant provision, disbursing grants in phases of adequate size and pairing them with mechanisms, such as verifiable performance records, that allow grant receipt to function as a creditworthiness signal to formal lenders. Second, financial literacy training should become continuous rather than episodic, delivered in short, practical modules scheduled around business hours and covering budgeting, cash flow management, debt handling and investment appraisal. Third, savings and revolving loan schemes need redesign rather than abandonment: flexible withdrawal windows and tiered contributions would restore liquidity to savers, while streamlined approvals, loan sizes matched to need and repayment schedules aligned with cash flow cycles would let revolving funds ease the very constraint they were created to address. County government and national policy makers can support all three measures by </w:t>
      </w:r>
      <w:r w:rsidR="00425849">
        <w:rPr>
          <w:color w:val="000000"/>
          <w:sz w:val="24"/>
          <w:szCs w:val="24"/>
        </w:rPr>
        <w:t>recognizing</w:t>
      </w:r>
      <w:r>
        <w:rPr>
          <w:color w:val="000000"/>
          <w:sz w:val="24"/>
          <w:szCs w:val="24"/>
        </w:rPr>
        <w:t xml:space="preserve"> NGO program participation within broader credit information systems.</w:t>
      </w:r>
    </w:p>
    <w:p w14:paraId="73BFE47D" w14:textId="193161C4" w:rsidR="00E0682E" w:rsidRDefault="00225CEE">
      <w:pPr>
        <w:spacing w:after="120"/>
        <w:jc w:val="both"/>
      </w:pPr>
      <w:r>
        <w:rPr>
          <w:color w:val="000000"/>
          <w:sz w:val="24"/>
          <w:szCs w:val="24"/>
        </w:rPr>
        <w:t xml:space="preserve">The study has limitations that point to further research. It relied on self-reported perceptions from a single county, collected at one point in time, so the findings describe associations rather than proven causal effects and may not </w:t>
      </w:r>
      <w:r w:rsidR="00425849">
        <w:rPr>
          <w:color w:val="000000"/>
          <w:sz w:val="24"/>
          <w:szCs w:val="24"/>
        </w:rPr>
        <w:t>generalize</w:t>
      </w:r>
      <w:r>
        <w:rPr>
          <w:color w:val="000000"/>
          <w:sz w:val="24"/>
          <w:szCs w:val="24"/>
        </w:rPr>
        <w:t xml:space="preserve"> to counties with different NGO ecosystems. The unexplained 24% of variance invites investigation of factors such as market access, technology adoption, entrepreneurial competence and business networks. Longitudinal designs tracking </w:t>
      </w:r>
      <w:r>
        <w:rPr>
          <w:color w:val="000000"/>
          <w:sz w:val="24"/>
          <w:szCs w:val="24"/>
        </w:rPr>
        <w:lastRenderedPageBreak/>
        <w:t>beneficiaries across funding cycles, and comparative studies across counties, would establish whether the grant and literacy effects observed here hold over time and space.</w:t>
      </w:r>
    </w:p>
    <w:p w14:paraId="2BECA81E" w14:textId="77777777" w:rsidR="00B24467" w:rsidRDefault="00B24467" w:rsidP="00B24467">
      <w:pPr>
        <w:shd w:val="clear" w:color="auto" w:fill="FFFFFF"/>
        <w:rPr>
          <w:rFonts w:ascii="Arial" w:hAnsi="Arial" w:cs="Arial"/>
          <w:color w:val="222222"/>
          <w:sz w:val="24"/>
          <w:szCs w:val="24"/>
          <w:lang w:val="en-IN" w:eastAsia="en-IN"/>
        </w:rPr>
      </w:pPr>
      <w:bookmarkStart w:id="0" w:name="_Hlk232854992"/>
      <w:bookmarkStart w:id="1" w:name="_Hlk238909442"/>
      <w:bookmarkStart w:id="2" w:name="_Hlk237857116"/>
    </w:p>
    <w:p w14:paraId="30FA4A43" w14:textId="77777777" w:rsidR="00B24467" w:rsidRPr="002D08AC" w:rsidRDefault="00B24467" w:rsidP="00B24467">
      <w:pPr>
        <w:rPr>
          <w:rFonts w:ascii="Arial" w:hAnsi="Arial" w:cs="Arial"/>
          <w:b/>
        </w:rPr>
      </w:pPr>
      <w:bookmarkStart w:id="3" w:name="_Hlk238550938"/>
      <w:bookmarkStart w:id="4" w:name="_Hlk237856463"/>
      <w:bookmarkEnd w:id="0"/>
      <w:r w:rsidRPr="002D08AC">
        <w:rPr>
          <w:rFonts w:ascii="Arial" w:hAnsi="Arial" w:cs="Arial"/>
          <w:b/>
        </w:rPr>
        <w:t>Declaration of AI Use</w:t>
      </w:r>
    </w:p>
    <w:p w14:paraId="0CFFAB22" w14:textId="77777777" w:rsidR="00B24467" w:rsidRPr="002D08AC" w:rsidRDefault="00B24467" w:rsidP="00B24467">
      <w:pPr>
        <w:rPr>
          <w:rFonts w:ascii="Arial" w:hAnsi="Arial" w:cs="Arial"/>
        </w:rPr>
      </w:pPr>
      <w:bookmarkStart w:id="5" w:name="_Hlk239068730"/>
    </w:p>
    <w:p w14:paraId="4754F312" w14:textId="77777777" w:rsidR="00B24467" w:rsidRPr="002D08AC" w:rsidRDefault="00B24467" w:rsidP="00B24467">
      <w:pPr>
        <w:rPr>
          <w:rFonts w:ascii="Arial" w:hAnsi="Arial" w:cs="Arial"/>
        </w:rPr>
      </w:pPr>
      <w:bookmarkStart w:id="6" w:name="_Hlk237862032"/>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3"/>
      <w:r w:rsidRPr="002D08AC">
        <w:rPr>
          <w:rFonts w:ascii="Arial" w:hAnsi="Arial" w:cs="Arial"/>
        </w:rPr>
        <w:t>.</w:t>
      </w:r>
    </w:p>
    <w:bookmarkEnd w:id="2"/>
    <w:bookmarkEnd w:id="4"/>
    <w:bookmarkEnd w:id="5"/>
    <w:bookmarkEnd w:id="6"/>
    <w:p w14:paraId="537416E7" w14:textId="417DAE5E" w:rsidR="00E0682E" w:rsidRDefault="00E0682E">
      <w:pPr>
        <w:spacing w:after="120"/>
        <w:jc w:val="both"/>
      </w:pPr>
    </w:p>
    <w:p w14:paraId="5932AF57" w14:textId="22988DA5" w:rsidR="00E0682E" w:rsidRPr="00B6375F" w:rsidRDefault="00B6375F">
      <w:pPr>
        <w:spacing w:before="240" w:after="120"/>
        <w:rPr>
          <w:sz w:val="24"/>
          <w:szCs w:val="24"/>
        </w:rPr>
      </w:pPr>
      <w:r w:rsidRPr="00B6375F">
        <w:rPr>
          <w:b/>
          <w:bCs/>
          <w:color w:val="000000"/>
          <w:sz w:val="24"/>
          <w:szCs w:val="24"/>
        </w:rPr>
        <w:t>Competing Interests</w:t>
      </w:r>
    </w:p>
    <w:p w14:paraId="087D92C5" w14:textId="77777777" w:rsidR="00E0682E" w:rsidRDefault="00225CEE">
      <w:pPr>
        <w:spacing w:after="120"/>
        <w:jc w:val="both"/>
      </w:pPr>
      <w:r>
        <w:rPr>
          <w:color w:val="000000"/>
          <w:sz w:val="24"/>
          <w:szCs w:val="24"/>
        </w:rPr>
        <w:t>Authors have declared that no competing interests exist.</w:t>
      </w:r>
    </w:p>
    <w:p w14:paraId="5BCE0879" w14:textId="52A96F4B" w:rsidR="00E0682E" w:rsidRPr="00B6375F" w:rsidRDefault="00B6375F">
      <w:pPr>
        <w:spacing w:before="240" w:after="120"/>
        <w:rPr>
          <w:sz w:val="24"/>
          <w:szCs w:val="24"/>
        </w:rPr>
      </w:pPr>
      <w:r w:rsidRPr="00B6375F">
        <w:rPr>
          <w:b/>
          <w:bCs/>
          <w:color w:val="000000"/>
          <w:sz w:val="24"/>
          <w:szCs w:val="24"/>
        </w:rPr>
        <w:t>Consent</w:t>
      </w:r>
    </w:p>
    <w:p w14:paraId="0A27E141" w14:textId="77777777" w:rsidR="00E0682E" w:rsidRDefault="00225CEE">
      <w:pPr>
        <w:spacing w:after="120"/>
        <w:jc w:val="both"/>
      </w:pPr>
      <w:r>
        <w:rPr>
          <w:color w:val="000000"/>
          <w:sz w:val="24"/>
          <w:szCs w:val="24"/>
        </w:rPr>
        <w:t>Written informed consent was obtained from all respondents before data collection. Participation was voluntary and respondents retained the right to withdraw at any stage without consequence.</w:t>
      </w:r>
    </w:p>
    <w:p w14:paraId="36F91F2E" w14:textId="10D99243" w:rsidR="00E0682E" w:rsidRPr="00B6375F" w:rsidRDefault="00B6375F">
      <w:pPr>
        <w:spacing w:before="240" w:after="120"/>
        <w:rPr>
          <w:sz w:val="24"/>
          <w:szCs w:val="24"/>
        </w:rPr>
      </w:pPr>
      <w:r w:rsidRPr="00B6375F">
        <w:rPr>
          <w:b/>
          <w:bCs/>
          <w:color w:val="000000"/>
          <w:sz w:val="24"/>
          <w:szCs w:val="24"/>
        </w:rPr>
        <w:t xml:space="preserve">Ethical </w:t>
      </w:r>
      <w:r>
        <w:rPr>
          <w:b/>
          <w:bCs/>
          <w:color w:val="000000"/>
          <w:sz w:val="24"/>
          <w:szCs w:val="24"/>
        </w:rPr>
        <w:t>A</w:t>
      </w:r>
      <w:r w:rsidRPr="00B6375F">
        <w:rPr>
          <w:b/>
          <w:bCs/>
          <w:color w:val="000000"/>
          <w:sz w:val="24"/>
          <w:szCs w:val="24"/>
        </w:rPr>
        <w:t>pproval</w:t>
      </w:r>
    </w:p>
    <w:p w14:paraId="0E2DF3C4" w14:textId="77777777" w:rsidR="00E0682E" w:rsidRDefault="00225CEE">
      <w:pPr>
        <w:spacing w:after="120"/>
        <w:jc w:val="both"/>
      </w:pPr>
      <w:r>
        <w:rPr>
          <w:color w:val="000000"/>
          <w:sz w:val="24"/>
          <w:szCs w:val="24"/>
        </w:rPr>
        <w:t>Ethical clearance for the study was granted by the KCA University Ethics Review Committee, and a research permit was obtained from the National Commission for Science, Technology and Innovation (NACOSTI), Kenya, in line with national research regulations.</w:t>
      </w:r>
    </w:p>
    <w:p w14:paraId="13ED67B2" w14:textId="77777777" w:rsidR="00E0682E" w:rsidRDefault="00225CEE">
      <w:pPr>
        <w:spacing w:before="240" w:after="120"/>
      </w:pPr>
      <w:r>
        <w:rPr>
          <w:b/>
          <w:bCs/>
          <w:color w:val="000000"/>
          <w:sz w:val="26"/>
          <w:szCs w:val="26"/>
        </w:rPr>
        <w:t>REFERENCES</w:t>
      </w:r>
    </w:p>
    <w:p w14:paraId="15AFC1B4" w14:textId="77777777" w:rsidR="00E0682E" w:rsidRDefault="00225CEE">
      <w:pPr>
        <w:spacing w:after="80"/>
        <w:ind w:left="360" w:hanging="360"/>
      </w:pPr>
      <w:r>
        <w:rPr>
          <w:color w:val="000000"/>
          <w:sz w:val="22"/>
          <w:szCs w:val="22"/>
        </w:rPr>
        <w:t xml:space="preserve">1. Abdallah, W., Harraf, A., Ghura, H., &amp; Abrar, M. (2024). Financial literacy and small and medium enterprises performance in Kuwait: The moderating role of financial access. </w:t>
      </w:r>
      <w:r>
        <w:rPr>
          <w:i/>
          <w:iCs/>
          <w:color w:val="000000"/>
          <w:sz w:val="22"/>
          <w:szCs w:val="22"/>
        </w:rPr>
        <w:t>Journal of Financial Reporting and Accounting</w:t>
      </w:r>
      <w:r>
        <w:rPr>
          <w:color w:val="000000"/>
          <w:sz w:val="22"/>
          <w:szCs w:val="22"/>
        </w:rPr>
        <w:t>. https://doi.org/10.1108/JFRA-06-2024-0337</w:t>
      </w:r>
    </w:p>
    <w:p w14:paraId="12A6C60C" w14:textId="77777777" w:rsidR="00E0682E" w:rsidRDefault="00225CEE">
      <w:pPr>
        <w:spacing w:after="80"/>
        <w:ind w:left="360" w:hanging="360"/>
      </w:pPr>
      <w:r>
        <w:rPr>
          <w:color w:val="000000"/>
          <w:sz w:val="22"/>
          <w:szCs w:val="22"/>
        </w:rPr>
        <w:t xml:space="preserve">2. Abubakar, B., &amp; Naruddeen, A. (2023). Access to debt finance on the performance of small and medium scale enterprises (SMEs) in Nigeria. </w:t>
      </w:r>
      <w:r>
        <w:rPr>
          <w:i/>
          <w:iCs/>
          <w:color w:val="000000"/>
          <w:sz w:val="22"/>
          <w:szCs w:val="22"/>
        </w:rPr>
        <w:t>Lagos Journal of Contemporary Studies in Education, 2</w:t>
      </w:r>
      <w:r>
        <w:rPr>
          <w:color w:val="000000"/>
          <w:sz w:val="22"/>
          <w:szCs w:val="22"/>
        </w:rPr>
        <w:t>(13), 201–210.</w:t>
      </w:r>
    </w:p>
    <w:p w14:paraId="230881EB" w14:textId="77777777" w:rsidR="00E0682E" w:rsidRDefault="00225CEE">
      <w:pPr>
        <w:spacing w:after="80"/>
        <w:ind w:left="360" w:hanging="360"/>
      </w:pPr>
      <w:r>
        <w:rPr>
          <w:color w:val="000000"/>
          <w:sz w:val="22"/>
          <w:szCs w:val="22"/>
        </w:rPr>
        <w:t xml:space="preserve">3. Adetoro, O. E., Adeyeye, N. M., &amp; Ademola, S. (2021). Financial grant empowerment and entrepreneurial venture creation among NGOs beneficiaries in Kwara State, Nigeria: An empirical investigation. </w:t>
      </w:r>
      <w:r>
        <w:rPr>
          <w:i/>
          <w:iCs/>
          <w:color w:val="000000"/>
          <w:sz w:val="22"/>
          <w:szCs w:val="22"/>
        </w:rPr>
        <w:t>The Journal of Entrepreneurial Finance, 23</w:t>
      </w:r>
      <w:r>
        <w:rPr>
          <w:color w:val="000000"/>
          <w:sz w:val="22"/>
          <w:szCs w:val="22"/>
        </w:rPr>
        <w:t>. https://www.econstor.eu/handle/10419/264419</w:t>
      </w:r>
    </w:p>
    <w:p w14:paraId="186CD9C2" w14:textId="77777777" w:rsidR="00E0682E" w:rsidRDefault="00225CEE">
      <w:pPr>
        <w:spacing w:after="80"/>
        <w:ind w:left="360" w:hanging="360"/>
      </w:pPr>
      <w:r>
        <w:rPr>
          <w:color w:val="000000"/>
          <w:sz w:val="22"/>
          <w:szCs w:val="22"/>
        </w:rPr>
        <w:t xml:space="preserve">4. Adwa, A. (2023). Donor funding considerations and financial sustainability of Denmark's development cooperation funded projects in Nairobi City County, Kenya. </w:t>
      </w:r>
      <w:r>
        <w:rPr>
          <w:i/>
          <w:iCs/>
          <w:color w:val="000000"/>
          <w:sz w:val="22"/>
          <w:szCs w:val="22"/>
        </w:rPr>
        <w:t>International Academic Journal of Information Sciences and Project Management, 3</w:t>
      </w:r>
      <w:r>
        <w:rPr>
          <w:color w:val="000000"/>
          <w:sz w:val="22"/>
          <w:szCs w:val="22"/>
        </w:rPr>
        <w:t>(2), 378–393.</w:t>
      </w:r>
    </w:p>
    <w:p w14:paraId="22EAA299" w14:textId="77777777" w:rsidR="00E0682E" w:rsidRDefault="00225CEE">
      <w:pPr>
        <w:spacing w:after="80"/>
        <w:ind w:left="360" w:hanging="360"/>
      </w:pPr>
      <w:r>
        <w:rPr>
          <w:color w:val="000000"/>
          <w:sz w:val="22"/>
          <w:szCs w:val="22"/>
        </w:rPr>
        <w:t xml:space="preserve">5. Asad, M., Shabbir, M., &amp; Ahmad, I. (2019). Do entrepreneurial orientation and size of enterprise influence the performance of micro and small enterprises? A study on mediating role of innovation. </w:t>
      </w:r>
      <w:r>
        <w:rPr>
          <w:i/>
          <w:iCs/>
          <w:color w:val="000000"/>
          <w:sz w:val="22"/>
          <w:szCs w:val="22"/>
        </w:rPr>
        <w:t>Management Science Letters, 8</w:t>
      </w:r>
      <w:r>
        <w:rPr>
          <w:color w:val="000000"/>
          <w:sz w:val="22"/>
          <w:szCs w:val="22"/>
        </w:rPr>
        <w:t>(10), 1015–1026.</w:t>
      </w:r>
    </w:p>
    <w:p w14:paraId="1E6C8720" w14:textId="77777777" w:rsidR="00E0682E" w:rsidRDefault="00225CEE">
      <w:pPr>
        <w:spacing w:after="80"/>
        <w:ind w:left="360" w:hanging="360"/>
      </w:pPr>
      <w:r>
        <w:rPr>
          <w:color w:val="000000"/>
          <w:sz w:val="22"/>
          <w:szCs w:val="22"/>
        </w:rPr>
        <w:t xml:space="preserve">6. Bandura, A. (1977). </w:t>
      </w:r>
      <w:r>
        <w:rPr>
          <w:i/>
          <w:iCs/>
          <w:color w:val="000000"/>
          <w:sz w:val="22"/>
          <w:szCs w:val="22"/>
        </w:rPr>
        <w:t>Social learning theory</w:t>
      </w:r>
      <w:r>
        <w:rPr>
          <w:color w:val="000000"/>
          <w:sz w:val="22"/>
          <w:szCs w:val="22"/>
        </w:rPr>
        <w:t>. Prentice-Hall.</w:t>
      </w:r>
    </w:p>
    <w:p w14:paraId="44888B4D" w14:textId="77777777" w:rsidR="00E0682E" w:rsidRDefault="00225CEE">
      <w:pPr>
        <w:spacing w:after="80"/>
        <w:ind w:left="360" w:hanging="360"/>
      </w:pPr>
      <w:r>
        <w:rPr>
          <w:color w:val="000000"/>
          <w:sz w:val="22"/>
          <w:szCs w:val="22"/>
        </w:rPr>
        <w:t xml:space="preserve">7. Bantu, A. N. (2022). Role of small and micro-enterprises' regulatory framework for loan repayment performance of youth revolving fund in Oromia Regional State, Ethiopia. </w:t>
      </w:r>
      <w:r>
        <w:rPr>
          <w:i/>
          <w:iCs/>
          <w:color w:val="000000"/>
          <w:sz w:val="22"/>
          <w:szCs w:val="22"/>
        </w:rPr>
        <w:t>Innovations, 3</w:t>
      </w:r>
      <w:r>
        <w:rPr>
          <w:color w:val="000000"/>
          <w:sz w:val="22"/>
          <w:szCs w:val="22"/>
        </w:rPr>
        <w:t>(4), 761–788.</w:t>
      </w:r>
    </w:p>
    <w:p w14:paraId="4554D70C" w14:textId="77777777" w:rsidR="00E0682E" w:rsidRDefault="00225CEE">
      <w:pPr>
        <w:spacing w:after="80"/>
        <w:ind w:left="360" w:hanging="360"/>
      </w:pPr>
      <w:r>
        <w:rPr>
          <w:color w:val="000000"/>
          <w:sz w:val="22"/>
          <w:szCs w:val="22"/>
        </w:rPr>
        <w:t xml:space="preserve">8. Beck, T., &amp; Demirgüç-Kunt, A. (2006). Small and medium-size enterprises: Access to finance as a growth constraint. </w:t>
      </w:r>
      <w:r>
        <w:rPr>
          <w:i/>
          <w:iCs/>
          <w:color w:val="000000"/>
          <w:sz w:val="22"/>
          <w:szCs w:val="22"/>
        </w:rPr>
        <w:t>Journal of Banking &amp; Finance, 30</w:t>
      </w:r>
      <w:r>
        <w:rPr>
          <w:color w:val="000000"/>
          <w:sz w:val="22"/>
          <w:szCs w:val="22"/>
        </w:rPr>
        <w:t>(11), 2931–2943. https://doi.org/10.1016/j.jbankfin.2006.05.009</w:t>
      </w:r>
    </w:p>
    <w:p w14:paraId="62CACB89" w14:textId="77777777" w:rsidR="00E0682E" w:rsidRDefault="00225CEE">
      <w:pPr>
        <w:spacing w:after="80"/>
        <w:ind w:left="360" w:hanging="360"/>
      </w:pPr>
      <w:r>
        <w:rPr>
          <w:color w:val="000000"/>
          <w:sz w:val="22"/>
          <w:szCs w:val="22"/>
        </w:rPr>
        <w:lastRenderedPageBreak/>
        <w:t xml:space="preserve">9. Bii, P., Kiprotich, C., &amp; Kipkorir, R. (2024). Effects of financial literacy on sustainable entrepreneurship among the youths in Bomet County, Kenya. </w:t>
      </w:r>
      <w:r>
        <w:rPr>
          <w:i/>
          <w:iCs/>
          <w:color w:val="000000"/>
          <w:sz w:val="22"/>
          <w:szCs w:val="22"/>
        </w:rPr>
        <w:t>Asian Journal of Economics, Business and Accounting, 24</w:t>
      </w:r>
      <w:r>
        <w:rPr>
          <w:color w:val="000000"/>
          <w:sz w:val="22"/>
          <w:szCs w:val="22"/>
        </w:rPr>
        <w:t>(3), 34–46.</w:t>
      </w:r>
    </w:p>
    <w:p w14:paraId="18EF415B" w14:textId="77777777" w:rsidR="00E0682E" w:rsidRDefault="00225CEE">
      <w:pPr>
        <w:spacing w:after="80"/>
        <w:ind w:left="360" w:hanging="360"/>
      </w:pPr>
      <w:r>
        <w:rPr>
          <w:color w:val="000000"/>
          <w:sz w:val="22"/>
          <w:szCs w:val="22"/>
        </w:rPr>
        <w:t xml:space="preserve">10. Bushe, B. (2019). The causes and impact of business failure among small to micro and medium enterprises in South Africa. </w:t>
      </w:r>
      <w:r>
        <w:rPr>
          <w:i/>
          <w:iCs/>
          <w:color w:val="000000"/>
          <w:sz w:val="22"/>
          <w:szCs w:val="22"/>
        </w:rPr>
        <w:t>Africa's Public Service Delivery and Performance Review, 7</w:t>
      </w:r>
      <w:r>
        <w:rPr>
          <w:color w:val="000000"/>
          <w:sz w:val="22"/>
          <w:szCs w:val="22"/>
        </w:rPr>
        <w:t>(1), 1–26. https://doi.org/10.4102/apsdpr.v7i1.210</w:t>
      </w:r>
    </w:p>
    <w:p w14:paraId="2DAAF9D4" w14:textId="77777777" w:rsidR="00E0682E" w:rsidRDefault="00225CEE">
      <w:pPr>
        <w:spacing w:after="80"/>
        <w:ind w:left="360" w:hanging="360"/>
      </w:pPr>
      <w:r>
        <w:rPr>
          <w:color w:val="000000"/>
          <w:sz w:val="22"/>
          <w:szCs w:val="22"/>
        </w:rPr>
        <w:t xml:space="preserve">11. Central Bank of Kenya. (2023). </w:t>
      </w:r>
      <w:r>
        <w:rPr>
          <w:i/>
          <w:iCs/>
          <w:color w:val="000000"/>
          <w:sz w:val="22"/>
          <w:szCs w:val="22"/>
        </w:rPr>
        <w:t>2022 survey report on access to bank credit</w:t>
      </w:r>
      <w:r>
        <w:rPr>
          <w:color w:val="000000"/>
          <w:sz w:val="22"/>
          <w:szCs w:val="22"/>
        </w:rPr>
        <w:t>. Central Bank of Kenya. https://www.centralbank.go.ke</w:t>
      </w:r>
    </w:p>
    <w:p w14:paraId="133F1595" w14:textId="5332DB3F" w:rsidR="00E0682E" w:rsidRDefault="00225CEE">
      <w:pPr>
        <w:spacing w:after="80"/>
        <w:ind w:left="360" w:hanging="360"/>
      </w:pPr>
      <w:r>
        <w:rPr>
          <w:color w:val="000000"/>
          <w:sz w:val="22"/>
          <w:szCs w:val="22"/>
        </w:rPr>
        <w:t xml:space="preserve">12. Community Sustainable Development Empowerment Program [COSDEP]. (2022). </w:t>
      </w:r>
      <w:r>
        <w:rPr>
          <w:i/>
          <w:iCs/>
          <w:color w:val="000000"/>
          <w:sz w:val="22"/>
          <w:szCs w:val="22"/>
        </w:rPr>
        <w:t>Training farmers to secure their future</w:t>
      </w:r>
      <w:r>
        <w:rPr>
          <w:color w:val="000000"/>
          <w:sz w:val="22"/>
          <w:szCs w:val="22"/>
        </w:rPr>
        <w:t>. https://www.globalgiving.org/pfil/17290/projdoc.pdf</w:t>
      </w:r>
    </w:p>
    <w:p w14:paraId="762BA741" w14:textId="77777777" w:rsidR="00E0682E" w:rsidRDefault="00225CEE">
      <w:pPr>
        <w:spacing w:after="80"/>
        <w:ind w:left="360" w:hanging="360"/>
      </w:pPr>
      <w:r>
        <w:rPr>
          <w:color w:val="000000"/>
          <w:sz w:val="22"/>
          <w:szCs w:val="22"/>
        </w:rPr>
        <w:t xml:space="preserve">13. Connelly, B. L., Certo, S. T., Ireland, R. D., &amp; Reutzel, C. R. (2011). Signaling theory: A review and assessment. </w:t>
      </w:r>
      <w:r>
        <w:rPr>
          <w:i/>
          <w:iCs/>
          <w:color w:val="000000"/>
          <w:sz w:val="22"/>
          <w:szCs w:val="22"/>
        </w:rPr>
        <w:t>Journal of Management, 37</w:t>
      </w:r>
      <w:r>
        <w:rPr>
          <w:color w:val="000000"/>
          <w:sz w:val="22"/>
          <w:szCs w:val="22"/>
        </w:rPr>
        <w:t>(1), 39–67. https://doi.org/10.1177/0149206310388419</w:t>
      </w:r>
    </w:p>
    <w:p w14:paraId="03BC5650" w14:textId="77777777" w:rsidR="00E0682E" w:rsidRDefault="00225CEE">
      <w:pPr>
        <w:spacing w:after="80"/>
        <w:ind w:left="360" w:hanging="360"/>
      </w:pPr>
      <w:r>
        <w:rPr>
          <w:color w:val="000000"/>
          <w:sz w:val="22"/>
          <w:szCs w:val="22"/>
        </w:rPr>
        <w:t xml:space="preserve">14. Creswell, J. W., &amp; Creswell, J. D. (2018). </w:t>
      </w:r>
      <w:r>
        <w:rPr>
          <w:i/>
          <w:iCs/>
          <w:color w:val="000000"/>
          <w:sz w:val="22"/>
          <w:szCs w:val="22"/>
        </w:rPr>
        <w:t>Research design: Qualitative, quantitative, and mixed methods approaches</w:t>
      </w:r>
      <w:r>
        <w:rPr>
          <w:color w:val="000000"/>
          <w:sz w:val="22"/>
          <w:szCs w:val="22"/>
        </w:rPr>
        <w:t xml:space="preserve"> (5th ed.). SAGE Publications.</w:t>
      </w:r>
    </w:p>
    <w:p w14:paraId="6B47EB8A" w14:textId="77777777" w:rsidR="00E0682E" w:rsidRDefault="00225CEE">
      <w:pPr>
        <w:spacing w:after="80"/>
        <w:ind w:left="360" w:hanging="360"/>
      </w:pPr>
      <w:r>
        <w:rPr>
          <w:color w:val="000000"/>
          <w:sz w:val="22"/>
          <w:szCs w:val="22"/>
        </w:rPr>
        <w:t xml:space="preserve">15. Fanida, E. H., &amp; Niswah, F. (2015). Sustainable practice of revolving fund program: An effort to empower small and medium enterprises (SMEs) in Pekalongan Kuala Lumpur and Kelantan. </w:t>
      </w:r>
      <w:r>
        <w:rPr>
          <w:i/>
          <w:iCs/>
          <w:color w:val="000000"/>
          <w:sz w:val="22"/>
          <w:szCs w:val="22"/>
        </w:rPr>
        <w:t>Journal of Governance and Development, 11</w:t>
      </w:r>
      <w:r>
        <w:rPr>
          <w:color w:val="000000"/>
          <w:sz w:val="22"/>
          <w:szCs w:val="22"/>
        </w:rPr>
        <w:t>, 67–81. https://e-journal.uum.edu.my/index.php/jgd/article/view/13513</w:t>
      </w:r>
    </w:p>
    <w:p w14:paraId="4123FAFA" w14:textId="77777777" w:rsidR="00E0682E" w:rsidRDefault="00225CEE">
      <w:pPr>
        <w:spacing w:after="80"/>
        <w:ind w:left="360" w:hanging="360"/>
      </w:pPr>
      <w:r>
        <w:rPr>
          <w:color w:val="000000"/>
          <w:sz w:val="22"/>
          <w:szCs w:val="22"/>
        </w:rPr>
        <w:t xml:space="preserve">16. Government of Kenya. (2020). </w:t>
      </w:r>
      <w:r>
        <w:rPr>
          <w:i/>
          <w:iCs/>
          <w:color w:val="000000"/>
          <w:sz w:val="22"/>
          <w:szCs w:val="22"/>
        </w:rPr>
        <w:t>Sessional paper No. 2 of 2020</w:t>
      </w:r>
      <w:r>
        <w:rPr>
          <w:color w:val="000000"/>
          <w:sz w:val="22"/>
          <w:szCs w:val="22"/>
        </w:rPr>
        <w:t>. Government Printer.</w:t>
      </w:r>
    </w:p>
    <w:p w14:paraId="1C602DC0" w14:textId="77777777" w:rsidR="00E0682E" w:rsidRDefault="00225CEE">
      <w:pPr>
        <w:spacing w:after="80"/>
        <w:ind w:left="360" w:hanging="360"/>
      </w:pPr>
      <w:r>
        <w:rPr>
          <w:color w:val="000000"/>
          <w:sz w:val="22"/>
          <w:szCs w:val="22"/>
        </w:rPr>
        <w:t xml:space="preserve">17. International Monetary Fund. (2024). </w:t>
      </w:r>
      <w:r>
        <w:rPr>
          <w:i/>
          <w:iCs/>
          <w:color w:val="000000"/>
          <w:sz w:val="22"/>
          <w:szCs w:val="22"/>
        </w:rPr>
        <w:t>Indonesia: Financial system stability assessment</w:t>
      </w:r>
      <w:r>
        <w:rPr>
          <w:color w:val="000000"/>
          <w:sz w:val="22"/>
          <w:szCs w:val="22"/>
        </w:rPr>
        <w:t>. International Monetary Fund. https://www.imf.org</w:t>
      </w:r>
    </w:p>
    <w:p w14:paraId="30C7EBED" w14:textId="77777777" w:rsidR="00E0682E" w:rsidRDefault="00225CEE">
      <w:pPr>
        <w:spacing w:after="80"/>
        <w:ind w:left="360" w:hanging="360"/>
      </w:pPr>
      <w:r>
        <w:rPr>
          <w:color w:val="000000"/>
          <w:sz w:val="22"/>
          <w:szCs w:val="22"/>
        </w:rPr>
        <w:t xml:space="preserve">18. Jirwanto, H. (2024). The effect of financial digitalization on savings and cost reduction in MSME entrepreneurs in Medan City, Indonesia. </w:t>
      </w:r>
      <w:r>
        <w:rPr>
          <w:i/>
          <w:iCs/>
          <w:color w:val="000000"/>
          <w:sz w:val="22"/>
          <w:szCs w:val="22"/>
        </w:rPr>
        <w:t>Jurnal Ekonomi dan Bisnis Digital, 3</w:t>
      </w:r>
      <w:r>
        <w:rPr>
          <w:color w:val="000000"/>
          <w:sz w:val="22"/>
          <w:szCs w:val="22"/>
        </w:rPr>
        <w:t>(1), 101–116. https://doi.org/10.55927/ministal.v3i1.7602</w:t>
      </w:r>
    </w:p>
    <w:p w14:paraId="00B2C063" w14:textId="77777777" w:rsidR="00E0682E" w:rsidRDefault="00225CEE">
      <w:pPr>
        <w:spacing w:after="80"/>
        <w:ind w:left="360" w:hanging="360"/>
      </w:pPr>
      <w:r>
        <w:rPr>
          <w:color w:val="000000"/>
          <w:sz w:val="22"/>
          <w:szCs w:val="22"/>
        </w:rPr>
        <w:t xml:space="preserve">19. Kahneman, D., &amp; Tversky, A. (1979). Prospect theory: An analysis of decision under risk. </w:t>
      </w:r>
      <w:r>
        <w:rPr>
          <w:i/>
          <w:iCs/>
          <w:color w:val="000000"/>
          <w:sz w:val="22"/>
          <w:szCs w:val="22"/>
        </w:rPr>
        <w:t>Econometrica, 47</w:t>
      </w:r>
      <w:r>
        <w:rPr>
          <w:color w:val="000000"/>
          <w:sz w:val="22"/>
          <w:szCs w:val="22"/>
        </w:rPr>
        <w:t>(2), 263–291. https://doi.org/10.2307/1914185</w:t>
      </w:r>
    </w:p>
    <w:p w14:paraId="648B4EE9" w14:textId="77777777" w:rsidR="00E0682E" w:rsidRDefault="00225CEE">
      <w:pPr>
        <w:spacing w:after="80"/>
        <w:ind w:left="360" w:hanging="360"/>
      </w:pPr>
      <w:r>
        <w:rPr>
          <w:color w:val="000000"/>
          <w:sz w:val="22"/>
          <w:szCs w:val="22"/>
        </w:rPr>
        <w:t xml:space="preserve">20. Kenya National Bureau of Statistics. (2020). </w:t>
      </w:r>
      <w:r>
        <w:rPr>
          <w:i/>
          <w:iCs/>
          <w:color w:val="000000"/>
          <w:sz w:val="22"/>
          <w:szCs w:val="22"/>
        </w:rPr>
        <w:t>Economic survey 2020</w:t>
      </w:r>
      <w:r>
        <w:rPr>
          <w:color w:val="000000"/>
          <w:sz w:val="22"/>
          <w:szCs w:val="22"/>
        </w:rPr>
        <w:t>. Kenya National Bureau of Statistics. https://www.knbs.or.ke</w:t>
      </w:r>
    </w:p>
    <w:p w14:paraId="4F5F1C48" w14:textId="77777777" w:rsidR="00E0682E" w:rsidRDefault="00225CEE">
      <w:pPr>
        <w:spacing w:after="80"/>
        <w:ind w:left="360" w:hanging="360"/>
      </w:pPr>
      <w:r>
        <w:rPr>
          <w:color w:val="000000"/>
          <w:sz w:val="22"/>
          <w:szCs w:val="22"/>
        </w:rPr>
        <w:t xml:space="preserve">21. Ledgerwood, J. (2013). </w:t>
      </w:r>
      <w:r>
        <w:rPr>
          <w:i/>
          <w:iCs/>
          <w:color w:val="000000"/>
          <w:sz w:val="22"/>
          <w:szCs w:val="22"/>
        </w:rPr>
        <w:t>The new microfinance handbook: A financial market system perspective</w:t>
      </w:r>
      <w:r>
        <w:rPr>
          <w:color w:val="000000"/>
          <w:sz w:val="22"/>
          <w:szCs w:val="22"/>
        </w:rPr>
        <w:t>. World Bank. https://doi.org/10.1596/978-0-8213-8927-0</w:t>
      </w:r>
    </w:p>
    <w:p w14:paraId="0ECCE115" w14:textId="77777777" w:rsidR="00E0682E" w:rsidRDefault="00225CEE">
      <w:pPr>
        <w:spacing w:after="80"/>
        <w:ind w:left="360" w:hanging="360"/>
      </w:pPr>
      <w:r>
        <w:rPr>
          <w:color w:val="000000"/>
          <w:sz w:val="22"/>
          <w:szCs w:val="22"/>
        </w:rPr>
        <w:t xml:space="preserve">22. Lomongin, J. E., Makokha, N., &amp; Sakataka, W. (2023). Table banking contribution and savings on socio-economic empowerment of households in Turkana County, Kenya. </w:t>
      </w:r>
      <w:r>
        <w:rPr>
          <w:i/>
          <w:iCs/>
          <w:color w:val="000000"/>
          <w:sz w:val="22"/>
          <w:szCs w:val="22"/>
        </w:rPr>
        <w:t>International Journal of Recent Research in Social Sciences and Humanities, 10</w:t>
      </w:r>
      <w:r>
        <w:rPr>
          <w:color w:val="000000"/>
          <w:sz w:val="22"/>
          <w:szCs w:val="22"/>
        </w:rPr>
        <w:t>(3), 248–259.</w:t>
      </w:r>
    </w:p>
    <w:p w14:paraId="64E39DD2" w14:textId="77777777" w:rsidR="00E0682E" w:rsidRDefault="00225CEE">
      <w:pPr>
        <w:spacing w:after="80"/>
        <w:ind w:left="360" w:hanging="360"/>
      </w:pPr>
      <w:r>
        <w:rPr>
          <w:color w:val="000000"/>
          <w:sz w:val="22"/>
          <w:szCs w:val="22"/>
        </w:rPr>
        <w:t xml:space="preserve">23. Lusardi, A., &amp; Mitchell, O. S. (2014). The economic importance of financial literacy: Theory and evidence. </w:t>
      </w:r>
      <w:r>
        <w:rPr>
          <w:i/>
          <w:iCs/>
          <w:color w:val="000000"/>
          <w:sz w:val="22"/>
          <w:szCs w:val="22"/>
        </w:rPr>
        <w:t>Journal of Economic Literature, 52</w:t>
      </w:r>
      <w:r>
        <w:rPr>
          <w:color w:val="000000"/>
          <w:sz w:val="22"/>
          <w:szCs w:val="22"/>
        </w:rPr>
        <w:t>(1), 5–44. https://doi.org/10.1257/jel.52.1.5</w:t>
      </w:r>
    </w:p>
    <w:p w14:paraId="0B2A6E2A" w14:textId="77777777" w:rsidR="00E0682E" w:rsidRDefault="00225CEE">
      <w:pPr>
        <w:spacing w:after="80"/>
        <w:ind w:left="360" w:hanging="360"/>
      </w:pPr>
      <w:r>
        <w:rPr>
          <w:color w:val="000000"/>
          <w:sz w:val="22"/>
          <w:szCs w:val="22"/>
        </w:rPr>
        <w:t xml:space="preserve">24. Majenga, A. K., Namabira, J., &amp; Kimaro, E. (2024). Enterprise growth in rural Tanzania: Comparative analysis between Kilolo and Iringa districts voluntary financial saving groups. </w:t>
      </w:r>
      <w:r>
        <w:rPr>
          <w:i/>
          <w:iCs/>
          <w:color w:val="000000"/>
          <w:sz w:val="22"/>
          <w:szCs w:val="22"/>
        </w:rPr>
        <w:t>International Journal of Management, Accounting and Economics, 11</w:t>
      </w:r>
      <w:r>
        <w:rPr>
          <w:color w:val="000000"/>
          <w:sz w:val="22"/>
          <w:szCs w:val="22"/>
        </w:rPr>
        <w:t>(9).</w:t>
      </w:r>
    </w:p>
    <w:p w14:paraId="75D0F1CF" w14:textId="77777777" w:rsidR="00E0682E" w:rsidRDefault="00225CEE">
      <w:pPr>
        <w:spacing w:after="80"/>
        <w:ind w:left="360" w:hanging="360"/>
      </w:pPr>
      <w:r>
        <w:rPr>
          <w:color w:val="000000"/>
          <w:sz w:val="22"/>
          <w:szCs w:val="22"/>
        </w:rPr>
        <w:t xml:space="preserve">25. Mugenda, O. M., &amp; Mugenda, A. G. (2003). </w:t>
      </w:r>
      <w:r>
        <w:rPr>
          <w:i/>
          <w:iCs/>
          <w:color w:val="000000"/>
          <w:sz w:val="22"/>
          <w:szCs w:val="22"/>
        </w:rPr>
        <w:t>Research methods: Quantitative and qualitative approaches</w:t>
      </w:r>
      <w:r>
        <w:rPr>
          <w:color w:val="000000"/>
          <w:sz w:val="22"/>
          <w:szCs w:val="22"/>
        </w:rPr>
        <w:t>. ACTS Press.</w:t>
      </w:r>
    </w:p>
    <w:p w14:paraId="6BD98703" w14:textId="77777777" w:rsidR="00E0682E" w:rsidRDefault="00225CEE">
      <w:pPr>
        <w:spacing w:after="80"/>
        <w:ind w:left="360" w:hanging="360"/>
      </w:pPr>
      <w:r>
        <w:rPr>
          <w:color w:val="000000"/>
          <w:sz w:val="22"/>
          <w:szCs w:val="22"/>
        </w:rPr>
        <w:t xml:space="preserve">26. Munene, C. E. (2021). Effects of non-governmental organizations grant activities on sustainability of small businesses enterprises in Kenya: The case of Tumaini Fund for Economic Development International. </w:t>
      </w:r>
      <w:r>
        <w:rPr>
          <w:i/>
          <w:iCs/>
          <w:color w:val="000000"/>
          <w:sz w:val="22"/>
          <w:szCs w:val="22"/>
        </w:rPr>
        <w:t>International Journal of Arts and Commerce, 5</w:t>
      </w:r>
      <w:r>
        <w:rPr>
          <w:color w:val="000000"/>
          <w:sz w:val="22"/>
          <w:szCs w:val="22"/>
        </w:rPr>
        <w:t>(6).</w:t>
      </w:r>
    </w:p>
    <w:p w14:paraId="131D5ED3" w14:textId="77777777" w:rsidR="00E0682E" w:rsidRDefault="00225CEE">
      <w:pPr>
        <w:spacing w:after="80"/>
        <w:ind w:left="360" w:hanging="360"/>
      </w:pPr>
      <w:r>
        <w:rPr>
          <w:color w:val="000000"/>
          <w:sz w:val="22"/>
          <w:szCs w:val="22"/>
        </w:rPr>
        <w:lastRenderedPageBreak/>
        <w:t xml:space="preserve">27. Ndhlovu, E., Zimusi, L., &amp; Moyo, G. (2024). Impact of internal savings and lending schemes on the growth of female-owned micro, small to medium enterprises in rural Zimbabwe. </w:t>
      </w:r>
      <w:r>
        <w:rPr>
          <w:i/>
          <w:iCs/>
          <w:color w:val="000000"/>
          <w:sz w:val="22"/>
          <w:szCs w:val="22"/>
        </w:rPr>
        <w:t>International Journal of Environment, Sustainability and Social Science, 10</w:t>
      </w:r>
      <w:r>
        <w:rPr>
          <w:color w:val="000000"/>
          <w:sz w:val="22"/>
          <w:szCs w:val="22"/>
        </w:rPr>
        <w:t>(2), 208–221.</w:t>
      </w:r>
    </w:p>
    <w:p w14:paraId="68CB8B4F" w14:textId="77777777" w:rsidR="00E0682E" w:rsidRDefault="00225CEE">
      <w:pPr>
        <w:spacing w:after="80"/>
        <w:ind w:left="360" w:hanging="360"/>
      </w:pPr>
      <w:r>
        <w:rPr>
          <w:color w:val="000000"/>
          <w:sz w:val="22"/>
          <w:szCs w:val="22"/>
        </w:rPr>
        <w:t xml:space="preserve">28. Njuguna, W. C. (2020). Factors influencing performance of revolving loan fund programs: A case of women groups in Kikuyu District, Kiambu County, Kenya. </w:t>
      </w:r>
      <w:r>
        <w:rPr>
          <w:i/>
          <w:iCs/>
          <w:color w:val="000000"/>
          <w:sz w:val="22"/>
          <w:szCs w:val="22"/>
        </w:rPr>
        <w:t>Journal of Advances in Developing Human Resources, 5</w:t>
      </w:r>
      <w:r>
        <w:rPr>
          <w:color w:val="000000"/>
          <w:sz w:val="22"/>
          <w:szCs w:val="22"/>
        </w:rPr>
        <w:t>(2), 215–221.</w:t>
      </w:r>
    </w:p>
    <w:p w14:paraId="63AC3A8D" w14:textId="77777777" w:rsidR="00E0682E" w:rsidRDefault="00225CEE">
      <w:pPr>
        <w:spacing w:after="80"/>
        <w:ind w:left="360" w:hanging="360"/>
      </w:pPr>
      <w:r>
        <w:rPr>
          <w:color w:val="000000"/>
          <w:sz w:val="22"/>
          <w:szCs w:val="22"/>
        </w:rPr>
        <w:t xml:space="preserve">29. Nkombe, H. B., &amp; Phir, M. (2022). Optimizing access to external grant finance by small and medium-sized enterprise start-ups: Towards the development of a conceptual framework. </w:t>
      </w:r>
      <w:r>
        <w:rPr>
          <w:i/>
          <w:iCs/>
          <w:color w:val="000000"/>
          <w:sz w:val="22"/>
          <w:szCs w:val="22"/>
        </w:rPr>
        <w:t>Journal of Governance and Regulation, 11</w:t>
      </w:r>
      <w:r>
        <w:rPr>
          <w:color w:val="000000"/>
          <w:sz w:val="22"/>
          <w:szCs w:val="22"/>
        </w:rPr>
        <w:t>(1). https://virtusinterpress.org/IMG/pdf/jgrv11i1art12.pdf</w:t>
      </w:r>
    </w:p>
    <w:p w14:paraId="614F1FCB" w14:textId="77777777" w:rsidR="00E0682E" w:rsidRDefault="00225CEE">
      <w:pPr>
        <w:spacing w:after="80"/>
        <w:ind w:left="360" w:hanging="360"/>
      </w:pPr>
      <w:r>
        <w:rPr>
          <w:color w:val="000000"/>
          <w:sz w:val="22"/>
          <w:szCs w:val="22"/>
        </w:rPr>
        <w:t xml:space="preserve">30. Nunnally, J. C., &amp; Bernstein, I. H. (1994). </w:t>
      </w:r>
      <w:r>
        <w:rPr>
          <w:i/>
          <w:iCs/>
          <w:color w:val="000000"/>
          <w:sz w:val="22"/>
          <w:szCs w:val="22"/>
        </w:rPr>
        <w:t>Psychometric theory</w:t>
      </w:r>
      <w:r>
        <w:rPr>
          <w:color w:val="000000"/>
          <w:sz w:val="22"/>
          <w:szCs w:val="22"/>
        </w:rPr>
        <w:t xml:space="preserve"> (3rd ed.). McGraw-Hill.</w:t>
      </w:r>
    </w:p>
    <w:p w14:paraId="33839027" w14:textId="77777777" w:rsidR="00E0682E" w:rsidRDefault="00225CEE">
      <w:pPr>
        <w:spacing w:after="80"/>
        <w:ind w:left="360" w:hanging="360"/>
      </w:pPr>
      <w:r>
        <w:rPr>
          <w:color w:val="000000"/>
          <w:sz w:val="22"/>
          <w:szCs w:val="22"/>
        </w:rPr>
        <w:t xml:space="preserve">31. Nuyen, V., Hoang, M., &amp; Phuong, T. (2022). The NGO financing role in developing business environment and economic growth: Empirical evidences from technical SMEs in Vietnam. </w:t>
      </w:r>
      <w:r>
        <w:rPr>
          <w:i/>
          <w:iCs/>
          <w:color w:val="000000"/>
          <w:sz w:val="22"/>
          <w:szCs w:val="22"/>
        </w:rPr>
        <w:t>Journal of Development and Migration, 8</w:t>
      </w:r>
      <w:r>
        <w:rPr>
          <w:color w:val="000000"/>
          <w:sz w:val="22"/>
          <w:szCs w:val="22"/>
        </w:rPr>
        <w:t>(1), 1–26.</w:t>
      </w:r>
    </w:p>
    <w:p w14:paraId="593E071A" w14:textId="77777777" w:rsidR="00E0682E" w:rsidRDefault="00225CEE">
      <w:pPr>
        <w:spacing w:after="80"/>
        <w:ind w:left="360" w:hanging="360"/>
      </w:pPr>
      <w:r>
        <w:rPr>
          <w:color w:val="000000"/>
          <w:sz w:val="22"/>
          <w:szCs w:val="22"/>
        </w:rPr>
        <w:t xml:space="preserve">32. Nyagope, T. S. (2024). The role of financial literacy in enhancing SME access to financial services, growth and sustainable development in Zimbabwe. </w:t>
      </w:r>
      <w:r>
        <w:rPr>
          <w:i/>
          <w:iCs/>
          <w:color w:val="000000"/>
          <w:sz w:val="22"/>
          <w:szCs w:val="22"/>
        </w:rPr>
        <w:t>International Journal of Environment, Sustainability and Social Science, 5</w:t>
      </w:r>
      <w:r>
        <w:rPr>
          <w:color w:val="000000"/>
          <w:sz w:val="22"/>
          <w:szCs w:val="22"/>
        </w:rPr>
        <w:t>(4), 391.</w:t>
      </w:r>
    </w:p>
    <w:p w14:paraId="3BA34F9B" w14:textId="77777777" w:rsidR="00E0682E" w:rsidRDefault="00225CEE">
      <w:pPr>
        <w:spacing w:after="80"/>
        <w:ind w:left="360" w:hanging="360"/>
      </w:pPr>
      <w:r>
        <w:rPr>
          <w:color w:val="000000"/>
          <w:sz w:val="22"/>
          <w:szCs w:val="22"/>
        </w:rPr>
        <w:t xml:space="preserve">33. Nyeko, K., Kwang', N., &amp; Lim, Y. (2024). Financial literacy, access to finance and financial performance of youth-led small and medium-sized enterprises (SMEs): Evidence from Gulu City, Uganda. </w:t>
      </w:r>
      <w:r>
        <w:rPr>
          <w:i/>
          <w:iCs/>
          <w:color w:val="000000"/>
          <w:sz w:val="22"/>
          <w:szCs w:val="22"/>
        </w:rPr>
        <w:t>Academia Journal, 13</w:t>
      </w:r>
      <w:r>
        <w:rPr>
          <w:color w:val="000000"/>
          <w:sz w:val="22"/>
          <w:szCs w:val="22"/>
        </w:rPr>
        <w:t>(2), 108–110.</w:t>
      </w:r>
    </w:p>
    <w:p w14:paraId="0331BB03" w14:textId="77777777" w:rsidR="00E0682E" w:rsidRDefault="00225CEE">
      <w:pPr>
        <w:spacing w:after="80"/>
        <w:ind w:left="360" w:hanging="360"/>
      </w:pPr>
      <w:r>
        <w:rPr>
          <w:color w:val="000000"/>
          <w:sz w:val="22"/>
          <w:szCs w:val="22"/>
        </w:rPr>
        <w:t xml:space="preserve">34. Ochanda, M. M. (2020). Effect of financial deepening on growth of small and medium-sized enterprises in Kenya: A case of Nairobi County. </w:t>
      </w:r>
      <w:r>
        <w:rPr>
          <w:i/>
          <w:iCs/>
          <w:color w:val="000000"/>
          <w:sz w:val="22"/>
          <w:szCs w:val="22"/>
        </w:rPr>
        <w:t>International Journal of Social Sciences and Entrepreneurship, 1</w:t>
      </w:r>
      <w:r>
        <w:rPr>
          <w:color w:val="000000"/>
          <w:sz w:val="22"/>
          <w:szCs w:val="22"/>
        </w:rPr>
        <w:t>(11), 191–208.</w:t>
      </w:r>
    </w:p>
    <w:p w14:paraId="25E0236E" w14:textId="77777777" w:rsidR="00E0682E" w:rsidRDefault="00225CEE">
      <w:pPr>
        <w:spacing w:after="80"/>
        <w:ind w:left="360" w:hanging="360"/>
      </w:pPr>
      <w:r>
        <w:rPr>
          <w:color w:val="000000"/>
          <w:sz w:val="22"/>
          <w:szCs w:val="22"/>
        </w:rPr>
        <w:t xml:space="preserve">35. Odhiambo, R. O., &amp; Ndichu, P. (2025). Effect of financing technology on financing gap of small and medium enterprises in Kisumu, Kenya. </w:t>
      </w:r>
      <w:r>
        <w:rPr>
          <w:i/>
          <w:iCs/>
          <w:color w:val="000000"/>
          <w:sz w:val="22"/>
          <w:szCs w:val="22"/>
        </w:rPr>
        <w:t>The Strategic Journal of Business &amp; Change Management, 12</w:t>
      </w:r>
      <w:r>
        <w:rPr>
          <w:color w:val="000000"/>
          <w:sz w:val="22"/>
          <w:szCs w:val="22"/>
        </w:rPr>
        <w:t>(2), 1166–1176.</w:t>
      </w:r>
    </w:p>
    <w:p w14:paraId="22BBF56D" w14:textId="77777777" w:rsidR="00E0682E" w:rsidRDefault="00225CEE">
      <w:pPr>
        <w:spacing w:after="80"/>
        <w:ind w:left="360" w:hanging="360"/>
      </w:pPr>
      <w:r>
        <w:rPr>
          <w:color w:val="000000"/>
          <w:sz w:val="22"/>
          <w:szCs w:val="22"/>
        </w:rPr>
        <w:t xml:space="preserve">36. Osoro, K., &amp; Muturi, W. (2023). The role of micro financial institutions on the growth of SMEs in Kenya: A case study of micro financial institutions in Kisii Town. </w:t>
      </w:r>
      <w:r>
        <w:rPr>
          <w:i/>
          <w:iCs/>
          <w:color w:val="000000"/>
          <w:sz w:val="22"/>
          <w:szCs w:val="22"/>
        </w:rPr>
        <w:t>IOSR Journal of Humanities and Social Science, 16</w:t>
      </w:r>
      <w:r>
        <w:rPr>
          <w:color w:val="000000"/>
          <w:sz w:val="22"/>
          <w:szCs w:val="22"/>
        </w:rPr>
        <w:t>(1), 83–93.</w:t>
      </w:r>
    </w:p>
    <w:p w14:paraId="1FC32580" w14:textId="77777777" w:rsidR="00E0682E" w:rsidRDefault="00225CEE">
      <w:pPr>
        <w:spacing w:after="80"/>
        <w:ind w:left="360" w:hanging="360"/>
      </w:pPr>
      <w:r>
        <w:rPr>
          <w:color w:val="000000"/>
          <w:sz w:val="22"/>
          <w:szCs w:val="22"/>
        </w:rPr>
        <w:t xml:space="preserve">37. Owino, G. O., Kariuki, P., &amp; Wamitu, S. N. (2024). Financial literacy capability and the competitive advantage of deposit-taking savings and credit co-operative societies in Kenya. </w:t>
      </w:r>
      <w:r>
        <w:rPr>
          <w:i/>
          <w:iCs/>
          <w:color w:val="000000"/>
          <w:sz w:val="22"/>
          <w:szCs w:val="22"/>
        </w:rPr>
        <w:t>African Journal of Emerging Issues, 6</w:t>
      </w:r>
      <w:r>
        <w:rPr>
          <w:color w:val="000000"/>
          <w:sz w:val="22"/>
          <w:szCs w:val="22"/>
        </w:rPr>
        <w:t>(13), 55–71. https://ajoeijournals.org/sys/index.php/ajoei/article/view/658</w:t>
      </w:r>
    </w:p>
    <w:p w14:paraId="1C825D3E" w14:textId="77777777" w:rsidR="00E0682E" w:rsidRDefault="00225CEE">
      <w:pPr>
        <w:spacing w:after="80"/>
        <w:ind w:left="360" w:hanging="360"/>
      </w:pPr>
      <w:r>
        <w:rPr>
          <w:color w:val="000000"/>
          <w:sz w:val="22"/>
          <w:szCs w:val="22"/>
        </w:rPr>
        <w:t xml:space="preserve">38. Perkasa, R. D., Safitri, D., Lubis, I., &amp; Aimansyah, Z. (2024). The role of savings and loan cooperatives in the development of micro, small, and medium enterprises (MSMEs) in Indonesia: A case study on Sibotolungun Savings and Loans Cooperative (KSP) in West Medan District. </w:t>
      </w:r>
      <w:r>
        <w:rPr>
          <w:i/>
          <w:iCs/>
          <w:color w:val="000000"/>
          <w:sz w:val="22"/>
          <w:szCs w:val="22"/>
        </w:rPr>
        <w:t>International Journal of Education, Social Studies, and Management, 4</w:t>
      </w:r>
      <w:r>
        <w:rPr>
          <w:color w:val="000000"/>
          <w:sz w:val="22"/>
          <w:szCs w:val="22"/>
        </w:rPr>
        <w:t>(2), 655–670. https://lpppipublishing.com/index.php/ijessm/article/view/336</w:t>
      </w:r>
    </w:p>
    <w:p w14:paraId="503FE0C6" w14:textId="77777777" w:rsidR="00E0682E" w:rsidRDefault="00225CEE">
      <w:pPr>
        <w:spacing w:after="80"/>
        <w:ind w:left="360" w:hanging="360"/>
      </w:pPr>
      <w:r>
        <w:rPr>
          <w:color w:val="000000"/>
          <w:sz w:val="22"/>
          <w:szCs w:val="22"/>
        </w:rPr>
        <w:t xml:space="preserve">39. Sharun, I., &amp; Bett, S. (2019). Strategic revolving fund practices and performance of micro and small businesses in Wajir County, Kenya. </w:t>
      </w:r>
      <w:r>
        <w:rPr>
          <w:i/>
          <w:iCs/>
          <w:color w:val="000000"/>
          <w:sz w:val="22"/>
          <w:szCs w:val="22"/>
        </w:rPr>
        <w:t>International Journal of Current Aspects, 3</w:t>
      </w:r>
      <w:r>
        <w:rPr>
          <w:color w:val="000000"/>
          <w:sz w:val="22"/>
          <w:szCs w:val="22"/>
        </w:rPr>
        <w:t>(V), 123–146.</w:t>
      </w:r>
    </w:p>
    <w:p w14:paraId="3D9EF02F" w14:textId="77777777" w:rsidR="00E0682E" w:rsidRDefault="00225CEE">
      <w:pPr>
        <w:spacing w:after="80"/>
        <w:ind w:left="360" w:hanging="360"/>
      </w:pPr>
      <w:r>
        <w:rPr>
          <w:color w:val="000000"/>
          <w:sz w:val="22"/>
          <w:szCs w:val="22"/>
        </w:rPr>
        <w:t xml:space="preserve">40. Spence, M. (1974). </w:t>
      </w:r>
      <w:r>
        <w:rPr>
          <w:i/>
          <w:iCs/>
          <w:color w:val="000000"/>
          <w:sz w:val="22"/>
          <w:szCs w:val="22"/>
        </w:rPr>
        <w:t>Market signaling: Informational transfer in hiring and related screening processes</w:t>
      </w:r>
      <w:r>
        <w:rPr>
          <w:color w:val="000000"/>
          <w:sz w:val="22"/>
          <w:szCs w:val="22"/>
        </w:rPr>
        <w:t>. Harvard University Press.</w:t>
      </w:r>
    </w:p>
    <w:p w14:paraId="15711644" w14:textId="77777777" w:rsidR="00E0682E" w:rsidRDefault="00225CEE">
      <w:pPr>
        <w:spacing w:after="80"/>
        <w:ind w:left="360" w:hanging="360"/>
      </w:pPr>
      <w:r>
        <w:rPr>
          <w:color w:val="000000"/>
          <w:sz w:val="22"/>
          <w:szCs w:val="22"/>
        </w:rPr>
        <w:t xml:space="preserve">41. Stiglitz, J. E., &amp; Weiss, A. (1981). Credit rationing in markets with imperfect information. </w:t>
      </w:r>
      <w:r>
        <w:rPr>
          <w:i/>
          <w:iCs/>
          <w:color w:val="000000"/>
          <w:sz w:val="22"/>
          <w:szCs w:val="22"/>
        </w:rPr>
        <w:t>The American Economic Review, 71</w:t>
      </w:r>
      <w:r>
        <w:rPr>
          <w:color w:val="000000"/>
          <w:sz w:val="22"/>
          <w:szCs w:val="22"/>
        </w:rPr>
        <w:t>(3), 393–410. https://www.jstor.org/stable/1802787</w:t>
      </w:r>
    </w:p>
    <w:p w14:paraId="2E6FE45A" w14:textId="039894BB" w:rsidR="00E0682E" w:rsidRDefault="00225CEE">
      <w:pPr>
        <w:spacing w:after="80"/>
        <w:ind w:left="360" w:hanging="360"/>
      </w:pPr>
      <w:r>
        <w:rPr>
          <w:color w:val="000000"/>
          <w:sz w:val="22"/>
          <w:szCs w:val="22"/>
        </w:rPr>
        <w:t xml:space="preserve">42. Sustainable Agriculture Community Development Program [SACDEP]. (2021). </w:t>
      </w:r>
      <w:r>
        <w:rPr>
          <w:i/>
          <w:iCs/>
          <w:color w:val="000000"/>
          <w:sz w:val="22"/>
          <w:szCs w:val="22"/>
        </w:rPr>
        <w:t>Working with resource-limited and marginalized communities to sustainably utilize locally available resources for livelihood improvement through sustainable ecological agriculture</w:t>
      </w:r>
      <w:r>
        <w:rPr>
          <w:color w:val="000000"/>
          <w:sz w:val="22"/>
          <w:szCs w:val="22"/>
        </w:rPr>
        <w:t>. https://sacdepkenya.org/</w:t>
      </w:r>
    </w:p>
    <w:p w14:paraId="15982CA3" w14:textId="77777777" w:rsidR="00E0682E" w:rsidRDefault="00225CEE">
      <w:pPr>
        <w:spacing w:after="80"/>
        <w:ind w:left="360" w:hanging="360"/>
      </w:pPr>
      <w:r>
        <w:rPr>
          <w:color w:val="000000"/>
          <w:sz w:val="22"/>
          <w:szCs w:val="22"/>
        </w:rPr>
        <w:lastRenderedPageBreak/>
        <w:t xml:space="preserve">43. United Nations. (2023). </w:t>
      </w:r>
      <w:r>
        <w:rPr>
          <w:i/>
          <w:iCs/>
          <w:color w:val="000000"/>
          <w:sz w:val="22"/>
          <w:szCs w:val="22"/>
        </w:rPr>
        <w:t>Smart climate finance: The BOMA Project</w:t>
      </w:r>
      <w:r>
        <w:rPr>
          <w:color w:val="000000"/>
          <w:sz w:val="22"/>
          <w:szCs w:val="22"/>
        </w:rPr>
        <w:t>. United Nations Framework Convention on Climate Change. https://unfccc.int/climate-action/momentum-for-change/women-for-results/the-boma-project</w:t>
      </w:r>
    </w:p>
    <w:p w14:paraId="09F517D3" w14:textId="77777777" w:rsidR="00E0682E" w:rsidRDefault="00225CEE">
      <w:pPr>
        <w:spacing w:after="80"/>
        <w:ind w:left="360" w:hanging="360"/>
      </w:pPr>
      <w:r>
        <w:rPr>
          <w:color w:val="000000"/>
          <w:sz w:val="22"/>
          <w:szCs w:val="22"/>
        </w:rPr>
        <w:t xml:space="preserve">44. Woldehanna, T., Amha, W., &amp; Yonis, M. B. (2018). Correlates of business survival: Empirical evidence on youth-owned micro and small enterprises in urban Ethiopia. </w:t>
      </w:r>
      <w:r>
        <w:rPr>
          <w:i/>
          <w:iCs/>
          <w:color w:val="000000"/>
          <w:sz w:val="22"/>
          <w:szCs w:val="22"/>
        </w:rPr>
        <w:t>IZA Journal of Development and Migration, 8</w:t>
      </w:r>
      <w:r>
        <w:rPr>
          <w:color w:val="000000"/>
          <w:sz w:val="22"/>
          <w:szCs w:val="22"/>
        </w:rPr>
        <w:t>(1), 1–26. https://doi.org/10.1186/s40176-018-0122-x</w:t>
      </w:r>
    </w:p>
    <w:p w14:paraId="1A9FAC62" w14:textId="77777777" w:rsidR="00E0682E" w:rsidRDefault="00225CEE">
      <w:pPr>
        <w:spacing w:after="80"/>
        <w:ind w:left="360" w:hanging="360"/>
      </w:pPr>
      <w:r>
        <w:rPr>
          <w:color w:val="000000"/>
          <w:sz w:val="22"/>
          <w:szCs w:val="22"/>
        </w:rPr>
        <w:t xml:space="preserve">45. World Bank. (2020). </w:t>
      </w:r>
      <w:r>
        <w:rPr>
          <w:i/>
          <w:iCs/>
          <w:color w:val="000000"/>
          <w:sz w:val="22"/>
          <w:szCs w:val="22"/>
        </w:rPr>
        <w:t>Small and medium enterprises (SMEs) finance</w:t>
      </w:r>
      <w:r>
        <w:rPr>
          <w:color w:val="000000"/>
          <w:sz w:val="22"/>
          <w:szCs w:val="22"/>
        </w:rPr>
        <w:t>. World Bank. https://www.worldbank.org/en/topic/smefinance</w:t>
      </w:r>
    </w:p>
    <w:p w14:paraId="7AA4DDF3" w14:textId="77777777" w:rsidR="00E0682E" w:rsidRDefault="00225CEE">
      <w:pPr>
        <w:spacing w:after="80"/>
        <w:ind w:left="360" w:hanging="360"/>
      </w:pPr>
      <w:r>
        <w:rPr>
          <w:color w:val="000000"/>
          <w:sz w:val="22"/>
          <w:szCs w:val="22"/>
        </w:rPr>
        <w:t xml:space="preserve">46. Yamane, T. (1967). </w:t>
      </w:r>
      <w:r>
        <w:rPr>
          <w:i/>
          <w:iCs/>
          <w:color w:val="000000"/>
          <w:sz w:val="22"/>
          <w:szCs w:val="22"/>
        </w:rPr>
        <w:t>Statistics: An introductory analysis</w:t>
      </w:r>
      <w:r>
        <w:rPr>
          <w:color w:val="000000"/>
          <w:sz w:val="22"/>
          <w:szCs w:val="22"/>
        </w:rPr>
        <w:t xml:space="preserve"> (2nd ed.). Harper and Row.</w:t>
      </w:r>
    </w:p>
    <w:p w14:paraId="21E3B5E1" w14:textId="77777777" w:rsidR="00E0682E" w:rsidRDefault="00225CEE">
      <w:pPr>
        <w:spacing w:after="80"/>
        <w:ind w:left="360" w:hanging="360"/>
      </w:pPr>
      <w:r>
        <w:rPr>
          <w:color w:val="000000"/>
          <w:sz w:val="22"/>
          <w:szCs w:val="22"/>
        </w:rPr>
        <w:t xml:space="preserve">47. Yashari, S., Nurwahida, M., &amp; Syam, Y. (2022). The influence of SME funding and non-performing financing on Indonesia's economic growth in the period 2015–2022. </w:t>
      </w:r>
      <w:r>
        <w:rPr>
          <w:i/>
          <w:iCs/>
          <w:color w:val="000000"/>
          <w:sz w:val="22"/>
          <w:szCs w:val="22"/>
        </w:rPr>
        <w:t>International Journal of Business, 3</w:t>
      </w:r>
      <w:r>
        <w:rPr>
          <w:color w:val="000000"/>
          <w:sz w:val="22"/>
          <w:szCs w:val="22"/>
        </w:rPr>
        <w:t>(1), 45.</w:t>
      </w:r>
    </w:p>
    <w:sectPr w:rsidR="00E0682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95D8C" w14:textId="77777777" w:rsidR="00CF3A46" w:rsidRDefault="00CF3A46">
      <w:r>
        <w:separator/>
      </w:r>
    </w:p>
  </w:endnote>
  <w:endnote w:type="continuationSeparator" w:id="0">
    <w:p w14:paraId="0EE997EB" w14:textId="77777777" w:rsidR="00CF3A46" w:rsidRDefault="00CF3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504B" w14:textId="77777777" w:rsidR="00BA559D" w:rsidRDefault="00BA5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2F4B2" w14:textId="77777777" w:rsidR="00E0682E" w:rsidRDefault="00225CEE">
    <w:pPr>
      <w:jc w:val="center"/>
    </w:pPr>
    <w:r>
      <w:fldChar w:fldCharType="begin"/>
    </w:r>
    <w:r>
      <w:instrText>PAGE</w:instrText>
    </w:r>
    <w:r>
      <w:fldChar w:fldCharType="separate"/>
    </w:r>
    <w:r w:rsidR="00D14F2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F176" w14:textId="77777777" w:rsidR="00BA559D" w:rsidRDefault="00BA5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B3058" w14:textId="77777777" w:rsidR="00CF3A46" w:rsidRDefault="00CF3A46">
      <w:r>
        <w:separator/>
      </w:r>
    </w:p>
  </w:footnote>
  <w:footnote w:type="continuationSeparator" w:id="0">
    <w:p w14:paraId="603B3065" w14:textId="77777777" w:rsidR="00CF3A46" w:rsidRDefault="00CF3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2CD5" w14:textId="2CCFF1F7" w:rsidR="00BA559D" w:rsidRDefault="00BA559D">
    <w:pPr>
      <w:pStyle w:val="Header"/>
    </w:pPr>
    <w:r>
      <w:rPr>
        <w:noProof/>
      </w:rPr>
      <w:pict w14:anchorId="055BC6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197907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49B4" w14:textId="3CF63406" w:rsidR="00BA559D" w:rsidRDefault="00BA559D">
    <w:pPr>
      <w:pStyle w:val="Header"/>
    </w:pPr>
    <w:r>
      <w:rPr>
        <w:noProof/>
      </w:rPr>
      <w:pict w14:anchorId="6A1B86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197908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FC71D" w14:textId="1D1D6378" w:rsidR="00BA559D" w:rsidRDefault="00BA559D">
    <w:pPr>
      <w:pStyle w:val="Header"/>
    </w:pPr>
    <w:r>
      <w:rPr>
        <w:noProof/>
      </w:rPr>
      <w:pict w14:anchorId="1757C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197907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72F7"/>
    <w:multiLevelType w:val="hybridMultilevel"/>
    <w:tmpl w:val="8022364A"/>
    <w:lvl w:ilvl="0" w:tplc="128A82E4">
      <w:start w:val="1"/>
      <w:numFmt w:val="bullet"/>
      <w:lvlText w:val="●"/>
      <w:lvlJc w:val="left"/>
      <w:pPr>
        <w:ind w:left="720" w:hanging="360"/>
      </w:pPr>
    </w:lvl>
    <w:lvl w:ilvl="1" w:tplc="D8FA7FDC">
      <w:start w:val="1"/>
      <w:numFmt w:val="bullet"/>
      <w:lvlText w:val="○"/>
      <w:lvlJc w:val="left"/>
      <w:pPr>
        <w:ind w:left="1440" w:hanging="360"/>
      </w:pPr>
    </w:lvl>
    <w:lvl w:ilvl="2" w:tplc="914206F4">
      <w:start w:val="1"/>
      <w:numFmt w:val="bullet"/>
      <w:lvlText w:val="■"/>
      <w:lvlJc w:val="left"/>
      <w:pPr>
        <w:ind w:left="2160" w:hanging="360"/>
      </w:pPr>
    </w:lvl>
    <w:lvl w:ilvl="3" w:tplc="3188A836">
      <w:start w:val="1"/>
      <w:numFmt w:val="bullet"/>
      <w:lvlText w:val="●"/>
      <w:lvlJc w:val="left"/>
      <w:pPr>
        <w:ind w:left="2880" w:hanging="360"/>
      </w:pPr>
    </w:lvl>
    <w:lvl w:ilvl="4" w:tplc="D2023D54">
      <w:start w:val="1"/>
      <w:numFmt w:val="bullet"/>
      <w:lvlText w:val="○"/>
      <w:lvlJc w:val="left"/>
      <w:pPr>
        <w:ind w:left="3600" w:hanging="360"/>
      </w:pPr>
    </w:lvl>
    <w:lvl w:ilvl="5" w:tplc="19E0F686">
      <w:start w:val="1"/>
      <w:numFmt w:val="bullet"/>
      <w:lvlText w:val="■"/>
      <w:lvlJc w:val="left"/>
      <w:pPr>
        <w:ind w:left="4320" w:hanging="360"/>
      </w:pPr>
    </w:lvl>
    <w:lvl w:ilvl="6" w:tplc="29DC5570">
      <w:start w:val="1"/>
      <w:numFmt w:val="bullet"/>
      <w:lvlText w:val="●"/>
      <w:lvlJc w:val="left"/>
      <w:pPr>
        <w:ind w:left="5040" w:hanging="360"/>
      </w:pPr>
    </w:lvl>
    <w:lvl w:ilvl="7" w:tplc="2A8C98EC">
      <w:start w:val="1"/>
      <w:numFmt w:val="bullet"/>
      <w:lvlText w:val="●"/>
      <w:lvlJc w:val="left"/>
      <w:pPr>
        <w:ind w:left="5760" w:hanging="360"/>
      </w:pPr>
    </w:lvl>
    <w:lvl w:ilvl="8" w:tplc="4566F158">
      <w:start w:val="1"/>
      <w:numFmt w:val="bullet"/>
      <w:lvlText w:val="●"/>
      <w:lvlJc w:val="left"/>
      <w:pPr>
        <w:ind w:left="6480" w:hanging="360"/>
      </w:pPr>
    </w:lvl>
  </w:abstractNum>
  <w:num w:numId="1" w16cid:durableId="4210319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82E"/>
    <w:rsid w:val="00101B5B"/>
    <w:rsid w:val="001F717A"/>
    <w:rsid w:val="00225CEE"/>
    <w:rsid w:val="002325BF"/>
    <w:rsid w:val="00234777"/>
    <w:rsid w:val="002E4413"/>
    <w:rsid w:val="00321895"/>
    <w:rsid w:val="00385189"/>
    <w:rsid w:val="003C3D87"/>
    <w:rsid w:val="00425849"/>
    <w:rsid w:val="00516CF4"/>
    <w:rsid w:val="0068556F"/>
    <w:rsid w:val="0073206D"/>
    <w:rsid w:val="007574FA"/>
    <w:rsid w:val="00776616"/>
    <w:rsid w:val="00864B21"/>
    <w:rsid w:val="00867B96"/>
    <w:rsid w:val="00A80A19"/>
    <w:rsid w:val="00AC7325"/>
    <w:rsid w:val="00B0059B"/>
    <w:rsid w:val="00B24467"/>
    <w:rsid w:val="00B6375F"/>
    <w:rsid w:val="00BA559D"/>
    <w:rsid w:val="00BB318A"/>
    <w:rsid w:val="00C35729"/>
    <w:rsid w:val="00CF3A46"/>
    <w:rsid w:val="00D14F2C"/>
    <w:rsid w:val="00E0682E"/>
    <w:rsid w:val="00E65BE9"/>
    <w:rsid w:val="00E86B36"/>
    <w:rsid w:val="00F51466"/>
    <w:rsid w:val="00FF7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DA91D"/>
  <w15:docId w15:val="{82105604-96BB-4178-8CA2-EE1BDFC6D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101B5B"/>
    <w:rPr>
      <w:sz w:val="16"/>
      <w:szCs w:val="16"/>
    </w:rPr>
  </w:style>
  <w:style w:type="paragraph" w:styleId="CommentText">
    <w:name w:val="annotation text"/>
    <w:basedOn w:val="Normal"/>
    <w:link w:val="CommentTextChar"/>
    <w:uiPriority w:val="99"/>
    <w:unhideWhenUsed/>
    <w:rsid w:val="00101B5B"/>
  </w:style>
  <w:style w:type="character" w:customStyle="1" w:styleId="CommentTextChar">
    <w:name w:val="Comment Text Char"/>
    <w:basedOn w:val="DefaultParagraphFont"/>
    <w:link w:val="CommentText"/>
    <w:uiPriority w:val="99"/>
    <w:rsid w:val="00101B5B"/>
  </w:style>
  <w:style w:type="paragraph" w:styleId="CommentSubject">
    <w:name w:val="annotation subject"/>
    <w:basedOn w:val="CommentText"/>
    <w:next w:val="CommentText"/>
    <w:link w:val="CommentSubjectChar"/>
    <w:uiPriority w:val="99"/>
    <w:semiHidden/>
    <w:unhideWhenUsed/>
    <w:rsid w:val="00101B5B"/>
    <w:rPr>
      <w:b/>
      <w:bCs/>
    </w:rPr>
  </w:style>
  <w:style w:type="character" w:customStyle="1" w:styleId="CommentSubjectChar">
    <w:name w:val="Comment Subject Char"/>
    <w:basedOn w:val="CommentTextChar"/>
    <w:link w:val="CommentSubject"/>
    <w:uiPriority w:val="99"/>
    <w:semiHidden/>
    <w:rsid w:val="00101B5B"/>
    <w:rPr>
      <w:b/>
      <w:bCs/>
    </w:rPr>
  </w:style>
  <w:style w:type="paragraph" w:customStyle="1" w:styleId="isselectedend">
    <w:name w:val="isselectedend"/>
    <w:basedOn w:val="Normal"/>
    <w:rsid w:val="00E86B36"/>
    <w:pPr>
      <w:spacing w:before="100" w:beforeAutospacing="1" w:after="100" w:afterAutospacing="1"/>
    </w:pPr>
    <w:rPr>
      <w:sz w:val="24"/>
      <w:szCs w:val="24"/>
    </w:rPr>
  </w:style>
  <w:style w:type="character" w:styleId="Strong">
    <w:name w:val="Strong"/>
    <w:basedOn w:val="DefaultParagraphFont"/>
    <w:uiPriority w:val="22"/>
    <w:qFormat/>
    <w:rsid w:val="00E86B36"/>
    <w:rPr>
      <w:b/>
      <w:bCs/>
    </w:rPr>
  </w:style>
  <w:style w:type="character" w:styleId="Emphasis">
    <w:name w:val="Emphasis"/>
    <w:basedOn w:val="DefaultParagraphFont"/>
    <w:uiPriority w:val="20"/>
    <w:qFormat/>
    <w:rsid w:val="00E86B36"/>
    <w:rPr>
      <w:i/>
      <w:iCs/>
    </w:rPr>
  </w:style>
  <w:style w:type="paragraph" w:styleId="NormalWeb">
    <w:name w:val="Normal (Web)"/>
    <w:basedOn w:val="Normal"/>
    <w:uiPriority w:val="99"/>
    <w:unhideWhenUsed/>
    <w:rsid w:val="00E86B36"/>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A80A19"/>
    <w:rPr>
      <w:color w:val="605E5C"/>
      <w:shd w:val="clear" w:color="auto" w:fill="E1DFDD"/>
    </w:rPr>
  </w:style>
  <w:style w:type="paragraph" w:styleId="Header">
    <w:name w:val="header"/>
    <w:basedOn w:val="Normal"/>
    <w:link w:val="HeaderChar"/>
    <w:uiPriority w:val="99"/>
    <w:unhideWhenUsed/>
    <w:rsid w:val="00BA559D"/>
    <w:pPr>
      <w:tabs>
        <w:tab w:val="center" w:pos="4680"/>
        <w:tab w:val="right" w:pos="9360"/>
      </w:tabs>
    </w:pPr>
  </w:style>
  <w:style w:type="character" w:customStyle="1" w:styleId="HeaderChar">
    <w:name w:val="Header Char"/>
    <w:basedOn w:val="DefaultParagraphFont"/>
    <w:link w:val="Header"/>
    <w:uiPriority w:val="99"/>
    <w:rsid w:val="00BA559D"/>
  </w:style>
  <w:style w:type="paragraph" w:styleId="Footer">
    <w:name w:val="footer"/>
    <w:basedOn w:val="Normal"/>
    <w:link w:val="FooterChar"/>
    <w:uiPriority w:val="99"/>
    <w:unhideWhenUsed/>
    <w:rsid w:val="00BA559D"/>
    <w:pPr>
      <w:tabs>
        <w:tab w:val="center" w:pos="4680"/>
        <w:tab w:val="right" w:pos="9360"/>
      </w:tabs>
    </w:pPr>
  </w:style>
  <w:style w:type="character" w:customStyle="1" w:styleId="FooterChar">
    <w:name w:val="Footer Char"/>
    <w:basedOn w:val="DefaultParagraphFont"/>
    <w:link w:val="Footer"/>
    <w:uiPriority w:val="99"/>
    <w:rsid w:val="00BA5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7862</Words>
  <Characters>44814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OTIENO, BUNYASI, PhD</dc:creator>
  <cp:lastModifiedBy>SDI 1084</cp:lastModifiedBy>
  <cp:revision>5</cp:revision>
  <dcterms:created xsi:type="dcterms:W3CDTF">2026-09-08T12:53:00Z</dcterms:created>
  <dcterms:modified xsi:type="dcterms:W3CDTF">2026-09-10T07:39:00Z</dcterms:modified>
</cp:coreProperties>
</file>