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77044" w14:textId="77777777" w:rsidR="00D32166" w:rsidRDefault="00FD100D">
      <w:pPr>
        <w:spacing w:after="360" w:line="300" w:lineRule="auto"/>
        <w:jc w:val="center"/>
      </w:pPr>
      <w:r>
        <w:rPr>
          <w:b/>
          <w:bCs/>
          <w:sz w:val="28"/>
          <w:szCs w:val="28"/>
        </w:rPr>
        <w:t>Quality Management Practices and the Performance of Renewable Electricity Infrastructure Projects in Kenya: A Critical Review of Stakeholder Engagement as an Intervening Mechanism</w:t>
      </w:r>
    </w:p>
    <w:p w14:paraId="191AD286" w14:textId="77777777" w:rsidR="00D32166" w:rsidRDefault="00FD100D">
      <w:pPr>
        <w:pStyle w:val="Heading1"/>
        <w:spacing w:before="240" w:after="120"/>
      </w:pPr>
      <w:r>
        <w:rPr>
          <w:b/>
          <w:bCs/>
          <w:color w:val="000000"/>
          <w:sz w:val="24"/>
          <w:szCs w:val="24"/>
        </w:rPr>
        <w:t>Abstract</w:t>
      </w:r>
    </w:p>
    <w:p w14:paraId="350B0EDC" w14:textId="77777777" w:rsidR="00D32166" w:rsidRDefault="00FD100D">
      <w:pPr>
        <w:spacing w:after="160" w:line="320" w:lineRule="auto"/>
        <w:jc w:val="both"/>
      </w:pPr>
      <w:r>
        <w:t>Kenya generates close to nine-tenths of its electricity from renewable sources, yet the projects that deliver and sustain that capacity display markedly uneven schedule, cost, technical and social outcomes. Two explanatory traditions have developed in parallel with little contact between them. Operations and project management scholarship attributes superior project outcomes to quality management practices, understood as bundles of leadership, training, process discipline, supplier development and measurement routines. Energy social science attributes the fate of Kenyan renewable projects to contested land relations, procedural justice, benefit distribution and community consent. The proposition that stakeholder engagement carries the effect of quality management practice into project performance has become a familiar analytical device in project research, but its evidentiary basis in the Kenyan renewable electricity sector has not been appraised critically. This review integrates evidence from operations management, project management, energy policy, energy social science and impact assessment to assess what can reasonably be concluded about that mediating pathway. Literature was identified through structured searching of open scholarly indexes and citation tracking, followed by verification of every bibliographic record. Four findings emerge. Quality management practice influences performance mainly through its behavioural and relational components rather than its documentary apparatus, which weakens the assumption that certification signals capability. Stakeholder engagement in Kenyan renewable projects operates through land tenure, compensation and employment expectations that lie outside conventional quality management systems, so engagement is only partly endogenous to those systems. Studies reporting mediation rely predominantly on single-informant cross-sectional designs whose causal ordering is unidentified, and the Kenyan empirical record on this specific pathway sits largely in outlets whose editorial standards cannot be established. Evidence for a full mediation account is therefore weak, while evidence for partial and conditional mediation is plausible but unproven. A conditional mediation account is advanced, specifying where engagement should and should not be expected to transmit quality effects, together with prioritised research designs capable of testing it.</w:t>
      </w:r>
    </w:p>
    <w:p w14:paraId="0445DFE6" w14:textId="77777777" w:rsidR="00D32166" w:rsidRDefault="00FD100D">
      <w:pPr>
        <w:pStyle w:val="Heading1"/>
        <w:spacing w:before="240" w:after="120"/>
      </w:pPr>
      <w:r>
        <w:rPr>
          <w:b/>
          <w:bCs/>
          <w:color w:val="000000"/>
          <w:sz w:val="24"/>
          <w:szCs w:val="24"/>
        </w:rPr>
        <w:t>Keywords</w:t>
      </w:r>
    </w:p>
    <w:p w14:paraId="07AB2318" w14:textId="77777777" w:rsidR="00D32166" w:rsidRDefault="00FD100D">
      <w:pPr>
        <w:spacing w:after="160" w:line="320" w:lineRule="auto"/>
        <w:jc w:val="both"/>
      </w:pPr>
      <w:r>
        <w:t>quality management; stakeholder engagement; project performance; renewable electricity; Kenya; procedural justice; mediation analysis</w:t>
      </w:r>
    </w:p>
    <w:p w14:paraId="4B6E0D76" w14:textId="77777777" w:rsidR="00D32166" w:rsidRDefault="00FD100D">
      <w:pPr>
        <w:pStyle w:val="Heading1"/>
        <w:spacing w:before="320" w:after="140"/>
      </w:pPr>
      <w:r>
        <w:rPr>
          <w:b/>
          <w:bCs/>
          <w:color w:val="000000"/>
          <w:sz w:val="24"/>
          <w:szCs w:val="24"/>
        </w:rPr>
        <w:t>1. Introduction</w:t>
      </w:r>
    </w:p>
    <w:p w14:paraId="5807351E" w14:textId="77777777" w:rsidR="00D32166" w:rsidRDefault="00FD100D">
      <w:pPr>
        <w:spacing w:after="160" w:line="320" w:lineRule="auto"/>
        <w:jc w:val="both"/>
      </w:pPr>
      <w:r>
        <w:t xml:space="preserve">Electricity infrastructure occupies an unusual position among capital projects. Its outputs are measured not only at handover but across decades of operation, its performance is simultaneously technical, financial and social, and its consequences fall on populations who are rarely parties to the </w:t>
      </w:r>
      <w:r>
        <w:lastRenderedPageBreak/>
        <w:t>contracts that create it. Kenya presents a concentrated version of this problem. Around nine-tenths of the country's electricity generation derives from renewable sources, with geothermal supplying the largest share, followed by hydropower, wind and solar, on an installed base of approximately 3.3 GW, while access to electricity reached 79 per cent of the population in 2023 (International Energy Agency, 2025). This portfolio was assembled rapidly, through a mixture of state utility investment, independent power production, concessional finance and privately financed distributed systems, and it now supports an economy in which the reliability of supply materially shapes enterprise productivity (Farquharson et al., 2018; Kupzig, 2023).</w:t>
      </w:r>
    </w:p>
    <w:p w14:paraId="278DA428" w14:textId="77777777" w:rsidR="00D32166" w:rsidRDefault="00FD100D">
      <w:pPr>
        <w:spacing w:after="160" w:line="320" w:lineRule="auto"/>
        <w:jc w:val="both"/>
      </w:pPr>
      <w:r>
        <w:t xml:space="preserve">The projects behind this portfolio have not performed uniformly. Geothermal expansion at Olkaria delivered substantial generating capacity while imposing environmental burdens and resettlement costs on neighbouring pastoralist households whose livestock production declined after relocation (Gai et al., 2022; </w:t>
      </w:r>
      <w:proofErr w:type="spellStart"/>
      <w:r>
        <w:t>Mariita</w:t>
      </w:r>
      <w:proofErr w:type="spellEnd"/>
      <w:r>
        <w:t xml:space="preserve">, 2002; Rotich et al., 2024). The Lake Turkana Wind Power project in </w:t>
      </w:r>
      <w:proofErr w:type="spellStart"/>
      <w:r>
        <w:t>Marsabit</w:t>
      </w:r>
      <w:proofErr w:type="spellEnd"/>
      <w:r>
        <w:t xml:space="preserve"> County has become the most extensively documented case of contested renewable development in Africa, generating a literature on land valuation, elite capture, indigenous rights, claims-making and the centralisation of decision authority (</w:t>
      </w:r>
      <w:proofErr w:type="spellStart"/>
      <w:r>
        <w:t>Achiba</w:t>
      </w:r>
      <w:proofErr w:type="spellEnd"/>
      <w:r>
        <w:t xml:space="preserve">, 2019; Cormack &amp; </w:t>
      </w:r>
      <w:proofErr w:type="spellStart"/>
      <w:r>
        <w:t>Kurewa</w:t>
      </w:r>
      <w:proofErr w:type="spellEnd"/>
      <w:r>
        <w:t xml:space="preserve">, 2018; </w:t>
      </w:r>
      <w:proofErr w:type="spellStart"/>
      <w:r>
        <w:t>Hashimshony</w:t>
      </w:r>
      <w:proofErr w:type="spellEnd"/>
      <w:r>
        <w:t xml:space="preserve"> Yaffe &amp; Segal-Klein, 2023; Lind &amp; </w:t>
      </w:r>
      <w:proofErr w:type="spellStart"/>
      <w:r>
        <w:t>Rogei</w:t>
      </w:r>
      <w:proofErr w:type="spellEnd"/>
      <w:r>
        <w:t xml:space="preserve">, 2025; Lomax et al., 2023; Ramirez et al., 2025; </w:t>
      </w:r>
      <w:proofErr w:type="spellStart"/>
      <w:r>
        <w:t>Renkens</w:t>
      </w:r>
      <w:proofErr w:type="spellEnd"/>
      <w:r>
        <w:t xml:space="preserve">, 2024; </w:t>
      </w:r>
      <w:proofErr w:type="spellStart"/>
      <w:r>
        <w:t>Simberg-Koulumies</w:t>
      </w:r>
      <w:proofErr w:type="spellEnd"/>
      <w:r>
        <w:t xml:space="preserve">, 2024). Wind development at </w:t>
      </w:r>
      <w:proofErr w:type="spellStart"/>
      <w:r>
        <w:t>Kipeto</w:t>
      </w:r>
      <w:proofErr w:type="spellEnd"/>
      <w:r>
        <w:t xml:space="preserve"> in Kajiado County reshaped household livelihoods through land acquisition on individually held parcels (Ndi, 2024a), and utility-scale solar development in </w:t>
      </w:r>
      <w:proofErr w:type="spellStart"/>
      <w:r>
        <w:t>Uasin</w:t>
      </w:r>
      <w:proofErr w:type="spellEnd"/>
      <w:r>
        <w:t xml:space="preserve"> Gishu County has provoked contestation centred not on halting the installation but on unmet employment, water and road commitments (Ndi, 2025). Distributed systems display an analogous pattern of variable delivery: mini-grid diffusion in Kenya has been constrained by tariff, financing and operational difficulties (Fajardo et al., 2025; Johannsen et al., 2020; </w:t>
      </w:r>
      <w:proofErr w:type="spellStart"/>
      <w:r>
        <w:t>Ogeya</w:t>
      </w:r>
      <w:proofErr w:type="spellEnd"/>
      <w:r>
        <w:t xml:space="preserve"> &amp; Lambe, 2025), and the durability of off-grid solar depends on repair and after-sales capabilities that formal component standards do not reach (Harrington &amp; Wambugu, 2021).</w:t>
      </w:r>
    </w:p>
    <w:p w14:paraId="7FDF475A" w14:textId="77777777" w:rsidR="00D32166" w:rsidRDefault="00FD100D">
      <w:pPr>
        <w:spacing w:after="160" w:line="320" w:lineRule="auto"/>
        <w:jc w:val="both"/>
      </w:pPr>
      <w:r>
        <w:t xml:space="preserve">Two research traditions attempt to explain this variation, and they rarely engage each other. The first, rooted in operations and project management, treats project outcomes as a function of managerial practice. Quality management practice in this tradition denotes an integrated bundle comprising leadership commitment, strategic quality planning, employee training and involvement, process management, supplier quality management, information and analysis, and customer focus. Evidence accumulated over three decades associates these practices with operational and organisational performance, although the association is neither uniform nor unconditional (Kaynak, 2003; Nair, 2006; Samson &amp; </w:t>
      </w:r>
      <w:proofErr w:type="spellStart"/>
      <w:r>
        <w:t>Terziovski</w:t>
      </w:r>
      <w:proofErr w:type="spellEnd"/>
      <w:r>
        <w:t>, 1999). Applied to projects, the same logic underpins studies linking quality planning, inspection regimes, specification discipline and continuous improvement to schedule, cost and defect outcomes (Arditi &amp; Gunaydin, 1997; Jimoh et al., 2019; Kuo &amp; Kuo, 2010).</w:t>
      </w:r>
    </w:p>
    <w:p w14:paraId="33C14A12" w14:textId="77777777" w:rsidR="00D32166" w:rsidRDefault="00FD100D">
      <w:pPr>
        <w:spacing w:after="160" w:line="320" w:lineRule="auto"/>
        <w:jc w:val="both"/>
      </w:pPr>
      <w:r>
        <w:t xml:space="preserve">The second tradition, developed in energy policy, energy social science and impact assessment, treats renewable project outcomes as products of social and political process. Social acceptance in this literature is not a single attitude but a composite of socio-political, community and market dimensions, each with distinct determinants and each capable of obstructing or enabling deployment </w:t>
      </w:r>
      <w:r>
        <w:lastRenderedPageBreak/>
        <w:t xml:space="preserve">(Ellis et al., 2023; </w:t>
      </w:r>
      <w:proofErr w:type="spellStart"/>
      <w:r>
        <w:t>Wüstenhagen</w:t>
      </w:r>
      <w:proofErr w:type="spellEnd"/>
      <w:r>
        <w:t xml:space="preserve"> et al., 2007). Procedural justice, understood as the fairness and inclusiveness of decision processes rather than the generosity of outcomes, repeatedly emerges as a stronger predictor of local response than compensation levels alone (Ottinger et al., 2014; Walker &amp; Baxter, 2017). Kenyan evidence is consistent with this emphasis: community acceptance of geothermal development has been shown to depend on perceived fairness and information quality as much as on material benefit (Mahamoud Abdi et al., 2024), and the participatory provisions of Kenyan strategic environmental assessment practice have been found to generate learning unevenly across contexts (Walker et al., 2014; Walker et al., 2016).</w:t>
      </w:r>
    </w:p>
    <w:p w14:paraId="1943707B" w14:textId="77777777" w:rsidR="00D32166" w:rsidRDefault="00FD100D">
      <w:pPr>
        <w:spacing w:after="160" w:line="320" w:lineRule="auto"/>
        <w:jc w:val="both"/>
      </w:pPr>
      <w:r>
        <w:t>An intuitively appealing synthesis connects the two traditions through mediation. If quality management practice includes customer focus, supplier development, communication routines and documented review, then an organisation practising it well should engage stakeholders more systematically, and better engagement should in turn improve project outcomes. Stakeholder engagement would then function as an intervening variable rather than a competing explanation. This specification has been adopted in a number of project studies, some of which report that stakeholder management transmits the effect of a managerial input onto project performance (Zhang et al., 2023), that process management practices carry the effect of stakeholder engagement onto environmental practice adoption (Jakhar, 2017), or that stakeholder engagement conditions the translation of risk management practice into sustainable project performance (Song et al., 2025). A recent analysis has begun to map soft and hard total quality management practices directly onto stakeholder management capability (de Las Casas et al., 2026).</w:t>
      </w:r>
    </w:p>
    <w:p w14:paraId="4B3ECD4A" w14:textId="77777777" w:rsidR="00D32166" w:rsidRDefault="00FD100D">
      <w:pPr>
        <w:spacing w:after="160" w:line="320" w:lineRule="auto"/>
        <w:jc w:val="both"/>
      </w:pPr>
      <w:r>
        <w:t>Whether this synthesis holds in Kenyan renewable electricity infrastructure is a separate question, and it is not answered by the existing reviews. Reviews of Africa's renewable transition have concentrated on technology pathways and circular economy framings (</w:t>
      </w:r>
      <w:proofErr w:type="spellStart"/>
      <w:r>
        <w:t>Mutezo</w:t>
      </w:r>
      <w:proofErr w:type="spellEnd"/>
      <w:r>
        <w:t xml:space="preserve"> &amp; </w:t>
      </w:r>
      <w:proofErr w:type="spellStart"/>
      <w:r>
        <w:t>Mulopo</w:t>
      </w:r>
      <w:proofErr w:type="spellEnd"/>
      <w:r>
        <w:t>, 2021), reviews of off-grid mini-grids on technical and business model configurations (</w:t>
      </w:r>
      <w:proofErr w:type="spellStart"/>
      <w:r>
        <w:t>Babayomi</w:t>
      </w:r>
      <w:proofErr w:type="spellEnd"/>
      <w:r>
        <w:t xml:space="preserve"> et al., 2023), and reviews of stakeholder theory in project management on conceptual lineage rather than on tested mechanisms in low- and middle-income infrastructure settings (Uribe et al., 2018). Assessments of the societal benefits of renewable projects in sub-Saharan Africa have documented implementation failure without specifying the managerial pathways through which such failure arises (</w:t>
      </w:r>
      <w:proofErr w:type="spellStart"/>
      <w:r>
        <w:t>Ikejemba</w:t>
      </w:r>
      <w:proofErr w:type="spellEnd"/>
      <w:r>
        <w:t xml:space="preserve"> &amp; Schuur, 2020). None of these appraisals interrogates the mediation claim itself, its measurement, or its identification. That omission matters practically, because Kenyan procurement and regulatory reform increasingly treats quality management systems and stakeholder engagement plans as separate compliance instruments, on the implicit assumption that each contributes independently to delivery.</w:t>
      </w:r>
    </w:p>
    <w:p w14:paraId="435668F9" w14:textId="77777777" w:rsidR="00D32166" w:rsidRDefault="00FD100D">
      <w:pPr>
        <w:pStyle w:val="Heading2"/>
        <w:spacing w:before="240" w:after="120"/>
      </w:pPr>
      <w:r>
        <w:rPr>
          <w:b/>
          <w:bCs/>
          <w:color w:val="000000"/>
          <w:sz w:val="22"/>
          <w:szCs w:val="22"/>
        </w:rPr>
        <w:t>1.1 Scope, Research Gap and Objectives</w:t>
      </w:r>
    </w:p>
    <w:p w14:paraId="6505F12C" w14:textId="77777777" w:rsidR="00D32166" w:rsidRDefault="00FD100D">
      <w:pPr>
        <w:spacing w:after="160" w:line="320" w:lineRule="auto"/>
        <w:jc w:val="both"/>
      </w:pPr>
      <w:r>
        <w:t xml:space="preserve">This review is bounded in four ways. Substantively, it addresses grid-connected and distributed renewable electricity generation and the associated network and connection works, encompassing geothermal, wind, solar photovoltaic, hydropower, mini-grid and solar home system deployment. Geographically, it centres on Kenya, and draws on evidence from elsewhere in sub-Saharan Africa </w:t>
      </w:r>
      <w:r>
        <w:lastRenderedPageBreak/>
        <w:t>and from comparable project settings only where such evidence bears directly on a mechanism relevant to the Kenyan case. Conceptually, it treats quality management practice as an organisational and inter-organisational bundle rather than as a certification status, project performance as multidimensional rather than confined to the cost, time and quality triad, and stakeholder engagement as a process attribute rather than an attitude held by communities. Analytically, it concerns a specific causal specification, namely the proposition that stakeholder engagement mediates the relationship between quality management practice and project performance.</w:t>
      </w:r>
    </w:p>
    <w:p w14:paraId="30020139" w14:textId="77777777" w:rsidR="00D32166" w:rsidRDefault="00FD100D">
      <w:pPr>
        <w:spacing w:after="160" w:line="320" w:lineRule="auto"/>
        <w:jc w:val="both"/>
      </w:pPr>
      <w:r>
        <w:t>The gap addressed is precise. The relationship between quality management practice and performance has been examined extensively in manufacturing and, less extensively, in construction; the relationship between engagement, acceptance and renewable project trajectories has been examined extensively in Kenya and elsewhere; and mediation by stakeholder engagement has been asserted in project research. What has not been done is a critical appraisal of whether these three bodies of evidence can support the mediating specification in a renewable electricity setting characterised by communal and individual land tenure, devolved governance, multiple delivery models and a heavy reliance on external finance and expertise. The question of whether engagement is properly modelled as endogenous to quality management practice, as an antecedent of it, or as a partly exogenous condition set by tenure and politics, remains open.</w:t>
      </w:r>
    </w:p>
    <w:p w14:paraId="57F5B22F" w14:textId="77777777" w:rsidR="00D32166" w:rsidRDefault="00FD100D">
      <w:pPr>
        <w:spacing w:after="160" w:line="320" w:lineRule="auto"/>
        <w:jc w:val="both"/>
      </w:pPr>
      <w:r>
        <w:t>Four objectives follow. The first is to clarify the constructs and to establish which conceptual distinctions must be preserved for the mediation question to remain meaningful. The second is to appraise the strength, consistency and methodological quality of the evidence linking quality management practice to project performance, and to identify the contingencies that govern that link. The third is to appraise the evidence connecting stakeholder engagement to renewable project outcomes in Kenya, distinguishing what has been demonstrated from what has been inferred. The fourth is to develop an integrated account that specifies the conditions under which mediation is plausible, states what remains speculative, and sets out research designs capable of resolving the question. Excluded from the scope are thermal and nuclear generation, transport and water infrastructure, household energy transitions in cooking, and quantitative pooling of effect sizes, which the heterogeneity of the available evidence does not support.</w:t>
      </w:r>
    </w:p>
    <w:p w14:paraId="07C1A40C" w14:textId="77777777" w:rsidR="00D32166" w:rsidRDefault="00FD100D">
      <w:pPr>
        <w:pStyle w:val="Heading1"/>
        <w:spacing w:before="320" w:after="140"/>
      </w:pPr>
      <w:r>
        <w:rPr>
          <w:b/>
          <w:bCs/>
          <w:color w:val="000000"/>
          <w:sz w:val="24"/>
          <w:szCs w:val="24"/>
        </w:rPr>
        <w:t>2. Methods for Literature Selection</w:t>
      </w:r>
    </w:p>
    <w:p w14:paraId="2ABF1436" w14:textId="77777777" w:rsidR="00D32166" w:rsidRDefault="00FD100D">
      <w:pPr>
        <w:pStyle w:val="Heading2"/>
        <w:spacing w:before="240" w:after="120"/>
      </w:pPr>
      <w:r>
        <w:rPr>
          <w:b/>
          <w:bCs/>
          <w:color w:val="000000"/>
          <w:sz w:val="22"/>
          <w:szCs w:val="22"/>
        </w:rPr>
        <w:t>2.1 Review Design and Rationale</w:t>
      </w:r>
    </w:p>
    <w:p w14:paraId="7F7729C4" w14:textId="77777777" w:rsidR="00D32166" w:rsidRDefault="00FD100D">
      <w:pPr>
        <w:spacing w:after="160" w:line="320" w:lineRule="auto"/>
        <w:jc w:val="both"/>
      </w:pPr>
      <w:r>
        <w:t xml:space="preserve">A critical narrative design was selected because the question posed is interpretive rather than aggregative. The evidence bearing on the mediating role of stakeholder engagement is distributed across operations management, project management, energy policy, energy social science, impact assessment and development studies, and these fields differ in their units of analysis, their outcome definitions, their epistemic conventions and their reporting standards. A systematic review protocol with a single eligibility grid would either exclude the ethnographic and case-based Kenyan material that carries most of the contextual information, or would admit it without the appraisal apparatus </w:t>
      </w:r>
      <w:r>
        <w:lastRenderedPageBreak/>
        <w:t xml:space="preserve">needed to interpret it. A meta-analysis is precluded because the constructs are measured with incommensurable instruments and because the relevant Kenyan studies rarely report effect sizes in a </w:t>
      </w:r>
      <w:proofErr w:type="spellStart"/>
      <w:r>
        <w:t>poolable</w:t>
      </w:r>
      <w:proofErr w:type="spellEnd"/>
      <w:r>
        <w:t xml:space="preserve"> form. The comparative value of narrative synthesis for questions requiring interpretive integration across heterogeneous literatures has been argued explicitly in methodological scholarship (Greenhalgh et al., 2018).</w:t>
      </w:r>
    </w:p>
    <w:p w14:paraId="198A2F5A" w14:textId="77777777" w:rsidR="00D32166" w:rsidRDefault="00FD100D">
      <w:pPr>
        <w:spacing w:after="160" w:line="320" w:lineRule="auto"/>
        <w:jc w:val="both"/>
      </w:pPr>
      <w:r>
        <w:t>Narrative design does not license selective reading. The review was conducted against the quality criteria formalised for narrative review articles, which require an explicit statement of the review's importance and aims, a described literature search, referencing appropriate to the claims made, scientific reasoning that distinguishes evidence from inference, and presentation of data that support the argument advanced (</w:t>
      </w:r>
      <w:proofErr w:type="spellStart"/>
      <w:r>
        <w:t>Baethge</w:t>
      </w:r>
      <w:proofErr w:type="spellEnd"/>
      <w:r>
        <w:t xml:space="preserve"> et al., 2019). Each of these criteria is addressed in the subsections that follow, and appraisal of individual studies is conducted openly in the synthesis rather than reduced to a score.</w:t>
      </w:r>
    </w:p>
    <w:p w14:paraId="65475FF1" w14:textId="77777777" w:rsidR="00D32166" w:rsidRDefault="00FD100D">
      <w:pPr>
        <w:pStyle w:val="Heading2"/>
        <w:spacing w:before="240" w:after="120"/>
      </w:pPr>
      <w:r>
        <w:rPr>
          <w:b/>
          <w:bCs/>
          <w:color w:val="000000"/>
          <w:sz w:val="22"/>
          <w:szCs w:val="22"/>
        </w:rPr>
        <w:t>2.2 Information Sources</w:t>
      </w:r>
    </w:p>
    <w:p w14:paraId="7E388EFE" w14:textId="77777777" w:rsidR="00D32166" w:rsidRDefault="00FD100D">
      <w:pPr>
        <w:spacing w:after="160" w:line="320" w:lineRule="auto"/>
        <w:jc w:val="both"/>
      </w:pPr>
      <w:r>
        <w:t xml:space="preserve">Searching was conducted in </w:t>
      </w:r>
      <w:proofErr w:type="spellStart"/>
      <w:r>
        <w:t>Crossref</w:t>
      </w:r>
      <w:proofErr w:type="spellEnd"/>
      <w:r>
        <w:t xml:space="preserve">, the Directory of Open Access Journals, </w:t>
      </w:r>
      <w:proofErr w:type="spellStart"/>
      <w:r>
        <w:t>OpenAIRE</w:t>
      </w:r>
      <w:proofErr w:type="spellEnd"/>
      <w:r>
        <w:t xml:space="preserve">, </w:t>
      </w:r>
      <w:proofErr w:type="spellStart"/>
      <w:r>
        <w:t>EconBiz</w:t>
      </w:r>
      <w:proofErr w:type="spellEnd"/>
      <w:r>
        <w:t>, Semantic Scholar and Google Scholar. Because the topic has explicit national and regional dimensions, African Journals Online was searched as a regional index in order to surface locally published research that international indexes represent unevenly. Records retrieved from the regional index were subjected to the same appraisal criteria as records retrieved internationally, and journal and article status were verified before any item was considered for inclusion.</w:t>
      </w:r>
    </w:p>
    <w:p w14:paraId="5AD29C6F" w14:textId="77777777" w:rsidR="00D32166" w:rsidRDefault="00FD100D">
      <w:pPr>
        <w:spacing w:after="160" w:line="320" w:lineRule="auto"/>
        <w:jc w:val="both"/>
      </w:pPr>
      <w:r>
        <w:t>Database searching was supplemented in four ways. Reference lists of recent reviews and of the most conceptually central empirical papers were examined for antecedent work. Forward citation tracking was used to locate studies that had extended or contested those papers. Publisher and journal landing pages were consulted to confirm bibliographic details and to establish whether corrections or expressions of concern had been issued. Institutional sources were consulted for sectoral statistics, restricted to the energy policy review of Kenya prepared by the International Energy Agency, which was used solely for descriptive characterisation of the national generation portfolio and access position.</w:t>
      </w:r>
    </w:p>
    <w:p w14:paraId="5CC83965" w14:textId="77777777" w:rsidR="00D32166" w:rsidRDefault="00FD100D">
      <w:pPr>
        <w:pStyle w:val="Heading2"/>
        <w:spacing w:before="240" w:after="120"/>
      </w:pPr>
      <w:r>
        <w:rPr>
          <w:b/>
          <w:bCs/>
          <w:color w:val="000000"/>
          <w:sz w:val="22"/>
          <w:szCs w:val="22"/>
        </w:rPr>
        <w:t>2.3 Search Strategy and Search Period</w:t>
      </w:r>
    </w:p>
    <w:p w14:paraId="084EC730" w14:textId="77777777" w:rsidR="00D32166" w:rsidRDefault="00FD100D">
      <w:pPr>
        <w:spacing w:after="160" w:line="320" w:lineRule="auto"/>
        <w:jc w:val="both"/>
      </w:pPr>
      <w:r>
        <w:t xml:space="preserve">Six search concepts were constructed from the review question and combined with Boolean operators. The quality management concept combined "quality management" OR "total quality management" OR TQM OR "quality assurance" OR "quality control" OR "quality management system" OR "ISO 9001" OR "continuous improvement" OR "process management" OR "supplier quality". The performance concept combined "project performance" OR "project success" OR "project delivery" OR "cost overrun" OR "schedule overrun" OR "quality performance" OR "operational performance" OR "capacity factor" OR reliability OR availability. The engagement concept combined "stakeholder engagement" OR "stakeholder management" OR "stakeholder participation" OR "community engagement" OR "public participation" OR "community consultation" OR "free, prior and informed </w:t>
      </w:r>
      <w:r>
        <w:lastRenderedPageBreak/>
        <w:t xml:space="preserve">consent" OR "procedural justice" OR "social acceptance". The technology concept combined renewable OR geothermal OR wind OR solar OR photovoltaic OR hydropower OR "mini-grid" OR "off-grid" OR "solar home system" OR "rural electrification" OR "electricity generation". The setting concept combined Kenya OR Kenyan OR "East Africa" OR "sub-Saharan Africa" OR Turkana OR Olkaria OR </w:t>
      </w:r>
      <w:proofErr w:type="spellStart"/>
      <w:r>
        <w:t>Marsabit</w:t>
      </w:r>
      <w:proofErr w:type="spellEnd"/>
      <w:r>
        <w:t xml:space="preserve"> OR Kajiado OR "</w:t>
      </w:r>
      <w:proofErr w:type="spellStart"/>
      <w:r>
        <w:t>Uasin</w:t>
      </w:r>
      <w:proofErr w:type="spellEnd"/>
      <w:r>
        <w:t xml:space="preserve"> Gishu". The analytical concept combined </w:t>
      </w:r>
      <w:proofErr w:type="spellStart"/>
      <w:r>
        <w:t>mediat</w:t>
      </w:r>
      <w:proofErr w:type="spellEnd"/>
      <w:r>
        <w:rPr>
          <w:i/>
          <w:iCs/>
        </w:rPr>
        <w:t xml:space="preserve"> OR "indirect effect" OR "structural equation" OR "path analysis" OR </w:t>
      </w:r>
      <w:proofErr w:type="spellStart"/>
      <w:r>
        <w:rPr>
          <w:i/>
          <w:iCs/>
        </w:rPr>
        <w:t>moderat</w:t>
      </w:r>
      <w:proofErr w:type="spellEnd"/>
      <w:r>
        <w:t>.</w:t>
      </w:r>
    </w:p>
    <w:p w14:paraId="513C3AB4" w14:textId="77777777" w:rsidR="00D32166" w:rsidRDefault="00FD100D">
      <w:pPr>
        <w:spacing w:after="160" w:line="320" w:lineRule="auto"/>
        <w:jc w:val="both"/>
      </w:pPr>
      <w:r>
        <w:t>These concepts were combined in three principal configurations. The first intersected quality management with performance and with either the technology or the setting concept, in order to retrieve evidence on the direct relationship in relevant sectors. The second intersected quality management with engagement and with the analytical concept, in order to retrieve explicit tests of the intervening pathway. The third intersected engagement with performance and with the setting concept, in order to retrieve the Kenyan and regional evidence on participation and project outcomes. Syntax was adapted to the field structures of each index, and single-concept searches were used where an index did not support nested Boolean expressions.</w:t>
      </w:r>
    </w:p>
    <w:p w14:paraId="0EA4E30F" w14:textId="77777777" w:rsidR="00D32166" w:rsidRDefault="00FD100D">
      <w:pPr>
        <w:spacing w:after="160" w:line="320" w:lineRule="auto"/>
        <w:jc w:val="both"/>
      </w:pPr>
      <w:r>
        <w:t>The search period ran from 1997 to 14 July 2026. The starting year was selected because it marks the point at which the two conceptual strands that the review integrates had both been articulated in the forms still used: stakeholder salience was formalised as a typology of power, legitimacy and urgency (Mitchell et al., 1997; Rowley, 1997), and total quality management was set out as an integrated approach to the construction project process rather than as a manufacturing technique (Arditi &amp; Gunaydin, 1997). Foundational methodological works published before that date were retained where they remain the standard reference for a procedure used in the studies appraised.</w:t>
      </w:r>
    </w:p>
    <w:p w14:paraId="66A77DDB" w14:textId="77777777" w:rsidR="00D32166" w:rsidRDefault="00FD100D">
      <w:pPr>
        <w:pStyle w:val="Heading2"/>
        <w:spacing w:before="240" w:after="120"/>
      </w:pPr>
      <w:r>
        <w:rPr>
          <w:b/>
          <w:bCs/>
          <w:color w:val="000000"/>
          <w:sz w:val="22"/>
          <w:szCs w:val="22"/>
        </w:rPr>
        <w:t>2.4 Eligibility Criteria</w:t>
      </w:r>
    </w:p>
    <w:p w14:paraId="4294185E" w14:textId="77777777" w:rsidR="00D32166" w:rsidRDefault="00FD100D">
      <w:pPr>
        <w:spacing w:after="160" w:line="320" w:lineRule="auto"/>
        <w:jc w:val="both"/>
      </w:pPr>
      <w:r>
        <w:t>Peer-reviewed journal articles published in English were eligible, comprising empirical studies of any design, conceptual and theoretical contributions, and prior reviews. Studies were eligible where they addressed at least two of the three focal constructs and where the setting was renewable electricity infrastructure, infrastructure or project delivery more broadly, or an organisational context from which a mechanism could be transferred with explicit justification. Kenyan and sub-Saharan African evidence was prioritised for contextual claims; evidence from other regions was admitted only for mechanism claims, and its transferability was discussed rather than assumed. A single institutional publication was eligible for descriptive national statistics.</w:t>
      </w:r>
    </w:p>
    <w:p w14:paraId="4677B7DF" w14:textId="77777777" w:rsidR="00D32166" w:rsidRDefault="00FD100D">
      <w:pPr>
        <w:spacing w:after="160" w:line="320" w:lineRule="auto"/>
        <w:jc w:val="both"/>
      </w:pPr>
      <w:r>
        <w:t>Excluded were preprints where peer-reviewed evidence on the same point was available, conference abstracts, dissertations, trade and industry press, promotional and marketing material, personal commentary lacking evidential support, and patents. Sources were also excluded where bibliographic identity could not be confirmed, where the issuing outlet's editorial and peer-review arrangements could not be established, or where the reported analysis was internally inconsistent. This last exclusion had a material effect on the Kenyan evidence base and is treated as a substantive finding in Section 7 rather than as a procedural note.</w:t>
      </w:r>
    </w:p>
    <w:p w14:paraId="79D5CB29" w14:textId="77777777" w:rsidR="00D32166" w:rsidRDefault="00FD100D">
      <w:pPr>
        <w:pStyle w:val="Heading2"/>
        <w:spacing w:before="240" w:after="120"/>
      </w:pPr>
      <w:r>
        <w:rPr>
          <w:b/>
          <w:bCs/>
          <w:color w:val="000000"/>
          <w:sz w:val="22"/>
          <w:szCs w:val="22"/>
        </w:rPr>
        <w:lastRenderedPageBreak/>
        <w:t>2.5 Screening, Duplicate Handling and Study Selection</w:t>
      </w:r>
    </w:p>
    <w:p w14:paraId="19DFEC57" w14:textId="77777777" w:rsidR="00D32166" w:rsidRDefault="00FD100D">
      <w:pPr>
        <w:spacing w:after="160" w:line="320" w:lineRule="auto"/>
        <w:jc w:val="both"/>
      </w:pPr>
      <w:r>
        <w:t>Titles and abstracts were assessed against the eligibility criteria, and records passing this stage were read in full where the full text was accessible. Records were retained on the basis of relevance to a specific claim, methodological adequacy for the inference drawn from them, and contribution to the analytical structure of the review, rather than on citation counts, which reward age and disciplinary centrality rather than evidential quality. Conflicting and negative findings were retained deliberately, including studies reporting null or weak associations between quality management practice and performance.</w:t>
      </w:r>
    </w:p>
    <w:p w14:paraId="3E7A969A" w14:textId="77777777" w:rsidR="00D32166" w:rsidRDefault="00FD100D">
      <w:pPr>
        <w:spacing w:after="160" w:line="320" w:lineRule="auto"/>
        <w:jc w:val="both"/>
      </w:pPr>
      <w:r>
        <w:t>Duplicates arising from retrieval of the same work across several indexes were identified by digital object identifier and, where an identifier was absent, by matching of title, first author and year. Where a record existed in both an early access and a final form, the version of record was retained and its final volume, issue and pagination used. Where indexes disagreed on metadata, the publisher record was treated as authoritative. Publications that could not be accessed in full were not cited on the basis of abstracts or secondary description. No screening counts are reported, because the process was iterative and concept-driven rather than a single enumerated pass, and reporting counts would misrepresent it as systematic.</w:t>
      </w:r>
    </w:p>
    <w:p w14:paraId="7FF07958" w14:textId="77777777" w:rsidR="00D32166" w:rsidRDefault="00FD100D">
      <w:pPr>
        <w:pStyle w:val="Heading2"/>
        <w:spacing w:before="240" w:after="120"/>
      </w:pPr>
      <w:r>
        <w:rPr>
          <w:b/>
          <w:bCs/>
          <w:color w:val="000000"/>
          <w:sz w:val="22"/>
          <w:szCs w:val="22"/>
        </w:rPr>
        <w:t>2.6 Critical Appraisal and Evidence Synthesis</w:t>
      </w:r>
    </w:p>
    <w:p w14:paraId="476C1849" w14:textId="77777777" w:rsidR="00D32166" w:rsidRDefault="00FD100D">
      <w:pPr>
        <w:spacing w:after="160" w:line="320" w:lineRule="auto"/>
        <w:jc w:val="both"/>
      </w:pPr>
      <w:r>
        <w:t>Studies were appraised against criteria appropriate to their design. Quantitative studies were assessed on the appropriateness of the design to the causal claim advanced, sample size and representativeness relative to the population of projects or firms, the validity and discriminant properties of the measurement instruments, treatment of confounding and endogeneity, the adequacy of the analytical procedure for the mediation or moderation claim made, and the transparency with which limitations were reported. Particular attention was paid to whether mediation was tested with procedures capable of estimating indirect effects and their sampling distribution rather than by sequential regression alone (Baron &amp; Kenny, 1986; Preacher &amp; Hayes, 2008), and to whether designs that collect predictor, mediator and outcome measures from one informant at one time addressed the resulting method variance (Podsakoff et al., 2003). Qualitative and case-based studies were assessed on the adequacy of case selection to the argument, the range and positioning of informants, the treatment of discrepant accounts, and the distance between reported data and interpretive claim. No formal risk-of-bias instrument was applied, because the heterogeneity of designs would have required the arbitrary use of tools outside their validated scope.</w:t>
      </w:r>
    </w:p>
    <w:p w14:paraId="18EC70FA" w14:textId="77777777" w:rsidR="00D32166" w:rsidRDefault="00FD100D">
      <w:pPr>
        <w:spacing w:after="160" w:line="320" w:lineRule="auto"/>
        <w:jc w:val="both"/>
      </w:pPr>
      <w:r>
        <w:t>Synthesis proceeded thematically. Evidence was first organised by construct in order to establish what is being measured and with what fidelity, then by mechanism in order to compare rival accounts of how quality management practice might influence outcomes, then by source of disagreement in order to explain why findings diverge. Where studies conflicted, the review sought explanations in design, setting, measurement and sampling before concluding that a substantive difference existed. Where mechanisms from different disciplines could not be reconciled without distorting one of them, the incompatibility is stated rather than resolved by assertion.</w:t>
      </w:r>
    </w:p>
    <w:p w14:paraId="41B6F319" w14:textId="77777777" w:rsidR="00D32166" w:rsidRDefault="00FD100D">
      <w:pPr>
        <w:pStyle w:val="Heading1"/>
        <w:spacing w:before="320" w:after="140"/>
      </w:pPr>
      <w:r>
        <w:rPr>
          <w:b/>
          <w:bCs/>
          <w:color w:val="000000"/>
          <w:sz w:val="24"/>
          <w:szCs w:val="24"/>
        </w:rPr>
        <w:lastRenderedPageBreak/>
        <w:t>3. Conceptual Foundations of the Proposed Mediation</w:t>
      </w:r>
    </w:p>
    <w:p w14:paraId="2298DC7A" w14:textId="77777777" w:rsidR="00D32166" w:rsidRDefault="00FD100D">
      <w:pPr>
        <w:pStyle w:val="Heading2"/>
        <w:spacing w:before="240" w:after="120"/>
      </w:pPr>
      <w:r>
        <w:rPr>
          <w:b/>
          <w:bCs/>
          <w:color w:val="000000"/>
          <w:sz w:val="22"/>
          <w:szCs w:val="22"/>
        </w:rPr>
        <w:t>3.1 Quality management practice as a bundle with heterogeneous components</w:t>
      </w:r>
    </w:p>
    <w:p w14:paraId="5D4EF85B" w14:textId="77777777" w:rsidR="00D32166" w:rsidRDefault="00FD100D">
      <w:pPr>
        <w:spacing w:after="160" w:line="320" w:lineRule="auto"/>
        <w:jc w:val="both"/>
      </w:pPr>
      <w:r>
        <w:t xml:space="preserve">The most consequential conceptual decision in this literature concerns whether quality management is treated as a unitary construct or as a set of components with distinct causal properties. The evidence favours the latter decisively. Analyses that separate infrastructure practices, which shape the behavioural environment, from core practices, which operate directly on the production process, find that the infrastructure practices exert their influence on performance largely through the core practices rather than directly (Kaynak, 2003). An earlier and widely replicated finding is that the practices with the strongest independent association with operational performance are behavioural, namely leadership, people management and customer focus, while the more technical practices show weaker independent associations (Samson &amp; </w:t>
      </w:r>
      <w:proofErr w:type="spellStart"/>
      <w:r>
        <w:t>Terziovski</w:t>
      </w:r>
      <w:proofErr w:type="spellEnd"/>
      <w:r>
        <w:t xml:space="preserve">, 1999). The distinction was subsequently formalised as one between soft practices, concerned with leadership, culture, training and involvement, and hard practices, concerned with process control, measurement, statistical technique and documented procedure. Studies applying that distinction consistently report that soft practices influence hard practices, and that hard practices then influence the technical dimensions of performance, with the soft dimension exerting a stronger influence on innovation-related outcomes (Khan &amp; Naeem, 2018; </w:t>
      </w:r>
      <w:proofErr w:type="spellStart"/>
      <w:r>
        <w:t>Sciarelli</w:t>
      </w:r>
      <w:proofErr w:type="spellEnd"/>
      <w:r>
        <w:t xml:space="preserve"> et al., 2020; Zeng et al., 2015).</w:t>
      </w:r>
    </w:p>
    <w:p w14:paraId="399A9233" w14:textId="77777777" w:rsidR="00D32166" w:rsidRDefault="00FD100D">
      <w:pPr>
        <w:spacing w:after="160" w:line="320" w:lineRule="auto"/>
        <w:jc w:val="both"/>
      </w:pPr>
      <w:r>
        <w:t>This internal structure has a direct bearing on the mediation question. If stakeholder engagement is to mediate, it must be more strongly connected to some components of the bundle than to others. Customer focus, communication routines and supplier development are plausibly connected to external relationship management; statistical process control and inspection protocols are not. An analysis of soft and hard total quality management practices against stakeholder management capability found asymmetric contributions across the two families, which is consistent with the expectation that engagement is driven by the behavioural rather than the procedural components (de Las Casas et al., 2026). The implication is that a study modelling quality management as a single reflective construct will produce an indirect effect that conflates components with opposite properties, and that the resulting estimate is uninterpretable.</w:t>
      </w:r>
    </w:p>
    <w:p w14:paraId="79E791E1" w14:textId="77777777" w:rsidR="00D32166" w:rsidRDefault="00FD100D">
      <w:pPr>
        <w:spacing w:after="160" w:line="320" w:lineRule="auto"/>
        <w:jc w:val="both"/>
      </w:pPr>
      <w:r>
        <w:t>A second implication concerns certification. Formal certification to a quality management standard is frequently used as a proxy for practice, particularly in procurement. The evidence does not support that substitution. The relationship between certification and organisational performance is conditioned by the motivation for seeking certification, with internally motivated adoption associated with performance gains that externally motivated, compliance-driven adoption does not reproduce (</w:t>
      </w:r>
      <w:proofErr w:type="spellStart"/>
      <w:r>
        <w:t>Valmohammadi</w:t>
      </w:r>
      <w:proofErr w:type="spellEnd"/>
      <w:r>
        <w:t xml:space="preserve"> &amp; Kalantari, 2015). The distinction between possessing a certified system and practising quality management is therefore not pedantic; it determines whether the independent variable in a mediation model measures capability or merely eligibility to bid.</w:t>
      </w:r>
    </w:p>
    <w:p w14:paraId="43D45F65" w14:textId="77777777" w:rsidR="00D32166" w:rsidRDefault="00FD100D">
      <w:pPr>
        <w:pStyle w:val="Heading2"/>
        <w:spacing w:before="240" w:after="120"/>
      </w:pPr>
      <w:r>
        <w:rPr>
          <w:b/>
          <w:bCs/>
          <w:color w:val="000000"/>
          <w:sz w:val="22"/>
          <w:szCs w:val="22"/>
        </w:rPr>
        <w:t>3.2 Performance in renewable electricity infrastructure</w:t>
      </w:r>
    </w:p>
    <w:p w14:paraId="455C8CDE" w14:textId="77777777" w:rsidR="00D32166" w:rsidRDefault="00FD100D">
      <w:pPr>
        <w:spacing w:after="160" w:line="320" w:lineRule="auto"/>
        <w:jc w:val="both"/>
      </w:pPr>
      <w:r>
        <w:lastRenderedPageBreak/>
        <w:t>Project performance in this domain cannot be reduced to the cost, time and quality triad without discarding most of what the sector is asked to deliver. Research on large public sector development projects has established that the indicators practitioners and stakeholders actually apply extend well beyond the triad to include safety, efficient resource use, effectiveness, satisfaction of stakeholder groups and reduced disputes and conflicts (Toor &amp; Ogunlana, 2010). Related work demonstrates that success dimensions differ systematically across stakeholder groups, so that a single aggregate performance score obscures the disagreements that matter most (Davis, 2016). In international development project settings specifically, coordinators' perceptions of success incorporate institutional and relational criteria that are absent from contractor-centred frameworks (Diallo &amp; Thuillier, 2004).</w:t>
      </w:r>
    </w:p>
    <w:p w14:paraId="0A94FF10" w14:textId="77777777" w:rsidR="00D32166" w:rsidRDefault="00FD100D">
      <w:pPr>
        <w:spacing w:after="160" w:line="320" w:lineRule="auto"/>
        <w:jc w:val="both"/>
      </w:pPr>
      <w:r>
        <w:t xml:space="preserve">For renewable electricity assets, three further dimensions are material. Operational performance over the asset life, expressed as availability, capacity factor and reliability, determines whether the project delivers its intended output; analyses of off-grid mini-grid systems demonstrate that installed capacity is a poor predictor of delivered service, with component failures, load mismatch and maintenance deficits producing sustained underperformance (Mehta et al., 2025; </w:t>
      </w:r>
      <w:proofErr w:type="spellStart"/>
      <w:r>
        <w:t>Wassie</w:t>
      </w:r>
      <w:proofErr w:type="spellEnd"/>
      <w:r>
        <w:t xml:space="preserve"> &amp; Ahlgren, 2023). Distributional performance, expressed as the local economic activity and employment generated by the investment, has been quantified for Kenyan renewable investment and shown to depend heavily on the depth of domestic supply chains (Woollacott et al., 2023). Social performance, expressed as the absence of unresolved grievance and the fulfilment of commitments made during development, has repeatedly determined whether Kenyan projects proceed without disruption (Ndi, 2025). Megaproject scholarship reinforces the point that cost and schedule outcomes, although the most frequently reported, are systematically optimistic in the planning record and are therefore a weak basis for comparative assessment (Flyvbjerg, 2014).</w:t>
      </w:r>
    </w:p>
    <w:p w14:paraId="1109B732" w14:textId="77777777" w:rsidR="00D32166" w:rsidRDefault="00FD100D">
      <w:pPr>
        <w:pStyle w:val="Heading2"/>
        <w:spacing w:before="240" w:after="120"/>
      </w:pPr>
      <w:r>
        <w:rPr>
          <w:b/>
          <w:bCs/>
          <w:color w:val="000000"/>
          <w:sz w:val="22"/>
          <w:szCs w:val="22"/>
        </w:rPr>
        <w:t>3.3 Stakeholder engagement as process rather than disposition</w:t>
      </w:r>
    </w:p>
    <w:p w14:paraId="3CC5BD59" w14:textId="77777777" w:rsidR="00D32166" w:rsidRDefault="00FD100D">
      <w:pPr>
        <w:spacing w:after="160" w:line="320" w:lineRule="auto"/>
        <w:jc w:val="both"/>
      </w:pPr>
      <w:r>
        <w:t>Stakeholder engagement is often conflated with community attitude, which confuses the intervention with its intended effect. The distinction is maintained here. Engagement refers to the design and conduct of the processes through which a project identifies affected and interested parties, communicates with them, incorporates their input, allocates benefits and handles grievance. Acceptance refers to the resulting disposition of those parties. The social acceptance literature separates socio-political, community and market acceptance and shows that they respond to different determinants, so that national policy support does not imply local acquiescence (</w:t>
      </w:r>
      <w:proofErr w:type="spellStart"/>
      <w:r>
        <w:t>Wüstenhagen</w:t>
      </w:r>
      <w:proofErr w:type="spellEnd"/>
      <w:r>
        <w:t xml:space="preserve"> et al., 2007). Subsequent theorisation has emphasised that acceptance is dynamic, shifting across project phases and with experience of the asset in operation, rather than a fixed characteristic to be secured once at the outset (Ellis et al., 2023). Critical treatments have further argued that framing local response as an acceptance problem embeds a developer-centred normative position and obscures the legitimate grounds of objection (Batel, 2020).</w:t>
      </w:r>
    </w:p>
    <w:p w14:paraId="08FDE46A" w14:textId="77777777" w:rsidR="00D32166" w:rsidRDefault="00FD100D">
      <w:pPr>
        <w:spacing w:after="160" w:line="320" w:lineRule="auto"/>
        <w:jc w:val="both"/>
      </w:pPr>
      <w:r>
        <w:t xml:space="preserve">Within project management, engagement has moved from an instrumental exercise in classifying and managing parties towards a relational conception. Stakeholder salience theory established that parties </w:t>
      </w:r>
      <w:r>
        <w:lastRenderedPageBreak/>
        <w:t>are attended to according to perceived power, legitimacy and urgency, and that salience therefore changes as attributes are acquired or lost (Mitchell et al., 1997). Network theory extended this by showing that a focal organisation confronts not a set of independent dyads but a structure of interconnected stakeholders whose density and centrality shape the organisation's degrees of freedom (Rowley, 1997). The synthesis of stakeholder theory in management emphasised that the separation of economic from ethical considerations is untenable in practice (Parmar et al., 2010), and the explicit application of stakeholder theory to project management has argued that value creation for stakeholders is the project's purpose rather than a constraint upon it (Freeman et al., 2025). Project-specific research has developed this into a relational ontology in which stakeholders and the project are mutually constituted through the engagement process itself (</w:t>
      </w:r>
      <w:proofErr w:type="spellStart"/>
      <w:r>
        <w:t>Missonier</w:t>
      </w:r>
      <w:proofErr w:type="spellEnd"/>
      <w:r>
        <w:t xml:space="preserve"> &amp; </w:t>
      </w:r>
      <w:proofErr w:type="spellStart"/>
      <w:r>
        <w:t>Loufrani</w:t>
      </w:r>
      <w:proofErr w:type="spellEnd"/>
      <w:r>
        <w:t>-Fedida, 2014), while reviews of the field have shown that stakeholder theory entered project management scholarship largely through the sustainability agenda and remains unevenly operationalised (Uribe et al., 2018).</w:t>
      </w:r>
    </w:p>
    <w:p w14:paraId="0F306B43" w14:textId="77777777" w:rsidR="00D32166" w:rsidRDefault="00FD100D">
      <w:pPr>
        <w:pStyle w:val="Heading2"/>
        <w:spacing w:before="240" w:after="120"/>
      </w:pPr>
      <w:r>
        <w:rPr>
          <w:b/>
          <w:bCs/>
          <w:color w:val="000000"/>
          <w:sz w:val="22"/>
          <w:szCs w:val="22"/>
        </w:rPr>
        <w:t>3.4 Why mediation rather than moderation, and what the specification requires</w:t>
      </w:r>
    </w:p>
    <w:p w14:paraId="4F8F9805" w14:textId="77777777" w:rsidR="00D32166" w:rsidRDefault="00FD100D">
      <w:pPr>
        <w:spacing w:after="160" w:line="320" w:lineRule="auto"/>
        <w:jc w:val="both"/>
      </w:pPr>
      <w:r>
        <w:t>The mediation specification asserts that quality management practice affects stakeholder engagement, which in turn affects project performance, so that part or all of the total effect of practice on performance is transmitted through engagement. Three requirements follow. The mediator must be causally downstream of the predictor, which requires that engagement practice be substantially determined by the organisation's quality management system rather than by conditions outside it. The mediator must be measured independently of both predictor and outcome, which requires that engagement items not duplicate the customer focus items of the quality instrument nor the stakeholder satisfaction items of the performance instrument. The indirect effect must be estimated with a procedure that recovers its sampling distribution, since the product of two coefficients is not normally distributed (Preacher &amp; Hayes, 2008). The sequential regression logic that dominated earlier practice, while historically important, tests the conditions for mediation rather than the indirect effect itself (Baron &amp; Kenny, 1986).</w:t>
      </w:r>
    </w:p>
    <w:p w14:paraId="52C7D7E0" w14:textId="77777777" w:rsidR="00D32166" w:rsidRDefault="00FD100D">
      <w:pPr>
        <w:spacing w:after="160" w:line="320" w:lineRule="auto"/>
        <w:jc w:val="both"/>
      </w:pPr>
      <w:r>
        <w:t xml:space="preserve">The first requirement is the most demanding in the Kenyan case, and it is where the competing literatures collide. If the terms of engagement are set by land tenure regimes, county-level politics, prior expectations created by earlier projects and the structure of the investment vehicle, then engagement is not fully endogenous to the developer's management system, and a mediation model that treats it as such is </w:t>
      </w:r>
      <w:proofErr w:type="spellStart"/>
      <w:r>
        <w:t>misspecified</w:t>
      </w:r>
      <w:proofErr w:type="spellEnd"/>
      <w:r>
        <w:t xml:space="preserve">. Kenyan evidence bears directly on this. Community land tenure and its statutory registration create collective claims that individual negotiation cannot discharge (Alden Wily, 2018), and the trajectory of contestation at Lake Turkana has been traced to the conversion of community land into leasehold before those claims were resolved (Cormack &amp; </w:t>
      </w:r>
      <w:proofErr w:type="spellStart"/>
      <w:r>
        <w:t>Kurewa</w:t>
      </w:r>
      <w:proofErr w:type="spellEnd"/>
      <w:r>
        <w:t xml:space="preserve">, 2018; Ramirez et al., 2025). Where land is individually held, as at </w:t>
      </w:r>
      <w:proofErr w:type="spellStart"/>
      <w:r>
        <w:t>Kipeto</w:t>
      </w:r>
      <w:proofErr w:type="spellEnd"/>
      <w:r>
        <w:t xml:space="preserve">, the negotiation problem changes form but does not disappear (Ndi, 2024a). Under these conditions a moderated or partially exogenous specification may describe the system better than a simple mediation chain, and the review returns to this question in Section 8. Table 1 sets out the working definitions adopted and the </w:t>
      </w:r>
      <w:r>
        <w:lastRenderedPageBreak/>
        <w:t>distinctions that must be preserved for the question to remain answerable; the distinctions in the third column are those whose collapse accounts for much of the apparent agreement in the existing literature.</w:t>
      </w:r>
    </w:p>
    <w:p w14:paraId="57B180F8" w14:textId="77777777" w:rsidR="00D32166" w:rsidRDefault="00FD100D">
      <w:pPr>
        <w:spacing w:before="240" w:after="100" w:line="260" w:lineRule="auto"/>
      </w:pPr>
      <w:r>
        <w:rPr>
          <w:b/>
          <w:bCs/>
          <w:sz w:val="20"/>
          <w:szCs w:val="20"/>
        </w:rPr>
        <w:t>Table 1. Working definitions of the focal constructs and the conceptual distinctions that the mediation question requires</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3841"/>
        <w:gridCol w:w="2907"/>
        <w:gridCol w:w="1589"/>
      </w:tblGrid>
      <w:tr w:rsidR="00D32166" w14:paraId="4FB14E79" w14:textId="77777777">
        <w:trPr>
          <w:tblHeader/>
        </w:trPr>
        <w:tc>
          <w:tcPr>
            <w:tcW w:w="1301" w:type="dxa"/>
            <w:shd w:val="clear" w:color="auto" w:fill="EFEFEF"/>
            <w:tcMar>
              <w:top w:w="60" w:type="dxa"/>
              <w:left w:w="90" w:type="dxa"/>
              <w:bottom w:w="60" w:type="dxa"/>
              <w:right w:w="90" w:type="dxa"/>
            </w:tcMar>
          </w:tcPr>
          <w:p w14:paraId="4FAD86B4" w14:textId="77777777" w:rsidR="00D32166" w:rsidRDefault="00FD100D">
            <w:r>
              <w:rPr>
                <w:b/>
                <w:bCs/>
                <w:sz w:val="17"/>
                <w:szCs w:val="17"/>
              </w:rPr>
              <w:t>Construct</w:t>
            </w:r>
          </w:p>
        </w:tc>
        <w:tc>
          <w:tcPr>
            <w:tcW w:w="3841" w:type="dxa"/>
            <w:shd w:val="clear" w:color="auto" w:fill="EFEFEF"/>
            <w:tcMar>
              <w:top w:w="60" w:type="dxa"/>
              <w:left w:w="90" w:type="dxa"/>
              <w:bottom w:w="60" w:type="dxa"/>
              <w:right w:w="90" w:type="dxa"/>
            </w:tcMar>
          </w:tcPr>
          <w:p w14:paraId="4F1594B6" w14:textId="77777777" w:rsidR="00D32166" w:rsidRDefault="00FD100D">
            <w:r>
              <w:rPr>
                <w:b/>
                <w:bCs/>
                <w:sz w:val="17"/>
                <w:szCs w:val="17"/>
              </w:rPr>
              <w:t>Working definition adopted in this review</w:t>
            </w:r>
          </w:p>
        </w:tc>
        <w:tc>
          <w:tcPr>
            <w:tcW w:w="2907" w:type="dxa"/>
            <w:shd w:val="clear" w:color="auto" w:fill="EFEFEF"/>
            <w:tcMar>
              <w:top w:w="60" w:type="dxa"/>
              <w:left w:w="90" w:type="dxa"/>
              <w:bottom w:w="60" w:type="dxa"/>
              <w:right w:w="90" w:type="dxa"/>
            </w:tcMar>
          </w:tcPr>
          <w:p w14:paraId="09F6E47C" w14:textId="77777777" w:rsidR="00D32166" w:rsidRDefault="00FD100D">
            <w:r>
              <w:rPr>
                <w:b/>
                <w:bCs/>
                <w:sz w:val="17"/>
                <w:szCs w:val="17"/>
              </w:rPr>
              <w:t>Distinction that must be preserved</w:t>
            </w:r>
          </w:p>
        </w:tc>
        <w:tc>
          <w:tcPr>
            <w:tcW w:w="1589" w:type="dxa"/>
            <w:shd w:val="clear" w:color="auto" w:fill="EFEFEF"/>
            <w:tcMar>
              <w:top w:w="60" w:type="dxa"/>
              <w:left w:w="90" w:type="dxa"/>
              <w:bottom w:w="60" w:type="dxa"/>
              <w:right w:w="90" w:type="dxa"/>
            </w:tcMar>
          </w:tcPr>
          <w:p w14:paraId="5FA81EC5" w14:textId="77777777" w:rsidR="00D32166" w:rsidRDefault="00FD100D">
            <w:r>
              <w:rPr>
                <w:b/>
                <w:bCs/>
                <w:sz w:val="17"/>
                <w:szCs w:val="17"/>
              </w:rPr>
              <w:t>Supporting references</w:t>
            </w:r>
          </w:p>
        </w:tc>
      </w:tr>
      <w:tr w:rsidR="00D32166" w14:paraId="207735F8" w14:textId="77777777">
        <w:tc>
          <w:tcPr>
            <w:tcW w:w="1301" w:type="dxa"/>
            <w:tcMar>
              <w:top w:w="60" w:type="dxa"/>
              <w:left w:w="90" w:type="dxa"/>
              <w:bottom w:w="60" w:type="dxa"/>
              <w:right w:w="90" w:type="dxa"/>
            </w:tcMar>
          </w:tcPr>
          <w:p w14:paraId="601C48CE" w14:textId="77777777" w:rsidR="00D32166" w:rsidRDefault="00FD100D">
            <w:r>
              <w:rPr>
                <w:sz w:val="17"/>
                <w:szCs w:val="17"/>
              </w:rPr>
              <w:t>Quality management practice</w:t>
            </w:r>
          </w:p>
        </w:tc>
        <w:tc>
          <w:tcPr>
            <w:tcW w:w="3841" w:type="dxa"/>
            <w:tcMar>
              <w:top w:w="60" w:type="dxa"/>
              <w:left w:w="90" w:type="dxa"/>
              <w:bottom w:w="60" w:type="dxa"/>
              <w:right w:w="90" w:type="dxa"/>
            </w:tcMar>
          </w:tcPr>
          <w:p w14:paraId="3821E04D" w14:textId="77777777" w:rsidR="00D32166" w:rsidRDefault="00FD100D">
            <w:r>
              <w:rPr>
                <w:sz w:val="17"/>
                <w:szCs w:val="17"/>
              </w:rPr>
              <w:t>An integrated bundle of organisational routines comprising leadership commitment, strategic quality planning, training and employee involvement, process management, supplier quality management, information and analysis, and customer focus</w:t>
            </w:r>
          </w:p>
        </w:tc>
        <w:tc>
          <w:tcPr>
            <w:tcW w:w="2907" w:type="dxa"/>
            <w:tcMar>
              <w:top w:w="60" w:type="dxa"/>
              <w:left w:w="90" w:type="dxa"/>
              <w:bottom w:w="60" w:type="dxa"/>
              <w:right w:w="90" w:type="dxa"/>
            </w:tcMar>
          </w:tcPr>
          <w:p w14:paraId="06A6BF2C" w14:textId="77777777" w:rsidR="00D32166" w:rsidRDefault="00FD100D">
            <w:r>
              <w:rPr>
                <w:sz w:val="17"/>
                <w:szCs w:val="17"/>
              </w:rPr>
              <w:t>Soft (behavioural) components must be separated from hard (procedural and technical) components, and practice must be separated from certification status</w:t>
            </w:r>
          </w:p>
        </w:tc>
        <w:tc>
          <w:tcPr>
            <w:tcW w:w="1589" w:type="dxa"/>
            <w:tcMar>
              <w:top w:w="60" w:type="dxa"/>
              <w:left w:w="90" w:type="dxa"/>
              <w:bottom w:w="60" w:type="dxa"/>
              <w:right w:w="90" w:type="dxa"/>
            </w:tcMar>
          </w:tcPr>
          <w:p w14:paraId="46009C41" w14:textId="77777777" w:rsidR="00D32166" w:rsidRDefault="00FD100D">
            <w:r>
              <w:rPr>
                <w:sz w:val="17"/>
                <w:szCs w:val="17"/>
              </w:rPr>
              <w:t xml:space="preserve">Kaynak (2003); Samson and </w:t>
            </w:r>
            <w:proofErr w:type="spellStart"/>
            <w:r>
              <w:rPr>
                <w:sz w:val="17"/>
                <w:szCs w:val="17"/>
              </w:rPr>
              <w:t>Terziovski</w:t>
            </w:r>
            <w:proofErr w:type="spellEnd"/>
            <w:r>
              <w:rPr>
                <w:sz w:val="17"/>
                <w:szCs w:val="17"/>
              </w:rPr>
              <w:t xml:space="preserve"> (1999); </w:t>
            </w:r>
            <w:proofErr w:type="spellStart"/>
            <w:r>
              <w:rPr>
                <w:sz w:val="17"/>
                <w:szCs w:val="17"/>
              </w:rPr>
              <w:t>Valmohammadi</w:t>
            </w:r>
            <w:proofErr w:type="spellEnd"/>
            <w:r>
              <w:rPr>
                <w:sz w:val="17"/>
                <w:szCs w:val="17"/>
              </w:rPr>
              <w:t xml:space="preserve"> and Kalantari (2015); Zeng et al. (2015)</w:t>
            </w:r>
          </w:p>
        </w:tc>
      </w:tr>
      <w:tr w:rsidR="00D32166" w14:paraId="663F8C3C" w14:textId="77777777">
        <w:tc>
          <w:tcPr>
            <w:tcW w:w="1301" w:type="dxa"/>
            <w:tcMar>
              <w:top w:w="60" w:type="dxa"/>
              <w:left w:w="90" w:type="dxa"/>
              <w:bottom w:w="60" w:type="dxa"/>
              <w:right w:w="90" w:type="dxa"/>
            </w:tcMar>
          </w:tcPr>
          <w:p w14:paraId="185E2218" w14:textId="77777777" w:rsidR="00D32166" w:rsidRDefault="00FD100D">
            <w:r>
              <w:rPr>
                <w:sz w:val="17"/>
                <w:szCs w:val="17"/>
              </w:rPr>
              <w:t>Project performance</w:t>
            </w:r>
          </w:p>
        </w:tc>
        <w:tc>
          <w:tcPr>
            <w:tcW w:w="3841" w:type="dxa"/>
            <w:tcMar>
              <w:top w:w="60" w:type="dxa"/>
              <w:left w:w="90" w:type="dxa"/>
              <w:bottom w:w="60" w:type="dxa"/>
              <w:right w:w="90" w:type="dxa"/>
            </w:tcMar>
          </w:tcPr>
          <w:p w14:paraId="6E4EB2A1" w14:textId="77777777" w:rsidR="00D32166" w:rsidRDefault="00FD100D">
            <w:r>
              <w:rPr>
                <w:sz w:val="17"/>
                <w:szCs w:val="17"/>
              </w:rPr>
              <w:t>A multidimensional construct spanning delivery outcomes (cost, schedule, conformance), operational outcomes over the asset life (availability, capacity factor, reliability), distributional outcomes (local economic activity, employment) and social outcomes (grievance resolution, commitment fulfilment)</w:t>
            </w:r>
          </w:p>
        </w:tc>
        <w:tc>
          <w:tcPr>
            <w:tcW w:w="2907" w:type="dxa"/>
            <w:tcMar>
              <w:top w:w="60" w:type="dxa"/>
              <w:left w:w="90" w:type="dxa"/>
              <w:bottom w:w="60" w:type="dxa"/>
              <w:right w:w="90" w:type="dxa"/>
            </w:tcMar>
          </w:tcPr>
          <w:p w14:paraId="5C27C85E" w14:textId="77777777" w:rsidR="00D32166" w:rsidRDefault="00FD100D">
            <w:r>
              <w:rPr>
                <w:sz w:val="17"/>
                <w:szCs w:val="17"/>
              </w:rPr>
              <w:t>Delivery performance must be separated from operational and social performance, and perceived performance must be separated from measured performance</w:t>
            </w:r>
          </w:p>
        </w:tc>
        <w:tc>
          <w:tcPr>
            <w:tcW w:w="1589" w:type="dxa"/>
            <w:tcMar>
              <w:top w:w="60" w:type="dxa"/>
              <w:left w:w="90" w:type="dxa"/>
              <w:bottom w:w="60" w:type="dxa"/>
              <w:right w:w="90" w:type="dxa"/>
            </w:tcMar>
          </w:tcPr>
          <w:p w14:paraId="7D3E9DFA" w14:textId="77777777" w:rsidR="00D32166" w:rsidRDefault="00FD100D">
            <w:r>
              <w:rPr>
                <w:sz w:val="17"/>
                <w:szCs w:val="17"/>
              </w:rPr>
              <w:t>Davis (2016); Flyvbjerg (2014); Mehta et al. (2025); Toor and Ogunlana (2010); Woollacott et al. (2023)</w:t>
            </w:r>
          </w:p>
        </w:tc>
      </w:tr>
      <w:tr w:rsidR="00D32166" w14:paraId="589C2B0C" w14:textId="77777777">
        <w:tc>
          <w:tcPr>
            <w:tcW w:w="1301" w:type="dxa"/>
            <w:tcMar>
              <w:top w:w="60" w:type="dxa"/>
              <w:left w:w="90" w:type="dxa"/>
              <w:bottom w:w="60" w:type="dxa"/>
              <w:right w:w="90" w:type="dxa"/>
            </w:tcMar>
          </w:tcPr>
          <w:p w14:paraId="2EF3C2EC" w14:textId="77777777" w:rsidR="00D32166" w:rsidRDefault="00FD100D">
            <w:r>
              <w:rPr>
                <w:sz w:val="17"/>
                <w:szCs w:val="17"/>
              </w:rPr>
              <w:t>Stakeholder engagement</w:t>
            </w:r>
          </w:p>
        </w:tc>
        <w:tc>
          <w:tcPr>
            <w:tcW w:w="3841" w:type="dxa"/>
            <w:tcMar>
              <w:top w:w="60" w:type="dxa"/>
              <w:left w:w="90" w:type="dxa"/>
              <w:bottom w:w="60" w:type="dxa"/>
              <w:right w:w="90" w:type="dxa"/>
            </w:tcMar>
          </w:tcPr>
          <w:p w14:paraId="5889AB81" w14:textId="77777777" w:rsidR="00D32166" w:rsidRDefault="00FD100D">
            <w:r>
              <w:rPr>
                <w:sz w:val="17"/>
                <w:szCs w:val="17"/>
              </w:rPr>
              <w:t>The design and conduct of identification, communication, participation, benefit allocation and grievance-handling processes directed at affected and interested parties</w:t>
            </w:r>
          </w:p>
        </w:tc>
        <w:tc>
          <w:tcPr>
            <w:tcW w:w="2907" w:type="dxa"/>
            <w:tcMar>
              <w:top w:w="60" w:type="dxa"/>
              <w:left w:w="90" w:type="dxa"/>
              <w:bottom w:w="60" w:type="dxa"/>
              <w:right w:w="90" w:type="dxa"/>
            </w:tcMar>
          </w:tcPr>
          <w:p w14:paraId="3485508D" w14:textId="77777777" w:rsidR="00D32166" w:rsidRDefault="00FD100D">
            <w:r>
              <w:rPr>
                <w:sz w:val="17"/>
                <w:szCs w:val="17"/>
              </w:rPr>
              <w:t>Engagement as process must be separated from acceptance as disposition, and formal consultation must be separated from substantive influence on decisions</w:t>
            </w:r>
          </w:p>
        </w:tc>
        <w:tc>
          <w:tcPr>
            <w:tcW w:w="1589" w:type="dxa"/>
            <w:tcMar>
              <w:top w:w="60" w:type="dxa"/>
              <w:left w:w="90" w:type="dxa"/>
              <w:bottom w:w="60" w:type="dxa"/>
              <w:right w:w="90" w:type="dxa"/>
            </w:tcMar>
          </w:tcPr>
          <w:p w14:paraId="796FFF25" w14:textId="77777777" w:rsidR="00D32166" w:rsidRDefault="00FD100D">
            <w:r>
              <w:rPr>
                <w:sz w:val="17"/>
                <w:szCs w:val="17"/>
              </w:rPr>
              <w:t xml:space="preserve">Ellis et al. (2023); </w:t>
            </w:r>
            <w:proofErr w:type="spellStart"/>
            <w:r>
              <w:rPr>
                <w:sz w:val="17"/>
                <w:szCs w:val="17"/>
              </w:rPr>
              <w:t>Missonier</w:t>
            </w:r>
            <w:proofErr w:type="spellEnd"/>
            <w:r>
              <w:rPr>
                <w:sz w:val="17"/>
                <w:szCs w:val="17"/>
              </w:rPr>
              <w:t xml:space="preserve"> and </w:t>
            </w:r>
            <w:proofErr w:type="spellStart"/>
            <w:r>
              <w:rPr>
                <w:sz w:val="17"/>
                <w:szCs w:val="17"/>
              </w:rPr>
              <w:t>Loufrani</w:t>
            </w:r>
            <w:proofErr w:type="spellEnd"/>
            <w:r>
              <w:rPr>
                <w:sz w:val="17"/>
                <w:szCs w:val="17"/>
              </w:rPr>
              <w:t xml:space="preserve">-Fedida (2014); </w:t>
            </w:r>
            <w:proofErr w:type="spellStart"/>
            <w:r>
              <w:rPr>
                <w:sz w:val="17"/>
                <w:szCs w:val="17"/>
              </w:rPr>
              <w:t>Wüstenhagen</w:t>
            </w:r>
            <w:proofErr w:type="spellEnd"/>
            <w:r>
              <w:rPr>
                <w:sz w:val="17"/>
                <w:szCs w:val="17"/>
              </w:rPr>
              <w:t xml:space="preserve"> et al. (2007)</w:t>
            </w:r>
          </w:p>
        </w:tc>
      </w:tr>
      <w:tr w:rsidR="00D32166" w14:paraId="015B6F67" w14:textId="77777777">
        <w:tc>
          <w:tcPr>
            <w:tcW w:w="1301" w:type="dxa"/>
            <w:tcMar>
              <w:top w:w="60" w:type="dxa"/>
              <w:left w:w="90" w:type="dxa"/>
              <w:bottom w:w="60" w:type="dxa"/>
              <w:right w:w="90" w:type="dxa"/>
            </w:tcMar>
          </w:tcPr>
          <w:p w14:paraId="7A2C47E5" w14:textId="77777777" w:rsidR="00D32166" w:rsidRDefault="00FD100D">
            <w:r>
              <w:rPr>
                <w:sz w:val="17"/>
                <w:szCs w:val="17"/>
              </w:rPr>
              <w:t>Stakeholder salience</w:t>
            </w:r>
          </w:p>
        </w:tc>
        <w:tc>
          <w:tcPr>
            <w:tcW w:w="3841" w:type="dxa"/>
            <w:tcMar>
              <w:top w:w="60" w:type="dxa"/>
              <w:left w:w="90" w:type="dxa"/>
              <w:bottom w:w="60" w:type="dxa"/>
              <w:right w:w="90" w:type="dxa"/>
            </w:tcMar>
          </w:tcPr>
          <w:p w14:paraId="0FCF028C" w14:textId="77777777" w:rsidR="00D32166" w:rsidRDefault="00FD100D">
            <w:r>
              <w:rPr>
                <w:sz w:val="17"/>
                <w:szCs w:val="17"/>
              </w:rPr>
              <w:t>The degree to which a party commands managerial attention, determined by perceived power, legitimacy and urgency and by the party's position in the wider stakeholder network</w:t>
            </w:r>
          </w:p>
        </w:tc>
        <w:tc>
          <w:tcPr>
            <w:tcW w:w="2907" w:type="dxa"/>
            <w:tcMar>
              <w:top w:w="60" w:type="dxa"/>
              <w:left w:w="90" w:type="dxa"/>
              <w:bottom w:w="60" w:type="dxa"/>
              <w:right w:w="90" w:type="dxa"/>
            </w:tcMar>
          </w:tcPr>
          <w:p w14:paraId="13A16D22" w14:textId="77777777" w:rsidR="00D32166" w:rsidRDefault="00FD100D">
            <w:r>
              <w:rPr>
                <w:sz w:val="17"/>
                <w:szCs w:val="17"/>
              </w:rPr>
              <w:t>Salience must be separated from formal standing, since parties without contractual standing may acquire urgency and legitimacy during implementation</w:t>
            </w:r>
          </w:p>
        </w:tc>
        <w:tc>
          <w:tcPr>
            <w:tcW w:w="1589" w:type="dxa"/>
            <w:tcMar>
              <w:top w:w="60" w:type="dxa"/>
              <w:left w:w="90" w:type="dxa"/>
              <w:bottom w:w="60" w:type="dxa"/>
              <w:right w:w="90" w:type="dxa"/>
            </w:tcMar>
          </w:tcPr>
          <w:p w14:paraId="32E474A3" w14:textId="77777777" w:rsidR="00D32166" w:rsidRDefault="00FD100D">
            <w:r>
              <w:rPr>
                <w:sz w:val="17"/>
                <w:szCs w:val="17"/>
              </w:rPr>
              <w:t>Mitchell et al. (1997); Parmar et al. (2010); Rowley (1997)</w:t>
            </w:r>
          </w:p>
        </w:tc>
      </w:tr>
      <w:tr w:rsidR="00D32166" w14:paraId="1983FFDF" w14:textId="77777777">
        <w:tc>
          <w:tcPr>
            <w:tcW w:w="1301" w:type="dxa"/>
            <w:tcMar>
              <w:top w:w="60" w:type="dxa"/>
              <w:left w:w="90" w:type="dxa"/>
              <w:bottom w:w="60" w:type="dxa"/>
              <w:right w:w="90" w:type="dxa"/>
            </w:tcMar>
          </w:tcPr>
          <w:p w14:paraId="2BCD8242" w14:textId="77777777" w:rsidR="00D32166" w:rsidRDefault="00FD100D">
            <w:r>
              <w:rPr>
                <w:sz w:val="17"/>
                <w:szCs w:val="17"/>
              </w:rPr>
              <w:t>Procedural justice</w:t>
            </w:r>
          </w:p>
        </w:tc>
        <w:tc>
          <w:tcPr>
            <w:tcW w:w="3841" w:type="dxa"/>
            <w:tcMar>
              <w:top w:w="60" w:type="dxa"/>
              <w:left w:w="90" w:type="dxa"/>
              <w:bottom w:w="60" w:type="dxa"/>
              <w:right w:w="90" w:type="dxa"/>
            </w:tcMar>
          </w:tcPr>
          <w:p w14:paraId="060AEE88" w14:textId="77777777" w:rsidR="00D32166" w:rsidRDefault="00FD100D">
            <w:r>
              <w:rPr>
                <w:sz w:val="17"/>
                <w:szCs w:val="17"/>
              </w:rPr>
              <w:t>The perceived fairness, transparency, inclusiveness and responsiveness of the process through which project decisions affecting a community are reached</w:t>
            </w:r>
          </w:p>
        </w:tc>
        <w:tc>
          <w:tcPr>
            <w:tcW w:w="2907" w:type="dxa"/>
            <w:tcMar>
              <w:top w:w="60" w:type="dxa"/>
              <w:left w:w="90" w:type="dxa"/>
              <w:bottom w:w="60" w:type="dxa"/>
              <w:right w:w="90" w:type="dxa"/>
            </w:tcMar>
          </w:tcPr>
          <w:p w14:paraId="6C6D7A22" w14:textId="77777777" w:rsidR="00D32166" w:rsidRDefault="00FD100D">
            <w:r>
              <w:rPr>
                <w:sz w:val="17"/>
                <w:szCs w:val="17"/>
              </w:rPr>
              <w:t>Procedural fairness must be separated from distributive adequacy, since compensation does not substitute for voice</w:t>
            </w:r>
          </w:p>
        </w:tc>
        <w:tc>
          <w:tcPr>
            <w:tcW w:w="1589" w:type="dxa"/>
            <w:tcMar>
              <w:top w:w="60" w:type="dxa"/>
              <w:left w:w="90" w:type="dxa"/>
              <w:bottom w:w="60" w:type="dxa"/>
              <w:right w:w="90" w:type="dxa"/>
            </w:tcMar>
          </w:tcPr>
          <w:p w14:paraId="3EF35EAE" w14:textId="77777777" w:rsidR="00D32166" w:rsidRDefault="00FD100D">
            <w:r>
              <w:rPr>
                <w:sz w:val="17"/>
                <w:szCs w:val="17"/>
              </w:rPr>
              <w:t>Ottinger et al. (2014); Walker and Baxter (2017)</w:t>
            </w:r>
          </w:p>
        </w:tc>
      </w:tr>
      <w:tr w:rsidR="00D32166" w14:paraId="4278A5E2" w14:textId="77777777">
        <w:tc>
          <w:tcPr>
            <w:tcW w:w="1301" w:type="dxa"/>
            <w:tcMar>
              <w:top w:w="60" w:type="dxa"/>
              <w:left w:w="90" w:type="dxa"/>
              <w:bottom w:w="60" w:type="dxa"/>
              <w:right w:w="90" w:type="dxa"/>
            </w:tcMar>
          </w:tcPr>
          <w:p w14:paraId="77FBCC80" w14:textId="77777777" w:rsidR="00D32166" w:rsidRDefault="00FD100D">
            <w:r>
              <w:rPr>
                <w:sz w:val="17"/>
                <w:szCs w:val="17"/>
              </w:rPr>
              <w:t>Mediation</w:t>
            </w:r>
          </w:p>
        </w:tc>
        <w:tc>
          <w:tcPr>
            <w:tcW w:w="3841" w:type="dxa"/>
            <w:tcMar>
              <w:top w:w="60" w:type="dxa"/>
              <w:left w:w="90" w:type="dxa"/>
              <w:bottom w:w="60" w:type="dxa"/>
              <w:right w:w="90" w:type="dxa"/>
            </w:tcMar>
          </w:tcPr>
          <w:p w14:paraId="11E13713" w14:textId="77777777" w:rsidR="00D32166" w:rsidRDefault="00FD100D">
            <w:r>
              <w:rPr>
                <w:sz w:val="17"/>
                <w:szCs w:val="17"/>
              </w:rPr>
              <w:t>A causal specification in which the effect of quality management practice on performance is transmitted, wholly or partly, through stakeholder engagement</w:t>
            </w:r>
          </w:p>
        </w:tc>
        <w:tc>
          <w:tcPr>
            <w:tcW w:w="2907" w:type="dxa"/>
            <w:tcMar>
              <w:top w:w="60" w:type="dxa"/>
              <w:left w:w="90" w:type="dxa"/>
              <w:bottom w:w="60" w:type="dxa"/>
              <w:right w:w="90" w:type="dxa"/>
            </w:tcMar>
          </w:tcPr>
          <w:p w14:paraId="080A8F06" w14:textId="77777777" w:rsidR="00D32166" w:rsidRDefault="00FD100D">
            <w:r>
              <w:rPr>
                <w:sz w:val="17"/>
                <w:szCs w:val="17"/>
              </w:rPr>
              <w:t>Statistical mediation must be separated from causal mediation, which requires temporal ordering and exogeneity of the predictor with respect to the mediator</w:t>
            </w:r>
          </w:p>
        </w:tc>
        <w:tc>
          <w:tcPr>
            <w:tcW w:w="1589" w:type="dxa"/>
            <w:tcMar>
              <w:top w:w="60" w:type="dxa"/>
              <w:left w:w="90" w:type="dxa"/>
              <w:bottom w:w="60" w:type="dxa"/>
              <w:right w:w="90" w:type="dxa"/>
            </w:tcMar>
          </w:tcPr>
          <w:p w14:paraId="181D98B9" w14:textId="77777777" w:rsidR="00D32166" w:rsidRDefault="00FD100D">
            <w:r>
              <w:rPr>
                <w:sz w:val="17"/>
                <w:szCs w:val="17"/>
              </w:rPr>
              <w:t>Baron and Kenny (1986); Preacher and Hayes (2008)</w:t>
            </w:r>
          </w:p>
        </w:tc>
      </w:tr>
    </w:tbl>
    <w:p w14:paraId="29809D2E" w14:textId="77777777" w:rsidR="00D32166" w:rsidRDefault="00FD100D">
      <w:pPr>
        <w:spacing w:before="100" w:after="240"/>
      </w:pPr>
      <w:r>
        <w:rPr>
          <w:sz w:val="17"/>
          <w:szCs w:val="17"/>
        </w:rPr>
        <w:t>Note. The table states the definitions adopted for the purposes of this review and does not claim consensus across the fields from which the constructs are drawn.</w:t>
      </w:r>
    </w:p>
    <w:p w14:paraId="461AAB87" w14:textId="77777777" w:rsidR="00D32166" w:rsidRDefault="00FD100D">
      <w:pPr>
        <w:pStyle w:val="Heading1"/>
        <w:spacing w:before="320" w:after="140"/>
      </w:pPr>
      <w:r>
        <w:rPr>
          <w:b/>
          <w:bCs/>
          <w:color w:val="000000"/>
          <w:sz w:val="24"/>
          <w:szCs w:val="24"/>
        </w:rPr>
        <w:t>4. The Kenyan Renewable Electricity Context and Its Consequences for Quality Management</w:t>
      </w:r>
    </w:p>
    <w:p w14:paraId="08332E44" w14:textId="77777777" w:rsidR="00D32166" w:rsidRDefault="00FD100D">
      <w:pPr>
        <w:pStyle w:val="Heading2"/>
        <w:spacing w:before="240" w:after="120"/>
      </w:pPr>
      <w:r>
        <w:rPr>
          <w:b/>
          <w:bCs/>
          <w:color w:val="000000"/>
          <w:sz w:val="22"/>
          <w:szCs w:val="22"/>
        </w:rPr>
        <w:t>4.1 Portfolio composition, delivery models and the locus of quality control</w:t>
      </w:r>
    </w:p>
    <w:p w14:paraId="2E82A079" w14:textId="77777777" w:rsidR="00D32166" w:rsidRDefault="00FD100D">
      <w:pPr>
        <w:spacing w:after="160" w:line="320" w:lineRule="auto"/>
        <w:jc w:val="both"/>
      </w:pPr>
      <w:r>
        <w:t xml:space="preserve">Kenya's generation portfolio is unusual among African systems in its dependence on geothermal resources, which supply the largest single share of output, with hydropower, wind and solar accounting for most of the remainder and liquid fuels retained for peaking and reserve duty (International Energy Agency, 2025). The composition matters for quality management because the four technologies differ in where quality risk accumulates. Geothermal development concentrates risk in the exploration and drilling phases, where subsurface uncertainty interacts with well construction quality and where resource dynamics over the field's life determine sustained output; modelling of Kenyan geothermal and hydropower resources has shown that resource depletion and hydrological variability materially alter system planning assumptions and therefore the performance expected of </w:t>
      </w:r>
      <w:r>
        <w:lastRenderedPageBreak/>
        <w:t>individual assets (Spittler et al., 2021). Wind and solar concentrate risk in siting, land acquisition, component specification and grid interface. Distributed systems concentrate it in component selection, installation workmanship and after-sales service.</w:t>
      </w:r>
    </w:p>
    <w:p w14:paraId="64531D84" w14:textId="77777777" w:rsidR="00D32166" w:rsidRDefault="00FD100D">
      <w:pPr>
        <w:spacing w:after="160" w:line="320" w:lineRule="auto"/>
        <w:jc w:val="both"/>
      </w:pPr>
      <w:r>
        <w:t>Delivery models are equally heterogeneous. State utility investment, independent power production under long-term purchase agreements, donor-financed rural electrification, county-level initiatives and commercially financed distributed energy service companies each impose different contractual structures, different quality assurance obligations and different stakeholder configurations. Scenario and pathway analyses of Kenya's electricity transition have emphasised that the institutional coordination problem is as binding as the technical one, with the alignment of national planning, county planning and private investment repeatedly identified as the constraint on orderly deployment (</w:t>
      </w:r>
      <w:proofErr w:type="spellStart"/>
      <w:r>
        <w:t>Kehbila</w:t>
      </w:r>
      <w:proofErr w:type="spellEnd"/>
      <w:r>
        <w:t xml:space="preserve"> et al., 2021). Work developing county-resolution demand projections has made the multi-level governance dimension explicit, showing that planning dialogue must operate simultaneously at national and county scales if investment is to match demand where it materialises (Fields et al., 2025). Quality management practice in this setting is therefore distributed across organisations rather than located within one, and the analytical unit implied by firm-level quality management instruments does not correspond to the unit at which project quality is actually determined.</w:t>
      </w:r>
    </w:p>
    <w:p w14:paraId="63A04FCE" w14:textId="77777777" w:rsidR="00D32166" w:rsidRDefault="00FD100D">
      <w:pPr>
        <w:pStyle w:val="Heading2"/>
        <w:spacing w:before="240" w:after="120"/>
      </w:pPr>
      <w:r>
        <w:rPr>
          <w:b/>
          <w:bCs/>
          <w:color w:val="000000"/>
          <w:sz w:val="22"/>
          <w:szCs w:val="22"/>
        </w:rPr>
        <w:t>4.2 Quality as a systemic property: standards, conformity and the repair ecosystem</w:t>
      </w:r>
    </w:p>
    <w:p w14:paraId="18227F89" w14:textId="77777777" w:rsidR="00D32166" w:rsidRDefault="00FD100D">
      <w:pPr>
        <w:spacing w:after="160" w:line="320" w:lineRule="auto"/>
        <w:jc w:val="both"/>
      </w:pPr>
      <w:r>
        <w:t xml:space="preserve">The off-grid solar segment provides the clearest Kenyan demonstration that quality outcomes are systemic rather than firm-bounded. Research on Kenya's off-grid solar sector has shown that technical standards and quality verification schemes, while necessary, do not by themselves produce durable service, because product longevity depends on an ecosystem of repair, spare parts availability, technician skill and consumer redress that standards do not create (Harrington &amp; Wambugu, 2021). Comparative appraisals of solar home system component quality reach compatible conclusions, finding that components meeting nominal specifications at the point of sale degrade at rates that reflect installation practice and operating conditions rather than the specification itself (Chowdhury &amp; </w:t>
      </w:r>
      <w:proofErr w:type="spellStart"/>
      <w:r>
        <w:t>Mourshed</w:t>
      </w:r>
      <w:proofErr w:type="spellEnd"/>
      <w:r>
        <w:t>, 2016). The distinction is important because procurement regimes and development finance conditions typically specify product standards, which are a hard quality practice, while the determinants of realised quality lie substantially in the soft practices of training, service design and supplier relationship management.</w:t>
      </w:r>
    </w:p>
    <w:p w14:paraId="7E835B3F" w14:textId="77777777" w:rsidR="00D32166" w:rsidRDefault="00FD100D">
      <w:pPr>
        <w:spacing w:after="160" w:line="320" w:lineRule="auto"/>
        <w:jc w:val="both"/>
      </w:pPr>
      <w:r>
        <w:t>The same logic extends to mini-grids. Techno-economic assessment of hybrid photovoltaic and wind mini-grids in Kenya identified barriers to diffusion that were institutional and commercial rather than technological, including tariff structures, demand uncertainty and the absence of predictable interconnection arrangements (Johannsen et al., 2020). Analysis of the political economy of Kenyan mini-grid development has shown that innovation in the segment has been shaped by donor priorities and by the regulatory treatment of concessions, which conditions what developers can invest in operational quality (</w:t>
      </w:r>
      <w:proofErr w:type="spellStart"/>
      <w:r>
        <w:t>Ogeya</w:t>
      </w:r>
      <w:proofErr w:type="spellEnd"/>
      <w:r>
        <w:t xml:space="preserve"> &amp; Lambe, 2025). Studies of mini-grid business models and finance across sub-Saharan Africa document the resulting trade-off explicitly: developers operating on thin margins and short concession horizons have limited incentive to fund the preventive maintenance and </w:t>
      </w:r>
      <w:r>
        <w:lastRenderedPageBreak/>
        <w:t>customer service capability on which long-run performance depends (Fajardo et al., 2025). Evidence on the profitability challenges facing foreign-owned private mini-grid developers in the region reinforces the point that operational quality competes directly with commercial survival (</w:t>
      </w:r>
      <w:proofErr w:type="spellStart"/>
      <w:r>
        <w:t>Bendaanane</w:t>
      </w:r>
      <w:proofErr w:type="spellEnd"/>
      <w:r>
        <w:t xml:space="preserve"> &amp; Belz, 2025).</w:t>
      </w:r>
    </w:p>
    <w:p w14:paraId="10506DBC" w14:textId="77777777" w:rsidR="00D32166" w:rsidRDefault="00FD100D">
      <w:pPr>
        <w:pStyle w:val="Heading2"/>
        <w:spacing w:before="240" w:after="120"/>
      </w:pPr>
      <w:r>
        <w:rPr>
          <w:b/>
          <w:bCs/>
          <w:color w:val="000000"/>
          <w:sz w:val="22"/>
          <w:szCs w:val="22"/>
        </w:rPr>
        <w:t>4.3 Documented performance of Kenyan and regional renewable assets</w:t>
      </w:r>
    </w:p>
    <w:p w14:paraId="788E83DC" w14:textId="77777777" w:rsidR="00D32166" w:rsidRDefault="00FD100D">
      <w:pPr>
        <w:spacing w:after="160" w:line="320" w:lineRule="auto"/>
        <w:jc w:val="both"/>
      </w:pPr>
      <w:r>
        <w:t>Direct measurement of the operational performance of Kenyan renewable assets remains thinner than the policy attention the sector receives, and much of the available technical evidence comes from comparable regional settings. Reliability analysis of an off-grid photovoltaic mini-grid in southern Ethiopia documented substantial divergence between design expectations and delivered service, attributable to component degradation, battery management and unanticipated load profiles (</w:t>
      </w:r>
      <w:proofErr w:type="spellStart"/>
      <w:r>
        <w:t>Wassie</w:t>
      </w:r>
      <w:proofErr w:type="spellEnd"/>
      <w:r>
        <w:t xml:space="preserve"> &amp; Ahlgren, 2023). Case analysis of Namibian mini-grids identified maintenance capability, spare part logistics and operator skill as the dominant determinants of sustained availability (Mehta et al., 2025). A regional review of off-grid mini-grids concluded that operational sustainability, rather than initial technical feasibility, is the principal unresolved problem of the segment (</w:t>
      </w:r>
      <w:proofErr w:type="spellStart"/>
      <w:r>
        <w:t>Babayomi</w:t>
      </w:r>
      <w:proofErr w:type="spellEnd"/>
      <w:r>
        <w:t xml:space="preserve"> et al., 2023). These findings are not Kenyan, and their transfer requires caution, but they converge on a mechanism that Kenyan evidence independently supports, namely that quality realised in operation depends on capabilities built during and after construction rather than on design specification.</w:t>
      </w:r>
    </w:p>
    <w:p w14:paraId="0E658277" w14:textId="77777777" w:rsidR="00D32166" w:rsidRDefault="00FD100D">
      <w:pPr>
        <w:spacing w:after="160" w:line="320" w:lineRule="auto"/>
        <w:jc w:val="both"/>
      </w:pPr>
      <w:r>
        <w:t>For grid-connected assets, the Kenyan evidence is largely indirect. Household-level evaluation of off-grid solar in Kenya found measurable effects on energy consumption and expenditure, establishing that the technology delivers benefit where it functions, without addressing the variance in whether it functions (Wagner et al., 2021). Market analysis of solar home systems across Rwanda and Kenya identified pronounced segmentation in customer requirements and payment capacity, which implies that a single product quality standard will be simultaneously excessive for some segments and inadequate for others (Kennedy et al., 2019). At system level, the consequences of unreliability have been quantified regionally: outages in sub-Saharan Africa impose substantial economic and environmental costs through backup generation and lost output (Farquharson et al., 2018), and East African firm-level evidence shows that outage exposure drives generator ownership with associated cost and emissions penalties (Kupzig, 2023). Performance in this sector therefore has consequences that extend well beyond the project boundary, which strengthens the case for defining performance broadly.</w:t>
      </w:r>
    </w:p>
    <w:p w14:paraId="674AC64D" w14:textId="77777777" w:rsidR="00D32166" w:rsidRDefault="00FD100D">
      <w:pPr>
        <w:spacing w:after="160" w:line="320" w:lineRule="auto"/>
        <w:jc w:val="both"/>
      </w:pPr>
      <w:r>
        <w:t xml:space="preserve">Distributional performance has been quantified for Kenya specifically. Analysis of the local economic supply chain impacts of renewable energy investment in the country found that the domestic economic return to investment depends on the share of expenditure captured by local suppliers, which is in turn a function of supplier capability and of the procurement rules applied by developers and financiers (Woollacott et al., 2023). This connects supplier quality management, ordinarily treated as an internal operations practice, directly to a socially salient outcome. Evidence on capability formation at Lake Turkana points in the same direction, documenting genuine but bounded local learning through technology transfer, with the boundaries set by the division of labour between </w:t>
      </w:r>
      <w:r>
        <w:lastRenderedPageBreak/>
        <w:t>international contractors and local firms (Gregersen, 2022). Regional analysis of research and training capacity in renewable energy has identified persistent deficits in the specialist skills on which both technical quality and local supplier development depend (</w:t>
      </w:r>
      <w:proofErr w:type="spellStart"/>
      <w:r>
        <w:t>Colenbrander</w:t>
      </w:r>
      <w:proofErr w:type="spellEnd"/>
      <w:r>
        <w:t xml:space="preserve"> et al., 2015). Table 2 maps the practice domains onto the performance consequences documented in this section and records the strength of the supporting evidence; the pattern it displays is that the domains with the strongest evidential support are those closest to operations and supply chains, while the domains most often specified in procurement are those with the weakest documented link to realised performance.</w:t>
      </w:r>
    </w:p>
    <w:p w14:paraId="3AA66538" w14:textId="77777777" w:rsidR="00D32166" w:rsidRDefault="00FD100D">
      <w:pPr>
        <w:spacing w:before="240" w:after="100" w:line="260" w:lineRule="auto"/>
      </w:pPr>
      <w:r>
        <w:rPr>
          <w:b/>
          <w:bCs/>
          <w:sz w:val="20"/>
          <w:szCs w:val="20"/>
        </w:rPr>
        <w:t>Table 2. Domains of quality management practice in renewable electricity infrastructure, documented performance consequences and strength of the supporting evidence</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2565"/>
        <w:gridCol w:w="2249"/>
        <w:gridCol w:w="2034"/>
        <w:gridCol w:w="1489"/>
      </w:tblGrid>
      <w:tr w:rsidR="00D32166" w14:paraId="4F9E2D4E" w14:textId="77777777">
        <w:trPr>
          <w:tblHeader/>
        </w:trPr>
        <w:tc>
          <w:tcPr>
            <w:tcW w:w="1301" w:type="dxa"/>
            <w:shd w:val="clear" w:color="auto" w:fill="EFEFEF"/>
            <w:tcMar>
              <w:top w:w="60" w:type="dxa"/>
              <w:left w:w="90" w:type="dxa"/>
              <w:bottom w:w="60" w:type="dxa"/>
              <w:right w:w="90" w:type="dxa"/>
            </w:tcMar>
          </w:tcPr>
          <w:p w14:paraId="1C85E8BE" w14:textId="77777777" w:rsidR="00D32166" w:rsidRDefault="00FD100D">
            <w:r>
              <w:rPr>
                <w:b/>
                <w:bCs/>
                <w:sz w:val="17"/>
                <w:szCs w:val="17"/>
              </w:rPr>
              <w:t>Practice domain</w:t>
            </w:r>
          </w:p>
        </w:tc>
        <w:tc>
          <w:tcPr>
            <w:tcW w:w="2565" w:type="dxa"/>
            <w:shd w:val="clear" w:color="auto" w:fill="EFEFEF"/>
            <w:tcMar>
              <w:top w:w="60" w:type="dxa"/>
              <w:left w:w="90" w:type="dxa"/>
              <w:bottom w:w="60" w:type="dxa"/>
              <w:right w:w="90" w:type="dxa"/>
            </w:tcMar>
          </w:tcPr>
          <w:p w14:paraId="583E7ADE" w14:textId="77777777" w:rsidR="00D32166" w:rsidRDefault="00FD100D">
            <w:r>
              <w:rPr>
                <w:b/>
                <w:bCs/>
                <w:sz w:val="17"/>
                <w:szCs w:val="17"/>
              </w:rPr>
              <w:t>Representative practice content in this sector</w:t>
            </w:r>
          </w:p>
        </w:tc>
        <w:tc>
          <w:tcPr>
            <w:tcW w:w="2249" w:type="dxa"/>
            <w:shd w:val="clear" w:color="auto" w:fill="EFEFEF"/>
            <w:tcMar>
              <w:top w:w="60" w:type="dxa"/>
              <w:left w:w="90" w:type="dxa"/>
              <w:bottom w:w="60" w:type="dxa"/>
              <w:right w:w="90" w:type="dxa"/>
            </w:tcMar>
          </w:tcPr>
          <w:p w14:paraId="6FFC792D" w14:textId="77777777" w:rsidR="00D32166" w:rsidRDefault="00FD100D">
            <w:r>
              <w:rPr>
                <w:b/>
                <w:bCs/>
                <w:sz w:val="17"/>
                <w:szCs w:val="17"/>
              </w:rPr>
              <w:t>Documented or plausible performance consequence</w:t>
            </w:r>
          </w:p>
        </w:tc>
        <w:tc>
          <w:tcPr>
            <w:tcW w:w="2034" w:type="dxa"/>
            <w:shd w:val="clear" w:color="auto" w:fill="EFEFEF"/>
            <w:tcMar>
              <w:top w:w="60" w:type="dxa"/>
              <w:left w:w="90" w:type="dxa"/>
              <w:bottom w:w="60" w:type="dxa"/>
              <w:right w:w="90" w:type="dxa"/>
            </w:tcMar>
          </w:tcPr>
          <w:p w14:paraId="43C1AE15" w14:textId="77777777" w:rsidR="00D32166" w:rsidRDefault="00FD100D">
            <w:r>
              <w:rPr>
                <w:b/>
                <w:bCs/>
                <w:sz w:val="17"/>
                <w:szCs w:val="17"/>
              </w:rPr>
              <w:t>Strength of evidence in renewable electricity settings</w:t>
            </w:r>
          </w:p>
        </w:tc>
        <w:tc>
          <w:tcPr>
            <w:tcW w:w="1489" w:type="dxa"/>
            <w:shd w:val="clear" w:color="auto" w:fill="EFEFEF"/>
            <w:tcMar>
              <w:top w:w="60" w:type="dxa"/>
              <w:left w:w="90" w:type="dxa"/>
              <w:bottom w:w="60" w:type="dxa"/>
              <w:right w:w="90" w:type="dxa"/>
            </w:tcMar>
          </w:tcPr>
          <w:p w14:paraId="7840237B" w14:textId="77777777" w:rsidR="00D32166" w:rsidRDefault="00FD100D">
            <w:r>
              <w:rPr>
                <w:b/>
                <w:bCs/>
                <w:sz w:val="17"/>
                <w:szCs w:val="17"/>
              </w:rPr>
              <w:t>Supporting references</w:t>
            </w:r>
          </w:p>
        </w:tc>
      </w:tr>
      <w:tr w:rsidR="00D32166" w14:paraId="6C42DCD2" w14:textId="77777777">
        <w:tc>
          <w:tcPr>
            <w:tcW w:w="1301" w:type="dxa"/>
            <w:tcMar>
              <w:top w:w="60" w:type="dxa"/>
              <w:left w:w="90" w:type="dxa"/>
              <w:bottom w:w="60" w:type="dxa"/>
              <w:right w:w="90" w:type="dxa"/>
            </w:tcMar>
          </w:tcPr>
          <w:p w14:paraId="023CDA7D" w14:textId="77777777" w:rsidR="00D32166" w:rsidRDefault="00FD100D">
            <w:r>
              <w:rPr>
                <w:sz w:val="17"/>
                <w:szCs w:val="17"/>
              </w:rPr>
              <w:t>Leadership and strategic quality planning</w:t>
            </w:r>
          </w:p>
        </w:tc>
        <w:tc>
          <w:tcPr>
            <w:tcW w:w="2565" w:type="dxa"/>
            <w:tcMar>
              <w:top w:w="60" w:type="dxa"/>
              <w:left w:w="90" w:type="dxa"/>
              <w:bottom w:w="60" w:type="dxa"/>
              <w:right w:w="90" w:type="dxa"/>
            </w:tcMar>
          </w:tcPr>
          <w:p w14:paraId="73969605" w14:textId="77777777" w:rsidR="00D32166" w:rsidRDefault="00FD100D">
            <w:r>
              <w:rPr>
                <w:sz w:val="17"/>
                <w:szCs w:val="17"/>
              </w:rPr>
              <w:t>Executive accountability for quality objectives; integration of quality, environmental and social objectives in project charters</w:t>
            </w:r>
          </w:p>
        </w:tc>
        <w:tc>
          <w:tcPr>
            <w:tcW w:w="2249" w:type="dxa"/>
            <w:tcMar>
              <w:top w:w="60" w:type="dxa"/>
              <w:left w:w="90" w:type="dxa"/>
              <w:bottom w:w="60" w:type="dxa"/>
              <w:right w:w="90" w:type="dxa"/>
            </w:tcMar>
          </w:tcPr>
          <w:p w14:paraId="730628E3" w14:textId="77777777" w:rsidR="00D32166" w:rsidRDefault="00FD100D">
            <w:r>
              <w:rPr>
                <w:sz w:val="17"/>
                <w:szCs w:val="17"/>
              </w:rPr>
              <w:t>Associated with performance mainly indirectly, by enabling core operational practices</w:t>
            </w:r>
          </w:p>
        </w:tc>
        <w:tc>
          <w:tcPr>
            <w:tcW w:w="2034" w:type="dxa"/>
            <w:tcMar>
              <w:top w:w="60" w:type="dxa"/>
              <w:left w:w="90" w:type="dxa"/>
              <w:bottom w:w="60" w:type="dxa"/>
              <w:right w:w="90" w:type="dxa"/>
            </w:tcMar>
          </w:tcPr>
          <w:p w14:paraId="4E5B92F6" w14:textId="77777777" w:rsidR="00D32166" w:rsidRDefault="00FD100D">
            <w:r>
              <w:rPr>
                <w:sz w:val="17"/>
                <w:szCs w:val="17"/>
              </w:rPr>
              <w:t>Moderate; established in general operations research, inferred for this sector</w:t>
            </w:r>
          </w:p>
        </w:tc>
        <w:tc>
          <w:tcPr>
            <w:tcW w:w="1489" w:type="dxa"/>
            <w:tcMar>
              <w:top w:w="60" w:type="dxa"/>
              <w:left w:w="90" w:type="dxa"/>
              <w:bottom w:w="60" w:type="dxa"/>
              <w:right w:w="90" w:type="dxa"/>
            </w:tcMar>
          </w:tcPr>
          <w:p w14:paraId="2A21C302" w14:textId="77777777" w:rsidR="00D32166" w:rsidRDefault="00FD100D">
            <w:r>
              <w:rPr>
                <w:sz w:val="17"/>
                <w:szCs w:val="17"/>
              </w:rPr>
              <w:t xml:space="preserve">Kaynak (2003); Samson and </w:t>
            </w:r>
            <w:proofErr w:type="spellStart"/>
            <w:r>
              <w:rPr>
                <w:sz w:val="17"/>
                <w:szCs w:val="17"/>
              </w:rPr>
              <w:t>Terziovski</w:t>
            </w:r>
            <w:proofErr w:type="spellEnd"/>
            <w:r>
              <w:rPr>
                <w:sz w:val="17"/>
                <w:szCs w:val="17"/>
              </w:rPr>
              <w:t xml:space="preserve"> (1999)</w:t>
            </w:r>
          </w:p>
        </w:tc>
      </w:tr>
      <w:tr w:rsidR="00D32166" w14:paraId="60F04F25" w14:textId="77777777">
        <w:tc>
          <w:tcPr>
            <w:tcW w:w="1301" w:type="dxa"/>
            <w:tcMar>
              <w:top w:w="60" w:type="dxa"/>
              <w:left w:w="90" w:type="dxa"/>
              <w:bottom w:w="60" w:type="dxa"/>
              <w:right w:w="90" w:type="dxa"/>
            </w:tcMar>
          </w:tcPr>
          <w:p w14:paraId="5C1E4DDD" w14:textId="77777777" w:rsidR="00D32166" w:rsidRDefault="00FD100D">
            <w:r>
              <w:rPr>
                <w:sz w:val="17"/>
                <w:szCs w:val="17"/>
              </w:rPr>
              <w:t>Training and workforce involvement</w:t>
            </w:r>
          </w:p>
        </w:tc>
        <w:tc>
          <w:tcPr>
            <w:tcW w:w="2565" w:type="dxa"/>
            <w:tcMar>
              <w:top w:w="60" w:type="dxa"/>
              <w:left w:w="90" w:type="dxa"/>
              <w:bottom w:w="60" w:type="dxa"/>
              <w:right w:w="90" w:type="dxa"/>
            </w:tcMar>
          </w:tcPr>
          <w:p w14:paraId="119DEE94" w14:textId="77777777" w:rsidR="00D32166" w:rsidRDefault="00FD100D">
            <w:r>
              <w:rPr>
                <w:sz w:val="17"/>
                <w:szCs w:val="17"/>
              </w:rPr>
              <w:t>Technician certification, installer training, operator competence for mini-grid and distributed assets</w:t>
            </w:r>
          </w:p>
        </w:tc>
        <w:tc>
          <w:tcPr>
            <w:tcW w:w="2249" w:type="dxa"/>
            <w:tcMar>
              <w:top w:w="60" w:type="dxa"/>
              <w:left w:w="90" w:type="dxa"/>
              <w:bottom w:w="60" w:type="dxa"/>
              <w:right w:w="90" w:type="dxa"/>
            </w:tcMar>
          </w:tcPr>
          <w:p w14:paraId="72D66EB1" w14:textId="77777777" w:rsidR="00D32166" w:rsidRDefault="00FD100D">
            <w:r>
              <w:rPr>
                <w:sz w:val="17"/>
                <w:szCs w:val="17"/>
              </w:rPr>
              <w:t>Directly linked to sustained availability and to reduced component failure in operation</w:t>
            </w:r>
          </w:p>
        </w:tc>
        <w:tc>
          <w:tcPr>
            <w:tcW w:w="2034" w:type="dxa"/>
            <w:tcMar>
              <w:top w:w="60" w:type="dxa"/>
              <w:left w:w="90" w:type="dxa"/>
              <w:bottom w:w="60" w:type="dxa"/>
              <w:right w:w="90" w:type="dxa"/>
            </w:tcMar>
          </w:tcPr>
          <w:p w14:paraId="27616EB8" w14:textId="77777777" w:rsidR="00D32166" w:rsidRDefault="00FD100D">
            <w:r>
              <w:rPr>
                <w:sz w:val="17"/>
                <w:szCs w:val="17"/>
              </w:rPr>
              <w:t xml:space="preserve">Moderate </w:t>
            </w:r>
            <w:proofErr w:type="spellStart"/>
            <w:r>
              <w:rPr>
                <w:sz w:val="17"/>
                <w:szCs w:val="17"/>
              </w:rPr>
              <w:t>to</w:t>
            </w:r>
            <w:proofErr w:type="spellEnd"/>
            <w:r>
              <w:rPr>
                <w:sz w:val="17"/>
                <w:szCs w:val="17"/>
              </w:rPr>
              <w:t xml:space="preserve"> strong for distributed systems; weak for utility-scale assets</w:t>
            </w:r>
          </w:p>
        </w:tc>
        <w:tc>
          <w:tcPr>
            <w:tcW w:w="1489" w:type="dxa"/>
            <w:tcMar>
              <w:top w:w="60" w:type="dxa"/>
              <w:left w:w="90" w:type="dxa"/>
              <w:bottom w:w="60" w:type="dxa"/>
              <w:right w:w="90" w:type="dxa"/>
            </w:tcMar>
          </w:tcPr>
          <w:p w14:paraId="5FE14A68" w14:textId="77777777" w:rsidR="00D32166" w:rsidRDefault="00FD100D">
            <w:proofErr w:type="spellStart"/>
            <w:r>
              <w:rPr>
                <w:sz w:val="17"/>
                <w:szCs w:val="17"/>
              </w:rPr>
              <w:t>Colenbrander</w:t>
            </w:r>
            <w:proofErr w:type="spellEnd"/>
            <w:r>
              <w:rPr>
                <w:sz w:val="17"/>
                <w:szCs w:val="17"/>
              </w:rPr>
              <w:t xml:space="preserve"> et al. (2015); Harrington and Wambugu (2021); Mehta et al. (2025)</w:t>
            </w:r>
          </w:p>
        </w:tc>
      </w:tr>
      <w:tr w:rsidR="00D32166" w14:paraId="238A6BAE" w14:textId="77777777">
        <w:tc>
          <w:tcPr>
            <w:tcW w:w="1301" w:type="dxa"/>
            <w:tcMar>
              <w:top w:w="60" w:type="dxa"/>
              <w:left w:w="90" w:type="dxa"/>
              <w:bottom w:w="60" w:type="dxa"/>
              <w:right w:w="90" w:type="dxa"/>
            </w:tcMar>
          </w:tcPr>
          <w:p w14:paraId="7E1936B3" w14:textId="77777777" w:rsidR="00D32166" w:rsidRDefault="00FD100D">
            <w:r>
              <w:rPr>
                <w:sz w:val="17"/>
                <w:szCs w:val="17"/>
              </w:rPr>
              <w:t>Process management and conformance control</w:t>
            </w:r>
          </w:p>
        </w:tc>
        <w:tc>
          <w:tcPr>
            <w:tcW w:w="2565" w:type="dxa"/>
            <w:tcMar>
              <w:top w:w="60" w:type="dxa"/>
              <w:left w:w="90" w:type="dxa"/>
              <w:bottom w:w="60" w:type="dxa"/>
              <w:right w:w="90" w:type="dxa"/>
            </w:tcMar>
          </w:tcPr>
          <w:p w14:paraId="28545F53" w14:textId="77777777" w:rsidR="00D32166" w:rsidRDefault="00FD100D">
            <w:r>
              <w:rPr>
                <w:sz w:val="17"/>
                <w:szCs w:val="17"/>
              </w:rPr>
              <w:t>Specification discipline, inspection and test planning, commissioning protocols, defect management</w:t>
            </w:r>
          </w:p>
        </w:tc>
        <w:tc>
          <w:tcPr>
            <w:tcW w:w="2249" w:type="dxa"/>
            <w:tcMar>
              <w:top w:w="60" w:type="dxa"/>
              <w:left w:w="90" w:type="dxa"/>
              <w:bottom w:w="60" w:type="dxa"/>
              <w:right w:w="90" w:type="dxa"/>
            </w:tcMar>
          </w:tcPr>
          <w:p w14:paraId="47D9B504" w14:textId="77777777" w:rsidR="00D32166" w:rsidRDefault="00FD100D">
            <w:r>
              <w:rPr>
                <w:sz w:val="17"/>
                <w:szCs w:val="17"/>
              </w:rPr>
              <w:t>Linked to conformance and to reduced rework and dispute in construction settings</w:t>
            </w:r>
          </w:p>
        </w:tc>
        <w:tc>
          <w:tcPr>
            <w:tcW w:w="2034" w:type="dxa"/>
            <w:tcMar>
              <w:top w:w="60" w:type="dxa"/>
              <w:left w:w="90" w:type="dxa"/>
              <w:bottom w:w="60" w:type="dxa"/>
              <w:right w:w="90" w:type="dxa"/>
            </w:tcMar>
          </w:tcPr>
          <w:p w14:paraId="06022755" w14:textId="77777777" w:rsidR="00D32166" w:rsidRDefault="00FD100D">
            <w:r>
              <w:rPr>
                <w:sz w:val="17"/>
                <w:szCs w:val="17"/>
              </w:rPr>
              <w:t>Moderate; strong in construction generally, sparse in Kenyan renewable projects</w:t>
            </w:r>
          </w:p>
        </w:tc>
        <w:tc>
          <w:tcPr>
            <w:tcW w:w="1489" w:type="dxa"/>
            <w:tcMar>
              <w:top w:w="60" w:type="dxa"/>
              <w:left w:w="90" w:type="dxa"/>
              <w:bottom w:w="60" w:type="dxa"/>
              <w:right w:w="90" w:type="dxa"/>
            </w:tcMar>
          </w:tcPr>
          <w:p w14:paraId="1BABA94B" w14:textId="77777777" w:rsidR="00D32166" w:rsidRDefault="00FD100D">
            <w:r>
              <w:rPr>
                <w:sz w:val="17"/>
                <w:szCs w:val="17"/>
              </w:rPr>
              <w:t>Arditi and Gunaydin (1997); Okello et al. (2025)</w:t>
            </w:r>
          </w:p>
        </w:tc>
      </w:tr>
      <w:tr w:rsidR="00D32166" w14:paraId="5DD8A491" w14:textId="77777777">
        <w:tc>
          <w:tcPr>
            <w:tcW w:w="1301" w:type="dxa"/>
            <w:tcMar>
              <w:top w:w="60" w:type="dxa"/>
              <w:left w:w="90" w:type="dxa"/>
              <w:bottom w:w="60" w:type="dxa"/>
              <w:right w:w="90" w:type="dxa"/>
            </w:tcMar>
          </w:tcPr>
          <w:p w14:paraId="1051A5FD" w14:textId="77777777" w:rsidR="00D32166" w:rsidRDefault="00FD100D">
            <w:r>
              <w:rPr>
                <w:sz w:val="17"/>
                <w:szCs w:val="17"/>
              </w:rPr>
              <w:t>Supplier quality management</w:t>
            </w:r>
          </w:p>
        </w:tc>
        <w:tc>
          <w:tcPr>
            <w:tcW w:w="2565" w:type="dxa"/>
            <w:tcMar>
              <w:top w:w="60" w:type="dxa"/>
              <w:left w:w="90" w:type="dxa"/>
              <w:bottom w:w="60" w:type="dxa"/>
              <w:right w:w="90" w:type="dxa"/>
            </w:tcMar>
          </w:tcPr>
          <w:p w14:paraId="2759A218" w14:textId="77777777" w:rsidR="00D32166" w:rsidRDefault="00FD100D">
            <w:r>
              <w:rPr>
                <w:sz w:val="17"/>
                <w:szCs w:val="17"/>
              </w:rPr>
              <w:t>Prequalification, supplier development, component verification, spare parts and after-sales arrangements</w:t>
            </w:r>
          </w:p>
        </w:tc>
        <w:tc>
          <w:tcPr>
            <w:tcW w:w="2249" w:type="dxa"/>
            <w:tcMar>
              <w:top w:w="60" w:type="dxa"/>
              <w:left w:w="90" w:type="dxa"/>
              <w:bottom w:w="60" w:type="dxa"/>
              <w:right w:w="90" w:type="dxa"/>
            </w:tcMar>
          </w:tcPr>
          <w:p w14:paraId="34AC3BA0" w14:textId="77777777" w:rsidR="00D32166" w:rsidRDefault="00FD100D">
            <w:r>
              <w:rPr>
                <w:sz w:val="17"/>
                <w:szCs w:val="17"/>
              </w:rPr>
              <w:t>Linked to component reliability, to repairability and to the local economic return on investment</w:t>
            </w:r>
          </w:p>
        </w:tc>
        <w:tc>
          <w:tcPr>
            <w:tcW w:w="2034" w:type="dxa"/>
            <w:tcMar>
              <w:top w:w="60" w:type="dxa"/>
              <w:left w:w="90" w:type="dxa"/>
              <w:bottom w:w="60" w:type="dxa"/>
              <w:right w:w="90" w:type="dxa"/>
            </w:tcMar>
          </w:tcPr>
          <w:p w14:paraId="4E7838D9" w14:textId="77777777" w:rsidR="00D32166" w:rsidRDefault="00FD100D">
            <w:r>
              <w:rPr>
                <w:sz w:val="17"/>
                <w:szCs w:val="17"/>
              </w:rPr>
              <w:t>Moderate to strong; supported by Kenyan sectoral and macroeconomic evidence</w:t>
            </w:r>
          </w:p>
        </w:tc>
        <w:tc>
          <w:tcPr>
            <w:tcW w:w="1489" w:type="dxa"/>
            <w:tcMar>
              <w:top w:w="60" w:type="dxa"/>
              <w:left w:w="90" w:type="dxa"/>
              <w:bottom w:w="60" w:type="dxa"/>
              <w:right w:w="90" w:type="dxa"/>
            </w:tcMar>
          </w:tcPr>
          <w:p w14:paraId="7529C0DC" w14:textId="77777777" w:rsidR="00D32166" w:rsidRDefault="00FD100D">
            <w:r>
              <w:rPr>
                <w:sz w:val="17"/>
                <w:szCs w:val="17"/>
              </w:rPr>
              <w:t xml:space="preserve">Chowdhury and </w:t>
            </w:r>
            <w:proofErr w:type="spellStart"/>
            <w:r>
              <w:rPr>
                <w:sz w:val="17"/>
                <w:szCs w:val="17"/>
              </w:rPr>
              <w:t>Mourshed</w:t>
            </w:r>
            <w:proofErr w:type="spellEnd"/>
            <w:r>
              <w:rPr>
                <w:sz w:val="17"/>
                <w:szCs w:val="17"/>
              </w:rPr>
              <w:t xml:space="preserve"> (2016); Harrington and Wambugu (2021); Soares et al. (2017); Woollacott et al. (2023)</w:t>
            </w:r>
          </w:p>
        </w:tc>
      </w:tr>
      <w:tr w:rsidR="00D32166" w14:paraId="28DBA0DF" w14:textId="77777777">
        <w:tc>
          <w:tcPr>
            <w:tcW w:w="1301" w:type="dxa"/>
            <w:tcMar>
              <w:top w:w="60" w:type="dxa"/>
              <w:left w:w="90" w:type="dxa"/>
              <w:bottom w:w="60" w:type="dxa"/>
              <w:right w:w="90" w:type="dxa"/>
            </w:tcMar>
          </w:tcPr>
          <w:p w14:paraId="5B2E3733" w14:textId="77777777" w:rsidR="00D32166" w:rsidRDefault="00FD100D">
            <w:r>
              <w:rPr>
                <w:sz w:val="17"/>
                <w:szCs w:val="17"/>
              </w:rPr>
              <w:t>Information, measurement and analysis</w:t>
            </w:r>
          </w:p>
        </w:tc>
        <w:tc>
          <w:tcPr>
            <w:tcW w:w="2565" w:type="dxa"/>
            <w:tcMar>
              <w:top w:w="60" w:type="dxa"/>
              <w:left w:w="90" w:type="dxa"/>
              <w:bottom w:w="60" w:type="dxa"/>
              <w:right w:w="90" w:type="dxa"/>
            </w:tcMar>
          </w:tcPr>
          <w:p w14:paraId="17088848" w14:textId="77777777" w:rsidR="00D32166" w:rsidRDefault="00FD100D">
            <w:r>
              <w:rPr>
                <w:sz w:val="17"/>
                <w:szCs w:val="17"/>
              </w:rPr>
              <w:t>Monitoring of availability and capacity factor, failure reporting, performance review against design expectation</w:t>
            </w:r>
          </w:p>
        </w:tc>
        <w:tc>
          <w:tcPr>
            <w:tcW w:w="2249" w:type="dxa"/>
            <w:tcMar>
              <w:top w:w="60" w:type="dxa"/>
              <w:left w:w="90" w:type="dxa"/>
              <w:bottom w:w="60" w:type="dxa"/>
              <w:right w:w="90" w:type="dxa"/>
            </w:tcMar>
          </w:tcPr>
          <w:p w14:paraId="3D60E316" w14:textId="77777777" w:rsidR="00D32166" w:rsidRDefault="00FD100D">
            <w:r>
              <w:rPr>
                <w:sz w:val="17"/>
                <w:szCs w:val="17"/>
              </w:rPr>
              <w:t>Necessary for detecting operational underperformance; weakly implemented in the region</w:t>
            </w:r>
          </w:p>
        </w:tc>
        <w:tc>
          <w:tcPr>
            <w:tcW w:w="2034" w:type="dxa"/>
            <w:tcMar>
              <w:top w:w="60" w:type="dxa"/>
              <w:left w:w="90" w:type="dxa"/>
              <w:bottom w:w="60" w:type="dxa"/>
              <w:right w:w="90" w:type="dxa"/>
            </w:tcMar>
          </w:tcPr>
          <w:p w14:paraId="48F48DEC" w14:textId="77777777" w:rsidR="00D32166" w:rsidRDefault="00FD100D">
            <w:r>
              <w:rPr>
                <w:sz w:val="17"/>
                <w:szCs w:val="17"/>
              </w:rPr>
              <w:t>Weak to moderate; identified as a deficit rather than demonstrated as a lever</w:t>
            </w:r>
          </w:p>
        </w:tc>
        <w:tc>
          <w:tcPr>
            <w:tcW w:w="1489" w:type="dxa"/>
            <w:tcMar>
              <w:top w:w="60" w:type="dxa"/>
              <w:left w:w="90" w:type="dxa"/>
              <w:bottom w:w="60" w:type="dxa"/>
              <w:right w:w="90" w:type="dxa"/>
            </w:tcMar>
          </w:tcPr>
          <w:p w14:paraId="68F562C9" w14:textId="77777777" w:rsidR="00D32166" w:rsidRDefault="00FD100D">
            <w:proofErr w:type="spellStart"/>
            <w:r>
              <w:rPr>
                <w:sz w:val="17"/>
                <w:szCs w:val="17"/>
              </w:rPr>
              <w:t>Babayomi</w:t>
            </w:r>
            <w:proofErr w:type="spellEnd"/>
            <w:r>
              <w:rPr>
                <w:sz w:val="17"/>
                <w:szCs w:val="17"/>
              </w:rPr>
              <w:t xml:space="preserve"> et al. (2023); </w:t>
            </w:r>
            <w:proofErr w:type="spellStart"/>
            <w:r>
              <w:rPr>
                <w:sz w:val="17"/>
                <w:szCs w:val="17"/>
              </w:rPr>
              <w:t>Wassie</w:t>
            </w:r>
            <w:proofErr w:type="spellEnd"/>
            <w:r>
              <w:rPr>
                <w:sz w:val="17"/>
                <w:szCs w:val="17"/>
              </w:rPr>
              <w:t xml:space="preserve"> and Ahlgren (2023)</w:t>
            </w:r>
          </w:p>
        </w:tc>
      </w:tr>
      <w:tr w:rsidR="00D32166" w14:paraId="0354C661" w14:textId="77777777">
        <w:tc>
          <w:tcPr>
            <w:tcW w:w="1301" w:type="dxa"/>
            <w:tcMar>
              <w:top w:w="60" w:type="dxa"/>
              <w:left w:w="90" w:type="dxa"/>
              <w:bottom w:w="60" w:type="dxa"/>
              <w:right w:w="90" w:type="dxa"/>
            </w:tcMar>
          </w:tcPr>
          <w:p w14:paraId="0CB75B6A" w14:textId="77777777" w:rsidR="00D32166" w:rsidRDefault="00FD100D">
            <w:r>
              <w:rPr>
                <w:sz w:val="17"/>
                <w:szCs w:val="17"/>
              </w:rPr>
              <w:t>Customer and stakeholder focus</w:t>
            </w:r>
          </w:p>
        </w:tc>
        <w:tc>
          <w:tcPr>
            <w:tcW w:w="2565" w:type="dxa"/>
            <w:tcMar>
              <w:top w:w="60" w:type="dxa"/>
              <w:left w:w="90" w:type="dxa"/>
              <w:bottom w:w="60" w:type="dxa"/>
              <w:right w:w="90" w:type="dxa"/>
            </w:tcMar>
          </w:tcPr>
          <w:p w14:paraId="713AA129" w14:textId="77777777" w:rsidR="00D32166" w:rsidRDefault="00FD100D">
            <w:r>
              <w:rPr>
                <w:sz w:val="17"/>
                <w:szCs w:val="17"/>
              </w:rPr>
              <w:t>Consumer redress, tariff and service communication, community liaison, grievance handling</w:t>
            </w:r>
          </w:p>
        </w:tc>
        <w:tc>
          <w:tcPr>
            <w:tcW w:w="2249" w:type="dxa"/>
            <w:tcMar>
              <w:top w:w="60" w:type="dxa"/>
              <w:left w:w="90" w:type="dxa"/>
              <w:bottom w:w="60" w:type="dxa"/>
              <w:right w:w="90" w:type="dxa"/>
            </w:tcMar>
          </w:tcPr>
          <w:p w14:paraId="71458FD0" w14:textId="77777777" w:rsidR="00D32166" w:rsidRDefault="00FD100D">
            <w:r>
              <w:rPr>
                <w:sz w:val="17"/>
                <w:szCs w:val="17"/>
              </w:rPr>
              <w:t>Linked to continuity of operations and to the fulfilment of development commitments</w:t>
            </w:r>
          </w:p>
        </w:tc>
        <w:tc>
          <w:tcPr>
            <w:tcW w:w="2034" w:type="dxa"/>
            <w:tcMar>
              <w:top w:w="60" w:type="dxa"/>
              <w:left w:w="90" w:type="dxa"/>
              <w:bottom w:w="60" w:type="dxa"/>
              <w:right w:w="90" w:type="dxa"/>
            </w:tcMar>
          </w:tcPr>
          <w:p w14:paraId="14AB0A63" w14:textId="77777777" w:rsidR="00D32166" w:rsidRDefault="00FD100D">
            <w:r>
              <w:rPr>
                <w:sz w:val="17"/>
                <w:szCs w:val="17"/>
              </w:rPr>
              <w:t>Moderate for Kenyan utility-scale projects through case evidence; weak quantitatively</w:t>
            </w:r>
          </w:p>
        </w:tc>
        <w:tc>
          <w:tcPr>
            <w:tcW w:w="1489" w:type="dxa"/>
            <w:tcMar>
              <w:top w:w="60" w:type="dxa"/>
              <w:left w:w="90" w:type="dxa"/>
              <w:bottom w:w="60" w:type="dxa"/>
              <w:right w:w="90" w:type="dxa"/>
            </w:tcMar>
          </w:tcPr>
          <w:p w14:paraId="00BA3A21" w14:textId="77777777" w:rsidR="00D32166" w:rsidRDefault="00FD100D">
            <w:r>
              <w:rPr>
                <w:sz w:val="17"/>
                <w:szCs w:val="17"/>
              </w:rPr>
              <w:t>Ndi (2024b, 2025); Mahamoud Abdi et al. (2024)</w:t>
            </w:r>
          </w:p>
        </w:tc>
      </w:tr>
      <w:tr w:rsidR="00D32166" w14:paraId="6CB3FE77" w14:textId="77777777">
        <w:tc>
          <w:tcPr>
            <w:tcW w:w="1301" w:type="dxa"/>
            <w:tcMar>
              <w:top w:w="60" w:type="dxa"/>
              <w:left w:w="90" w:type="dxa"/>
              <w:bottom w:w="60" w:type="dxa"/>
              <w:right w:w="90" w:type="dxa"/>
            </w:tcMar>
          </w:tcPr>
          <w:p w14:paraId="664B282A" w14:textId="77777777" w:rsidR="00D32166" w:rsidRDefault="00FD100D">
            <w:r>
              <w:rPr>
                <w:sz w:val="17"/>
                <w:szCs w:val="17"/>
              </w:rPr>
              <w:t>Certification and documented systems</w:t>
            </w:r>
          </w:p>
        </w:tc>
        <w:tc>
          <w:tcPr>
            <w:tcW w:w="2565" w:type="dxa"/>
            <w:tcMar>
              <w:top w:w="60" w:type="dxa"/>
              <w:left w:w="90" w:type="dxa"/>
              <w:bottom w:w="60" w:type="dxa"/>
              <w:right w:w="90" w:type="dxa"/>
            </w:tcMar>
          </w:tcPr>
          <w:p w14:paraId="6C50D00C" w14:textId="77777777" w:rsidR="00D32166" w:rsidRDefault="00FD100D">
            <w:r>
              <w:rPr>
                <w:sz w:val="17"/>
                <w:szCs w:val="17"/>
              </w:rPr>
              <w:t>Certification to quality management standards used as a procurement qualification</w:t>
            </w:r>
          </w:p>
        </w:tc>
        <w:tc>
          <w:tcPr>
            <w:tcW w:w="2249" w:type="dxa"/>
            <w:tcMar>
              <w:top w:w="60" w:type="dxa"/>
              <w:left w:w="90" w:type="dxa"/>
              <w:bottom w:w="60" w:type="dxa"/>
              <w:right w:w="90" w:type="dxa"/>
            </w:tcMar>
          </w:tcPr>
          <w:p w14:paraId="734A4674" w14:textId="77777777" w:rsidR="00D32166" w:rsidRDefault="00FD100D">
            <w:r>
              <w:rPr>
                <w:sz w:val="17"/>
                <w:szCs w:val="17"/>
              </w:rPr>
              <w:t>Association with performance conditional on adoption motive; not demonstrated for this sector</w:t>
            </w:r>
          </w:p>
        </w:tc>
        <w:tc>
          <w:tcPr>
            <w:tcW w:w="2034" w:type="dxa"/>
            <w:tcMar>
              <w:top w:w="60" w:type="dxa"/>
              <w:left w:w="90" w:type="dxa"/>
              <w:bottom w:w="60" w:type="dxa"/>
              <w:right w:w="90" w:type="dxa"/>
            </w:tcMar>
          </w:tcPr>
          <w:p w14:paraId="037DD824" w14:textId="77777777" w:rsidR="00D32166" w:rsidRDefault="00FD100D">
            <w:r>
              <w:rPr>
                <w:sz w:val="17"/>
                <w:szCs w:val="17"/>
              </w:rPr>
              <w:t>Weak; inference from general evidence on certification motives</w:t>
            </w:r>
          </w:p>
        </w:tc>
        <w:tc>
          <w:tcPr>
            <w:tcW w:w="1489" w:type="dxa"/>
            <w:tcMar>
              <w:top w:w="60" w:type="dxa"/>
              <w:left w:w="90" w:type="dxa"/>
              <w:bottom w:w="60" w:type="dxa"/>
              <w:right w:w="90" w:type="dxa"/>
            </w:tcMar>
          </w:tcPr>
          <w:p w14:paraId="0DD98445" w14:textId="77777777" w:rsidR="00D32166" w:rsidRDefault="00FD100D">
            <w:proofErr w:type="spellStart"/>
            <w:r>
              <w:rPr>
                <w:sz w:val="17"/>
                <w:szCs w:val="17"/>
              </w:rPr>
              <w:t>Valmohammadi</w:t>
            </w:r>
            <w:proofErr w:type="spellEnd"/>
            <w:r>
              <w:rPr>
                <w:sz w:val="17"/>
                <w:szCs w:val="17"/>
              </w:rPr>
              <w:t xml:space="preserve"> and Kalantari (2015)</w:t>
            </w:r>
          </w:p>
        </w:tc>
      </w:tr>
    </w:tbl>
    <w:p w14:paraId="50360C4C" w14:textId="77777777" w:rsidR="00D32166" w:rsidRDefault="00FD100D">
      <w:pPr>
        <w:spacing w:before="100" w:after="240"/>
      </w:pPr>
      <w:r>
        <w:rPr>
          <w:sz w:val="17"/>
          <w:szCs w:val="17"/>
        </w:rPr>
        <w:t>Note. Strength of evidence denotes the extent to which the consequence has been demonstrated in renewable electricity settings specifically, not the volume of literature on the practice domain in general. Where evidence is drawn from comparable regional settings rather than from Kenya, this is stated in the accompanying text.</w:t>
      </w:r>
    </w:p>
    <w:p w14:paraId="44829D32" w14:textId="77777777" w:rsidR="00D32166" w:rsidRDefault="00FD100D">
      <w:pPr>
        <w:pStyle w:val="Heading1"/>
        <w:spacing w:before="320" w:after="140"/>
      </w:pPr>
      <w:r>
        <w:rPr>
          <w:b/>
          <w:bCs/>
          <w:color w:val="000000"/>
          <w:sz w:val="24"/>
          <w:szCs w:val="24"/>
        </w:rPr>
        <w:t>5. Quality Management Practice and Project Performance: Strength and Limits of the Direct Relationship</w:t>
      </w:r>
    </w:p>
    <w:p w14:paraId="61D55BFB" w14:textId="77777777" w:rsidR="00D32166" w:rsidRDefault="00FD100D">
      <w:pPr>
        <w:pStyle w:val="Heading2"/>
        <w:spacing w:before="240" w:after="120"/>
      </w:pPr>
      <w:r>
        <w:rPr>
          <w:b/>
          <w:bCs/>
          <w:color w:val="000000"/>
          <w:sz w:val="22"/>
          <w:szCs w:val="22"/>
        </w:rPr>
        <w:t>5.1 What the strongest evidence supports</w:t>
      </w:r>
    </w:p>
    <w:p w14:paraId="51369DB3" w14:textId="77777777" w:rsidR="00D32166" w:rsidRDefault="00FD100D">
      <w:pPr>
        <w:spacing w:after="160" w:line="320" w:lineRule="auto"/>
        <w:jc w:val="both"/>
      </w:pPr>
      <w:r>
        <w:t xml:space="preserve">The proposition that quality management practice is associated with superior performance rests on a substantial and methodologically varied body of work, and the association itself is not seriously </w:t>
      </w:r>
      <w:r>
        <w:lastRenderedPageBreak/>
        <w:t>contested. Meta-analytic synthesis across the quality management literature confirms a positive aggregate relationship between quality management practices and firm performance while documenting pronounced heterogeneity in effect magnitude across practices, outcomes and contexts, and concluding that theory development requires attention to that heterogeneity rather than to the aggregate (Nair, 2006). The most robust structural finding is the ordering already described, in which behavioural and infrastructure practices operate on performance through the core operational practices rather than alongside them (Kaynak, 2003). This ordering is itself a mediation result, and it establishes an important precedent: the quality management literature has long accepted that the effect of its softer components is indirect.</w:t>
      </w:r>
    </w:p>
    <w:p w14:paraId="374CBCFC" w14:textId="77777777" w:rsidR="00D32166" w:rsidRDefault="00FD100D">
      <w:pPr>
        <w:spacing w:after="160" w:line="320" w:lineRule="auto"/>
        <w:jc w:val="both"/>
      </w:pPr>
      <w:r>
        <w:t>The second robust finding concerns which outcomes respond. Quality management practice shows its most consistent association with quality performance, defined as conformance, defect rates and reliability, and weaker or more variable associations with financial and innovation outcomes (</w:t>
      </w:r>
      <w:proofErr w:type="spellStart"/>
      <w:r>
        <w:t>Prajogo</w:t>
      </w:r>
      <w:proofErr w:type="spellEnd"/>
      <w:r>
        <w:t xml:space="preserve"> &amp; Sohal, 2003). Where innovation outcomes do respond, the responsive components are the soft ones, a pattern replicated across manufacturing and service settings (</w:t>
      </w:r>
      <w:proofErr w:type="spellStart"/>
      <w:r>
        <w:t>Sciarelli</w:t>
      </w:r>
      <w:proofErr w:type="spellEnd"/>
      <w:r>
        <w:t xml:space="preserve"> et al., 2020; Zeng et al., 2015). Extension of the logic beyond the firm boundary shows that supply chain quality management practices influence quality performance through mechanisms of supplier integration and information exchange rather than through inspection intensity (Soares et al., 2017). Applied to the energy sector, a data-driven analysis of quality management in energy supply chains reports associations between quality practice and supply chain performance that are consistent with this pattern (Abudu &amp; Agbeko, 2025). A third finding, less often remarked upon, is that the quality management literature has itself converged on indirect specifications: total quality management has been reported to influence organisational performance through green manufacturing practices (Hassan &amp; Jaaron, 2021) and to influence corporate sustainable development through green innovation (</w:t>
      </w:r>
      <w:proofErr w:type="spellStart"/>
      <w:r>
        <w:t>Albloushi</w:t>
      </w:r>
      <w:proofErr w:type="spellEnd"/>
      <w:r>
        <w:t xml:space="preserve"> et al., 2023). The mediators differ, but the structural claim is the same, and it is the claim on which the present review's focal specification depends.</w:t>
      </w:r>
    </w:p>
    <w:p w14:paraId="15FAEB0A" w14:textId="77777777" w:rsidR="00D32166" w:rsidRDefault="00FD100D">
      <w:pPr>
        <w:pStyle w:val="Heading2"/>
        <w:spacing w:before="240" w:after="120"/>
      </w:pPr>
      <w:r>
        <w:rPr>
          <w:b/>
          <w:bCs/>
          <w:color w:val="000000"/>
          <w:sz w:val="22"/>
          <w:szCs w:val="22"/>
        </w:rPr>
        <w:t>5.2 Evidence from project and construction settings</w:t>
      </w:r>
    </w:p>
    <w:p w14:paraId="561789CA" w14:textId="77777777" w:rsidR="00D32166" w:rsidRDefault="00FD100D">
      <w:pPr>
        <w:spacing w:after="160" w:line="320" w:lineRule="auto"/>
        <w:jc w:val="both"/>
      </w:pPr>
      <w:r>
        <w:t xml:space="preserve">Project settings complicate the inference in ways that are frequently overlooked. Total quality management was adapted to the construction process on the argument that quality in construction is produced across a temporary coalition of designers, contractors and suppliers, so that the firm-level bundle must be reconstituted at project level (Arditi &amp; Gunaydin, 1997). Empirical tests in project settings support a positive relationship while consistently identifying an intervening organisational condition. Evidence from Taiwanese construction found that corporate culture and total quality management jointly shaped construction project performance, with cultural characteristics conditioning the effect of the practices (Kuo &amp; Kuo, 2010). Evidence from Nigerian construction found that the effect of total quality management practices on organisational performance was carried by continuous improvement strategies rather than exerted directly (Jimoh et al., 2019). Evidence from healthcare project delivery found that intellectual capital mediated the relationship between quality management practices and project performance (Shah et al., 2025). A study of project governance in </w:t>
      </w:r>
      <w:r>
        <w:lastRenderedPageBreak/>
        <w:t>project-based organisations found that project quality and project management risk jointly mediated the governance-performance relationship, placing quality itself in the mediator position (Haq et al., 2018).</w:t>
      </w:r>
    </w:p>
    <w:p w14:paraId="600DFC32" w14:textId="77777777" w:rsidR="00D32166" w:rsidRDefault="00FD100D">
      <w:pPr>
        <w:spacing w:after="160" w:line="320" w:lineRule="auto"/>
        <w:jc w:val="both"/>
      </w:pPr>
      <w:r>
        <w:t>This pattern is analytically significant. Across four independent settings, the relationship between managerial practice and project performance is reported as indirect, but the mediator differs in each case: culture, continuous improvement, intellectual capital and project quality respectively. The consistency lies in the indirectness, not in the identity of the mediator. That observation weakens any claim that stakeholder engagement is the mediator, and strengthens the more modest claim that some organisational or relational capability intervenes. Distinguishing among these candidate mediators requires designs that include several of them simultaneously, which none of the studies cited attempts.</w:t>
      </w:r>
    </w:p>
    <w:p w14:paraId="139106FF" w14:textId="77777777" w:rsidR="00D32166" w:rsidRDefault="00FD100D">
      <w:pPr>
        <w:spacing w:after="160" w:line="320" w:lineRule="auto"/>
        <w:jc w:val="both"/>
      </w:pPr>
      <w:r>
        <w:t>Kenyan project evidence of comparable methodological standing is scarce. One recent study of construction project execution in the Kenyan judiciary found that project delivery method significantly influenced quality, cost and site dispute outcomes but not time performance, a pattern that locates the effect of structural and contractual arrangements in the conformance and relational dimensions rather than in schedule (Okello et al., 2025). The finding is consistent with the wider construction literature, in which the drivers of schedule and cost overrun are substantially exogenous to the contractor's quality system, arising from client-side decision delay, design change, funding interruption and external approvals (Adam et al., 2017; Gómez-Cabrera et al., 2024). If the principal delivery failures in a setting are driven by client and external factors, the achievable effect of contractor quality management practice on those particular outcomes is bounded, however well the practice is implemented.</w:t>
      </w:r>
    </w:p>
    <w:p w14:paraId="3DC62FA4" w14:textId="77777777" w:rsidR="00D32166" w:rsidRDefault="00FD100D">
      <w:pPr>
        <w:pStyle w:val="Heading2"/>
        <w:spacing w:before="240" w:after="120"/>
      </w:pPr>
      <w:r>
        <w:rPr>
          <w:b/>
          <w:bCs/>
          <w:color w:val="000000"/>
          <w:sz w:val="22"/>
          <w:szCs w:val="22"/>
        </w:rPr>
        <w:t>5.3 Contingencies that govern the relationship</w:t>
      </w:r>
    </w:p>
    <w:p w14:paraId="771E7998" w14:textId="77777777" w:rsidR="00D32166" w:rsidRDefault="00FD100D">
      <w:pPr>
        <w:spacing w:after="160" w:line="320" w:lineRule="auto"/>
        <w:jc w:val="both"/>
      </w:pPr>
      <w:r>
        <w:t>Four contingencies recur across the appraised evidence and constrain generalisation to Kenyan renewable projects. The first is adoption motive. Where quality systems are adopted to satisfy an external requirement rather than an internal objective, the performance association attenuates (</w:t>
      </w:r>
      <w:proofErr w:type="spellStart"/>
      <w:r>
        <w:t>Valmohammadi</w:t>
      </w:r>
      <w:proofErr w:type="spellEnd"/>
      <w:r>
        <w:t xml:space="preserve"> &amp; Kalantari, 2015). Since certification in donor-financed and internationally financed African infrastructure is frequently a bid qualification, externally motivated adoption is likely to be the modal case, and studies sampling certified firms will therefore sample disproportionately from the weaker condition.</w:t>
      </w:r>
    </w:p>
    <w:p w14:paraId="672BC64F" w14:textId="77777777" w:rsidR="00D32166" w:rsidRDefault="00FD100D">
      <w:pPr>
        <w:spacing w:after="160" w:line="320" w:lineRule="auto"/>
        <w:jc w:val="both"/>
      </w:pPr>
      <w:r>
        <w:t>The second is the level at which practice is measured relative to the level at which performance is produced. Firm-level instruments applied to temporary project coalitions attribute to one organisation an outcome jointly produced by several (Arditi &amp; Gunaydin, 1997). In Kenyan renewable projects, where an international sponsor, an engineering contractor, a domestic utility, a county government and a regulator each hold part of the quality function, this misattribution is severe.</w:t>
      </w:r>
    </w:p>
    <w:p w14:paraId="1563BBEA" w14:textId="77777777" w:rsidR="00D32166" w:rsidRDefault="00FD100D">
      <w:pPr>
        <w:spacing w:after="160" w:line="320" w:lineRule="auto"/>
        <w:jc w:val="both"/>
      </w:pPr>
      <w:r>
        <w:t xml:space="preserve">The third is outcome selection. Since quality practice associates most strongly with conformance outcomes and least reliably with financial outcomes (Nair, 2006; </w:t>
      </w:r>
      <w:proofErr w:type="spellStart"/>
      <w:r>
        <w:t>Prajogo</w:t>
      </w:r>
      <w:proofErr w:type="spellEnd"/>
      <w:r>
        <w:t xml:space="preserve"> &amp; Sohal, 2003), studies that operationalise project performance as a composite including financial return will report weaker </w:t>
      </w:r>
      <w:r>
        <w:lastRenderedPageBreak/>
        <w:t>relationships than those confined to conformance, and the difference will be interpreted mistakenly as a contextual finding.</w:t>
      </w:r>
    </w:p>
    <w:p w14:paraId="2E2CB31C" w14:textId="77777777" w:rsidR="00D32166" w:rsidRDefault="00FD100D">
      <w:pPr>
        <w:spacing w:after="160" w:line="320" w:lineRule="auto"/>
        <w:jc w:val="both"/>
      </w:pPr>
      <w:r>
        <w:t>The fourth is the maturity of the surrounding institutional environment. Quality management practices presuppose supplier markets capable of responding to development, labour markets supplying certified technical skills, and measurement infrastructure capable of verifying conformance. Regional evidence documents deficits in precisely these supporting conditions (</w:t>
      </w:r>
      <w:proofErr w:type="spellStart"/>
      <w:r>
        <w:t>Colenbrander</w:t>
      </w:r>
      <w:proofErr w:type="spellEnd"/>
      <w:r>
        <w:t xml:space="preserve"> et al., 2015), and Kenyan sectoral evidence shows that where the supporting repair and service ecosystem is absent, product-level quality requirements do not translate into service quality (Harrington &amp; Wambugu, 2021). The practice-performance relationship in such settings is therefore conditional on complementary assets that the practice itself cannot supply.</w:t>
      </w:r>
    </w:p>
    <w:p w14:paraId="03E00E5F" w14:textId="77777777" w:rsidR="00D32166" w:rsidRDefault="00FD100D">
      <w:pPr>
        <w:pStyle w:val="Heading2"/>
        <w:spacing w:before="240" w:after="120"/>
      </w:pPr>
      <w:r>
        <w:rPr>
          <w:b/>
          <w:bCs/>
          <w:color w:val="000000"/>
          <w:sz w:val="22"/>
          <w:szCs w:val="22"/>
        </w:rPr>
        <w:t>5.4 How the relationship has been tested, and why that matters</w:t>
      </w:r>
    </w:p>
    <w:p w14:paraId="4593F3C8" w14:textId="77777777" w:rsidR="00D32166" w:rsidRDefault="00FD100D">
      <w:pPr>
        <w:spacing w:after="160" w:line="320" w:lineRule="auto"/>
        <w:jc w:val="both"/>
      </w:pPr>
      <w:r>
        <w:t>The dominant design in this literature is the cross-sectional survey of managers, in which perceived practice and perceived performance are reported by the same respondent. This design supports description of covariation but cannot establish direction, and it is vulnerable to method variance that inflates observed relationships among self-reported constructs (Podsakoff et al., 2003). The problem is compounded in mediation models, where three constructs measured by one informant at one moment generate an indirect effect whose magnitude partly reflects the shared measurement context. Remedies exist, including temporal and source separation of measurement, use of archival or instrumented outcome data, and marker variable techniques, but their application in the project quality literature is inconsistent. Where studies do test indirect effects with resampling procedures capable of recovering the sampling distribution of the product term, the inference is statistically sounder (Preacher &amp; Hayes, 2008), yet statistical soundness does not repair a design that cannot order the variables in time.</w:t>
      </w:r>
    </w:p>
    <w:p w14:paraId="57FC0C02" w14:textId="77777777" w:rsidR="00D32166" w:rsidRDefault="00FD100D">
      <w:pPr>
        <w:pStyle w:val="Heading1"/>
        <w:spacing w:before="320" w:after="140"/>
      </w:pPr>
      <w:r>
        <w:rPr>
          <w:b/>
          <w:bCs/>
          <w:color w:val="000000"/>
          <w:sz w:val="24"/>
          <w:szCs w:val="24"/>
        </w:rPr>
        <w:t>6. Stakeholder Engagement as the Contested Intervening Mechanism</w:t>
      </w:r>
    </w:p>
    <w:p w14:paraId="7B658615" w14:textId="77777777" w:rsidR="00D32166" w:rsidRDefault="00FD100D">
      <w:pPr>
        <w:pStyle w:val="Heading2"/>
        <w:spacing w:before="240" w:after="120"/>
      </w:pPr>
      <w:r>
        <w:rPr>
          <w:b/>
          <w:bCs/>
          <w:color w:val="000000"/>
          <w:sz w:val="22"/>
          <w:szCs w:val="22"/>
        </w:rPr>
        <w:t>6.1 What Kenyan renewable projects reveal about engagement</w:t>
      </w:r>
    </w:p>
    <w:p w14:paraId="00D5E046" w14:textId="77777777" w:rsidR="00D32166" w:rsidRDefault="00FD100D">
      <w:pPr>
        <w:spacing w:after="160" w:line="320" w:lineRule="auto"/>
        <w:jc w:val="both"/>
      </w:pPr>
      <w:r>
        <w:t xml:space="preserve">The Kenyan renewable record supplies the densest available evidence on how engagement shapes project trajectories, and it does so mainly through case-based research rather than through variance modelling. The Lake Turkana Wind Power project has generated a sustained body of empirical work whose findings are broadly convergent on process and divergent on interpretation. Studies of land relations document that the conversion of community land into a leasehold for the wind farm preceded the resolution of collective claims, altering the value and meaning of land for pastoralist populations and creating grievances that persisted long after construction (Cormack &amp; </w:t>
      </w:r>
      <w:proofErr w:type="spellStart"/>
      <w:r>
        <w:t>Kurewa</w:t>
      </w:r>
      <w:proofErr w:type="spellEnd"/>
      <w:r>
        <w:t>, 2018). Analyses of development discourse show that the project was framed in ways that displaced political questions about consent into technical questions about compensation (</w:t>
      </w:r>
      <w:proofErr w:type="spellStart"/>
      <w:r>
        <w:t>Achiba</w:t>
      </w:r>
      <w:proofErr w:type="spellEnd"/>
      <w:r>
        <w:t>, 2019). Work on the geography of decision authority argues that the project concentrated control at national and international levels while distributing burdens locally (</w:t>
      </w:r>
      <w:proofErr w:type="spellStart"/>
      <w:r>
        <w:t>Hashimshony</w:t>
      </w:r>
      <w:proofErr w:type="spellEnd"/>
      <w:r>
        <w:t xml:space="preserve"> Yaffe &amp; Segal-Klein, 2023). Research on conflict dynamics finds that opposition was driven by perceived injustice in process and distribution rather </w:t>
      </w:r>
      <w:r>
        <w:lastRenderedPageBreak/>
        <w:t>than by objection to wind energy as such (Lomax et al., 2023), a conclusion reinforced by analysis of the gap between the project's stated implementation commitments and their delivery (</w:t>
      </w:r>
      <w:proofErr w:type="spellStart"/>
      <w:r>
        <w:t>Renkens</w:t>
      </w:r>
      <w:proofErr w:type="spellEnd"/>
      <w:r>
        <w:t xml:space="preserve">, 2024). Assessments framed through justice and sustainability concepts reach compatible conclusions about the inadequacy of the consultative process relative to the scale of the intervention (Ramirez et al., 2025; </w:t>
      </w:r>
      <w:proofErr w:type="spellStart"/>
      <w:r>
        <w:t>Simberg-Koulumies</w:t>
      </w:r>
      <w:proofErr w:type="spellEnd"/>
      <w:r>
        <w:t xml:space="preserve">, 2024), and recent work on claims-making shows that contestation has continued to evolve as affected groups reformulate their demands over time (Lind &amp; </w:t>
      </w:r>
      <w:proofErr w:type="spellStart"/>
      <w:r>
        <w:t>Rogei</w:t>
      </w:r>
      <w:proofErr w:type="spellEnd"/>
      <w:r>
        <w:t>, 2025).</w:t>
      </w:r>
    </w:p>
    <w:p w14:paraId="28098EA9" w14:textId="77777777" w:rsidR="00D32166" w:rsidRDefault="00FD100D">
      <w:pPr>
        <w:spacing w:after="160" w:line="320" w:lineRule="auto"/>
        <w:jc w:val="both"/>
      </w:pPr>
      <w:r>
        <w:t xml:space="preserve">Evidence from other Kenyan projects tests whether these findings are specific to communal tenure and to </w:t>
      </w:r>
      <w:proofErr w:type="spellStart"/>
      <w:r>
        <w:t>Marsabit's</w:t>
      </w:r>
      <w:proofErr w:type="spellEnd"/>
      <w:r>
        <w:t xml:space="preserve"> political context. At </w:t>
      </w:r>
      <w:proofErr w:type="spellStart"/>
      <w:r>
        <w:t>Kipeto</w:t>
      </w:r>
      <w:proofErr w:type="spellEnd"/>
      <w:r>
        <w:t xml:space="preserve">, where land is held individually, land acquisition transformed livelihoods through a different mechanism, namely the conversion of pastoral holdings into cash settlements and lease income with uneven household consequences (Ndi, 2024a). Analysis of the same setting through a procedural justice lens found that the fairness of the process, including information provision and the opportunity to influence terms, shaped community response independently of the compensation offered (Ndi, 2024b). At the Kesses solar development in </w:t>
      </w:r>
      <w:proofErr w:type="spellStart"/>
      <w:r>
        <w:t>Uasin</w:t>
      </w:r>
      <w:proofErr w:type="spellEnd"/>
      <w:r>
        <w:t xml:space="preserve"> Gishu County, contestation centred not on opposing the installation but on securing employment, honouring corporate social responsibility undertakings and remedying environmental damage attributed to project works, with residents pressing for the fulfilment of promises rather than for cancellation (Ndi, 2025). Geothermal development displays the same structure: the socio-economic and environmental burden of a geothermal plant on a neighbouring poor rural community was documented early in the sector's expansion (</w:t>
      </w:r>
      <w:proofErr w:type="spellStart"/>
      <w:r>
        <w:t>Mariita</w:t>
      </w:r>
      <w:proofErr w:type="spellEnd"/>
      <w:r>
        <w:t>, 2002), resettlement was subsequently shown to have reduced livestock production and performance among relocated Maasai pastoralist households (Gai et al., 2022), and health and environmental concerns have continued to attach to the sector (Rotich et al., 2024). Research on the determinants of community acceptance of a Kenyan geothermal project found that perceived fairness, trust and information quality were substantive determinants alongside expected benefits (Mahamoud Abdi et al., 2024).</w:t>
      </w:r>
    </w:p>
    <w:p w14:paraId="11B2A9D6" w14:textId="77777777" w:rsidR="00D32166" w:rsidRDefault="00FD100D">
      <w:pPr>
        <w:spacing w:after="160" w:line="320" w:lineRule="auto"/>
        <w:jc w:val="both"/>
      </w:pPr>
      <w:r>
        <w:t>Three analytical observations follow. Engagement failures in these cases arise predominantly at the land acquisition, benefit definition and commitment fulfilment stages, which lie at the interface between the project and the state rather than within the contractor's production process. The grievances that persist are procedural and distributive rather than technical, and they are not remedied by conformance to engineering specification. The consequences fall on operational continuity, reputation, financing conditions and the fulfilment of development objectives rather than principally on construction schedule, which means that the performance dimensions most sensitive to engagement are not those most commonly measured in quality management research.</w:t>
      </w:r>
    </w:p>
    <w:p w14:paraId="0E2A3DD1" w14:textId="77777777" w:rsidR="00D32166" w:rsidRDefault="00FD100D">
      <w:pPr>
        <w:pStyle w:val="Heading2"/>
        <w:spacing w:before="240" w:after="120"/>
      </w:pPr>
      <w:r>
        <w:rPr>
          <w:b/>
          <w:bCs/>
          <w:color w:val="000000"/>
          <w:sz w:val="22"/>
          <w:szCs w:val="22"/>
        </w:rPr>
        <w:t>6.2 From engagement to acceptance to performance: the evidentiary bridge</w:t>
      </w:r>
    </w:p>
    <w:p w14:paraId="05922633" w14:textId="77777777" w:rsidR="00D32166" w:rsidRDefault="00FD100D">
      <w:pPr>
        <w:spacing w:after="160" w:line="320" w:lineRule="auto"/>
        <w:jc w:val="both"/>
      </w:pPr>
      <w:r>
        <w:t xml:space="preserve">Comparative evidence establishes the first link in the chain with reasonable confidence. Procedural justice in facility siting is associated with community response independently of distributive outcomes, and process design choices are consequential (Ottinger et al., 2014). Comparison of community-based and technocratic siting in Canadian wind development found systematically different perceptions of fairness and different levels of opposition (Walker &amp; Baxter, 2017). Swiss </w:t>
      </w:r>
      <w:r>
        <w:lastRenderedPageBreak/>
        <w:t>evidence shows that political and economic participation in local renewable projects is associated with higher acceptance, though the effect depends on the form participation takes (Stadelmann-Steffen &amp; Dermont, 2021). Systems analysis of developer-community conflict demonstrates how procedural shortcomings generate reinforcing dynamics that convert manageable disagreements into entrenched opposition (Salon et al., 2025). Stakeholder analysis of renewable policy and planning in Australia similarly locates implementation difficulty in the misalignment of stakeholder expectations rather than in technology (Martin &amp; Rice, 2015).</w:t>
      </w:r>
    </w:p>
    <w:p w14:paraId="52D03540" w14:textId="77777777" w:rsidR="00D32166" w:rsidRDefault="00FD100D">
      <w:pPr>
        <w:spacing w:after="160" w:line="320" w:lineRule="auto"/>
        <w:jc w:val="both"/>
      </w:pPr>
      <w:r>
        <w:t xml:space="preserve">The second link, from acceptance to measured project performance, is weaker in the evidence base than its intuitive plausibility suggests. Most acceptance research terminates at attitude or at project approval, and few studies follow projects through to delivery and operational outcomes. The Kenyan cases supply qualitative demonstration that contestation delayed activities, altered commitments and generated continuing management burden, but they do not quantify the consequence for cost, schedule or availability. One partial exception is work on solar project bankability in Mauritius, which links stakeholder engagement to the </w:t>
      </w:r>
      <w:proofErr w:type="spellStart"/>
      <w:r>
        <w:t>financeability</w:t>
      </w:r>
      <w:proofErr w:type="spellEnd"/>
      <w:r>
        <w:t xml:space="preserve"> of projects and therefore to a measurable delivery condition (Ramiah et al., 2026). Evidence on the failure of renewable projects in sub-Saharan Africa to deliver anticipated societal benefits documents outcomes consistent with engagement failure without isolating engagement as the cause (</w:t>
      </w:r>
      <w:proofErr w:type="spellStart"/>
      <w:r>
        <w:t>Ikejemba</w:t>
      </w:r>
      <w:proofErr w:type="spellEnd"/>
      <w:r>
        <w:t xml:space="preserve"> &amp; Schuur, 2020). Regional evidence on infrastructure-induced resettlement shows measurable household livelihood consequences (</w:t>
      </w:r>
      <w:proofErr w:type="spellStart"/>
      <w:r>
        <w:t>Egze</w:t>
      </w:r>
      <w:proofErr w:type="spellEnd"/>
      <w:r>
        <w:t xml:space="preserve"> et al., 2023), which establishes that the social outcomes are real, but such studies measure effects on communities rather than effects on projects.</w:t>
      </w:r>
    </w:p>
    <w:p w14:paraId="1897BBB8" w14:textId="77777777" w:rsidR="00D32166" w:rsidRDefault="00FD100D">
      <w:pPr>
        <w:spacing w:after="160" w:line="320" w:lineRule="auto"/>
        <w:jc w:val="both"/>
      </w:pPr>
      <w:r>
        <w:t>This asymmetry is the central evidentiary problem of the review. The literature is rich on how projects affect communities and on how communities respond, and thin on how community response then alters project outcomes in ways that can be measured. Without that second link established quantitatively, any reported indirect effect running from quality management practice through engagement to performance rests on an untested step.</w:t>
      </w:r>
    </w:p>
    <w:p w14:paraId="10094D60" w14:textId="77777777" w:rsidR="00D32166" w:rsidRDefault="00FD100D">
      <w:pPr>
        <w:pStyle w:val="Heading2"/>
        <w:spacing w:before="240" w:after="120"/>
      </w:pPr>
      <w:r>
        <w:rPr>
          <w:b/>
          <w:bCs/>
          <w:color w:val="000000"/>
          <w:sz w:val="22"/>
          <w:szCs w:val="22"/>
        </w:rPr>
        <w:t>6.3 Direct tests of the mediating specification</w:t>
      </w:r>
    </w:p>
    <w:p w14:paraId="4FEA12F2" w14:textId="77777777" w:rsidR="00D32166" w:rsidRDefault="00FD100D">
      <w:pPr>
        <w:spacing w:after="160" w:line="320" w:lineRule="auto"/>
        <w:jc w:val="both"/>
      </w:pPr>
      <w:r>
        <w:t>Explicit tests of stakeholder engagement or stakeholder management as a mediator exist, though none is set in Kenyan renewable electricity. Stakeholder management has been found to mediate the relationship between building information modelling implementation and project performance in construction, with the authors arguing that the technology's benefits are realised through improved stakeholder coordination rather than directly (Zhang et al., 2023). Process management practices have been found to mediate the relationship between stakeholder engagement and environmental practice adoption, which reverses the ordering assumed in the present review's focal specification and places engagement as the predictor rather than the mediator (Jakhar, 2017). Stakeholder engagement has been examined as the conduit through which risk management practices influence sustainable project performance in construction (Song et al., 2025). Soft and hard total quality management practices have been modelled against stakeholder management as the dependent construct, establishing the first path of the chain without extending to performance (de Las Casas et al., 2026).</w:t>
      </w:r>
    </w:p>
    <w:p w14:paraId="61E5BB28" w14:textId="77777777" w:rsidR="00D32166" w:rsidRDefault="00FD100D">
      <w:pPr>
        <w:spacing w:after="160" w:line="320" w:lineRule="auto"/>
        <w:jc w:val="both"/>
      </w:pPr>
      <w:r>
        <w:lastRenderedPageBreak/>
        <w:t>Taken together these studies establish that the paths composing the chain have each been estimated somewhere, but not that the chain has been estimated as a whole in a relevant setting, and not that the ordering is settled. The contradiction between the specification in which quality practice precedes engagement and the specification in which engagement precedes process management is not trivial. It reflects a genuine theoretical ambiguity about whether external relationship management is an output of an organisation's quality system or an input that shapes what that system attends to. Stakeholder salience theory supports the second reading at least in part, since salience is conferred by attributes that stakeholders possess and acquire rather than by managerial choice alone (Mitchell et al., 1997), and network analysis suggests that the density of the surrounding stakeholder structure constrains what any single organisation can determine (Rowley, 1997).</w:t>
      </w:r>
    </w:p>
    <w:p w14:paraId="4549E74A" w14:textId="77777777" w:rsidR="00D32166" w:rsidRDefault="00FD100D">
      <w:pPr>
        <w:spacing w:after="160" w:line="320" w:lineRule="auto"/>
        <w:jc w:val="both"/>
      </w:pPr>
      <w:r>
        <w:t>The Kenyan empirical literature that does address this specification directly presents a separate difficulty. Searching retrieved numerous studies purporting to test relationships between quality or project management practices, stakeholder participation and project performance in Kenyan energy and infrastructure settings. The overwhelming majority appear in outlets whose peer-review arrangements, editorial governance and indexing status could not be established, and many report analyses whose reported statistics are internally inconsistent or insufficiently documented to permit appraisal. Consistent with the eligibility criteria, these were excluded. Their exclusion is not a neutral procedural step: it means that the country-specific quantitative evidence on the focal question is, at present, effectively absent from the appraisable record, and that assertions of an established mediating relationship in Kenya rest on sources that cannot bear the weight placed on them.</w:t>
      </w:r>
    </w:p>
    <w:p w14:paraId="3F3AE217" w14:textId="77777777" w:rsidR="00D32166" w:rsidRDefault="00FD100D">
      <w:pPr>
        <w:pStyle w:val="Heading2"/>
        <w:spacing w:before="240" w:after="120"/>
      </w:pPr>
      <w:r>
        <w:rPr>
          <w:b/>
          <w:bCs/>
          <w:color w:val="000000"/>
          <w:sz w:val="22"/>
          <w:szCs w:val="22"/>
        </w:rPr>
        <w:t>6.4 Rival and complementary mechanisms</w:t>
      </w:r>
    </w:p>
    <w:p w14:paraId="51006EE3" w14:textId="77777777" w:rsidR="00D32166" w:rsidRDefault="00FD100D">
      <w:pPr>
        <w:spacing w:after="160" w:line="320" w:lineRule="auto"/>
        <w:jc w:val="both"/>
      </w:pPr>
      <w:r>
        <w:t>Stakeholder engagement is not the only candidate intervening variable, and the evidence supports several rivals. Continuous improvement capability, intellectual capital and organisational culture have each been reported as mediators of practice-performance relationships in project settings (Jimoh et al., 2019; Kuo &amp; Kuo, 2010; Shah et al., 2025). Supply chain integration mediates the effect of quality practices on quality performance across organisational boundaries (Soares et al., 2017), and in the Kenyan case the depth of domestic supply chains has demonstrable distributional consequences (Woollacott et al., 2023). Governance arrangements operate through project quality and risk (Haq et al., 2018). Critical success factor research in stakeholder management identifies managerial competencies and process attributes that may function as antecedents rather than mediators (</w:t>
      </w:r>
      <w:proofErr w:type="spellStart"/>
      <w:r>
        <w:t>Amoatey</w:t>
      </w:r>
      <w:proofErr w:type="spellEnd"/>
      <w:r>
        <w:t xml:space="preserve"> &amp; </w:t>
      </w:r>
      <w:proofErr w:type="spellStart"/>
      <w:r>
        <w:t>Hayibor</w:t>
      </w:r>
      <w:proofErr w:type="spellEnd"/>
      <w:r>
        <w:t xml:space="preserve">, 2017; </w:t>
      </w:r>
      <w:proofErr w:type="spellStart"/>
      <w:r>
        <w:t>Cherkos</w:t>
      </w:r>
      <w:proofErr w:type="spellEnd"/>
      <w:r>
        <w:t xml:space="preserve"> &amp; Kifle, 2026; Yang et al., 2010), while empowerment-based models of stakeholder management place the mechanism in the redistribution of decision authority rather than in communication quality (Rowlinson &amp; Cheung, 2008).</w:t>
      </w:r>
    </w:p>
    <w:p w14:paraId="18AACED6" w14:textId="77777777" w:rsidR="00D32166" w:rsidRDefault="00FD100D">
      <w:pPr>
        <w:spacing w:after="160" w:line="320" w:lineRule="auto"/>
        <w:jc w:val="both"/>
      </w:pPr>
      <w:r>
        <w:t xml:space="preserve">Two further mechanisms are specific to the Kenyan setting and are absent from the general models. The first is statutory participation. Environmental and strategic assessment processes in Kenya create legally mandated participation whose conduct has been shown to vary in the learning it produces and in its integration with decision-making (Walker et al., 2014; Walker et al., 2016). Where engagement is a regulatory requirement discharged through a prescribed procedure, its quality is determined </w:t>
      </w:r>
      <w:r>
        <w:lastRenderedPageBreak/>
        <w:t>substantially by the regulatory regime rather than by the developer's quality management system, which further weakens the endogeneity assumption. The second is integrity risk. Comparative analysis of corruption risks in renewable development, including Kenyan solar electricity, identifies mechanisms through which procurement and land transactions can be distorted, with consequences for both the credibility of engagement and the quality of delivered assets (</w:t>
      </w:r>
      <w:proofErr w:type="spellStart"/>
      <w:r>
        <w:t>Sovacool</w:t>
      </w:r>
      <w:proofErr w:type="spellEnd"/>
      <w:r>
        <w:t xml:space="preserve"> et al., 2024). Where such risks are present, engagement processes may be performed in form while their substantive function is subverted, producing measurement that records participation where none occurred. Table 3 summarises the Kenyan and directly comparable evidence on engagement and project outcomes and records the limitation attaching to each source of evidence; the recurring limitation across the table is the absence of measured project outcomes rather than any weakness in the documentation of community consequences.</w:t>
      </w:r>
    </w:p>
    <w:p w14:paraId="6BCDAF72" w14:textId="77777777" w:rsidR="00D32166" w:rsidRDefault="00FD100D">
      <w:pPr>
        <w:spacing w:before="240" w:after="100" w:line="260" w:lineRule="auto"/>
      </w:pPr>
      <w:r>
        <w:rPr>
          <w:b/>
          <w:bCs/>
          <w:sz w:val="20"/>
          <w:szCs w:val="20"/>
        </w:rPr>
        <w:t>Table 3. Kenyan and directly comparable evidence linking stakeholder engagement to renewable project outcomes, with the principal limitation of each evidence stream</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2109"/>
        <w:gridCol w:w="2361"/>
        <w:gridCol w:w="2268"/>
        <w:gridCol w:w="1599"/>
      </w:tblGrid>
      <w:tr w:rsidR="00D32166" w14:paraId="318C2E33" w14:textId="77777777">
        <w:trPr>
          <w:tblHeader/>
        </w:trPr>
        <w:tc>
          <w:tcPr>
            <w:tcW w:w="1301" w:type="dxa"/>
            <w:shd w:val="clear" w:color="auto" w:fill="EFEFEF"/>
            <w:tcMar>
              <w:top w:w="60" w:type="dxa"/>
              <w:left w:w="90" w:type="dxa"/>
              <w:bottom w:w="60" w:type="dxa"/>
              <w:right w:w="90" w:type="dxa"/>
            </w:tcMar>
          </w:tcPr>
          <w:p w14:paraId="4CD0A219" w14:textId="77777777" w:rsidR="00D32166" w:rsidRDefault="00FD100D">
            <w:r>
              <w:rPr>
                <w:b/>
                <w:bCs/>
                <w:sz w:val="17"/>
                <w:szCs w:val="17"/>
              </w:rPr>
              <w:t>Project or setting</w:t>
            </w:r>
          </w:p>
        </w:tc>
        <w:tc>
          <w:tcPr>
            <w:tcW w:w="2109" w:type="dxa"/>
            <w:shd w:val="clear" w:color="auto" w:fill="EFEFEF"/>
            <w:tcMar>
              <w:top w:w="60" w:type="dxa"/>
              <w:left w:w="90" w:type="dxa"/>
              <w:bottom w:w="60" w:type="dxa"/>
              <w:right w:w="90" w:type="dxa"/>
            </w:tcMar>
          </w:tcPr>
          <w:p w14:paraId="7AE77251" w14:textId="77777777" w:rsidR="00D32166" w:rsidRDefault="00FD100D">
            <w:r>
              <w:rPr>
                <w:b/>
                <w:bCs/>
                <w:sz w:val="17"/>
                <w:szCs w:val="17"/>
              </w:rPr>
              <w:t>Engagement feature examined</w:t>
            </w:r>
          </w:p>
        </w:tc>
        <w:tc>
          <w:tcPr>
            <w:tcW w:w="2361" w:type="dxa"/>
            <w:shd w:val="clear" w:color="auto" w:fill="EFEFEF"/>
            <w:tcMar>
              <w:top w:w="60" w:type="dxa"/>
              <w:left w:w="90" w:type="dxa"/>
              <w:bottom w:w="60" w:type="dxa"/>
              <w:right w:w="90" w:type="dxa"/>
            </w:tcMar>
          </w:tcPr>
          <w:p w14:paraId="1C199A71" w14:textId="77777777" w:rsidR="00D32166" w:rsidRDefault="00FD100D">
            <w:r>
              <w:rPr>
                <w:b/>
                <w:bCs/>
                <w:sz w:val="17"/>
                <w:szCs w:val="17"/>
              </w:rPr>
              <w:t>Reported consequence</w:t>
            </w:r>
          </w:p>
        </w:tc>
        <w:tc>
          <w:tcPr>
            <w:tcW w:w="2268" w:type="dxa"/>
            <w:shd w:val="clear" w:color="auto" w:fill="EFEFEF"/>
            <w:tcMar>
              <w:top w:w="60" w:type="dxa"/>
              <w:left w:w="90" w:type="dxa"/>
              <w:bottom w:w="60" w:type="dxa"/>
              <w:right w:w="90" w:type="dxa"/>
            </w:tcMar>
          </w:tcPr>
          <w:p w14:paraId="1D46B533" w14:textId="77777777" w:rsidR="00D32166" w:rsidRDefault="00FD100D">
            <w:r>
              <w:rPr>
                <w:b/>
                <w:bCs/>
                <w:sz w:val="17"/>
                <w:szCs w:val="17"/>
              </w:rPr>
              <w:t>Principal design or appraisal limitation</w:t>
            </w:r>
          </w:p>
        </w:tc>
        <w:tc>
          <w:tcPr>
            <w:tcW w:w="1599" w:type="dxa"/>
            <w:shd w:val="clear" w:color="auto" w:fill="EFEFEF"/>
            <w:tcMar>
              <w:top w:w="60" w:type="dxa"/>
              <w:left w:w="90" w:type="dxa"/>
              <w:bottom w:w="60" w:type="dxa"/>
              <w:right w:w="90" w:type="dxa"/>
            </w:tcMar>
          </w:tcPr>
          <w:p w14:paraId="3CA21854" w14:textId="77777777" w:rsidR="00D32166" w:rsidRDefault="00FD100D">
            <w:r>
              <w:rPr>
                <w:b/>
                <w:bCs/>
                <w:sz w:val="17"/>
                <w:szCs w:val="17"/>
              </w:rPr>
              <w:t>Supporting references</w:t>
            </w:r>
          </w:p>
        </w:tc>
      </w:tr>
      <w:tr w:rsidR="00D32166" w14:paraId="5EE6752E" w14:textId="77777777">
        <w:tc>
          <w:tcPr>
            <w:tcW w:w="1301" w:type="dxa"/>
            <w:tcMar>
              <w:top w:w="60" w:type="dxa"/>
              <w:left w:w="90" w:type="dxa"/>
              <w:bottom w:w="60" w:type="dxa"/>
              <w:right w:w="90" w:type="dxa"/>
            </w:tcMar>
          </w:tcPr>
          <w:p w14:paraId="69D532A4" w14:textId="77777777" w:rsidR="00D32166" w:rsidRDefault="00FD100D">
            <w:r>
              <w:rPr>
                <w:sz w:val="17"/>
                <w:szCs w:val="17"/>
              </w:rPr>
              <w:t xml:space="preserve">Lake Turkana Wind Power, </w:t>
            </w:r>
            <w:proofErr w:type="spellStart"/>
            <w:r>
              <w:rPr>
                <w:sz w:val="17"/>
                <w:szCs w:val="17"/>
              </w:rPr>
              <w:t>Marsabit</w:t>
            </w:r>
            <w:proofErr w:type="spellEnd"/>
            <w:r>
              <w:rPr>
                <w:sz w:val="17"/>
                <w:szCs w:val="17"/>
              </w:rPr>
              <w:t xml:space="preserve"> County</w:t>
            </w:r>
          </w:p>
        </w:tc>
        <w:tc>
          <w:tcPr>
            <w:tcW w:w="2109" w:type="dxa"/>
            <w:tcMar>
              <w:top w:w="60" w:type="dxa"/>
              <w:left w:w="90" w:type="dxa"/>
              <w:bottom w:w="60" w:type="dxa"/>
              <w:right w:w="90" w:type="dxa"/>
            </w:tcMar>
          </w:tcPr>
          <w:p w14:paraId="3304AECC" w14:textId="77777777" w:rsidR="00D32166" w:rsidRDefault="00FD100D">
            <w:r>
              <w:rPr>
                <w:sz w:val="17"/>
                <w:szCs w:val="17"/>
              </w:rPr>
              <w:t>Land conversion preceding resolution of community claims; consultation framing; locus of decision authority</w:t>
            </w:r>
          </w:p>
        </w:tc>
        <w:tc>
          <w:tcPr>
            <w:tcW w:w="2361" w:type="dxa"/>
            <w:tcMar>
              <w:top w:w="60" w:type="dxa"/>
              <w:left w:w="90" w:type="dxa"/>
              <w:bottom w:w="60" w:type="dxa"/>
              <w:right w:w="90" w:type="dxa"/>
            </w:tcMar>
          </w:tcPr>
          <w:p w14:paraId="55B28D31" w14:textId="77777777" w:rsidR="00D32166" w:rsidRDefault="00FD100D">
            <w:r>
              <w:rPr>
                <w:sz w:val="17"/>
                <w:szCs w:val="17"/>
              </w:rPr>
              <w:t>Persistent grievance, contested legitimacy, continuing claims-making and reputational exposure</w:t>
            </w:r>
          </w:p>
        </w:tc>
        <w:tc>
          <w:tcPr>
            <w:tcW w:w="2268" w:type="dxa"/>
            <w:tcMar>
              <w:top w:w="60" w:type="dxa"/>
              <w:left w:w="90" w:type="dxa"/>
              <w:bottom w:w="60" w:type="dxa"/>
              <w:right w:w="90" w:type="dxa"/>
            </w:tcMar>
          </w:tcPr>
          <w:p w14:paraId="3DDF7CC6" w14:textId="77777777" w:rsidR="00D32166" w:rsidRDefault="00FD100D">
            <w:r>
              <w:rPr>
                <w:sz w:val="17"/>
                <w:szCs w:val="17"/>
              </w:rPr>
              <w:t>Case-based and interpretive; project cost, schedule and availability outcomes not measured</w:t>
            </w:r>
          </w:p>
        </w:tc>
        <w:tc>
          <w:tcPr>
            <w:tcW w:w="1599" w:type="dxa"/>
            <w:tcMar>
              <w:top w:w="60" w:type="dxa"/>
              <w:left w:w="90" w:type="dxa"/>
              <w:bottom w:w="60" w:type="dxa"/>
              <w:right w:w="90" w:type="dxa"/>
            </w:tcMar>
          </w:tcPr>
          <w:p w14:paraId="41C287F4" w14:textId="77777777" w:rsidR="00D32166" w:rsidRDefault="00FD100D">
            <w:proofErr w:type="spellStart"/>
            <w:r>
              <w:rPr>
                <w:sz w:val="17"/>
                <w:szCs w:val="17"/>
              </w:rPr>
              <w:t>Achiba</w:t>
            </w:r>
            <w:proofErr w:type="spellEnd"/>
            <w:r>
              <w:rPr>
                <w:sz w:val="17"/>
                <w:szCs w:val="17"/>
              </w:rPr>
              <w:t xml:space="preserve"> (2019); Cormack and </w:t>
            </w:r>
            <w:proofErr w:type="spellStart"/>
            <w:r>
              <w:rPr>
                <w:sz w:val="17"/>
                <w:szCs w:val="17"/>
              </w:rPr>
              <w:t>Kurewa</w:t>
            </w:r>
            <w:proofErr w:type="spellEnd"/>
            <w:r>
              <w:rPr>
                <w:sz w:val="17"/>
                <w:szCs w:val="17"/>
              </w:rPr>
              <w:t xml:space="preserve"> (2018); </w:t>
            </w:r>
            <w:proofErr w:type="spellStart"/>
            <w:r>
              <w:rPr>
                <w:sz w:val="17"/>
                <w:szCs w:val="17"/>
              </w:rPr>
              <w:t>Hashimshony</w:t>
            </w:r>
            <w:proofErr w:type="spellEnd"/>
            <w:r>
              <w:rPr>
                <w:sz w:val="17"/>
                <w:szCs w:val="17"/>
              </w:rPr>
              <w:t xml:space="preserve"> Yaffe and Segal-Klein (2023); Lind and </w:t>
            </w:r>
            <w:proofErr w:type="spellStart"/>
            <w:r>
              <w:rPr>
                <w:sz w:val="17"/>
                <w:szCs w:val="17"/>
              </w:rPr>
              <w:t>Rogei</w:t>
            </w:r>
            <w:proofErr w:type="spellEnd"/>
            <w:r>
              <w:rPr>
                <w:sz w:val="17"/>
                <w:szCs w:val="17"/>
              </w:rPr>
              <w:t xml:space="preserve"> (2025); Lomax et al. (2023); Ramirez et al. (2025); </w:t>
            </w:r>
            <w:proofErr w:type="spellStart"/>
            <w:r>
              <w:rPr>
                <w:sz w:val="17"/>
                <w:szCs w:val="17"/>
              </w:rPr>
              <w:t>Renkens</w:t>
            </w:r>
            <w:proofErr w:type="spellEnd"/>
            <w:r>
              <w:rPr>
                <w:sz w:val="17"/>
                <w:szCs w:val="17"/>
              </w:rPr>
              <w:t xml:space="preserve"> (2024); </w:t>
            </w:r>
            <w:proofErr w:type="spellStart"/>
            <w:r>
              <w:rPr>
                <w:sz w:val="17"/>
                <w:szCs w:val="17"/>
              </w:rPr>
              <w:t>Simberg-Koulumies</w:t>
            </w:r>
            <w:proofErr w:type="spellEnd"/>
            <w:r>
              <w:rPr>
                <w:sz w:val="17"/>
                <w:szCs w:val="17"/>
              </w:rPr>
              <w:t xml:space="preserve"> (2024)</w:t>
            </w:r>
          </w:p>
        </w:tc>
      </w:tr>
      <w:tr w:rsidR="00D32166" w14:paraId="505C70A4" w14:textId="77777777">
        <w:tc>
          <w:tcPr>
            <w:tcW w:w="1301" w:type="dxa"/>
            <w:tcMar>
              <w:top w:w="60" w:type="dxa"/>
              <w:left w:w="90" w:type="dxa"/>
              <w:bottom w:w="60" w:type="dxa"/>
              <w:right w:w="90" w:type="dxa"/>
            </w:tcMar>
          </w:tcPr>
          <w:p w14:paraId="4A2A41DF" w14:textId="77777777" w:rsidR="00D32166" w:rsidRDefault="00FD100D">
            <w:proofErr w:type="spellStart"/>
            <w:r>
              <w:rPr>
                <w:sz w:val="17"/>
                <w:szCs w:val="17"/>
              </w:rPr>
              <w:t>Kipeto</w:t>
            </w:r>
            <w:proofErr w:type="spellEnd"/>
            <w:r>
              <w:rPr>
                <w:sz w:val="17"/>
                <w:szCs w:val="17"/>
              </w:rPr>
              <w:t xml:space="preserve"> wind development, Kajiado County</w:t>
            </w:r>
          </w:p>
        </w:tc>
        <w:tc>
          <w:tcPr>
            <w:tcW w:w="2109" w:type="dxa"/>
            <w:tcMar>
              <w:top w:w="60" w:type="dxa"/>
              <w:left w:w="90" w:type="dxa"/>
              <w:bottom w:w="60" w:type="dxa"/>
              <w:right w:w="90" w:type="dxa"/>
            </w:tcMar>
          </w:tcPr>
          <w:p w14:paraId="522DF1E2" w14:textId="77777777" w:rsidR="00D32166" w:rsidRDefault="00FD100D">
            <w:r>
              <w:rPr>
                <w:sz w:val="17"/>
                <w:szCs w:val="17"/>
              </w:rPr>
              <w:t>Land acquisition on individually held parcels; information provision and opportunity to influence terms</w:t>
            </w:r>
          </w:p>
        </w:tc>
        <w:tc>
          <w:tcPr>
            <w:tcW w:w="2361" w:type="dxa"/>
            <w:tcMar>
              <w:top w:w="60" w:type="dxa"/>
              <w:left w:w="90" w:type="dxa"/>
              <w:bottom w:w="60" w:type="dxa"/>
              <w:right w:w="90" w:type="dxa"/>
            </w:tcMar>
          </w:tcPr>
          <w:p w14:paraId="47A55E31" w14:textId="77777777" w:rsidR="00D32166" w:rsidRDefault="00FD100D">
            <w:r>
              <w:rPr>
                <w:sz w:val="17"/>
                <w:szCs w:val="17"/>
              </w:rPr>
              <w:t>Livelihood transformation with uneven household effects; procedural fairness shaped response independently of compensation</w:t>
            </w:r>
          </w:p>
        </w:tc>
        <w:tc>
          <w:tcPr>
            <w:tcW w:w="2268" w:type="dxa"/>
            <w:tcMar>
              <w:top w:w="60" w:type="dxa"/>
              <w:left w:w="90" w:type="dxa"/>
              <w:bottom w:w="60" w:type="dxa"/>
              <w:right w:w="90" w:type="dxa"/>
            </w:tcMar>
          </w:tcPr>
          <w:p w14:paraId="2E1B57A4" w14:textId="77777777" w:rsidR="00D32166" w:rsidRDefault="00FD100D">
            <w:r>
              <w:rPr>
                <w:sz w:val="17"/>
                <w:szCs w:val="17"/>
              </w:rPr>
              <w:t>Single-site qualitative design; no comparison site; outcomes measured at household rather than project level</w:t>
            </w:r>
          </w:p>
        </w:tc>
        <w:tc>
          <w:tcPr>
            <w:tcW w:w="1599" w:type="dxa"/>
            <w:tcMar>
              <w:top w:w="60" w:type="dxa"/>
              <w:left w:w="90" w:type="dxa"/>
              <w:bottom w:w="60" w:type="dxa"/>
              <w:right w:w="90" w:type="dxa"/>
            </w:tcMar>
          </w:tcPr>
          <w:p w14:paraId="69FE003F" w14:textId="77777777" w:rsidR="00D32166" w:rsidRDefault="00FD100D">
            <w:r>
              <w:rPr>
                <w:sz w:val="17"/>
                <w:szCs w:val="17"/>
              </w:rPr>
              <w:t>Ndi (2024a, 2024b)</w:t>
            </w:r>
          </w:p>
        </w:tc>
      </w:tr>
      <w:tr w:rsidR="00D32166" w14:paraId="2FC01659" w14:textId="77777777">
        <w:tc>
          <w:tcPr>
            <w:tcW w:w="1301" w:type="dxa"/>
            <w:tcMar>
              <w:top w:w="60" w:type="dxa"/>
              <w:left w:w="90" w:type="dxa"/>
              <w:bottom w:w="60" w:type="dxa"/>
              <w:right w:w="90" w:type="dxa"/>
            </w:tcMar>
          </w:tcPr>
          <w:p w14:paraId="055A11CF" w14:textId="77777777" w:rsidR="00D32166" w:rsidRDefault="00FD100D">
            <w:r>
              <w:rPr>
                <w:sz w:val="17"/>
                <w:szCs w:val="17"/>
              </w:rPr>
              <w:t xml:space="preserve">Kesses utility-scale solar, </w:t>
            </w:r>
            <w:proofErr w:type="spellStart"/>
            <w:r>
              <w:rPr>
                <w:sz w:val="17"/>
                <w:szCs w:val="17"/>
              </w:rPr>
              <w:t>Uasin</w:t>
            </w:r>
            <w:proofErr w:type="spellEnd"/>
            <w:r>
              <w:rPr>
                <w:sz w:val="17"/>
                <w:szCs w:val="17"/>
              </w:rPr>
              <w:t xml:space="preserve"> Gishu County</w:t>
            </w:r>
          </w:p>
        </w:tc>
        <w:tc>
          <w:tcPr>
            <w:tcW w:w="2109" w:type="dxa"/>
            <w:tcMar>
              <w:top w:w="60" w:type="dxa"/>
              <w:left w:w="90" w:type="dxa"/>
              <w:bottom w:w="60" w:type="dxa"/>
              <w:right w:w="90" w:type="dxa"/>
            </w:tcMar>
          </w:tcPr>
          <w:p w14:paraId="6B69D796" w14:textId="77777777" w:rsidR="00D32166" w:rsidRDefault="00FD100D">
            <w:r>
              <w:rPr>
                <w:sz w:val="17"/>
                <w:szCs w:val="17"/>
              </w:rPr>
              <w:t>Fulfilment of employment, water and road commitments; corporate social responsibility undertakings</w:t>
            </w:r>
          </w:p>
        </w:tc>
        <w:tc>
          <w:tcPr>
            <w:tcW w:w="2361" w:type="dxa"/>
            <w:tcMar>
              <w:top w:w="60" w:type="dxa"/>
              <w:left w:w="90" w:type="dxa"/>
              <w:bottom w:w="60" w:type="dxa"/>
              <w:right w:w="90" w:type="dxa"/>
            </w:tcMar>
          </w:tcPr>
          <w:p w14:paraId="568087D5" w14:textId="77777777" w:rsidR="00D32166" w:rsidRDefault="00FD100D">
            <w:r>
              <w:rPr>
                <w:sz w:val="17"/>
                <w:szCs w:val="17"/>
              </w:rPr>
              <w:t>Contestation directed at securing benefits rather than halting the project; sustained local dissatisfaction</w:t>
            </w:r>
          </w:p>
        </w:tc>
        <w:tc>
          <w:tcPr>
            <w:tcW w:w="2268" w:type="dxa"/>
            <w:tcMar>
              <w:top w:w="60" w:type="dxa"/>
              <w:left w:w="90" w:type="dxa"/>
              <w:bottom w:w="60" w:type="dxa"/>
              <w:right w:w="90" w:type="dxa"/>
            </w:tcMar>
          </w:tcPr>
          <w:p w14:paraId="1BE7D76A" w14:textId="77777777" w:rsidR="00D32166" w:rsidRDefault="00FD100D">
            <w:r>
              <w:rPr>
                <w:sz w:val="17"/>
                <w:szCs w:val="17"/>
              </w:rPr>
              <w:t>Interview and focus group data from four villages; project performance consequences described rather than quantified</w:t>
            </w:r>
          </w:p>
        </w:tc>
        <w:tc>
          <w:tcPr>
            <w:tcW w:w="1599" w:type="dxa"/>
            <w:tcMar>
              <w:top w:w="60" w:type="dxa"/>
              <w:left w:w="90" w:type="dxa"/>
              <w:bottom w:w="60" w:type="dxa"/>
              <w:right w:w="90" w:type="dxa"/>
            </w:tcMar>
          </w:tcPr>
          <w:p w14:paraId="283FB99A" w14:textId="77777777" w:rsidR="00D32166" w:rsidRDefault="00FD100D">
            <w:r>
              <w:rPr>
                <w:sz w:val="17"/>
                <w:szCs w:val="17"/>
              </w:rPr>
              <w:t>Ndi (2025)</w:t>
            </w:r>
          </w:p>
        </w:tc>
      </w:tr>
      <w:tr w:rsidR="00D32166" w14:paraId="641E746F" w14:textId="77777777">
        <w:tc>
          <w:tcPr>
            <w:tcW w:w="1301" w:type="dxa"/>
            <w:tcMar>
              <w:top w:w="60" w:type="dxa"/>
              <w:left w:w="90" w:type="dxa"/>
              <w:bottom w:w="60" w:type="dxa"/>
              <w:right w:w="90" w:type="dxa"/>
            </w:tcMar>
          </w:tcPr>
          <w:p w14:paraId="77262028" w14:textId="77777777" w:rsidR="00D32166" w:rsidRDefault="00FD100D">
            <w:r>
              <w:rPr>
                <w:sz w:val="17"/>
                <w:szCs w:val="17"/>
              </w:rPr>
              <w:t>Olkaria geothermal field and surrounding communities</w:t>
            </w:r>
          </w:p>
        </w:tc>
        <w:tc>
          <w:tcPr>
            <w:tcW w:w="2109" w:type="dxa"/>
            <w:tcMar>
              <w:top w:w="60" w:type="dxa"/>
              <w:left w:w="90" w:type="dxa"/>
              <w:bottom w:w="60" w:type="dxa"/>
              <w:right w:w="90" w:type="dxa"/>
            </w:tcMar>
          </w:tcPr>
          <w:p w14:paraId="0CAC97D8" w14:textId="77777777" w:rsidR="00D32166" w:rsidRDefault="00FD100D">
            <w:r>
              <w:rPr>
                <w:sz w:val="17"/>
                <w:szCs w:val="17"/>
              </w:rPr>
              <w:t>Resettlement process; environmental and health burden distribution; determinants of acceptance</w:t>
            </w:r>
          </w:p>
        </w:tc>
        <w:tc>
          <w:tcPr>
            <w:tcW w:w="2361" w:type="dxa"/>
            <w:tcMar>
              <w:top w:w="60" w:type="dxa"/>
              <w:left w:w="90" w:type="dxa"/>
              <w:bottom w:w="60" w:type="dxa"/>
              <w:right w:w="90" w:type="dxa"/>
            </w:tcMar>
          </w:tcPr>
          <w:p w14:paraId="5449EFF1" w14:textId="77777777" w:rsidR="00D32166" w:rsidRDefault="00FD100D">
            <w:r>
              <w:rPr>
                <w:sz w:val="17"/>
                <w:szCs w:val="17"/>
              </w:rPr>
              <w:t>Reduced livestock production among resettled households; acceptance dependent on fairness, trust and information quality alongside benefits</w:t>
            </w:r>
          </w:p>
        </w:tc>
        <w:tc>
          <w:tcPr>
            <w:tcW w:w="2268" w:type="dxa"/>
            <w:tcMar>
              <w:top w:w="60" w:type="dxa"/>
              <w:left w:w="90" w:type="dxa"/>
              <w:bottom w:w="60" w:type="dxa"/>
              <w:right w:w="90" w:type="dxa"/>
            </w:tcMar>
          </w:tcPr>
          <w:p w14:paraId="3386CC6A" w14:textId="77777777" w:rsidR="00D32166" w:rsidRDefault="00FD100D">
            <w:r>
              <w:rPr>
                <w:sz w:val="17"/>
                <w:szCs w:val="17"/>
              </w:rPr>
              <w:t>Cross-sectional and retrospective designs; attribution to engagement quality rather than to resettlement itself is not isolated</w:t>
            </w:r>
          </w:p>
        </w:tc>
        <w:tc>
          <w:tcPr>
            <w:tcW w:w="1599" w:type="dxa"/>
            <w:tcMar>
              <w:top w:w="60" w:type="dxa"/>
              <w:left w:w="90" w:type="dxa"/>
              <w:bottom w:w="60" w:type="dxa"/>
              <w:right w:w="90" w:type="dxa"/>
            </w:tcMar>
          </w:tcPr>
          <w:p w14:paraId="555CCC82" w14:textId="77777777" w:rsidR="00D32166" w:rsidRDefault="00FD100D">
            <w:r>
              <w:rPr>
                <w:sz w:val="17"/>
                <w:szCs w:val="17"/>
              </w:rPr>
              <w:t xml:space="preserve">Gai et al. (2022); Mahamoud Abdi et al. (2024); </w:t>
            </w:r>
            <w:proofErr w:type="spellStart"/>
            <w:r>
              <w:rPr>
                <w:sz w:val="17"/>
                <w:szCs w:val="17"/>
              </w:rPr>
              <w:t>Mariita</w:t>
            </w:r>
            <w:proofErr w:type="spellEnd"/>
            <w:r>
              <w:rPr>
                <w:sz w:val="17"/>
                <w:szCs w:val="17"/>
              </w:rPr>
              <w:t xml:space="preserve"> (2002); Rotich et al. (2024)</w:t>
            </w:r>
          </w:p>
        </w:tc>
      </w:tr>
      <w:tr w:rsidR="00D32166" w14:paraId="1003B428" w14:textId="77777777">
        <w:tc>
          <w:tcPr>
            <w:tcW w:w="1301" w:type="dxa"/>
            <w:tcMar>
              <w:top w:w="60" w:type="dxa"/>
              <w:left w:w="90" w:type="dxa"/>
              <w:bottom w:w="60" w:type="dxa"/>
              <w:right w:w="90" w:type="dxa"/>
            </w:tcMar>
          </w:tcPr>
          <w:p w14:paraId="7F65C506" w14:textId="77777777" w:rsidR="00D32166" w:rsidRDefault="00FD100D">
            <w:r>
              <w:rPr>
                <w:sz w:val="17"/>
                <w:szCs w:val="17"/>
              </w:rPr>
              <w:t>Kenyan strategic environmental assessment practice</w:t>
            </w:r>
          </w:p>
        </w:tc>
        <w:tc>
          <w:tcPr>
            <w:tcW w:w="2109" w:type="dxa"/>
            <w:tcMar>
              <w:top w:w="60" w:type="dxa"/>
              <w:left w:w="90" w:type="dxa"/>
              <w:bottom w:w="60" w:type="dxa"/>
              <w:right w:w="90" w:type="dxa"/>
            </w:tcMar>
          </w:tcPr>
          <w:p w14:paraId="7E447D4C" w14:textId="77777777" w:rsidR="00D32166" w:rsidRDefault="00FD100D">
            <w:r>
              <w:rPr>
                <w:sz w:val="17"/>
                <w:szCs w:val="17"/>
              </w:rPr>
              <w:t>Statutory public participation and its capacity to generate learning and influence decisions</w:t>
            </w:r>
          </w:p>
        </w:tc>
        <w:tc>
          <w:tcPr>
            <w:tcW w:w="2361" w:type="dxa"/>
            <w:tcMar>
              <w:top w:w="60" w:type="dxa"/>
              <w:left w:w="90" w:type="dxa"/>
              <w:bottom w:w="60" w:type="dxa"/>
              <w:right w:w="90" w:type="dxa"/>
            </w:tcMar>
          </w:tcPr>
          <w:p w14:paraId="2487D235" w14:textId="77777777" w:rsidR="00D32166" w:rsidRDefault="00FD100D">
            <w:r>
              <w:rPr>
                <w:sz w:val="17"/>
                <w:szCs w:val="17"/>
              </w:rPr>
              <w:t>Participation quality varies; learning outcomes uneven and weakly integrated with decisions</w:t>
            </w:r>
          </w:p>
        </w:tc>
        <w:tc>
          <w:tcPr>
            <w:tcW w:w="2268" w:type="dxa"/>
            <w:tcMar>
              <w:top w:w="60" w:type="dxa"/>
              <w:left w:w="90" w:type="dxa"/>
              <w:bottom w:w="60" w:type="dxa"/>
              <w:right w:w="90" w:type="dxa"/>
            </w:tcMar>
          </w:tcPr>
          <w:p w14:paraId="09981000" w14:textId="77777777" w:rsidR="00D32166" w:rsidRDefault="00FD100D">
            <w:r>
              <w:rPr>
                <w:sz w:val="17"/>
                <w:szCs w:val="17"/>
              </w:rPr>
              <w:t>Assessment-process focus; link to individual project performance not established</w:t>
            </w:r>
          </w:p>
        </w:tc>
        <w:tc>
          <w:tcPr>
            <w:tcW w:w="1599" w:type="dxa"/>
            <w:tcMar>
              <w:top w:w="60" w:type="dxa"/>
              <w:left w:w="90" w:type="dxa"/>
              <w:bottom w:w="60" w:type="dxa"/>
              <w:right w:w="90" w:type="dxa"/>
            </w:tcMar>
          </w:tcPr>
          <w:p w14:paraId="29AA9430" w14:textId="77777777" w:rsidR="00D32166" w:rsidRDefault="00FD100D">
            <w:r>
              <w:rPr>
                <w:sz w:val="17"/>
                <w:szCs w:val="17"/>
              </w:rPr>
              <w:t>Walker et al. (2014); Walker et al. (2016)</w:t>
            </w:r>
          </w:p>
        </w:tc>
      </w:tr>
      <w:tr w:rsidR="00D32166" w14:paraId="10738E79" w14:textId="77777777">
        <w:tc>
          <w:tcPr>
            <w:tcW w:w="1301" w:type="dxa"/>
            <w:tcMar>
              <w:top w:w="60" w:type="dxa"/>
              <w:left w:w="90" w:type="dxa"/>
              <w:bottom w:w="60" w:type="dxa"/>
              <w:right w:w="90" w:type="dxa"/>
            </w:tcMar>
          </w:tcPr>
          <w:p w14:paraId="79231747" w14:textId="77777777" w:rsidR="00D32166" w:rsidRDefault="00FD100D">
            <w:r>
              <w:rPr>
                <w:sz w:val="17"/>
                <w:szCs w:val="17"/>
              </w:rPr>
              <w:t>Comparative siting and participation research outside Kenya</w:t>
            </w:r>
          </w:p>
        </w:tc>
        <w:tc>
          <w:tcPr>
            <w:tcW w:w="2109" w:type="dxa"/>
            <w:tcMar>
              <w:top w:w="60" w:type="dxa"/>
              <w:left w:w="90" w:type="dxa"/>
              <w:bottom w:w="60" w:type="dxa"/>
              <w:right w:w="90" w:type="dxa"/>
            </w:tcMar>
          </w:tcPr>
          <w:p w14:paraId="5240FA33" w14:textId="77777777" w:rsidR="00D32166" w:rsidRDefault="00FD100D">
            <w:r>
              <w:rPr>
                <w:sz w:val="17"/>
                <w:szCs w:val="17"/>
              </w:rPr>
              <w:t>Community-based versus technocratic siting; forms of political and economic participation; conflict dynamics</w:t>
            </w:r>
          </w:p>
        </w:tc>
        <w:tc>
          <w:tcPr>
            <w:tcW w:w="2361" w:type="dxa"/>
            <w:tcMar>
              <w:top w:w="60" w:type="dxa"/>
              <w:left w:w="90" w:type="dxa"/>
              <w:bottom w:w="60" w:type="dxa"/>
              <w:right w:w="90" w:type="dxa"/>
            </w:tcMar>
          </w:tcPr>
          <w:p w14:paraId="21CB56AA" w14:textId="77777777" w:rsidR="00D32166" w:rsidRDefault="00FD100D">
            <w:r>
              <w:rPr>
                <w:sz w:val="17"/>
                <w:szCs w:val="17"/>
              </w:rPr>
              <w:t>Procedural fairness associated with acceptance independently of distributive outcomes; poor process generates reinforcing conflict</w:t>
            </w:r>
          </w:p>
        </w:tc>
        <w:tc>
          <w:tcPr>
            <w:tcW w:w="2268" w:type="dxa"/>
            <w:tcMar>
              <w:top w:w="60" w:type="dxa"/>
              <w:left w:w="90" w:type="dxa"/>
              <w:bottom w:w="60" w:type="dxa"/>
              <w:right w:w="90" w:type="dxa"/>
            </w:tcMar>
          </w:tcPr>
          <w:p w14:paraId="10C86CF6" w14:textId="77777777" w:rsidR="00D32166" w:rsidRDefault="00FD100D">
            <w:r>
              <w:rPr>
                <w:sz w:val="17"/>
                <w:szCs w:val="17"/>
              </w:rPr>
              <w:t>High-income settings with different tenure and regulatory regimes; transferability requires justification</w:t>
            </w:r>
          </w:p>
        </w:tc>
        <w:tc>
          <w:tcPr>
            <w:tcW w:w="1599" w:type="dxa"/>
            <w:tcMar>
              <w:top w:w="60" w:type="dxa"/>
              <w:left w:w="90" w:type="dxa"/>
              <w:bottom w:w="60" w:type="dxa"/>
              <w:right w:w="90" w:type="dxa"/>
            </w:tcMar>
          </w:tcPr>
          <w:p w14:paraId="7408CB7E" w14:textId="77777777" w:rsidR="00D32166" w:rsidRDefault="00FD100D">
            <w:r>
              <w:rPr>
                <w:sz w:val="17"/>
                <w:szCs w:val="17"/>
              </w:rPr>
              <w:t>Ottinger et al. (2014); Salon et al. (2025); Stadelmann-Steffen and Dermont (2021); Walker and Baxter (2017)</w:t>
            </w:r>
          </w:p>
        </w:tc>
      </w:tr>
      <w:tr w:rsidR="00D32166" w14:paraId="52C57A82" w14:textId="77777777">
        <w:tc>
          <w:tcPr>
            <w:tcW w:w="1301" w:type="dxa"/>
            <w:tcMar>
              <w:top w:w="60" w:type="dxa"/>
              <w:left w:w="90" w:type="dxa"/>
              <w:bottom w:w="60" w:type="dxa"/>
              <w:right w:w="90" w:type="dxa"/>
            </w:tcMar>
          </w:tcPr>
          <w:p w14:paraId="3C2D6870" w14:textId="77777777" w:rsidR="00D32166" w:rsidRDefault="00FD100D">
            <w:r>
              <w:rPr>
                <w:sz w:val="17"/>
                <w:szCs w:val="17"/>
              </w:rPr>
              <w:t xml:space="preserve">Regional evidence on </w:t>
            </w:r>
            <w:r>
              <w:rPr>
                <w:sz w:val="17"/>
                <w:szCs w:val="17"/>
              </w:rPr>
              <w:lastRenderedPageBreak/>
              <w:t>project-level consequences</w:t>
            </w:r>
          </w:p>
        </w:tc>
        <w:tc>
          <w:tcPr>
            <w:tcW w:w="2109" w:type="dxa"/>
            <w:tcMar>
              <w:top w:w="60" w:type="dxa"/>
              <w:left w:w="90" w:type="dxa"/>
              <w:bottom w:w="60" w:type="dxa"/>
              <w:right w:w="90" w:type="dxa"/>
            </w:tcMar>
          </w:tcPr>
          <w:p w14:paraId="350C582C" w14:textId="77777777" w:rsidR="00D32166" w:rsidRDefault="00FD100D">
            <w:proofErr w:type="spellStart"/>
            <w:r>
              <w:rPr>
                <w:sz w:val="17"/>
                <w:szCs w:val="17"/>
              </w:rPr>
              <w:lastRenderedPageBreak/>
              <w:t>Financeability</w:t>
            </w:r>
            <w:proofErr w:type="spellEnd"/>
            <w:r>
              <w:rPr>
                <w:sz w:val="17"/>
                <w:szCs w:val="17"/>
              </w:rPr>
              <w:t xml:space="preserve"> of solar projects; delivery of </w:t>
            </w:r>
            <w:r>
              <w:rPr>
                <w:sz w:val="17"/>
                <w:szCs w:val="17"/>
              </w:rPr>
              <w:lastRenderedPageBreak/>
              <w:t>anticipated societal benefits; resettlement effects</w:t>
            </w:r>
          </w:p>
        </w:tc>
        <w:tc>
          <w:tcPr>
            <w:tcW w:w="2361" w:type="dxa"/>
            <w:tcMar>
              <w:top w:w="60" w:type="dxa"/>
              <w:left w:w="90" w:type="dxa"/>
              <w:bottom w:w="60" w:type="dxa"/>
              <w:right w:w="90" w:type="dxa"/>
            </w:tcMar>
          </w:tcPr>
          <w:p w14:paraId="359F4E67" w14:textId="77777777" w:rsidR="00D32166" w:rsidRDefault="00FD100D">
            <w:r>
              <w:rPr>
                <w:sz w:val="17"/>
                <w:szCs w:val="17"/>
              </w:rPr>
              <w:lastRenderedPageBreak/>
              <w:t xml:space="preserve">Engagement linked to bankability; societal benefits </w:t>
            </w:r>
            <w:r>
              <w:rPr>
                <w:sz w:val="17"/>
                <w:szCs w:val="17"/>
              </w:rPr>
              <w:lastRenderedPageBreak/>
              <w:t>frequently unrealised; measurable livelihood effects of resettlement</w:t>
            </w:r>
          </w:p>
        </w:tc>
        <w:tc>
          <w:tcPr>
            <w:tcW w:w="2268" w:type="dxa"/>
            <w:tcMar>
              <w:top w:w="60" w:type="dxa"/>
              <w:left w:w="90" w:type="dxa"/>
              <w:bottom w:w="60" w:type="dxa"/>
              <w:right w:w="90" w:type="dxa"/>
            </w:tcMar>
          </w:tcPr>
          <w:p w14:paraId="3B8F84A8" w14:textId="77777777" w:rsidR="00D32166" w:rsidRDefault="00FD100D">
            <w:r>
              <w:rPr>
                <w:sz w:val="17"/>
                <w:szCs w:val="17"/>
              </w:rPr>
              <w:lastRenderedPageBreak/>
              <w:t xml:space="preserve">Consequences measured for communities or for finance, </w:t>
            </w:r>
            <w:r>
              <w:rPr>
                <w:sz w:val="17"/>
                <w:szCs w:val="17"/>
              </w:rPr>
              <w:lastRenderedPageBreak/>
              <w:t>not for project cost, schedule or operational performance</w:t>
            </w:r>
          </w:p>
        </w:tc>
        <w:tc>
          <w:tcPr>
            <w:tcW w:w="1599" w:type="dxa"/>
            <w:tcMar>
              <w:top w:w="60" w:type="dxa"/>
              <w:left w:w="90" w:type="dxa"/>
              <w:bottom w:w="60" w:type="dxa"/>
              <w:right w:w="90" w:type="dxa"/>
            </w:tcMar>
          </w:tcPr>
          <w:p w14:paraId="0BE10690" w14:textId="77777777" w:rsidR="00D32166" w:rsidRDefault="00FD100D">
            <w:proofErr w:type="spellStart"/>
            <w:r>
              <w:rPr>
                <w:sz w:val="17"/>
                <w:szCs w:val="17"/>
              </w:rPr>
              <w:lastRenderedPageBreak/>
              <w:t>Egze</w:t>
            </w:r>
            <w:proofErr w:type="spellEnd"/>
            <w:r>
              <w:rPr>
                <w:sz w:val="17"/>
                <w:szCs w:val="17"/>
              </w:rPr>
              <w:t xml:space="preserve"> et al. (2023); </w:t>
            </w:r>
            <w:proofErr w:type="spellStart"/>
            <w:r>
              <w:rPr>
                <w:sz w:val="17"/>
                <w:szCs w:val="17"/>
              </w:rPr>
              <w:t>Ikejemba</w:t>
            </w:r>
            <w:proofErr w:type="spellEnd"/>
            <w:r>
              <w:rPr>
                <w:sz w:val="17"/>
                <w:szCs w:val="17"/>
              </w:rPr>
              <w:t xml:space="preserve"> and </w:t>
            </w:r>
            <w:r>
              <w:rPr>
                <w:sz w:val="17"/>
                <w:szCs w:val="17"/>
              </w:rPr>
              <w:lastRenderedPageBreak/>
              <w:t>Schuur (2020); Ramiah et al. (2026)</w:t>
            </w:r>
          </w:p>
        </w:tc>
      </w:tr>
    </w:tbl>
    <w:p w14:paraId="7CF9AFE7" w14:textId="77777777" w:rsidR="00D32166" w:rsidRDefault="00FD100D">
      <w:pPr>
        <w:spacing w:before="100" w:after="240"/>
      </w:pPr>
      <w:r>
        <w:rPr>
          <w:sz w:val="17"/>
          <w:szCs w:val="17"/>
        </w:rPr>
        <w:lastRenderedPageBreak/>
        <w:t>Note. The table includes only sources whose bibliographic identity and outlet status were verified. Studies retrieved from outlets whose peer-review arrangements could not be established were excluded and are discussed in Section 7.5.</w:t>
      </w:r>
    </w:p>
    <w:p w14:paraId="11DE3997" w14:textId="77777777" w:rsidR="00D32166" w:rsidRDefault="00FD100D">
      <w:pPr>
        <w:pStyle w:val="Heading1"/>
        <w:spacing w:before="320" w:after="140"/>
      </w:pPr>
      <w:r>
        <w:rPr>
          <w:b/>
          <w:bCs/>
          <w:color w:val="000000"/>
          <w:sz w:val="24"/>
          <w:szCs w:val="24"/>
        </w:rPr>
        <w:t>7. Why the Evidence Diverges: Measurement, Design and Inference</w:t>
      </w:r>
    </w:p>
    <w:p w14:paraId="15541553" w14:textId="77777777" w:rsidR="00D32166" w:rsidRDefault="00FD100D">
      <w:pPr>
        <w:pStyle w:val="Heading2"/>
        <w:spacing w:before="240" w:after="120"/>
      </w:pPr>
      <w:r>
        <w:rPr>
          <w:b/>
          <w:bCs/>
          <w:color w:val="000000"/>
          <w:sz w:val="22"/>
          <w:szCs w:val="22"/>
        </w:rPr>
        <w:t>7.1 Construct contamination between predictor, mediator and outcome</w:t>
      </w:r>
    </w:p>
    <w:p w14:paraId="55C2BEDC" w14:textId="77777777" w:rsidR="00D32166" w:rsidRDefault="00FD100D">
      <w:pPr>
        <w:spacing w:after="160" w:line="320" w:lineRule="auto"/>
        <w:jc w:val="both"/>
      </w:pPr>
      <w:r>
        <w:t>The most common threat to interpretation in this literature is overlap among the three constructs at the item level. Standard quality management instruments include a customer focus dimension whose items concern the systematic collection and use of customer information, responsiveness to complaints and the incorporation of customer requirements into design. Standard stakeholder engagement instruments include items concerning the systematic identification of affected parties, responsiveness to their concerns and incorporation of their input into decisions. In a project setting where communities are counted among the stakeholders and clients among the customers, these item sets are not clearly distinguishable. Where the predictor contains part of the mediator, the estimated indirect effect partly reflects the correlation of a construct with itself. Discriminant validity statistics computed within a study do not resolve the problem, because items drawn from overlapping conceptual domains can satisfy those statistics while remaining substantively redundant. A parallel contamination occurs at the outcome end, since multidimensional project performance instruments frequently include stakeholder satisfaction as a performance dimension (Davis, 2016; Toor &amp; Ogunlana, 2010), which places a manifestation of the mediator inside the dependent construct.</w:t>
      </w:r>
    </w:p>
    <w:p w14:paraId="2B20D01F" w14:textId="77777777" w:rsidR="00D32166" w:rsidRDefault="00FD100D">
      <w:pPr>
        <w:pStyle w:val="Heading2"/>
        <w:spacing w:before="240" w:after="120"/>
      </w:pPr>
      <w:r>
        <w:rPr>
          <w:b/>
          <w:bCs/>
          <w:color w:val="000000"/>
          <w:sz w:val="22"/>
          <w:szCs w:val="22"/>
        </w:rPr>
        <w:t>7.2 Causal ordering and endogeneity</w:t>
      </w:r>
    </w:p>
    <w:p w14:paraId="24DCF2B4" w14:textId="77777777" w:rsidR="00D32166" w:rsidRDefault="00FD100D">
      <w:pPr>
        <w:spacing w:after="160" w:line="320" w:lineRule="auto"/>
        <w:jc w:val="both"/>
      </w:pPr>
      <w:r>
        <w:t xml:space="preserve">Mediation is a causal claim, and its estimation requires that the predictor be causally prior to the mediator and both prior to the outcome. Cross-sectional survey designs cannot establish this ordering, and the substantive argument for the assumed direction is weaker in this domain than in the manufacturing settings where the quality management instruments were developed. The Kenyan evidence indicates that the terms of engagement are shaped by land tenure arrangements, county politics, the history of prior projects in the locality and the structure of the investment vehicle, all of which precede and constrain the developer's management system (Alden Wily, 2018; Cormack &amp; </w:t>
      </w:r>
      <w:proofErr w:type="spellStart"/>
      <w:r>
        <w:t>Kurewa</w:t>
      </w:r>
      <w:proofErr w:type="spellEnd"/>
      <w:r>
        <w:t>, 2018; Ndi, 2024a). Statutory participation requirements add a further exogenous determinant (Walker et al., 2014; Walker et al., 2016). A plausible reverse pathway also exists: organisations operating in contexts of high stakeholder salience may invest in formal quality management systems partly in order to demonstrate procedural legitimacy to financiers and regulators, in which case engagement pressure causes quality system adoption rather than the reverse. Neither direction can be adjudicated with the designs currently used, and the possibility of reciprocal causation is rarely acknowledged.</w:t>
      </w:r>
    </w:p>
    <w:p w14:paraId="216D6D47" w14:textId="77777777" w:rsidR="00A878A5" w:rsidRDefault="00A878A5">
      <w:pPr>
        <w:spacing w:after="160" w:line="320" w:lineRule="auto"/>
        <w:jc w:val="both"/>
      </w:pPr>
    </w:p>
    <w:p w14:paraId="4B57BB22" w14:textId="77777777" w:rsidR="00D32166" w:rsidRDefault="00FD100D">
      <w:pPr>
        <w:pStyle w:val="Heading2"/>
        <w:spacing w:before="240" w:after="120"/>
      </w:pPr>
      <w:r>
        <w:rPr>
          <w:b/>
          <w:bCs/>
          <w:color w:val="000000"/>
          <w:sz w:val="22"/>
          <w:szCs w:val="22"/>
        </w:rPr>
        <w:lastRenderedPageBreak/>
        <w:t>7.3 Common method variance and informant selection</w:t>
      </w:r>
    </w:p>
    <w:p w14:paraId="7FB2D5B9" w14:textId="77777777" w:rsidR="00D32166" w:rsidRDefault="00FD100D">
      <w:pPr>
        <w:spacing w:after="160" w:line="320" w:lineRule="auto"/>
        <w:jc w:val="both"/>
      </w:pPr>
      <w:r>
        <w:t xml:space="preserve">Where predictor, mediator and outcome are all self-reported by one respondent, shared method variance provides an alternative explanation for the observed indirect effect, and the available remedies are only partially effective (Podsakoff et al., 2003). The problem is aggravated by informant selection. Project managers and quality managers, the usual respondents, are the actors whose performance the instruments implicitly evaluate, and they are also the actors best placed to give socially desirable accounts of engagement quality. Kenyan case evidence provides direct grounds for concern about this: at several projects, developers and communities offered sharply divergent accounts of whether consultation had occurred and whether commitments had been made (Ndi, 2024b, 2025; </w:t>
      </w:r>
      <w:proofErr w:type="spellStart"/>
      <w:r>
        <w:t>Renkens</w:t>
      </w:r>
      <w:proofErr w:type="spellEnd"/>
      <w:r>
        <w:t>, 2024). A design that measures engagement quality solely through developer self-report will therefore record the organisation's intention rather than the community's experience, and the construct measured will not be the construct theorised.</w:t>
      </w:r>
    </w:p>
    <w:p w14:paraId="0ABE1A43" w14:textId="77777777" w:rsidR="00D32166" w:rsidRDefault="00FD100D">
      <w:pPr>
        <w:pStyle w:val="Heading2"/>
        <w:spacing w:before="240" w:after="120"/>
      </w:pPr>
      <w:r>
        <w:rPr>
          <w:b/>
          <w:bCs/>
          <w:color w:val="000000"/>
          <w:sz w:val="22"/>
          <w:szCs w:val="22"/>
        </w:rPr>
        <w:t>7.4 Sampling frames, unit of analysis and geographical concentration</w:t>
      </w:r>
    </w:p>
    <w:p w14:paraId="3A024027" w14:textId="77777777" w:rsidR="00D32166" w:rsidRDefault="00FD100D">
      <w:pPr>
        <w:spacing w:after="160" w:line="320" w:lineRule="auto"/>
        <w:jc w:val="both"/>
      </w:pPr>
      <w:r>
        <w:t>Studies in this area typically sample either firms or projects, and the choice determines what can be inferred. Firm samples support claims about organisational practice but cannot attribute project-level outcomes to it where projects are delivered by coalitions. Project samples support attribution but require that the practices of several organisations be measured, which is rarely attempted. In Kenyan renewable electricity the population of utility-scale projects is small, with a limited number of geothermal fields, wind farms and utility-scale solar installations, so project-level quantitative designs face a hard constraint on statistical power that cannot be overcome by sampling strategy. The realistic options are therefore comparative case designs with structured within-case measurement, or designs that shift the unit of analysis to the contract package or the work front.</w:t>
      </w:r>
    </w:p>
    <w:p w14:paraId="0363DA69" w14:textId="77777777" w:rsidR="00D32166" w:rsidRDefault="00FD100D">
      <w:pPr>
        <w:spacing w:after="160" w:line="320" w:lineRule="auto"/>
        <w:jc w:val="both"/>
      </w:pPr>
      <w:r>
        <w:t xml:space="preserve">Geographical concentration compounds the difficulty. The Kenyan engagement literature is dominated by a single project in a single county, which is also the case with the most distinctive tenure arrangement and the most acute history of marginalisation in the country's renewable portfolio. Generalising from </w:t>
      </w:r>
      <w:proofErr w:type="spellStart"/>
      <w:r>
        <w:t>Marsabit</w:t>
      </w:r>
      <w:proofErr w:type="spellEnd"/>
      <w:r>
        <w:t xml:space="preserve"> to Kajiado, Nakuru or </w:t>
      </w:r>
      <w:proofErr w:type="spellStart"/>
      <w:r>
        <w:t>Uasin</w:t>
      </w:r>
      <w:proofErr w:type="spellEnd"/>
      <w:r>
        <w:t xml:space="preserve"> Gishu is not safe, and the limited evidence from those counties indicates materially different engagement problems (Ndi, 2024a, 2025). Conversely, the operational performance evidence is drawn disproportionately from outside Kenya, principally from Ethiopian and Namibian distributed systems (Mehta et al., 2025; </w:t>
      </w:r>
      <w:proofErr w:type="spellStart"/>
      <w:r>
        <w:t>Wassie</w:t>
      </w:r>
      <w:proofErr w:type="spellEnd"/>
      <w:r>
        <w:t xml:space="preserve"> &amp; Ahlgren, 2023). The two halves of the argument therefore rest on different geographies, and the composite picture is assembled rather than observed.</w:t>
      </w:r>
    </w:p>
    <w:p w14:paraId="28BE9123" w14:textId="77777777" w:rsidR="00D32166" w:rsidRDefault="00FD100D">
      <w:pPr>
        <w:pStyle w:val="Heading2"/>
        <w:spacing w:before="240" w:after="120"/>
      </w:pPr>
      <w:r>
        <w:rPr>
          <w:b/>
          <w:bCs/>
          <w:color w:val="000000"/>
          <w:sz w:val="22"/>
          <w:szCs w:val="22"/>
        </w:rPr>
        <w:t>7.5 Outlet quality and the integrity of the Kenyan evidence base</w:t>
      </w:r>
    </w:p>
    <w:p w14:paraId="31D2BEE3" w14:textId="77777777" w:rsidR="00D32166" w:rsidRDefault="00FD100D">
      <w:pPr>
        <w:spacing w:after="160" w:line="320" w:lineRule="auto"/>
        <w:jc w:val="both"/>
      </w:pPr>
      <w:r>
        <w:t xml:space="preserve">A finding of this review concerns the structure of the Kenyan literature itself. Studies framed in exactly the terms of the review question, relating quality or project management practices and stakeholder participation to the performance of Kenyan energy and infrastructure projects, are numerous, but they cluster heavily in outlets whose editorial governance, peer-review arrangements and indexing status could not be verified. This has three consequences. Practically, practitioners and policymakers searching for Kenyan evidence will encounter an apparently substantial literature that </w:t>
      </w:r>
      <w:r>
        <w:lastRenderedPageBreak/>
        <w:t>does not withstand appraisal, and may draw confidence from volume. Analytically, the absence of appraisable Kenyan quantitative evidence means that the mediating specification is asserted more often than tested, and that published effect estimates cannot be used to calibrate expectations. Methodologically, the concentration reflects an incentive structure in which rapid publication of survey-based studies is rewarded, while the longitudinal and multi-source designs that the question requires are not.</w:t>
      </w:r>
    </w:p>
    <w:p w14:paraId="7CF1D5C4" w14:textId="77777777" w:rsidR="00D32166" w:rsidRDefault="00FD100D">
      <w:pPr>
        <w:spacing w:after="160" w:line="320" w:lineRule="auto"/>
        <w:jc w:val="both"/>
      </w:pPr>
      <w:r>
        <w:t>The situation is not uniform. Kenyan and Africa-focused research published in journals with established review processes is available and has been used here, covering wind project socio-economic analysis (</w:t>
      </w:r>
      <w:proofErr w:type="spellStart"/>
      <w:r>
        <w:t>Ongoma</w:t>
      </w:r>
      <w:proofErr w:type="spellEnd"/>
      <w:r>
        <w:t>, 2018), construction project delivery (Okello et al., 2025), geothermal sustainability assessment (Shortall et al., 2015), geothermal contributions to rural electrification (Ogola et al., 2011) and the wider regional transition (</w:t>
      </w:r>
      <w:proofErr w:type="spellStart"/>
      <w:r>
        <w:t>Mutezo</w:t>
      </w:r>
      <w:proofErr w:type="spellEnd"/>
      <w:r>
        <w:t xml:space="preserve"> &amp; </w:t>
      </w:r>
      <w:proofErr w:type="spellStart"/>
      <w:r>
        <w:t>Mulopo</w:t>
      </w:r>
      <w:proofErr w:type="spellEnd"/>
      <w:r>
        <w:t>, 2021). The deficit is specific: it concerns quantitative tests of the mediating mechanism rather than Kenyan energy research in general. Table 4 sets out the sources of divergence identified in this section, the consequence of each for inference about mediation, and the corrective measure available; the measures listed are ordered by the strength of the inferential gain they provide rather than by ease of implementation.</w:t>
      </w:r>
    </w:p>
    <w:p w14:paraId="64A2AF18" w14:textId="77777777" w:rsidR="00D32166" w:rsidRDefault="00FD100D">
      <w:pPr>
        <w:spacing w:before="240" w:after="100" w:line="260" w:lineRule="auto"/>
      </w:pPr>
      <w:r>
        <w:rPr>
          <w:b/>
          <w:bCs/>
          <w:sz w:val="20"/>
          <w:szCs w:val="20"/>
        </w:rPr>
        <w:t>Table 4. Sources of divergence in the evidence, their consequences for inference about mediation, and available corrective measures</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2289"/>
        <w:gridCol w:w="2011"/>
        <w:gridCol w:w="2737"/>
        <w:gridCol w:w="1300"/>
      </w:tblGrid>
      <w:tr w:rsidR="00D32166" w14:paraId="025AEEBA" w14:textId="77777777">
        <w:trPr>
          <w:tblHeader/>
        </w:trPr>
        <w:tc>
          <w:tcPr>
            <w:tcW w:w="1301" w:type="dxa"/>
            <w:shd w:val="clear" w:color="auto" w:fill="EFEFEF"/>
            <w:tcMar>
              <w:top w:w="60" w:type="dxa"/>
              <w:left w:w="90" w:type="dxa"/>
              <w:bottom w:w="60" w:type="dxa"/>
              <w:right w:w="90" w:type="dxa"/>
            </w:tcMar>
          </w:tcPr>
          <w:p w14:paraId="50242554" w14:textId="77777777" w:rsidR="00D32166" w:rsidRDefault="00FD100D">
            <w:r>
              <w:rPr>
                <w:b/>
                <w:bCs/>
                <w:sz w:val="17"/>
                <w:szCs w:val="17"/>
              </w:rPr>
              <w:t>Source of divergence</w:t>
            </w:r>
          </w:p>
        </w:tc>
        <w:tc>
          <w:tcPr>
            <w:tcW w:w="2289" w:type="dxa"/>
            <w:shd w:val="clear" w:color="auto" w:fill="EFEFEF"/>
            <w:tcMar>
              <w:top w:w="60" w:type="dxa"/>
              <w:left w:w="90" w:type="dxa"/>
              <w:bottom w:w="60" w:type="dxa"/>
              <w:right w:w="90" w:type="dxa"/>
            </w:tcMar>
          </w:tcPr>
          <w:p w14:paraId="15B8D9CA" w14:textId="77777777" w:rsidR="00D32166" w:rsidRDefault="00FD100D">
            <w:r>
              <w:rPr>
                <w:b/>
                <w:bCs/>
                <w:sz w:val="17"/>
                <w:szCs w:val="17"/>
              </w:rPr>
              <w:t>How it manifests</w:t>
            </w:r>
          </w:p>
        </w:tc>
        <w:tc>
          <w:tcPr>
            <w:tcW w:w="2011" w:type="dxa"/>
            <w:shd w:val="clear" w:color="auto" w:fill="EFEFEF"/>
            <w:tcMar>
              <w:top w:w="60" w:type="dxa"/>
              <w:left w:w="90" w:type="dxa"/>
              <w:bottom w:w="60" w:type="dxa"/>
              <w:right w:w="90" w:type="dxa"/>
            </w:tcMar>
          </w:tcPr>
          <w:p w14:paraId="6F87DECA" w14:textId="77777777" w:rsidR="00D32166" w:rsidRDefault="00FD100D">
            <w:r>
              <w:rPr>
                <w:b/>
                <w:bCs/>
                <w:sz w:val="17"/>
                <w:szCs w:val="17"/>
              </w:rPr>
              <w:t>Consequence for inference about mediation</w:t>
            </w:r>
          </w:p>
        </w:tc>
        <w:tc>
          <w:tcPr>
            <w:tcW w:w="2737" w:type="dxa"/>
            <w:shd w:val="clear" w:color="auto" w:fill="EFEFEF"/>
            <w:tcMar>
              <w:top w:w="60" w:type="dxa"/>
              <w:left w:w="90" w:type="dxa"/>
              <w:bottom w:w="60" w:type="dxa"/>
              <w:right w:w="90" w:type="dxa"/>
            </w:tcMar>
          </w:tcPr>
          <w:p w14:paraId="4A7AE55E" w14:textId="77777777" w:rsidR="00D32166" w:rsidRDefault="00FD100D">
            <w:r>
              <w:rPr>
                <w:b/>
                <w:bCs/>
                <w:sz w:val="17"/>
                <w:szCs w:val="17"/>
              </w:rPr>
              <w:t>Corrective measure</w:t>
            </w:r>
          </w:p>
        </w:tc>
        <w:tc>
          <w:tcPr>
            <w:tcW w:w="1300" w:type="dxa"/>
            <w:shd w:val="clear" w:color="auto" w:fill="EFEFEF"/>
            <w:tcMar>
              <w:top w:w="60" w:type="dxa"/>
              <w:left w:w="90" w:type="dxa"/>
              <w:bottom w:w="60" w:type="dxa"/>
              <w:right w:w="90" w:type="dxa"/>
            </w:tcMar>
          </w:tcPr>
          <w:p w14:paraId="67BE15E5" w14:textId="77777777" w:rsidR="00D32166" w:rsidRDefault="00FD100D">
            <w:r>
              <w:rPr>
                <w:b/>
                <w:bCs/>
                <w:sz w:val="17"/>
                <w:szCs w:val="17"/>
              </w:rPr>
              <w:t>Supporting references</w:t>
            </w:r>
          </w:p>
        </w:tc>
      </w:tr>
      <w:tr w:rsidR="00D32166" w14:paraId="1EF77AFF" w14:textId="77777777">
        <w:tc>
          <w:tcPr>
            <w:tcW w:w="1301" w:type="dxa"/>
            <w:tcMar>
              <w:top w:w="60" w:type="dxa"/>
              <w:left w:w="90" w:type="dxa"/>
              <w:bottom w:w="60" w:type="dxa"/>
              <w:right w:w="90" w:type="dxa"/>
            </w:tcMar>
          </w:tcPr>
          <w:p w14:paraId="758504B3" w14:textId="77777777" w:rsidR="00D32166" w:rsidRDefault="00FD100D">
            <w:r>
              <w:rPr>
                <w:sz w:val="17"/>
                <w:szCs w:val="17"/>
              </w:rPr>
              <w:t>Construct contamination</w:t>
            </w:r>
          </w:p>
        </w:tc>
        <w:tc>
          <w:tcPr>
            <w:tcW w:w="2289" w:type="dxa"/>
            <w:tcMar>
              <w:top w:w="60" w:type="dxa"/>
              <w:left w:w="90" w:type="dxa"/>
              <w:bottom w:w="60" w:type="dxa"/>
              <w:right w:w="90" w:type="dxa"/>
            </w:tcMar>
          </w:tcPr>
          <w:p w14:paraId="0B122A8A" w14:textId="77777777" w:rsidR="00D32166" w:rsidRDefault="00FD100D">
            <w:r>
              <w:rPr>
                <w:sz w:val="17"/>
                <w:szCs w:val="17"/>
              </w:rPr>
              <w:t>Customer focus items overlap engagement items; stakeholder satisfaction appears within performance instruments</w:t>
            </w:r>
          </w:p>
        </w:tc>
        <w:tc>
          <w:tcPr>
            <w:tcW w:w="2011" w:type="dxa"/>
            <w:tcMar>
              <w:top w:w="60" w:type="dxa"/>
              <w:left w:w="90" w:type="dxa"/>
              <w:bottom w:w="60" w:type="dxa"/>
              <w:right w:w="90" w:type="dxa"/>
            </w:tcMar>
          </w:tcPr>
          <w:p w14:paraId="52F69CB7" w14:textId="77777777" w:rsidR="00D32166" w:rsidRDefault="00FD100D">
            <w:r>
              <w:rPr>
                <w:sz w:val="17"/>
                <w:szCs w:val="17"/>
              </w:rPr>
              <w:t>Indirect effect partly reflects construct redundancy rather than a causal pathway</w:t>
            </w:r>
          </w:p>
        </w:tc>
        <w:tc>
          <w:tcPr>
            <w:tcW w:w="2737" w:type="dxa"/>
            <w:tcMar>
              <w:top w:w="60" w:type="dxa"/>
              <w:left w:w="90" w:type="dxa"/>
              <w:bottom w:w="60" w:type="dxa"/>
              <w:right w:w="90" w:type="dxa"/>
            </w:tcMar>
          </w:tcPr>
          <w:p w14:paraId="59E6F53E" w14:textId="77777777" w:rsidR="00D32166" w:rsidRDefault="00FD100D">
            <w:r>
              <w:rPr>
                <w:sz w:val="17"/>
                <w:szCs w:val="17"/>
              </w:rPr>
              <w:t>Purify instruments so that engagement items measure community-facing process only, and exclude stakeholder satisfaction from the outcome construct</w:t>
            </w:r>
          </w:p>
        </w:tc>
        <w:tc>
          <w:tcPr>
            <w:tcW w:w="1300" w:type="dxa"/>
            <w:tcMar>
              <w:top w:w="60" w:type="dxa"/>
              <w:left w:w="90" w:type="dxa"/>
              <w:bottom w:w="60" w:type="dxa"/>
              <w:right w:w="90" w:type="dxa"/>
            </w:tcMar>
          </w:tcPr>
          <w:p w14:paraId="0C5B206C" w14:textId="77777777" w:rsidR="00D32166" w:rsidRDefault="00FD100D">
            <w:r>
              <w:rPr>
                <w:sz w:val="17"/>
                <w:szCs w:val="17"/>
              </w:rPr>
              <w:t>Davis (2016); Toor and Ogunlana (2010)</w:t>
            </w:r>
          </w:p>
        </w:tc>
      </w:tr>
      <w:tr w:rsidR="00D32166" w14:paraId="37675C1C" w14:textId="77777777">
        <w:tc>
          <w:tcPr>
            <w:tcW w:w="1301" w:type="dxa"/>
            <w:tcMar>
              <w:top w:w="60" w:type="dxa"/>
              <w:left w:w="90" w:type="dxa"/>
              <w:bottom w:w="60" w:type="dxa"/>
              <w:right w:w="90" w:type="dxa"/>
            </w:tcMar>
          </w:tcPr>
          <w:p w14:paraId="17363F1D" w14:textId="77777777" w:rsidR="00D32166" w:rsidRDefault="00FD100D">
            <w:r>
              <w:rPr>
                <w:sz w:val="17"/>
                <w:szCs w:val="17"/>
              </w:rPr>
              <w:t>Undetermined causal ordering</w:t>
            </w:r>
          </w:p>
        </w:tc>
        <w:tc>
          <w:tcPr>
            <w:tcW w:w="2289" w:type="dxa"/>
            <w:tcMar>
              <w:top w:w="60" w:type="dxa"/>
              <w:left w:w="90" w:type="dxa"/>
              <w:bottom w:w="60" w:type="dxa"/>
              <w:right w:w="90" w:type="dxa"/>
            </w:tcMar>
          </w:tcPr>
          <w:p w14:paraId="171FF109" w14:textId="77777777" w:rsidR="00D32166" w:rsidRDefault="00FD100D">
            <w:r>
              <w:rPr>
                <w:sz w:val="17"/>
                <w:szCs w:val="17"/>
              </w:rPr>
              <w:t>Predictor, mediator and outcome measured simultaneously; reverse and reciprocal pathways not modelled</w:t>
            </w:r>
          </w:p>
        </w:tc>
        <w:tc>
          <w:tcPr>
            <w:tcW w:w="2011" w:type="dxa"/>
            <w:tcMar>
              <w:top w:w="60" w:type="dxa"/>
              <w:left w:w="90" w:type="dxa"/>
              <w:bottom w:w="60" w:type="dxa"/>
              <w:right w:w="90" w:type="dxa"/>
            </w:tcMar>
          </w:tcPr>
          <w:p w14:paraId="3F6EB445" w14:textId="77777777" w:rsidR="00D32166" w:rsidRDefault="00FD100D">
            <w:r>
              <w:rPr>
                <w:sz w:val="17"/>
                <w:szCs w:val="17"/>
              </w:rPr>
              <w:t>Statistical mediation reported as causal mediation without support</w:t>
            </w:r>
          </w:p>
        </w:tc>
        <w:tc>
          <w:tcPr>
            <w:tcW w:w="2737" w:type="dxa"/>
            <w:tcMar>
              <w:top w:w="60" w:type="dxa"/>
              <w:left w:w="90" w:type="dxa"/>
              <w:bottom w:w="60" w:type="dxa"/>
              <w:right w:w="90" w:type="dxa"/>
            </w:tcMar>
          </w:tcPr>
          <w:p w14:paraId="15069848" w14:textId="77777777" w:rsidR="00D32166" w:rsidRDefault="00FD100D">
            <w:r>
              <w:rPr>
                <w:sz w:val="17"/>
                <w:szCs w:val="17"/>
              </w:rPr>
              <w:t>Stage the measurement across project phases; model reciprocal paths explicitly; use instruments for practice adoption where available</w:t>
            </w:r>
          </w:p>
        </w:tc>
        <w:tc>
          <w:tcPr>
            <w:tcW w:w="1300" w:type="dxa"/>
            <w:tcMar>
              <w:top w:w="60" w:type="dxa"/>
              <w:left w:w="90" w:type="dxa"/>
              <w:bottom w:w="60" w:type="dxa"/>
              <w:right w:w="90" w:type="dxa"/>
            </w:tcMar>
          </w:tcPr>
          <w:p w14:paraId="390CB422" w14:textId="77777777" w:rsidR="00D32166" w:rsidRDefault="00FD100D">
            <w:r>
              <w:rPr>
                <w:sz w:val="17"/>
                <w:szCs w:val="17"/>
              </w:rPr>
              <w:t>Baron and Kenny (1986); Preacher and Hayes (2008)</w:t>
            </w:r>
          </w:p>
        </w:tc>
      </w:tr>
      <w:tr w:rsidR="00D32166" w14:paraId="481504AA" w14:textId="77777777">
        <w:tc>
          <w:tcPr>
            <w:tcW w:w="1301" w:type="dxa"/>
            <w:tcMar>
              <w:top w:w="60" w:type="dxa"/>
              <w:left w:w="90" w:type="dxa"/>
              <w:bottom w:w="60" w:type="dxa"/>
              <w:right w:w="90" w:type="dxa"/>
            </w:tcMar>
          </w:tcPr>
          <w:p w14:paraId="13457D42" w14:textId="77777777" w:rsidR="00D32166" w:rsidRDefault="00FD100D">
            <w:r>
              <w:rPr>
                <w:sz w:val="17"/>
                <w:szCs w:val="17"/>
              </w:rPr>
              <w:t>Partly exogenous engagement conditions</w:t>
            </w:r>
          </w:p>
        </w:tc>
        <w:tc>
          <w:tcPr>
            <w:tcW w:w="2289" w:type="dxa"/>
            <w:tcMar>
              <w:top w:w="60" w:type="dxa"/>
              <w:left w:w="90" w:type="dxa"/>
              <w:bottom w:w="60" w:type="dxa"/>
              <w:right w:w="90" w:type="dxa"/>
            </w:tcMar>
          </w:tcPr>
          <w:p w14:paraId="6BE313B5" w14:textId="77777777" w:rsidR="00D32166" w:rsidRDefault="00FD100D">
            <w:r>
              <w:rPr>
                <w:sz w:val="17"/>
                <w:szCs w:val="17"/>
              </w:rPr>
              <w:t>Tenure regime, county politics, statutory participation and prior project history set engagement terms before the developer acts</w:t>
            </w:r>
          </w:p>
        </w:tc>
        <w:tc>
          <w:tcPr>
            <w:tcW w:w="2011" w:type="dxa"/>
            <w:tcMar>
              <w:top w:w="60" w:type="dxa"/>
              <w:left w:w="90" w:type="dxa"/>
              <w:bottom w:w="60" w:type="dxa"/>
              <w:right w:w="90" w:type="dxa"/>
            </w:tcMar>
          </w:tcPr>
          <w:p w14:paraId="0177F294" w14:textId="77777777" w:rsidR="00D32166" w:rsidRDefault="00FD100D">
            <w:r>
              <w:rPr>
                <w:sz w:val="17"/>
                <w:szCs w:val="17"/>
              </w:rPr>
              <w:t>Endogeneity assumption of the mediation model fails; specification may require moderation or partial exogeneity</w:t>
            </w:r>
          </w:p>
        </w:tc>
        <w:tc>
          <w:tcPr>
            <w:tcW w:w="2737" w:type="dxa"/>
            <w:tcMar>
              <w:top w:w="60" w:type="dxa"/>
              <w:left w:w="90" w:type="dxa"/>
              <w:bottom w:w="60" w:type="dxa"/>
              <w:right w:w="90" w:type="dxa"/>
            </w:tcMar>
          </w:tcPr>
          <w:p w14:paraId="71A1D9ED" w14:textId="77777777" w:rsidR="00D32166" w:rsidRDefault="00FD100D">
            <w:r>
              <w:rPr>
                <w:sz w:val="17"/>
                <w:szCs w:val="17"/>
              </w:rPr>
              <w:t>Measure tenure and regulatory context as separate antecedents; test moderated mediation rather than simple mediation</w:t>
            </w:r>
          </w:p>
        </w:tc>
        <w:tc>
          <w:tcPr>
            <w:tcW w:w="1300" w:type="dxa"/>
            <w:tcMar>
              <w:top w:w="60" w:type="dxa"/>
              <w:left w:w="90" w:type="dxa"/>
              <w:bottom w:w="60" w:type="dxa"/>
              <w:right w:w="90" w:type="dxa"/>
            </w:tcMar>
          </w:tcPr>
          <w:p w14:paraId="693241D9" w14:textId="77777777" w:rsidR="00D32166" w:rsidRDefault="00FD100D">
            <w:r>
              <w:rPr>
                <w:sz w:val="17"/>
                <w:szCs w:val="17"/>
              </w:rPr>
              <w:t xml:space="preserve">Alden Wily (2018); Cormack and </w:t>
            </w:r>
            <w:proofErr w:type="spellStart"/>
            <w:r>
              <w:rPr>
                <w:sz w:val="17"/>
                <w:szCs w:val="17"/>
              </w:rPr>
              <w:t>Kurewa</w:t>
            </w:r>
            <w:proofErr w:type="spellEnd"/>
            <w:r>
              <w:rPr>
                <w:sz w:val="17"/>
                <w:szCs w:val="17"/>
              </w:rPr>
              <w:t xml:space="preserve"> (2018); Walker et al. (2014); Walker et al. (2016)</w:t>
            </w:r>
          </w:p>
        </w:tc>
      </w:tr>
      <w:tr w:rsidR="00D32166" w14:paraId="44716EBA" w14:textId="77777777">
        <w:tc>
          <w:tcPr>
            <w:tcW w:w="1301" w:type="dxa"/>
            <w:tcMar>
              <w:top w:w="60" w:type="dxa"/>
              <w:left w:w="90" w:type="dxa"/>
              <w:bottom w:w="60" w:type="dxa"/>
              <w:right w:w="90" w:type="dxa"/>
            </w:tcMar>
          </w:tcPr>
          <w:p w14:paraId="6960B7A3" w14:textId="77777777" w:rsidR="00D32166" w:rsidRDefault="00FD100D">
            <w:r>
              <w:rPr>
                <w:sz w:val="17"/>
                <w:szCs w:val="17"/>
              </w:rPr>
              <w:t>Common method variance</w:t>
            </w:r>
          </w:p>
        </w:tc>
        <w:tc>
          <w:tcPr>
            <w:tcW w:w="2289" w:type="dxa"/>
            <w:tcMar>
              <w:top w:w="60" w:type="dxa"/>
              <w:left w:w="90" w:type="dxa"/>
              <w:bottom w:w="60" w:type="dxa"/>
              <w:right w:w="90" w:type="dxa"/>
            </w:tcMar>
          </w:tcPr>
          <w:p w14:paraId="3E71C5CD" w14:textId="77777777" w:rsidR="00D32166" w:rsidRDefault="00FD100D">
            <w:r>
              <w:rPr>
                <w:sz w:val="17"/>
                <w:szCs w:val="17"/>
              </w:rPr>
              <w:t>All three constructs reported by a single project or quality manager at one time</w:t>
            </w:r>
          </w:p>
        </w:tc>
        <w:tc>
          <w:tcPr>
            <w:tcW w:w="2011" w:type="dxa"/>
            <w:tcMar>
              <w:top w:w="60" w:type="dxa"/>
              <w:left w:w="90" w:type="dxa"/>
              <w:bottom w:w="60" w:type="dxa"/>
              <w:right w:w="90" w:type="dxa"/>
            </w:tcMar>
          </w:tcPr>
          <w:p w14:paraId="2DBE1E4B" w14:textId="77777777" w:rsidR="00D32166" w:rsidRDefault="00FD100D">
            <w:r>
              <w:rPr>
                <w:sz w:val="17"/>
                <w:szCs w:val="17"/>
              </w:rPr>
              <w:t>Observed indirect effects inflated by shared measurement context</w:t>
            </w:r>
          </w:p>
        </w:tc>
        <w:tc>
          <w:tcPr>
            <w:tcW w:w="2737" w:type="dxa"/>
            <w:tcMar>
              <w:top w:w="60" w:type="dxa"/>
              <w:left w:w="90" w:type="dxa"/>
              <w:bottom w:w="60" w:type="dxa"/>
              <w:right w:w="90" w:type="dxa"/>
            </w:tcMar>
          </w:tcPr>
          <w:p w14:paraId="719CEE65" w14:textId="77777777" w:rsidR="00D32166" w:rsidRDefault="00FD100D">
            <w:r>
              <w:rPr>
                <w:sz w:val="17"/>
                <w:szCs w:val="17"/>
              </w:rPr>
              <w:t>Separate sources for mediator and outcome; obtain engagement measures from community respondents; use archival performance data</w:t>
            </w:r>
          </w:p>
        </w:tc>
        <w:tc>
          <w:tcPr>
            <w:tcW w:w="1300" w:type="dxa"/>
            <w:tcMar>
              <w:top w:w="60" w:type="dxa"/>
              <w:left w:w="90" w:type="dxa"/>
              <w:bottom w:w="60" w:type="dxa"/>
              <w:right w:w="90" w:type="dxa"/>
            </w:tcMar>
          </w:tcPr>
          <w:p w14:paraId="2C72A003" w14:textId="77777777" w:rsidR="00D32166" w:rsidRDefault="00FD100D">
            <w:r>
              <w:rPr>
                <w:sz w:val="17"/>
                <w:szCs w:val="17"/>
              </w:rPr>
              <w:t>Podsakoff et al. (2003)</w:t>
            </w:r>
          </w:p>
        </w:tc>
      </w:tr>
      <w:tr w:rsidR="00D32166" w14:paraId="4D000F32" w14:textId="77777777">
        <w:tc>
          <w:tcPr>
            <w:tcW w:w="1301" w:type="dxa"/>
            <w:tcMar>
              <w:top w:w="60" w:type="dxa"/>
              <w:left w:w="90" w:type="dxa"/>
              <w:bottom w:w="60" w:type="dxa"/>
              <w:right w:w="90" w:type="dxa"/>
            </w:tcMar>
          </w:tcPr>
          <w:p w14:paraId="4EB1B507" w14:textId="77777777" w:rsidR="00D32166" w:rsidRDefault="00FD100D">
            <w:r>
              <w:rPr>
                <w:sz w:val="17"/>
                <w:szCs w:val="17"/>
              </w:rPr>
              <w:t>Divergent developer and community accounts</w:t>
            </w:r>
          </w:p>
        </w:tc>
        <w:tc>
          <w:tcPr>
            <w:tcW w:w="2289" w:type="dxa"/>
            <w:tcMar>
              <w:top w:w="60" w:type="dxa"/>
              <w:left w:w="90" w:type="dxa"/>
              <w:bottom w:w="60" w:type="dxa"/>
              <w:right w:w="90" w:type="dxa"/>
            </w:tcMar>
          </w:tcPr>
          <w:p w14:paraId="127AB71F" w14:textId="77777777" w:rsidR="00D32166" w:rsidRDefault="00FD100D">
            <w:r>
              <w:rPr>
                <w:sz w:val="17"/>
                <w:szCs w:val="17"/>
              </w:rPr>
              <w:t>Developers report consultation that communities report as absent or inconsequential</w:t>
            </w:r>
          </w:p>
        </w:tc>
        <w:tc>
          <w:tcPr>
            <w:tcW w:w="2011" w:type="dxa"/>
            <w:tcMar>
              <w:top w:w="60" w:type="dxa"/>
              <w:left w:w="90" w:type="dxa"/>
              <w:bottom w:w="60" w:type="dxa"/>
              <w:right w:w="90" w:type="dxa"/>
            </w:tcMar>
          </w:tcPr>
          <w:p w14:paraId="08CFD11E" w14:textId="77777777" w:rsidR="00D32166" w:rsidRDefault="00FD100D">
            <w:r>
              <w:rPr>
                <w:sz w:val="17"/>
                <w:szCs w:val="17"/>
              </w:rPr>
              <w:t>Self-reported engagement measures the organisation's intent rather than the community's experience</w:t>
            </w:r>
          </w:p>
        </w:tc>
        <w:tc>
          <w:tcPr>
            <w:tcW w:w="2737" w:type="dxa"/>
            <w:tcMar>
              <w:top w:w="60" w:type="dxa"/>
              <w:left w:w="90" w:type="dxa"/>
              <w:bottom w:w="60" w:type="dxa"/>
              <w:right w:w="90" w:type="dxa"/>
            </w:tcMar>
          </w:tcPr>
          <w:p w14:paraId="27962FDC" w14:textId="77777777" w:rsidR="00D32166" w:rsidRDefault="00FD100D">
            <w:r>
              <w:rPr>
                <w:sz w:val="17"/>
                <w:szCs w:val="17"/>
              </w:rPr>
              <w:t>Dyadic measurement design pairing developer and community informants for each project or work front</w:t>
            </w:r>
          </w:p>
        </w:tc>
        <w:tc>
          <w:tcPr>
            <w:tcW w:w="1300" w:type="dxa"/>
            <w:tcMar>
              <w:top w:w="60" w:type="dxa"/>
              <w:left w:w="90" w:type="dxa"/>
              <w:bottom w:w="60" w:type="dxa"/>
              <w:right w:w="90" w:type="dxa"/>
            </w:tcMar>
          </w:tcPr>
          <w:p w14:paraId="47B6DB18" w14:textId="77777777" w:rsidR="00D32166" w:rsidRDefault="00FD100D">
            <w:r>
              <w:rPr>
                <w:sz w:val="17"/>
                <w:szCs w:val="17"/>
              </w:rPr>
              <w:t xml:space="preserve">Ndi (2024b, 2025); </w:t>
            </w:r>
            <w:proofErr w:type="spellStart"/>
            <w:r>
              <w:rPr>
                <w:sz w:val="17"/>
                <w:szCs w:val="17"/>
              </w:rPr>
              <w:t>Renkens</w:t>
            </w:r>
            <w:proofErr w:type="spellEnd"/>
            <w:r>
              <w:rPr>
                <w:sz w:val="17"/>
                <w:szCs w:val="17"/>
              </w:rPr>
              <w:t xml:space="preserve"> (2024)</w:t>
            </w:r>
          </w:p>
        </w:tc>
      </w:tr>
      <w:tr w:rsidR="00D32166" w14:paraId="7622FB52" w14:textId="77777777">
        <w:tc>
          <w:tcPr>
            <w:tcW w:w="1301" w:type="dxa"/>
            <w:tcMar>
              <w:top w:w="60" w:type="dxa"/>
              <w:left w:w="90" w:type="dxa"/>
              <w:bottom w:w="60" w:type="dxa"/>
              <w:right w:w="90" w:type="dxa"/>
            </w:tcMar>
          </w:tcPr>
          <w:p w14:paraId="1653C516" w14:textId="77777777" w:rsidR="00D32166" w:rsidRDefault="00FD100D">
            <w:r>
              <w:rPr>
                <w:sz w:val="17"/>
                <w:szCs w:val="17"/>
              </w:rPr>
              <w:t>Mismatch of measurement and production levels</w:t>
            </w:r>
          </w:p>
        </w:tc>
        <w:tc>
          <w:tcPr>
            <w:tcW w:w="2289" w:type="dxa"/>
            <w:tcMar>
              <w:top w:w="60" w:type="dxa"/>
              <w:left w:w="90" w:type="dxa"/>
              <w:bottom w:w="60" w:type="dxa"/>
              <w:right w:w="90" w:type="dxa"/>
            </w:tcMar>
          </w:tcPr>
          <w:p w14:paraId="26BCA141" w14:textId="77777777" w:rsidR="00D32166" w:rsidRDefault="00FD100D">
            <w:r>
              <w:rPr>
                <w:sz w:val="17"/>
                <w:szCs w:val="17"/>
              </w:rPr>
              <w:t>Firm-level practice instruments applied to outcomes produced by multi-organisation coalitions</w:t>
            </w:r>
          </w:p>
        </w:tc>
        <w:tc>
          <w:tcPr>
            <w:tcW w:w="2011" w:type="dxa"/>
            <w:tcMar>
              <w:top w:w="60" w:type="dxa"/>
              <w:left w:w="90" w:type="dxa"/>
              <w:bottom w:w="60" w:type="dxa"/>
              <w:right w:w="90" w:type="dxa"/>
            </w:tcMar>
          </w:tcPr>
          <w:p w14:paraId="2D83004C" w14:textId="77777777" w:rsidR="00D32166" w:rsidRDefault="00FD100D">
            <w:r>
              <w:rPr>
                <w:sz w:val="17"/>
                <w:szCs w:val="17"/>
              </w:rPr>
              <w:t>Practice of one party credited with outcomes jointly produced</w:t>
            </w:r>
          </w:p>
        </w:tc>
        <w:tc>
          <w:tcPr>
            <w:tcW w:w="2737" w:type="dxa"/>
            <w:tcMar>
              <w:top w:w="60" w:type="dxa"/>
              <w:left w:w="90" w:type="dxa"/>
              <w:bottom w:w="60" w:type="dxa"/>
              <w:right w:w="90" w:type="dxa"/>
            </w:tcMar>
          </w:tcPr>
          <w:p w14:paraId="15AF3A9B" w14:textId="77777777" w:rsidR="00D32166" w:rsidRDefault="00FD100D">
            <w:r>
              <w:rPr>
                <w:sz w:val="17"/>
                <w:szCs w:val="17"/>
              </w:rPr>
              <w:t>Shift the unit of analysis to the contract package or work front; measure practice for each principal party</w:t>
            </w:r>
          </w:p>
        </w:tc>
        <w:tc>
          <w:tcPr>
            <w:tcW w:w="1300" w:type="dxa"/>
            <w:tcMar>
              <w:top w:w="60" w:type="dxa"/>
              <w:left w:w="90" w:type="dxa"/>
              <w:bottom w:w="60" w:type="dxa"/>
              <w:right w:w="90" w:type="dxa"/>
            </w:tcMar>
          </w:tcPr>
          <w:p w14:paraId="7E67FB5C" w14:textId="77777777" w:rsidR="00D32166" w:rsidRDefault="00FD100D">
            <w:r>
              <w:rPr>
                <w:sz w:val="17"/>
                <w:szCs w:val="17"/>
              </w:rPr>
              <w:t>Arditi and Gunaydin (1997)</w:t>
            </w:r>
          </w:p>
        </w:tc>
      </w:tr>
      <w:tr w:rsidR="00D32166" w14:paraId="68516FB4" w14:textId="77777777">
        <w:tc>
          <w:tcPr>
            <w:tcW w:w="1301" w:type="dxa"/>
            <w:tcMar>
              <w:top w:w="60" w:type="dxa"/>
              <w:left w:w="90" w:type="dxa"/>
              <w:bottom w:w="60" w:type="dxa"/>
              <w:right w:w="90" w:type="dxa"/>
            </w:tcMar>
          </w:tcPr>
          <w:p w14:paraId="37105F38" w14:textId="77777777" w:rsidR="00D32166" w:rsidRDefault="00FD100D">
            <w:r>
              <w:rPr>
                <w:sz w:val="17"/>
                <w:szCs w:val="17"/>
              </w:rPr>
              <w:lastRenderedPageBreak/>
              <w:t>Geographical and technological concentration</w:t>
            </w:r>
          </w:p>
        </w:tc>
        <w:tc>
          <w:tcPr>
            <w:tcW w:w="2289" w:type="dxa"/>
            <w:tcMar>
              <w:top w:w="60" w:type="dxa"/>
              <w:left w:w="90" w:type="dxa"/>
              <w:bottom w:w="60" w:type="dxa"/>
              <w:right w:w="90" w:type="dxa"/>
            </w:tcMar>
          </w:tcPr>
          <w:p w14:paraId="0A21A683" w14:textId="77777777" w:rsidR="00D32166" w:rsidRDefault="00FD100D">
            <w:r>
              <w:rPr>
                <w:sz w:val="17"/>
                <w:szCs w:val="17"/>
              </w:rPr>
              <w:t>Engagement evidence dominated by one wind project; operational performance evidence drawn from outside Kenya</w:t>
            </w:r>
          </w:p>
        </w:tc>
        <w:tc>
          <w:tcPr>
            <w:tcW w:w="2011" w:type="dxa"/>
            <w:tcMar>
              <w:top w:w="60" w:type="dxa"/>
              <w:left w:w="90" w:type="dxa"/>
              <w:bottom w:w="60" w:type="dxa"/>
              <w:right w:w="90" w:type="dxa"/>
            </w:tcMar>
          </w:tcPr>
          <w:p w14:paraId="47FDA7C9" w14:textId="77777777" w:rsidR="00D32166" w:rsidRDefault="00FD100D">
            <w:r>
              <w:rPr>
                <w:sz w:val="17"/>
                <w:szCs w:val="17"/>
              </w:rPr>
              <w:t>Composite argument assembled from non-overlapping settings rather than observed in one</w:t>
            </w:r>
          </w:p>
        </w:tc>
        <w:tc>
          <w:tcPr>
            <w:tcW w:w="2737" w:type="dxa"/>
            <w:tcMar>
              <w:top w:w="60" w:type="dxa"/>
              <w:left w:w="90" w:type="dxa"/>
              <w:bottom w:w="60" w:type="dxa"/>
              <w:right w:w="90" w:type="dxa"/>
            </w:tcMar>
          </w:tcPr>
          <w:p w14:paraId="691AACB3" w14:textId="77777777" w:rsidR="00D32166" w:rsidRDefault="00FD100D">
            <w:r>
              <w:rPr>
                <w:sz w:val="17"/>
                <w:szCs w:val="17"/>
              </w:rPr>
              <w:t>Extend fieldwork to geothermal, solar and mini-grid settings in additional counties; collect Kenyan operational performance data</w:t>
            </w:r>
          </w:p>
        </w:tc>
        <w:tc>
          <w:tcPr>
            <w:tcW w:w="1300" w:type="dxa"/>
            <w:tcMar>
              <w:top w:w="60" w:type="dxa"/>
              <w:left w:w="90" w:type="dxa"/>
              <w:bottom w:w="60" w:type="dxa"/>
              <w:right w:w="90" w:type="dxa"/>
            </w:tcMar>
          </w:tcPr>
          <w:p w14:paraId="3F603155" w14:textId="77777777" w:rsidR="00D32166" w:rsidRDefault="00FD100D">
            <w:r>
              <w:rPr>
                <w:sz w:val="17"/>
                <w:szCs w:val="17"/>
              </w:rPr>
              <w:t xml:space="preserve">Mehta et al. (2025); Ndi (2024a, 2025); </w:t>
            </w:r>
            <w:proofErr w:type="spellStart"/>
            <w:r>
              <w:rPr>
                <w:sz w:val="17"/>
                <w:szCs w:val="17"/>
              </w:rPr>
              <w:t>Wassie</w:t>
            </w:r>
            <w:proofErr w:type="spellEnd"/>
            <w:r>
              <w:rPr>
                <w:sz w:val="17"/>
                <w:szCs w:val="17"/>
              </w:rPr>
              <w:t xml:space="preserve"> and Ahlgren (2023)</w:t>
            </w:r>
          </w:p>
        </w:tc>
      </w:tr>
      <w:tr w:rsidR="00D32166" w14:paraId="585B5DED" w14:textId="77777777">
        <w:tc>
          <w:tcPr>
            <w:tcW w:w="1301" w:type="dxa"/>
            <w:tcMar>
              <w:top w:w="60" w:type="dxa"/>
              <w:left w:w="90" w:type="dxa"/>
              <w:bottom w:w="60" w:type="dxa"/>
              <w:right w:w="90" w:type="dxa"/>
            </w:tcMar>
          </w:tcPr>
          <w:p w14:paraId="173746D4" w14:textId="77777777" w:rsidR="00D32166" w:rsidRDefault="00FD100D">
            <w:r>
              <w:rPr>
                <w:sz w:val="17"/>
                <w:szCs w:val="17"/>
              </w:rPr>
              <w:t>Unverifiable outlet status in the country-specific literature</w:t>
            </w:r>
          </w:p>
        </w:tc>
        <w:tc>
          <w:tcPr>
            <w:tcW w:w="2289" w:type="dxa"/>
            <w:tcMar>
              <w:top w:w="60" w:type="dxa"/>
              <w:left w:w="90" w:type="dxa"/>
              <w:bottom w:w="60" w:type="dxa"/>
              <w:right w:w="90" w:type="dxa"/>
            </w:tcMar>
          </w:tcPr>
          <w:p w14:paraId="3EA4DED9" w14:textId="77777777" w:rsidR="00D32166" w:rsidRDefault="00FD100D">
            <w:r>
              <w:rPr>
                <w:sz w:val="17"/>
                <w:szCs w:val="17"/>
              </w:rPr>
              <w:t>Directly on-topic Kenyan studies concentrated in outlets whose review arrangements cannot be established</w:t>
            </w:r>
          </w:p>
        </w:tc>
        <w:tc>
          <w:tcPr>
            <w:tcW w:w="2011" w:type="dxa"/>
            <w:tcMar>
              <w:top w:w="60" w:type="dxa"/>
              <w:left w:w="90" w:type="dxa"/>
              <w:bottom w:w="60" w:type="dxa"/>
              <w:right w:w="90" w:type="dxa"/>
            </w:tcMar>
          </w:tcPr>
          <w:p w14:paraId="56060EA3" w14:textId="77777777" w:rsidR="00D32166" w:rsidRDefault="00FD100D">
            <w:r>
              <w:rPr>
                <w:sz w:val="17"/>
                <w:szCs w:val="17"/>
              </w:rPr>
              <w:t>Apparent volume of evidence misread as strength; effect estimates unusable for calibration</w:t>
            </w:r>
          </w:p>
        </w:tc>
        <w:tc>
          <w:tcPr>
            <w:tcW w:w="2737" w:type="dxa"/>
            <w:tcMar>
              <w:top w:w="60" w:type="dxa"/>
              <w:left w:w="90" w:type="dxa"/>
              <w:bottom w:w="60" w:type="dxa"/>
              <w:right w:w="90" w:type="dxa"/>
            </w:tcMar>
          </w:tcPr>
          <w:p w14:paraId="416C5AF5" w14:textId="77777777" w:rsidR="00D32166" w:rsidRDefault="00FD100D">
            <w:r>
              <w:rPr>
                <w:sz w:val="17"/>
                <w:szCs w:val="17"/>
              </w:rPr>
              <w:t>Apply outlet verification as an explicit appraisal step; prioritise replication in journals with established review processes</w:t>
            </w:r>
          </w:p>
        </w:tc>
        <w:tc>
          <w:tcPr>
            <w:tcW w:w="1300" w:type="dxa"/>
            <w:tcMar>
              <w:top w:w="60" w:type="dxa"/>
              <w:left w:w="90" w:type="dxa"/>
              <w:bottom w:w="60" w:type="dxa"/>
              <w:right w:w="90" w:type="dxa"/>
            </w:tcMar>
          </w:tcPr>
          <w:p w14:paraId="74EA3760" w14:textId="77777777" w:rsidR="00D32166" w:rsidRDefault="00FD100D">
            <w:proofErr w:type="spellStart"/>
            <w:r>
              <w:rPr>
                <w:sz w:val="17"/>
                <w:szCs w:val="17"/>
              </w:rPr>
              <w:t>Baethge</w:t>
            </w:r>
            <w:proofErr w:type="spellEnd"/>
            <w:r>
              <w:rPr>
                <w:sz w:val="17"/>
                <w:szCs w:val="17"/>
              </w:rPr>
              <w:t xml:space="preserve"> et al. (2019)</w:t>
            </w:r>
          </w:p>
        </w:tc>
      </w:tr>
    </w:tbl>
    <w:p w14:paraId="442F3745" w14:textId="77777777" w:rsidR="00D32166" w:rsidRDefault="00FD100D">
      <w:pPr>
        <w:spacing w:before="100" w:after="240"/>
      </w:pPr>
      <w:r>
        <w:rPr>
          <w:sz w:val="17"/>
          <w:szCs w:val="17"/>
        </w:rPr>
        <w:t>Note. Corrective measures are stated at the level of design rather than as prescriptions for a particular study. Where a measure is already standard in adjacent fields, this is noted in the accompanying text.</w:t>
      </w:r>
    </w:p>
    <w:p w14:paraId="62683AAA" w14:textId="77777777" w:rsidR="00D32166" w:rsidRDefault="00FD100D">
      <w:pPr>
        <w:pStyle w:val="Heading1"/>
        <w:spacing w:before="320" w:after="140"/>
      </w:pPr>
      <w:r>
        <w:rPr>
          <w:b/>
          <w:bCs/>
          <w:color w:val="000000"/>
          <w:sz w:val="24"/>
          <w:szCs w:val="24"/>
        </w:rPr>
        <w:t>8. An Integrated Account: Conditional and Partial Mediation</w:t>
      </w:r>
    </w:p>
    <w:p w14:paraId="539F7B7A" w14:textId="77777777" w:rsidR="00D32166" w:rsidRDefault="00FD100D">
      <w:pPr>
        <w:pStyle w:val="Heading2"/>
        <w:spacing w:before="240" w:after="120"/>
      </w:pPr>
      <w:r>
        <w:rPr>
          <w:b/>
          <w:bCs/>
          <w:color w:val="000000"/>
          <w:sz w:val="22"/>
          <w:szCs w:val="22"/>
        </w:rPr>
        <w:t>8.1 What the evidence will support</w:t>
      </w:r>
    </w:p>
    <w:p w14:paraId="2850CA7E" w14:textId="77777777" w:rsidR="00D32166" w:rsidRDefault="00FD100D">
      <w:pPr>
        <w:spacing w:after="160" w:line="320" w:lineRule="auto"/>
        <w:jc w:val="both"/>
      </w:pPr>
      <w:r>
        <w:t xml:space="preserve">Four propositions can be defended on the evidence appraised. The first is that quality management practice influences project outcomes principally through intervening organisational and relational capabilities rather than directly, a conclusion supported independently in general operations research and in four separate project studies with four different mediators (Haq et al., 2018; Jimoh et al., 2019; Kaynak, 2003; Kuo &amp; Kuo, 2010; Shah et al., 2025). The second is that within the quality bundle it is the soft, behavioural components that plausibly connect to stakeholder-facing capability, while the hard, procedural components connect to conformance outcomes, a pattern consistent across the practice-decomposition literature and with the single study that has modelled the two families against stakeholder management (de Las Casas et al., 2026; Samson &amp; </w:t>
      </w:r>
      <w:proofErr w:type="spellStart"/>
      <w:r>
        <w:t>Terziovski</w:t>
      </w:r>
      <w:proofErr w:type="spellEnd"/>
      <w:r>
        <w:t xml:space="preserve">, 1999; Zeng et al., 2015). The third is that in Kenyan renewable projects, procedural fairness and commitment fulfilment are material determinants of community response, and that they operate at least partly independently of the material benefits offered (Mahamoud Abdi et al., 2024; Ndi, 2024b, 2025). The fourth is that the performance consequences most sensitive to engagement are operational continuity, </w:t>
      </w:r>
      <w:proofErr w:type="spellStart"/>
      <w:r>
        <w:t>financeability</w:t>
      </w:r>
      <w:proofErr w:type="spellEnd"/>
      <w:r>
        <w:t>, reputational standing and the realisation of development benefits, rather than construction schedule and cost, which are driven substantially by client-side and external factors (Adam et al., 2017; Gómez-Cabrera et al., 2024; Ramiah et al., 2026).</w:t>
      </w:r>
    </w:p>
    <w:p w14:paraId="3E750F14" w14:textId="77777777" w:rsidR="00D32166" w:rsidRDefault="00FD100D">
      <w:pPr>
        <w:spacing w:after="160" w:line="320" w:lineRule="auto"/>
        <w:jc w:val="both"/>
      </w:pPr>
      <w:r>
        <w:t>These propositions jointly support a conditional and partial mediation account rather than a full mediation account. Stakeholder engagement may transmit part of the effect of the soft components of quality management practice onto the social, operational and financial dimensions of project performance. It is unlikely to transmit the effect of the hard components, and it is unlikely to be the principal pathway to conformance outcomes, for which supplier quality management and process control are better candidates. The magnitude of the transmitted effect should be expected to vary with the degree to which engagement terms are within the developer's discretion.</w:t>
      </w:r>
    </w:p>
    <w:p w14:paraId="2BD03ACC" w14:textId="77777777" w:rsidR="00D32166" w:rsidRDefault="00FD100D">
      <w:pPr>
        <w:pStyle w:val="Heading2"/>
        <w:spacing w:before="240" w:after="120"/>
      </w:pPr>
      <w:r>
        <w:rPr>
          <w:b/>
          <w:bCs/>
          <w:color w:val="000000"/>
          <w:sz w:val="22"/>
          <w:szCs w:val="22"/>
        </w:rPr>
        <w:t>8.2 What remains speculative</w:t>
      </w:r>
    </w:p>
    <w:p w14:paraId="6E6C775A" w14:textId="77777777" w:rsidR="00D32166" w:rsidRDefault="00FD100D">
      <w:pPr>
        <w:spacing w:after="160" w:line="320" w:lineRule="auto"/>
        <w:jc w:val="both"/>
      </w:pPr>
      <w:r>
        <w:t xml:space="preserve">Three elements of the chain are asserted more often than demonstrated. The link from community response to measured project performance in Kenyan renewable projects has not been quantified; the </w:t>
      </w:r>
      <w:r>
        <w:lastRenderedPageBreak/>
        <w:t>case literature documents grievance, delay in specific activities and unfulfilled commitments, but no study in the appraisable record estimates the consequence for project cost, schedule, availability or lifetime output. The direction of causation between quality system adoption and engagement capability has not been tested, and a legitimacy-seeking pathway running in the opposite direction is theoretically plausible. The relative contribution of engagement compared with rival mediators has not been estimated, because no study in this domain models several candidate mediators simultaneously. Confidence in any point estimate of an indirect effect in this setting should therefore be low, and claims that stakeholder engagement is the mechanism linking quality management practice to renewable project performance in Kenya exceed what the evidence supports.</w:t>
      </w:r>
    </w:p>
    <w:p w14:paraId="522BB054" w14:textId="77777777" w:rsidR="00D32166" w:rsidRDefault="00FD100D">
      <w:pPr>
        <w:pStyle w:val="Heading2"/>
        <w:spacing w:before="240" w:after="120"/>
      </w:pPr>
      <w:r>
        <w:rPr>
          <w:b/>
          <w:bCs/>
          <w:color w:val="000000"/>
          <w:sz w:val="22"/>
          <w:szCs w:val="22"/>
        </w:rPr>
        <w:t>8.3 Boundary conditions of the proposed account</w:t>
      </w:r>
    </w:p>
    <w:p w14:paraId="71187170" w14:textId="77777777" w:rsidR="00D32166" w:rsidRDefault="00FD100D">
      <w:pPr>
        <w:spacing w:after="160" w:line="320" w:lineRule="auto"/>
        <w:jc w:val="both"/>
      </w:pPr>
      <w:r>
        <w:t xml:space="preserve">The account is bounded by four conditions that the Kenyan evidence makes explicit. Tenure regime is the first. Where project land is communally held and collective claims are unresolved, engagement is constrained by statutory and customary processes that the developer cannot control, and mediation should be expected to be weak; where land is individually held, developer discretion is greater and mediation correspondingly more plausible (Alden Wily, 2018; Cormack &amp; </w:t>
      </w:r>
      <w:proofErr w:type="spellStart"/>
      <w:r>
        <w:t>Kurewa</w:t>
      </w:r>
      <w:proofErr w:type="spellEnd"/>
      <w:r>
        <w:t>, 2018; Ndi, 2024a). Project scale and financing structure form the second. Large projects financed by international lenders operate under safeguard requirements that standardise parts of the engagement process, which compresses variance in engagement quality and attenuates any estimated effect, while smaller commercially financed projects display greater variance. Technology and asset architecture form the third. Distributed systems distribute the engagement problem across many small interactions with customers and technicians, where it becomes closely coupled with service quality (Harrington &amp; Wambugu, 2021; Kennedy et al., 2019), whereas utility-scale projects concentrate it in a small number of high-stakes negotiations with communities and authorities. Institutional integrity forms the fourth. Where procurement and land transactions are exposed to integrity risk, recorded engagement may be decoupled from actual consultation, and measured mediation will be spurious (</w:t>
      </w:r>
      <w:proofErr w:type="spellStart"/>
      <w:r>
        <w:t>Sovacool</w:t>
      </w:r>
      <w:proofErr w:type="spellEnd"/>
      <w:r>
        <w:t xml:space="preserve"> et al., 2024).</w:t>
      </w:r>
    </w:p>
    <w:p w14:paraId="51C4B73E" w14:textId="77777777" w:rsidR="00D32166" w:rsidRDefault="00FD100D">
      <w:pPr>
        <w:spacing w:after="160" w:line="320" w:lineRule="auto"/>
        <w:jc w:val="both"/>
      </w:pPr>
      <w:r>
        <w:t>A conceptual framework consistent with these conclusions is set out in Figure 1. The framework distinguishes relationships for which the appraised evidence is reasonably firm from those that are hypothesised and require testing, and it locates the contextual determinants that the Kenyan evidence shows to be partly exogenous to the developer's management system. It is developed from the present synthesis rather than adapted from an existing model, and the distinction between established and hypothesised paths should be read as integral to it rather than as a qualification of it.</w:t>
      </w:r>
    </w:p>
    <w:p w14:paraId="02B6B28C" w14:textId="77777777" w:rsidR="00D32166" w:rsidRDefault="00FD100D">
      <w:pPr>
        <w:spacing w:before="240" w:after="120"/>
        <w:jc w:val="center"/>
      </w:pPr>
      <w:r>
        <w:rPr>
          <w:noProof/>
        </w:rPr>
        <w:lastRenderedPageBreak/>
        <w:drawing>
          <wp:inline distT="0" distB="0" distL="0" distR="0" wp14:anchorId="13BAB424" wp14:editId="7C9D96ED">
            <wp:extent cx="5715000" cy="3314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3314700"/>
                    </a:xfrm>
                    <a:prstGeom prst="rect">
                      <a:avLst/>
                    </a:prstGeom>
                  </pic:spPr>
                </pic:pic>
              </a:graphicData>
            </a:graphic>
          </wp:inline>
        </w:drawing>
      </w:r>
    </w:p>
    <w:p w14:paraId="35EC635A" w14:textId="77777777" w:rsidR="00D32166" w:rsidRDefault="00FD100D">
      <w:pPr>
        <w:spacing w:after="240" w:line="260" w:lineRule="auto"/>
        <w:jc w:val="both"/>
      </w:pPr>
      <w:r>
        <w:rPr>
          <w:sz w:val="19"/>
          <w:szCs w:val="19"/>
        </w:rPr>
        <w:t>Figure 1. A conditional mediation framework for quality management practice, stakeholder engagement and the performance of renewable electricity infrastructure projects in Kenya. Solid arrows denote relationships supported by the evidence appraised in this review. Dashed arrows denote hypothesised relationships that have not been tested in this setting. Contextual determinants shown on the left are partly exogenous to the developer's quality management system and constrain the discretion available in engagement design. The framework was developed from the present synthesis and is not adapted from prior work.</w:t>
      </w:r>
    </w:p>
    <w:p w14:paraId="48AC39E8" w14:textId="77777777" w:rsidR="00D32166" w:rsidRDefault="00FD100D">
      <w:pPr>
        <w:spacing w:after="160" w:line="320" w:lineRule="auto"/>
        <w:jc w:val="both"/>
      </w:pPr>
      <w:r>
        <w:t>Read in this way, the framework makes three claims that are testable and potentially falsifiable. Decomposing the quality bundle should reveal that engagement mediates the effect of soft practices but not of hard practices. Partitioning performance should reveal that the indirect effect is concentrated in social, operational and financial dimensions rather than in schedule. Measuring tenure regime and financing structure should reveal moderation of the indirect effect, with weaker mediation where engagement terms are externally determined. Each of these predictions can be refuted by data, which is the principal advantage of the conditional formulation over the undifferentiated mediation claim it replaces.</w:t>
      </w:r>
    </w:p>
    <w:p w14:paraId="12364B55" w14:textId="77777777" w:rsidR="00D32166" w:rsidRDefault="00FD100D">
      <w:pPr>
        <w:pStyle w:val="Heading1"/>
        <w:spacing w:before="320" w:after="140"/>
      </w:pPr>
      <w:r>
        <w:rPr>
          <w:b/>
          <w:bCs/>
          <w:color w:val="000000"/>
          <w:sz w:val="24"/>
          <w:szCs w:val="24"/>
        </w:rPr>
        <w:t>9. Future Directions</w:t>
      </w:r>
    </w:p>
    <w:p w14:paraId="47F4AB62" w14:textId="77777777" w:rsidR="00D32166" w:rsidRDefault="00FD100D">
      <w:pPr>
        <w:spacing w:after="160" w:line="320" w:lineRule="auto"/>
        <w:jc w:val="both"/>
      </w:pPr>
      <w:r>
        <w:t>The research priorities that follow are ordered by the inferential gain each offers, and the first three are immediate in the sense that they require no new institutional arrangements.</w:t>
      </w:r>
    </w:p>
    <w:p w14:paraId="105FAE97" w14:textId="77777777" w:rsidR="00D32166" w:rsidRDefault="00FD100D">
      <w:pPr>
        <w:spacing w:after="160" w:line="320" w:lineRule="auto"/>
        <w:jc w:val="both"/>
      </w:pPr>
      <w:r>
        <w:t xml:space="preserve">The first priority is to establish the missing link between community response and measured project outcomes. The unresolved problem is that the Kenyan literature documents grievance thoroughly and project consequences hardly at all, so that the second path of the proposed chain is </w:t>
      </w:r>
      <w:proofErr w:type="spellStart"/>
      <w:r>
        <w:t>unestimated</w:t>
      </w:r>
      <w:proofErr w:type="spellEnd"/>
      <w:r>
        <w:t xml:space="preserve">. Existing evidence is inadequate because case studies terminate at community experience and because operational data on Kenyan renewable assets are not systematically reported in the research literature. The appropriate design is a comparative case study of the country's utility-scale renewable projects combining documentary reconstruction of contestation events with operational records of availability, capacity factor, output against design expectation and the timing of activity interruption. The population is small enough for near-complete coverage and too small for variance modelling, which </w:t>
      </w:r>
      <w:r>
        <w:lastRenderedPageBreak/>
        <w:t xml:space="preserve">makes structured comparison rather than survey the appropriate method. The outcome measures should include lifetime energy delivered, unplanned outage attributable to non-technical causes, and the fulfilment status of development commitments. Work of this kind would allow the consequences documented qualitatively at Lake Turkana, </w:t>
      </w:r>
      <w:proofErr w:type="spellStart"/>
      <w:r>
        <w:t>Kipeto</w:t>
      </w:r>
      <w:proofErr w:type="spellEnd"/>
      <w:r>
        <w:t xml:space="preserve">, Kesses and Olkaria to be expressed in terms that financiers and regulators can act on (Gai et al., 2022; Lind &amp; </w:t>
      </w:r>
      <w:proofErr w:type="spellStart"/>
      <w:r>
        <w:t>Rogei</w:t>
      </w:r>
      <w:proofErr w:type="spellEnd"/>
      <w:r>
        <w:t>, 2025; Ndi, 2024a, 2025).</w:t>
      </w:r>
    </w:p>
    <w:p w14:paraId="41B97E1E" w14:textId="77777777" w:rsidR="00D32166" w:rsidRDefault="00FD100D">
      <w:pPr>
        <w:spacing w:after="160" w:line="320" w:lineRule="auto"/>
        <w:jc w:val="both"/>
      </w:pPr>
      <w:r>
        <w:t>The second priority is to test the mediating specification with a design capable of supporting a causal reading. Current evidence is inadequate because every available test is cross-sectional, single-informant and single-mediator. The appropriate design is a staged, dyadic study conducted at the level of the contract package or work front, in which quality management practice is measured at the outset from contractor and sponsor respondents, engagement quality is measured during implementation from both developer and community respondents, and performance is measured subsequently from records rather than perception. Several candidate mediators should be modelled simultaneously, including continuous improvement capability, supplier integration and stakeholder engagement, so that their relative contributions can be compared (Jimoh et al., 2019; Soares et al., 2017; Zhang et al., 2023). Indirect effects should be estimated with resampling procedures and reported with interval estimates (Preacher &amp; Hayes, 2008), and the design should incorporate procedural remedies for method variance rather than relying on post hoc statistical tests (Podsakoff et al., 2003).</w:t>
      </w:r>
    </w:p>
    <w:p w14:paraId="042825A3" w14:textId="77777777" w:rsidR="00D32166" w:rsidRDefault="00FD100D">
      <w:pPr>
        <w:spacing w:after="160" w:line="320" w:lineRule="auto"/>
        <w:jc w:val="both"/>
      </w:pPr>
      <w:r>
        <w:t>The third priority is instrument development. The unresolved problem is that no validated instrument distinguishes community-facing engagement from the customer focus dimension of quality management instruments, which makes contamination unavoidable. Existing measures were developed for manufacturing customers or for construction clients and do not capture the elements that Kenyan evidence shows to be decisive, namely land negotiation conduct, the credibility of commitments, grievance handling and the fulfilment of undertakings over time. A sector-specific instrument should be constructed from the Kenyan case record and validated against community-reported perceptions of procedural fairness, drawing on the constructs established in the justice literature (Ottinger et al., 2014; Walker &amp; Baxter, 2017). Validation should include tests of discriminant validity against both quality management and performance instruments, since the contamination problem is bidirectional.</w:t>
      </w:r>
    </w:p>
    <w:p w14:paraId="13387E70" w14:textId="77777777" w:rsidR="00D32166" w:rsidRDefault="00FD100D">
      <w:pPr>
        <w:spacing w:after="160" w:line="320" w:lineRule="auto"/>
        <w:jc w:val="both"/>
      </w:pPr>
      <w:r>
        <w:t xml:space="preserve">The fourth priority is longer term and concerns the moderating role of tenure and governance. The unresolved problem is that the endogeneity of engagement to developer practice varies systematically with land tenure regime, county political configuration and the safeguard requirements attached to particular financing sources, yet no study has treated these as moderators. The appropriate design is a comparative study across counties with contrasting tenure and governance arrangements, sampling projects of similar technology and scale, with tenure regime and financing structure coded from documentary sources rather than reported by respondents. Statutory participation quality should be measured independently, building on the assessment research already conducted in Kenya (Walker et al., 2014; Walker et al., 2016). Evidence of this kind would indicate where managerial investment </w:t>
      </w:r>
      <w:r>
        <w:lastRenderedPageBreak/>
        <w:t>in engagement capability can be expected to yield returns and where institutional reform is the binding requirement.</w:t>
      </w:r>
    </w:p>
    <w:p w14:paraId="79574635" w14:textId="77777777" w:rsidR="00D32166" w:rsidRDefault="00FD100D">
      <w:pPr>
        <w:spacing w:after="160" w:line="320" w:lineRule="auto"/>
        <w:jc w:val="both"/>
      </w:pPr>
      <w:r>
        <w:t xml:space="preserve">The fifth priority concerns operational quality in distributed systems, where the Kenyan evidence base is strongest conceptually and weakest quantitatively. The unresolved problem is that repair, spare parts and technician capability have been identified as decisive for realised service quality without being measured against service outcomes at scale (Harrington &amp; Wambugu, 2021). The appropriate design is a longitudinal cohort study of installed systems and mini-grids with monitored technical performance, service event records and operator capability measures, permitting estimation of the contribution of after-sales capability to delivered energy and system survival. Comparable technical monitoring has been achieved in Ethiopian and Namibian settings and could be replicated in Kenya with existing instrumentation (Mehta et al., 2025; </w:t>
      </w:r>
      <w:proofErr w:type="spellStart"/>
      <w:r>
        <w:t>Wassie</w:t>
      </w:r>
      <w:proofErr w:type="spellEnd"/>
      <w:r>
        <w:t xml:space="preserve"> &amp; Ahlgren, 2023). Outcomes should include system availability, mean time to repair, and customer retention, and the analysis should account for the segmentation in customer requirements that Kenyan and Rwandan market evidence has documented (Kennedy et al., 2019).</w:t>
      </w:r>
    </w:p>
    <w:p w14:paraId="242D4FF3" w14:textId="77777777" w:rsidR="00D32166" w:rsidRDefault="00FD100D">
      <w:pPr>
        <w:spacing w:after="160" w:line="320" w:lineRule="auto"/>
        <w:jc w:val="both"/>
      </w:pPr>
      <w:r>
        <w:t>The sixth priority concerns the integrity of the country-specific evidence base. The unresolved problem is that the most directly relevant Kenyan studies appear in outlets that cannot be appraised, which both misleads users and forecloses cumulative progress. Replication of the central relationships in journals with established review processes, combined with data and instrument sharing that permits reanalysis, would allow the accumulated Kenyan survey work to contribute to knowledge rather than to volume. Adoption of explicit narrative-review quality criteria by those synthesising this literature would reduce the propagation of unverifiable findings into secondary sources (</w:t>
      </w:r>
      <w:proofErr w:type="spellStart"/>
      <w:r>
        <w:t>Baethge</w:t>
      </w:r>
      <w:proofErr w:type="spellEnd"/>
      <w:r>
        <w:t xml:space="preserve"> et al., 2019). Table 5 sets out these priorities against the gap each addresses and the design required; the ordering reflects inferential gain, and the first three priorities can be pursued with existing data infrastructure.</w:t>
      </w:r>
    </w:p>
    <w:p w14:paraId="7960D7F1" w14:textId="77777777" w:rsidR="00D32166" w:rsidRDefault="00FD100D">
      <w:pPr>
        <w:spacing w:before="240" w:after="100" w:line="260" w:lineRule="auto"/>
      </w:pPr>
      <w:r>
        <w:rPr>
          <w:b/>
          <w:bCs/>
          <w:sz w:val="20"/>
          <w:szCs w:val="20"/>
        </w:rPr>
        <w:t>Table 5. Prioritised research agenda, with the unresolved problem addressed and the design required in each case</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1736"/>
        <w:gridCol w:w="1834"/>
        <w:gridCol w:w="3466"/>
        <w:gridCol w:w="1301"/>
      </w:tblGrid>
      <w:tr w:rsidR="00D32166" w14:paraId="01BFCC72" w14:textId="77777777">
        <w:trPr>
          <w:tblHeader/>
        </w:trPr>
        <w:tc>
          <w:tcPr>
            <w:tcW w:w="1301" w:type="dxa"/>
            <w:shd w:val="clear" w:color="auto" w:fill="EFEFEF"/>
            <w:tcMar>
              <w:top w:w="60" w:type="dxa"/>
              <w:left w:w="90" w:type="dxa"/>
              <w:bottom w:w="60" w:type="dxa"/>
              <w:right w:w="90" w:type="dxa"/>
            </w:tcMar>
          </w:tcPr>
          <w:p w14:paraId="1349415F" w14:textId="77777777" w:rsidR="00D32166" w:rsidRDefault="00FD100D">
            <w:r>
              <w:rPr>
                <w:b/>
                <w:bCs/>
                <w:sz w:val="17"/>
                <w:szCs w:val="17"/>
              </w:rPr>
              <w:t>Priority</w:t>
            </w:r>
          </w:p>
        </w:tc>
        <w:tc>
          <w:tcPr>
            <w:tcW w:w="1736" w:type="dxa"/>
            <w:shd w:val="clear" w:color="auto" w:fill="EFEFEF"/>
            <w:tcMar>
              <w:top w:w="60" w:type="dxa"/>
              <w:left w:w="90" w:type="dxa"/>
              <w:bottom w:w="60" w:type="dxa"/>
              <w:right w:w="90" w:type="dxa"/>
            </w:tcMar>
          </w:tcPr>
          <w:p w14:paraId="7C5DA70F" w14:textId="77777777" w:rsidR="00D32166" w:rsidRDefault="00FD100D">
            <w:r>
              <w:rPr>
                <w:b/>
                <w:bCs/>
                <w:sz w:val="17"/>
                <w:szCs w:val="17"/>
              </w:rPr>
              <w:t>Unresolved problem</w:t>
            </w:r>
          </w:p>
        </w:tc>
        <w:tc>
          <w:tcPr>
            <w:tcW w:w="1834" w:type="dxa"/>
            <w:shd w:val="clear" w:color="auto" w:fill="EFEFEF"/>
            <w:tcMar>
              <w:top w:w="60" w:type="dxa"/>
              <w:left w:w="90" w:type="dxa"/>
              <w:bottom w:w="60" w:type="dxa"/>
              <w:right w:w="90" w:type="dxa"/>
            </w:tcMar>
          </w:tcPr>
          <w:p w14:paraId="2FDEEA94" w14:textId="77777777" w:rsidR="00D32166" w:rsidRDefault="00FD100D">
            <w:r>
              <w:rPr>
                <w:b/>
                <w:bCs/>
                <w:sz w:val="17"/>
                <w:szCs w:val="17"/>
              </w:rPr>
              <w:t>Why current evidence is inadequate</w:t>
            </w:r>
          </w:p>
        </w:tc>
        <w:tc>
          <w:tcPr>
            <w:tcW w:w="3466" w:type="dxa"/>
            <w:shd w:val="clear" w:color="auto" w:fill="EFEFEF"/>
            <w:tcMar>
              <w:top w:w="60" w:type="dxa"/>
              <w:left w:w="90" w:type="dxa"/>
              <w:bottom w:w="60" w:type="dxa"/>
              <w:right w:w="90" w:type="dxa"/>
            </w:tcMar>
          </w:tcPr>
          <w:p w14:paraId="15D9FA9F" w14:textId="77777777" w:rsidR="00D32166" w:rsidRDefault="00FD100D">
            <w:r>
              <w:rPr>
                <w:b/>
                <w:bCs/>
                <w:sz w:val="17"/>
                <w:szCs w:val="17"/>
              </w:rPr>
              <w:t>Design, population and outcome measures required</w:t>
            </w:r>
          </w:p>
        </w:tc>
        <w:tc>
          <w:tcPr>
            <w:tcW w:w="1301" w:type="dxa"/>
            <w:shd w:val="clear" w:color="auto" w:fill="EFEFEF"/>
            <w:tcMar>
              <w:top w:w="60" w:type="dxa"/>
              <w:left w:w="90" w:type="dxa"/>
              <w:bottom w:w="60" w:type="dxa"/>
              <w:right w:w="90" w:type="dxa"/>
            </w:tcMar>
          </w:tcPr>
          <w:p w14:paraId="66706AD8" w14:textId="77777777" w:rsidR="00D32166" w:rsidRDefault="00FD100D">
            <w:r>
              <w:rPr>
                <w:b/>
                <w:bCs/>
                <w:sz w:val="17"/>
                <w:szCs w:val="17"/>
              </w:rPr>
              <w:t>Supporting references</w:t>
            </w:r>
          </w:p>
        </w:tc>
      </w:tr>
      <w:tr w:rsidR="00D32166" w14:paraId="2C193D97" w14:textId="77777777">
        <w:tc>
          <w:tcPr>
            <w:tcW w:w="1301" w:type="dxa"/>
            <w:tcMar>
              <w:top w:w="60" w:type="dxa"/>
              <w:left w:w="90" w:type="dxa"/>
              <w:bottom w:w="60" w:type="dxa"/>
              <w:right w:w="90" w:type="dxa"/>
            </w:tcMar>
          </w:tcPr>
          <w:p w14:paraId="3612DB13" w14:textId="77777777" w:rsidR="00D32166" w:rsidRDefault="00FD100D">
            <w:r>
              <w:rPr>
                <w:sz w:val="17"/>
                <w:szCs w:val="17"/>
              </w:rPr>
              <w:t>1. Establish the community response to project outcome link</w:t>
            </w:r>
          </w:p>
        </w:tc>
        <w:tc>
          <w:tcPr>
            <w:tcW w:w="1736" w:type="dxa"/>
            <w:tcMar>
              <w:top w:w="60" w:type="dxa"/>
              <w:left w:w="90" w:type="dxa"/>
              <w:bottom w:w="60" w:type="dxa"/>
              <w:right w:w="90" w:type="dxa"/>
            </w:tcMar>
          </w:tcPr>
          <w:p w14:paraId="0C6B4173" w14:textId="77777777" w:rsidR="00D32166" w:rsidRDefault="00FD100D">
            <w:r>
              <w:rPr>
                <w:sz w:val="17"/>
                <w:szCs w:val="17"/>
              </w:rPr>
              <w:t>Consequences of contestation for measured project performance are undocumented in Kenya</w:t>
            </w:r>
          </w:p>
        </w:tc>
        <w:tc>
          <w:tcPr>
            <w:tcW w:w="1834" w:type="dxa"/>
            <w:tcMar>
              <w:top w:w="60" w:type="dxa"/>
              <w:left w:w="90" w:type="dxa"/>
              <w:bottom w:w="60" w:type="dxa"/>
              <w:right w:w="90" w:type="dxa"/>
            </w:tcMar>
          </w:tcPr>
          <w:p w14:paraId="09BA7F38" w14:textId="77777777" w:rsidR="00D32166" w:rsidRDefault="00FD100D">
            <w:r>
              <w:rPr>
                <w:sz w:val="17"/>
                <w:szCs w:val="17"/>
              </w:rPr>
              <w:t>Case studies terminate at community experience; operational data are absent from the research record</w:t>
            </w:r>
          </w:p>
        </w:tc>
        <w:tc>
          <w:tcPr>
            <w:tcW w:w="3466" w:type="dxa"/>
            <w:tcMar>
              <w:top w:w="60" w:type="dxa"/>
              <w:left w:w="90" w:type="dxa"/>
              <w:bottom w:w="60" w:type="dxa"/>
              <w:right w:w="90" w:type="dxa"/>
            </w:tcMar>
          </w:tcPr>
          <w:p w14:paraId="52AF41C9" w14:textId="77777777" w:rsidR="00D32166" w:rsidRDefault="00FD100D">
            <w:r>
              <w:rPr>
                <w:sz w:val="17"/>
                <w:szCs w:val="17"/>
              </w:rPr>
              <w:t>Comparative case study of Kenyan utility-scale renewable projects with near-complete population coverage; outcomes comprising lifetime energy delivered, non-technical unplanned outage and commitment fulfilment</w:t>
            </w:r>
          </w:p>
        </w:tc>
        <w:tc>
          <w:tcPr>
            <w:tcW w:w="1301" w:type="dxa"/>
            <w:tcMar>
              <w:top w:w="60" w:type="dxa"/>
              <w:left w:w="90" w:type="dxa"/>
              <w:bottom w:w="60" w:type="dxa"/>
              <w:right w:w="90" w:type="dxa"/>
            </w:tcMar>
          </w:tcPr>
          <w:p w14:paraId="287BAFEF" w14:textId="77777777" w:rsidR="00D32166" w:rsidRDefault="00FD100D">
            <w:r>
              <w:rPr>
                <w:sz w:val="17"/>
                <w:szCs w:val="17"/>
              </w:rPr>
              <w:t xml:space="preserve">Gai et al. (2022); Lind and </w:t>
            </w:r>
            <w:proofErr w:type="spellStart"/>
            <w:r>
              <w:rPr>
                <w:sz w:val="17"/>
                <w:szCs w:val="17"/>
              </w:rPr>
              <w:t>Rogei</w:t>
            </w:r>
            <w:proofErr w:type="spellEnd"/>
            <w:r>
              <w:rPr>
                <w:sz w:val="17"/>
                <w:szCs w:val="17"/>
              </w:rPr>
              <w:t xml:space="preserve"> (2025); Ndi (2024a, 2025)</w:t>
            </w:r>
          </w:p>
        </w:tc>
      </w:tr>
      <w:tr w:rsidR="00D32166" w14:paraId="70E7D795" w14:textId="77777777">
        <w:tc>
          <w:tcPr>
            <w:tcW w:w="1301" w:type="dxa"/>
            <w:tcMar>
              <w:top w:w="60" w:type="dxa"/>
              <w:left w:w="90" w:type="dxa"/>
              <w:bottom w:w="60" w:type="dxa"/>
              <w:right w:w="90" w:type="dxa"/>
            </w:tcMar>
          </w:tcPr>
          <w:p w14:paraId="5F5C948F" w14:textId="77777777" w:rsidR="00D32166" w:rsidRDefault="00FD100D">
            <w:r>
              <w:rPr>
                <w:sz w:val="17"/>
                <w:szCs w:val="17"/>
              </w:rPr>
              <w:t>2. Test the mediating specification causally</w:t>
            </w:r>
          </w:p>
        </w:tc>
        <w:tc>
          <w:tcPr>
            <w:tcW w:w="1736" w:type="dxa"/>
            <w:tcMar>
              <w:top w:w="60" w:type="dxa"/>
              <w:left w:w="90" w:type="dxa"/>
              <w:bottom w:w="60" w:type="dxa"/>
              <w:right w:w="90" w:type="dxa"/>
            </w:tcMar>
          </w:tcPr>
          <w:p w14:paraId="7DBC0F75" w14:textId="77777777" w:rsidR="00D32166" w:rsidRDefault="00FD100D">
            <w:r>
              <w:rPr>
                <w:sz w:val="17"/>
                <w:szCs w:val="17"/>
              </w:rPr>
              <w:t>Mediation asserted from cross-sectional single-informant designs with a single candidate mediator</w:t>
            </w:r>
          </w:p>
        </w:tc>
        <w:tc>
          <w:tcPr>
            <w:tcW w:w="1834" w:type="dxa"/>
            <w:tcMar>
              <w:top w:w="60" w:type="dxa"/>
              <w:left w:w="90" w:type="dxa"/>
              <w:bottom w:w="60" w:type="dxa"/>
              <w:right w:w="90" w:type="dxa"/>
            </w:tcMar>
          </w:tcPr>
          <w:p w14:paraId="32A9EFB8" w14:textId="77777777" w:rsidR="00D32166" w:rsidRDefault="00FD100D">
            <w:r>
              <w:rPr>
                <w:sz w:val="17"/>
                <w:szCs w:val="17"/>
              </w:rPr>
              <w:t>Causal ordering unidentified; method variance unaddressed; rival mediators unmodelled</w:t>
            </w:r>
          </w:p>
        </w:tc>
        <w:tc>
          <w:tcPr>
            <w:tcW w:w="3466" w:type="dxa"/>
            <w:tcMar>
              <w:top w:w="60" w:type="dxa"/>
              <w:left w:w="90" w:type="dxa"/>
              <w:bottom w:w="60" w:type="dxa"/>
              <w:right w:w="90" w:type="dxa"/>
            </w:tcMar>
          </w:tcPr>
          <w:p w14:paraId="3C5E3532" w14:textId="77777777" w:rsidR="00D32166" w:rsidRDefault="00FD100D">
            <w:r>
              <w:rPr>
                <w:sz w:val="17"/>
                <w:szCs w:val="17"/>
              </w:rPr>
              <w:t>Staged dyadic design at contract package level; practice measured at outset, engagement during implementation from developer and community, performance from records; multiple mediators with interval estimates for indirect effects</w:t>
            </w:r>
          </w:p>
        </w:tc>
        <w:tc>
          <w:tcPr>
            <w:tcW w:w="1301" w:type="dxa"/>
            <w:tcMar>
              <w:top w:w="60" w:type="dxa"/>
              <w:left w:w="90" w:type="dxa"/>
              <w:bottom w:w="60" w:type="dxa"/>
              <w:right w:w="90" w:type="dxa"/>
            </w:tcMar>
          </w:tcPr>
          <w:p w14:paraId="052B805B" w14:textId="77777777" w:rsidR="00D32166" w:rsidRDefault="00FD100D">
            <w:r>
              <w:rPr>
                <w:sz w:val="17"/>
                <w:szCs w:val="17"/>
              </w:rPr>
              <w:t>Podsakoff et al. (2003); Preacher and Hayes (2008); Soares et al. (2017); Zhang et al. (2023)</w:t>
            </w:r>
          </w:p>
        </w:tc>
      </w:tr>
      <w:tr w:rsidR="00D32166" w14:paraId="6D15CDC9" w14:textId="77777777">
        <w:tc>
          <w:tcPr>
            <w:tcW w:w="1301" w:type="dxa"/>
            <w:tcMar>
              <w:top w:w="60" w:type="dxa"/>
              <w:left w:w="90" w:type="dxa"/>
              <w:bottom w:w="60" w:type="dxa"/>
              <w:right w:w="90" w:type="dxa"/>
            </w:tcMar>
          </w:tcPr>
          <w:p w14:paraId="094655A2" w14:textId="77777777" w:rsidR="00D32166" w:rsidRDefault="00FD100D">
            <w:r>
              <w:rPr>
                <w:sz w:val="17"/>
                <w:szCs w:val="17"/>
              </w:rPr>
              <w:t>3. Develop a sector-specific engagement instrument</w:t>
            </w:r>
          </w:p>
        </w:tc>
        <w:tc>
          <w:tcPr>
            <w:tcW w:w="1736" w:type="dxa"/>
            <w:tcMar>
              <w:top w:w="60" w:type="dxa"/>
              <w:left w:w="90" w:type="dxa"/>
              <w:bottom w:w="60" w:type="dxa"/>
              <w:right w:w="90" w:type="dxa"/>
            </w:tcMar>
          </w:tcPr>
          <w:p w14:paraId="6A4FEDE8" w14:textId="77777777" w:rsidR="00D32166" w:rsidRDefault="00FD100D">
            <w:r>
              <w:rPr>
                <w:sz w:val="17"/>
                <w:szCs w:val="17"/>
              </w:rPr>
              <w:t>No measure distinguishes community-facing engagement from quality-instrument customer focus</w:t>
            </w:r>
          </w:p>
        </w:tc>
        <w:tc>
          <w:tcPr>
            <w:tcW w:w="1834" w:type="dxa"/>
            <w:tcMar>
              <w:top w:w="60" w:type="dxa"/>
              <w:left w:w="90" w:type="dxa"/>
              <w:bottom w:w="60" w:type="dxa"/>
              <w:right w:w="90" w:type="dxa"/>
            </w:tcMar>
          </w:tcPr>
          <w:p w14:paraId="1766D71E" w14:textId="77777777" w:rsidR="00D32166" w:rsidRDefault="00FD100D">
            <w:r>
              <w:rPr>
                <w:sz w:val="17"/>
                <w:szCs w:val="17"/>
              </w:rPr>
              <w:t xml:space="preserve">Existing instruments were developed for manufacturing customers and construction clients and omit land negotiation, </w:t>
            </w:r>
            <w:r>
              <w:rPr>
                <w:sz w:val="17"/>
                <w:szCs w:val="17"/>
              </w:rPr>
              <w:lastRenderedPageBreak/>
              <w:t>commitment credibility and grievance handling</w:t>
            </w:r>
          </w:p>
        </w:tc>
        <w:tc>
          <w:tcPr>
            <w:tcW w:w="3466" w:type="dxa"/>
            <w:tcMar>
              <w:top w:w="60" w:type="dxa"/>
              <w:left w:w="90" w:type="dxa"/>
              <w:bottom w:w="60" w:type="dxa"/>
              <w:right w:w="90" w:type="dxa"/>
            </w:tcMar>
          </w:tcPr>
          <w:p w14:paraId="5F575AB6" w14:textId="77777777" w:rsidR="00D32166" w:rsidRDefault="00FD100D">
            <w:r>
              <w:rPr>
                <w:sz w:val="17"/>
                <w:szCs w:val="17"/>
              </w:rPr>
              <w:lastRenderedPageBreak/>
              <w:t>Instrument constructed from the Kenyan case record and validated against community-reported procedural fairness, with discriminant validity tested against both adjacent instruments</w:t>
            </w:r>
          </w:p>
        </w:tc>
        <w:tc>
          <w:tcPr>
            <w:tcW w:w="1301" w:type="dxa"/>
            <w:tcMar>
              <w:top w:w="60" w:type="dxa"/>
              <w:left w:w="90" w:type="dxa"/>
              <w:bottom w:w="60" w:type="dxa"/>
              <w:right w:w="90" w:type="dxa"/>
            </w:tcMar>
          </w:tcPr>
          <w:p w14:paraId="353FD687" w14:textId="77777777" w:rsidR="00D32166" w:rsidRDefault="00FD100D">
            <w:r>
              <w:rPr>
                <w:sz w:val="17"/>
                <w:szCs w:val="17"/>
              </w:rPr>
              <w:t>Ndi (2024b); Ottinger et al. (2014); Walker and Baxter (2017)</w:t>
            </w:r>
          </w:p>
        </w:tc>
      </w:tr>
      <w:tr w:rsidR="00D32166" w14:paraId="14C134C2" w14:textId="77777777">
        <w:tc>
          <w:tcPr>
            <w:tcW w:w="1301" w:type="dxa"/>
            <w:tcMar>
              <w:top w:w="60" w:type="dxa"/>
              <w:left w:w="90" w:type="dxa"/>
              <w:bottom w:w="60" w:type="dxa"/>
              <w:right w:w="90" w:type="dxa"/>
            </w:tcMar>
          </w:tcPr>
          <w:p w14:paraId="78848290" w14:textId="77777777" w:rsidR="00D32166" w:rsidRDefault="00FD100D">
            <w:r>
              <w:rPr>
                <w:sz w:val="17"/>
                <w:szCs w:val="17"/>
              </w:rPr>
              <w:t>4. Model tenure and governance as moderators</w:t>
            </w:r>
          </w:p>
        </w:tc>
        <w:tc>
          <w:tcPr>
            <w:tcW w:w="1736" w:type="dxa"/>
            <w:tcMar>
              <w:top w:w="60" w:type="dxa"/>
              <w:left w:w="90" w:type="dxa"/>
              <w:bottom w:w="60" w:type="dxa"/>
              <w:right w:w="90" w:type="dxa"/>
            </w:tcMar>
          </w:tcPr>
          <w:p w14:paraId="0E91D9E8" w14:textId="77777777" w:rsidR="00D32166" w:rsidRDefault="00FD100D">
            <w:r>
              <w:rPr>
                <w:sz w:val="17"/>
                <w:szCs w:val="17"/>
              </w:rPr>
              <w:t>Endogeneity of engagement to developer practice varies with tenure, county politics and financing safeguards</w:t>
            </w:r>
          </w:p>
        </w:tc>
        <w:tc>
          <w:tcPr>
            <w:tcW w:w="1834" w:type="dxa"/>
            <w:tcMar>
              <w:top w:w="60" w:type="dxa"/>
              <w:left w:w="90" w:type="dxa"/>
              <w:bottom w:w="60" w:type="dxa"/>
              <w:right w:w="90" w:type="dxa"/>
            </w:tcMar>
          </w:tcPr>
          <w:p w14:paraId="0C615C0C" w14:textId="77777777" w:rsidR="00D32166" w:rsidRDefault="00FD100D">
            <w:r>
              <w:rPr>
                <w:sz w:val="17"/>
                <w:szCs w:val="17"/>
              </w:rPr>
              <w:t>No study treats these conditions as moderators; specification defaults to simple mediation</w:t>
            </w:r>
          </w:p>
        </w:tc>
        <w:tc>
          <w:tcPr>
            <w:tcW w:w="3466" w:type="dxa"/>
            <w:tcMar>
              <w:top w:w="60" w:type="dxa"/>
              <w:left w:w="90" w:type="dxa"/>
              <w:bottom w:w="60" w:type="dxa"/>
              <w:right w:w="90" w:type="dxa"/>
            </w:tcMar>
          </w:tcPr>
          <w:p w14:paraId="0E14E5C5" w14:textId="77777777" w:rsidR="00D32166" w:rsidRDefault="00FD100D">
            <w:r>
              <w:rPr>
                <w:sz w:val="17"/>
                <w:szCs w:val="17"/>
              </w:rPr>
              <w:t>Cross-county comparative design with technology and scale held broadly constant; tenure and financing coded from documents; statutory participation quality measured independently</w:t>
            </w:r>
          </w:p>
        </w:tc>
        <w:tc>
          <w:tcPr>
            <w:tcW w:w="1301" w:type="dxa"/>
            <w:tcMar>
              <w:top w:w="60" w:type="dxa"/>
              <w:left w:w="90" w:type="dxa"/>
              <w:bottom w:w="60" w:type="dxa"/>
              <w:right w:w="90" w:type="dxa"/>
            </w:tcMar>
          </w:tcPr>
          <w:p w14:paraId="52BF6CE3" w14:textId="77777777" w:rsidR="00D32166" w:rsidRDefault="00FD100D">
            <w:r>
              <w:rPr>
                <w:sz w:val="17"/>
                <w:szCs w:val="17"/>
              </w:rPr>
              <w:t>Alden Wily (2018); Walker et al. (2014); Walker et al. (2016)</w:t>
            </w:r>
          </w:p>
        </w:tc>
      </w:tr>
      <w:tr w:rsidR="00D32166" w14:paraId="2230F063" w14:textId="77777777">
        <w:tc>
          <w:tcPr>
            <w:tcW w:w="1301" w:type="dxa"/>
            <w:tcMar>
              <w:top w:w="60" w:type="dxa"/>
              <w:left w:w="90" w:type="dxa"/>
              <w:bottom w:w="60" w:type="dxa"/>
              <w:right w:w="90" w:type="dxa"/>
            </w:tcMar>
          </w:tcPr>
          <w:p w14:paraId="5311A65B" w14:textId="77777777" w:rsidR="00D32166" w:rsidRDefault="00FD100D">
            <w:r>
              <w:rPr>
                <w:sz w:val="17"/>
                <w:szCs w:val="17"/>
              </w:rPr>
              <w:t>5. Quantify after-sales capability in distributed systems</w:t>
            </w:r>
          </w:p>
        </w:tc>
        <w:tc>
          <w:tcPr>
            <w:tcW w:w="1736" w:type="dxa"/>
            <w:tcMar>
              <w:top w:w="60" w:type="dxa"/>
              <w:left w:w="90" w:type="dxa"/>
              <w:bottom w:w="60" w:type="dxa"/>
              <w:right w:w="90" w:type="dxa"/>
            </w:tcMar>
          </w:tcPr>
          <w:p w14:paraId="6727CD85" w14:textId="77777777" w:rsidR="00D32166" w:rsidRDefault="00FD100D">
            <w:r>
              <w:rPr>
                <w:sz w:val="17"/>
                <w:szCs w:val="17"/>
              </w:rPr>
              <w:t>Repair and service capability identified as decisive for realised quality but not measured against outcomes at scale</w:t>
            </w:r>
          </w:p>
        </w:tc>
        <w:tc>
          <w:tcPr>
            <w:tcW w:w="1834" w:type="dxa"/>
            <w:tcMar>
              <w:top w:w="60" w:type="dxa"/>
              <w:left w:w="90" w:type="dxa"/>
              <w:bottom w:w="60" w:type="dxa"/>
              <w:right w:w="90" w:type="dxa"/>
            </w:tcMar>
          </w:tcPr>
          <w:p w14:paraId="7D0446B2" w14:textId="77777777" w:rsidR="00D32166" w:rsidRDefault="00FD100D">
            <w:r>
              <w:rPr>
                <w:sz w:val="17"/>
                <w:szCs w:val="17"/>
              </w:rPr>
              <w:t>Evidence is conceptual for Kenya and technical but non-Kenyan elsewhere</w:t>
            </w:r>
          </w:p>
        </w:tc>
        <w:tc>
          <w:tcPr>
            <w:tcW w:w="3466" w:type="dxa"/>
            <w:tcMar>
              <w:top w:w="60" w:type="dxa"/>
              <w:left w:w="90" w:type="dxa"/>
              <w:bottom w:w="60" w:type="dxa"/>
              <w:right w:w="90" w:type="dxa"/>
            </w:tcMar>
          </w:tcPr>
          <w:p w14:paraId="281923A2" w14:textId="77777777" w:rsidR="00D32166" w:rsidRDefault="00FD100D">
            <w:r>
              <w:rPr>
                <w:sz w:val="17"/>
                <w:szCs w:val="17"/>
              </w:rPr>
              <w:t>Longitudinal cohort of monitored solar home systems and mini-grids; outcomes comprising availability, mean time to repair and customer retention, with customer segmentation accounted for</w:t>
            </w:r>
          </w:p>
        </w:tc>
        <w:tc>
          <w:tcPr>
            <w:tcW w:w="1301" w:type="dxa"/>
            <w:tcMar>
              <w:top w:w="60" w:type="dxa"/>
              <w:left w:w="90" w:type="dxa"/>
              <w:bottom w:w="60" w:type="dxa"/>
              <w:right w:w="90" w:type="dxa"/>
            </w:tcMar>
          </w:tcPr>
          <w:p w14:paraId="6778D930" w14:textId="77777777" w:rsidR="00D32166" w:rsidRDefault="00FD100D">
            <w:r>
              <w:rPr>
                <w:sz w:val="17"/>
                <w:szCs w:val="17"/>
              </w:rPr>
              <w:t xml:space="preserve">Harrington and Wambugu (2021); Kennedy et al. (2019); Mehta et al. (2025); </w:t>
            </w:r>
            <w:proofErr w:type="spellStart"/>
            <w:r>
              <w:rPr>
                <w:sz w:val="17"/>
                <w:szCs w:val="17"/>
              </w:rPr>
              <w:t>Wassie</w:t>
            </w:r>
            <w:proofErr w:type="spellEnd"/>
            <w:r>
              <w:rPr>
                <w:sz w:val="17"/>
                <w:szCs w:val="17"/>
              </w:rPr>
              <w:t xml:space="preserve"> and Ahlgren (2023)</w:t>
            </w:r>
          </w:p>
        </w:tc>
      </w:tr>
      <w:tr w:rsidR="00D32166" w14:paraId="30230064" w14:textId="77777777">
        <w:tc>
          <w:tcPr>
            <w:tcW w:w="1301" w:type="dxa"/>
            <w:tcMar>
              <w:top w:w="60" w:type="dxa"/>
              <w:left w:w="90" w:type="dxa"/>
              <w:bottom w:w="60" w:type="dxa"/>
              <w:right w:w="90" w:type="dxa"/>
            </w:tcMar>
          </w:tcPr>
          <w:p w14:paraId="4A82D9A9" w14:textId="77777777" w:rsidR="00D32166" w:rsidRDefault="00FD100D">
            <w:r>
              <w:rPr>
                <w:sz w:val="17"/>
                <w:szCs w:val="17"/>
              </w:rPr>
              <w:t>6. Restore the integrity of the country-specific base</w:t>
            </w:r>
          </w:p>
        </w:tc>
        <w:tc>
          <w:tcPr>
            <w:tcW w:w="1736" w:type="dxa"/>
            <w:tcMar>
              <w:top w:w="60" w:type="dxa"/>
              <w:left w:w="90" w:type="dxa"/>
              <w:bottom w:w="60" w:type="dxa"/>
              <w:right w:w="90" w:type="dxa"/>
            </w:tcMar>
          </w:tcPr>
          <w:p w14:paraId="18E4FE1D" w14:textId="77777777" w:rsidR="00D32166" w:rsidRDefault="00FD100D">
            <w:r>
              <w:rPr>
                <w:sz w:val="17"/>
                <w:szCs w:val="17"/>
              </w:rPr>
              <w:t xml:space="preserve">Directly relevant Kenyan studies concentrated in </w:t>
            </w:r>
            <w:proofErr w:type="spellStart"/>
            <w:r>
              <w:rPr>
                <w:sz w:val="17"/>
                <w:szCs w:val="17"/>
              </w:rPr>
              <w:t>unappraisable</w:t>
            </w:r>
            <w:proofErr w:type="spellEnd"/>
            <w:r>
              <w:rPr>
                <w:sz w:val="17"/>
                <w:szCs w:val="17"/>
              </w:rPr>
              <w:t xml:space="preserve"> outlets</w:t>
            </w:r>
          </w:p>
        </w:tc>
        <w:tc>
          <w:tcPr>
            <w:tcW w:w="1834" w:type="dxa"/>
            <w:tcMar>
              <w:top w:w="60" w:type="dxa"/>
              <w:left w:w="90" w:type="dxa"/>
              <w:bottom w:w="60" w:type="dxa"/>
              <w:right w:w="90" w:type="dxa"/>
            </w:tcMar>
          </w:tcPr>
          <w:p w14:paraId="23F57095" w14:textId="77777777" w:rsidR="00D32166" w:rsidRDefault="00FD100D">
            <w:r>
              <w:rPr>
                <w:sz w:val="17"/>
                <w:szCs w:val="17"/>
              </w:rPr>
              <w:t>Effect estimates unusable; apparent volume misread as evidential strength</w:t>
            </w:r>
          </w:p>
        </w:tc>
        <w:tc>
          <w:tcPr>
            <w:tcW w:w="3466" w:type="dxa"/>
            <w:tcMar>
              <w:top w:w="60" w:type="dxa"/>
              <w:left w:w="90" w:type="dxa"/>
              <w:bottom w:w="60" w:type="dxa"/>
              <w:right w:w="90" w:type="dxa"/>
            </w:tcMar>
          </w:tcPr>
          <w:p w14:paraId="19ECDA00" w14:textId="77777777" w:rsidR="00D32166" w:rsidRDefault="00FD100D">
            <w:r>
              <w:rPr>
                <w:sz w:val="17"/>
                <w:szCs w:val="17"/>
              </w:rPr>
              <w:t>Replication of central relationships in journals with established review processes, with data and instrument sharing to permit reanalysis; explicit quality criteria applied in synthesis</w:t>
            </w:r>
          </w:p>
        </w:tc>
        <w:tc>
          <w:tcPr>
            <w:tcW w:w="1301" w:type="dxa"/>
            <w:tcMar>
              <w:top w:w="60" w:type="dxa"/>
              <w:left w:w="90" w:type="dxa"/>
              <w:bottom w:w="60" w:type="dxa"/>
              <w:right w:w="90" w:type="dxa"/>
            </w:tcMar>
          </w:tcPr>
          <w:p w14:paraId="2E73EB9F" w14:textId="77777777" w:rsidR="00D32166" w:rsidRDefault="00FD100D">
            <w:proofErr w:type="spellStart"/>
            <w:r>
              <w:rPr>
                <w:sz w:val="17"/>
                <w:szCs w:val="17"/>
              </w:rPr>
              <w:t>Baethge</w:t>
            </w:r>
            <w:proofErr w:type="spellEnd"/>
            <w:r>
              <w:rPr>
                <w:sz w:val="17"/>
                <w:szCs w:val="17"/>
              </w:rPr>
              <w:t xml:space="preserve"> et al. (2019)</w:t>
            </w:r>
          </w:p>
        </w:tc>
      </w:tr>
    </w:tbl>
    <w:p w14:paraId="49D2B6B2" w14:textId="77777777" w:rsidR="00D32166" w:rsidRDefault="00FD100D">
      <w:pPr>
        <w:spacing w:before="100" w:after="240"/>
      </w:pPr>
      <w:r>
        <w:rPr>
          <w:sz w:val="17"/>
          <w:szCs w:val="17"/>
        </w:rPr>
        <w:t>Note. Priorities are ordered by the inferential gain each offers rather than by cost or ease of execution. Priorities 1 to 3 are immediate in that they require no new institutional arrangements; priorities 4 to 6 require coordination across organisations or across the research community.</w:t>
      </w:r>
    </w:p>
    <w:p w14:paraId="33B7B79C" w14:textId="77777777" w:rsidR="00D32166" w:rsidRDefault="00FD100D">
      <w:pPr>
        <w:pStyle w:val="Heading1"/>
        <w:spacing w:before="320" w:after="140"/>
      </w:pPr>
      <w:r>
        <w:rPr>
          <w:b/>
          <w:bCs/>
          <w:color w:val="000000"/>
          <w:sz w:val="24"/>
          <w:szCs w:val="24"/>
        </w:rPr>
        <w:t>10. Conclusions</w:t>
      </w:r>
    </w:p>
    <w:p w14:paraId="2A0BB98F" w14:textId="77777777" w:rsidR="00D32166" w:rsidRDefault="00FD100D">
      <w:pPr>
        <w:spacing w:after="160" w:line="320" w:lineRule="auto"/>
        <w:jc w:val="both"/>
      </w:pPr>
      <w:r>
        <w:t>This review set out to determine whether stakeholder engagement can be defended as the mechanism through which quality management practices influence the performance of renewable electricity infrastructure projects in Kenya. The answer is qualified. The indirectness of the relationship between managerial practice and project outcomes is well supported, and the proposition that some relational or organisational capability intervenes rests on consistent evidence from several independent project settings. What is not supported is the identification of stakeholder engagement as that capability, still less as the principal one. The studies that report mediation by stakeholder management do so in settings and with designs that cannot establish causal ordering, and no appraisable study has estimated the specification in Kenyan renewable electricity.</w:t>
      </w:r>
    </w:p>
    <w:p w14:paraId="1EDA6D48" w14:textId="77777777" w:rsidR="00D32166" w:rsidRDefault="00FD100D">
      <w:pPr>
        <w:spacing w:after="160" w:line="320" w:lineRule="auto"/>
        <w:jc w:val="both"/>
      </w:pPr>
      <w:r>
        <w:t>The conceptual contribution of the synthesis is the decomposition of a question that has been treated as unitary. Quality management practice is not a single construct, and its behavioural and procedural components have different relationships with external engagement. Project performance is not a single construct, and its delivery, operational, distributional and social dimensions respond to different antecedents. Stakeholder engagement is not a disposition held by communities but a process whose terms are set partly by land tenure, devolved governance, statutory assessment requirements and financing conditions, and therefore only partly by the developer. Once these decompositions are made, the plausible claim is narrow and conditional: the soft components of quality management practice may transmit part of their effect to the social, operational and financial dimensions of performance through engagement, most strongly where tenure arrangements and financing structures leave the developer meaningful discretion over how engagement is conducted.</w:t>
      </w:r>
    </w:p>
    <w:p w14:paraId="3C9F1DD3" w14:textId="77777777" w:rsidR="00D32166" w:rsidRDefault="00FD100D">
      <w:pPr>
        <w:spacing w:after="160" w:line="320" w:lineRule="auto"/>
        <w:jc w:val="both"/>
      </w:pPr>
      <w:r>
        <w:t xml:space="preserve">The Kenyan evidence contributes something distinctive to the general literature rather than merely instantiating it. It demonstrates that the decisive engagement failures occur at the interface between </w:t>
      </w:r>
      <w:r>
        <w:lastRenderedPageBreak/>
        <w:t>project and state, in land conversion, benefit definition and the fulfilment of undertakings, rather than within the production process that quality management systems govern. It demonstrates that procedural fairness operates independently of compensation adequacy, which means that a developer can meet every material commitment and still generate sustained contestation. It demonstrates that contestation frequently seeks inclusion rather than cancellation, which implies that engagement quality affects the terms on which projects proceed more than whether they proceed at all. These are findings that manufacturing-derived quality management theory does not anticipate.</w:t>
      </w:r>
    </w:p>
    <w:p w14:paraId="3F480A1C" w14:textId="77777777" w:rsidR="00D32166" w:rsidRDefault="00FD100D">
      <w:pPr>
        <w:spacing w:after="160" w:line="320" w:lineRule="auto"/>
        <w:jc w:val="both"/>
      </w:pPr>
      <w:r>
        <w:t>Two implications follow for practice, both stated conditionally because the evidence supports no stronger formulation. Treating certification to a quality management standard as a proxy for engagement capability in procurement is not supported, since the relationship between certification and performance depends on the motive for adoption and since the engagement-relevant components of quality practice are the behavioural ones that certification audits address least well. Treating engagement as a compliance deliverable separate from the quality system is equally unsupported, since the operational and social performance dimensions that engagement affects are precisely those that determine whether a renewable asset delivers over its life. The more defensible position is that quality management capability and engagement capability are complementary, that their complementarity is conditional on institutional context, and that the strength of the connection between them in Kenyan renewable electricity remains an open empirical question rather than an established relationship.</w:t>
      </w:r>
    </w:p>
    <w:p w14:paraId="49B8A193" w14:textId="77777777" w:rsidR="00D32166" w:rsidRDefault="00FD100D">
      <w:pPr>
        <w:pStyle w:val="Heading1"/>
        <w:spacing w:before="320" w:after="140"/>
      </w:pPr>
      <w:r>
        <w:rPr>
          <w:b/>
          <w:bCs/>
          <w:color w:val="000000"/>
          <w:sz w:val="24"/>
          <w:szCs w:val="24"/>
        </w:rPr>
        <w:t>11. Limitations</w:t>
      </w:r>
    </w:p>
    <w:p w14:paraId="4B1B503B" w14:textId="77777777" w:rsidR="00D32166" w:rsidRDefault="00FD100D">
      <w:pPr>
        <w:spacing w:after="160" w:line="320" w:lineRule="auto"/>
        <w:jc w:val="both"/>
      </w:pPr>
      <w:r>
        <w:t>The limitations of a critical narrative review begin with the method itself. Source identification, selection, appraisal and weighting involved judgement at every stage, and although the search concepts, sources, eligibility criteria and appraisal considerations have been described so that others may assess them, the process was not a reproducible enumeration and is susceptible to selection and interpretive bias. A reviewer with different disciplinary commitments could assemble a defensible alternative account from overlapping sources, particularly in weighting case-based Kenyan evidence against variance-based project management evidence.</w:t>
      </w:r>
    </w:p>
    <w:p w14:paraId="71E1BA60" w14:textId="77777777" w:rsidR="00D32166" w:rsidRDefault="00FD100D">
      <w:pPr>
        <w:spacing w:after="160" w:line="320" w:lineRule="auto"/>
        <w:jc w:val="both"/>
      </w:pPr>
      <w:r>
        <w:t>Access constraints shaped the evidence base. Searching was confined to openly accessible scholarly indexes and to sources whose full texts could be obtained, and no subscription citation database was searched. Material indexed only in such databases, and material held in institutional repositories not covered by the indexes used, may therefore be absent. The review was restricted to publications in English, which risks omitting relevant Kenyan and regional scholarship published in Kiswahili or in other languages, and which may under-represent locally framed accounts of participation.</w:t>
      </w:r>
    </w:p>
    <w:p w14:paraId="7BB7F7FF" w14:textId="77777777" w:rsidR="00D32166" w:rsidRDefault="00FD100D">
      <w:pPr>
        <w:spacing w:after="160" w:line="320" w:lineRule="auto"/>
        <w:jc w:val="both"/>
      </w:pPr>
      <w:r>
        <w:t xml:space="preserve">The evidence itself imposes further limits. Designs are heterogeneous to a degree that precludes quantitative synthesis, spanning ethnographic case research, cross-sectional survey modelling, techno-economic simulation and macroeconomic analysis, with no common outcome metric. Much of the engagement evidence is observational and retrospective, so that attribution to engagement </w:t>
      </w:r>
      <w:r>
        <w:lastRenderedPageBreak/>
        <w:t>quality rather than to the underlying intervention cannot be isolated. Geographical representation is uneven, with the Kenyan engagement literature concentrated on a small number of projects and dominated by one, and with the operational performance evidence drawn substantially from other countries in the region. Comparability across studies is correspondingly limited, and the composite argument assembled here rests on the transfer of mechanisms between settings rather than on their joint observation in one.</w:t>
      </w:r>
    </w:p>
    <w:p w14:paraId="5BB1ED0B" w14:textId="77777777" w:rsidR="00D32166" w:rsidRDefault="00FD100D">
      <w:pPr>
        <w:spacing w:after="160" w:line="320" w:lineRule="auto"/>
        <w:jc w:val="both"/>
      </w:pPr>
      <w:r>
        <w:t>Temporal limits apply in two directions. Long-term evidence is scarce, since most of the Kenyan renewable portfolio has been operating for a period too short to support conclusions about lifetime performance, and the engagement literature captures contestation at particular moments rather than across full project lifecycles. At the same time the field is developing quickly, with regulatory arrangements, financing structures and technology costs changing over the period covered, so that findings from earlier in the search window may describe conditions that no longer obtain. Publication bias is a plausible concern in the quantitative quality management literature, where null findings on practice-performance relationships are likely to be under-reported, and the exclusion of unverifiable outlets, while necessary for integrity, removes a body of work whose findings might have altered the picture had they been appraisable. No quantitative estimate of the mediating effect is offered here, and none should be inferred from the qualitative weighting of evidence presented.</w:t>
      </w:r>
    </w:p>
    <w:p w14:paraId="53DF9F21" w14:textId="77777777" w:rsidR="00FD100D" w:rsidRDefault="00FD100D">
      <w:pPr>
        <w:spacing w:after="160" w:line="320" w:lineRule="auto"/>
        <w:jc w:val="both"/>
      </w:pPr>
    </w:p>
    <w:p w14:paraId="44E8908D" w14:textId="77777777" w:rsidR="00FD100D" w:rsidRPr="002D08AC" w:rsidRDefault="00FD100D" w:rsidP="00FD100D">
      <w:pPr>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28FE49B7" w14:textId="77777777" w:rsidR="00FD100D" w:rsidRPr="002D08AC" w:rsidRDefault="00FD100D" w:rsidP="00FD100D">
      <w:pPr>
        <w:rPr>
          <w:rFonts w:ascii="Arial" w:hAnsi="Arial" w:cs="Arial"/>
          <w:sz w:val="20"/>
          <w:szCs w:val="20"/>
        </w:rPr>
      </w:pPr>
      <w:bookmarkStart w:id="2" w:name="_Hlk239068730"/>
    </w:p>
    <w:p w14:paraId="3E5EB8D0" w14:textId="77777777" w:rsidR="00FD100D" w:rsidRPr="002D08AC" w:rsidRDefault="00FD100D" w:rsidP="00FD100D">
      <w:pPr>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52E4DA67" w14:textId="77777777" w:rsidR="00FD100D" w:rsidRDefault="00FD100D">
      <w:pPr>
        <w:spacing w:after="160" w:line="320" w:lineRule="auto"/>
        <w:jc w:val="both"/>
      </w:pPr>
    </w:p>
    <w:p w14:paraId="309B8F44" w14:textId="77777777" w:rsidR="00D32166" w:rsidRDefault="00FD100D">
      <w:pPr>
        <w:pStyle w:val="Heading1"/>
        <w:spacing w:before="320" w:after="140"/>
      </w:pPr>
      <w:r>
        <w:rPr>
          <w:b/>
          <w:bCs/>
          <w:color w:val="000000"/>
          <w:sz w:val="24"/>
          <w:szCs w:val="24"/>
        </w:rPr>
        <w:t>References</w:t>
      </w:r>
    </w:p>
    <w:p w14:paraId="5AD3E21E" w14:textId="77777777" w:rsidR="00D32166" w:rsidRDefault="00FD100D">
      <w:pPr>
        <w:spacing w:after="120" w:line="300" w:lineRule="auto"/>
        <w:ind w:left="720" w:hanging="720"/>
      </w:pPr>
      <w:r>
        <w:t xml:space="preserve">Abudu, R., &amp; Agbeko, B. (2025). A data-driven analysis of quality management impacts on energy supply chain performance. </w:t>
      </w:r>
      <w:r>
        <w:rPr>
          <w:i/>
          <w:iCs/>
        </w:rPr>
        <w:t>Supply Chain Analytics</w:t>
      </w:r>
      <w:r>
        <w:t xml:space="preserve">, </w:t>
      </w:r>
      <w:r>
        <w:rPr>
          <w:i/>
          <w:iCs/>
        </w:rPr>
        <w:t>12</w:t>
      </w:r>
      <w:r>
        <w:t>, Article 100175. https://doi.org/10.1016/j.sca.2025.100175</w:t>
      </w:r>
    </w:p>
    <w:p w14:paraId="0D967E81" w14:textId="77777777" w:rsidR="00D32166" w:rsidRDefault="00FD100D">
      <w:pPr>
        <w:spacing w:after="120" w:line="300" w:lineRule="auto"/>
        <w:ind w:left="720" w:hanging="720"/>
      </w:pPr>
      <w:proofErr w:type="spellStart"/>
      <w:r>
        <w:t>Achiba</w:t>
      </w:r>
      <w:proofErr w:type="spellEnd"/>
      <w:r>
        <w:t xml:space="preserve">, G. (2019). Navigating contested winds: Development visions and anti-politics of wind energy in Northern Kenya. </w:t>
      </w:r>
      <w:r>
        <w:rPr>
          <w:i/>
          <w:iCs/>
        </w:rPr>
        <w:t>Land</w:t>
      </w:r>
      <w:r>
        <w:t xml:space="preserve">, </w:t>
      </w:r>
      <w:r>
        <w:rPr>
          <w:i/>
          <w:iCs/>
        </w:rPr>
        <w:t>8</w:t>
      </w:r>
      <w:r>
        <w:t>(1), Article 7. https://doi.org/10.3390/land8010007</w:t>
      </w:r>
    </w:p>
    <w:p w14:paraId="617FDA07" w14:textId="77777777" w:rsidR="00D32166" w:rsidRDefault="00FD100D">
      <w:pPr>
        <w:spacing w:after="120" w:line="300" w:lineRule="auto"/>
        <w:ind w:left="720" w:hanging="720"/>
      </w:pPr>
      <w:r>
        <w:t xml:space="preserve">Adam, A., Josephson, P.-E. B., &amp; Lindahl, G. (2017). Aggregation of factors causing cost overruns and time delays in large public construction projects. </w:t>
      </w:r>
      <w:r>
        <w:rPr>
          <w:i/>
          <w:iCs/>
        </w:rPr>
        <w:t>Engineering, Construction and Architectural Management</w:t>
      </w:r>
      <w:r>
        <w:t xml:space="preserve">, </w:t>
      </w:r>
      <w:r>
        <w:rPr>
          <w:i/>
          <w:iCs/>
        </w:rPr>
        <w:t>24</w:t>
      </w:r>
      <w:r>
        <w:t>(3), 393–406. https://doi.org/10.1108/ECAM-09-2015-0135</w:t>
      </w:r>
    </w:p>
    <w:p w14:paraId="00DC1D1B" w14:textId="77777777" w:rsidR="00D32166" w:rsidRDefault="00FD100D">
      <w:pPr>
        <w:spacing w:after="120" w:line="300" w:lineRule="auto"/>
        <w:ind w:left="720" w:hanging="720"/>
      </w:pPr>
      <w:proofErr w:type="spellStart"/>
      <w:r>
        <w:t>Albloushi</w:t>
      </w:r>
      <w:proofErr w:type="spellEnd"/>
      <w:r>
        <w:t xml:space="preserve">, B., </w:t>
      </w:r>
      <w:proofErr w:type="spellStart"/>
      <w:r>
        <w:t>Alharmoodi</w:t>
      </w:r>
      <w:proofErr w:type="spellEnd"/>
      <w:r>
        <w:t xml:space="preserve">, A., Jabeen, F., Mehmood, K., &amp; Farouk, S. (2023). Total quality management practices and corporate sustainable development in manufacturing companies: The mediating role of green innovation. </w:t>
      </w:r>
      <w:r>
        <w:rPr>
          <w:i/>
          <w:iCs/>
        </w:rPr>
        <w:t>Management Research Review</w:t>
      </w:r>
      <w:r>
        <w:t xml:space="preserve">, </w:t>
      </w:r>
      <w:r>
        <w:rPr>
          <w:i/>
          <w:iCs/>
        </w:rPr>
        <w:t>46</w:t>
      </w:r>
      <w:r>
        <w:t>(1), 20–45. https://doi.org/10.1108/MRR-03-2021-0194</w:t>
      </w:r>
    </w:p>
    <w:p w14:paraId="17555121" w14:textId="77777777" w:rsidR="00D32166" w:rsidRDefault="00FD100D">
      <w:pPr>
        <w:spacing w:after="120" w:line="300" w:lineRule="auto"/>
        <w:ind w:left="720" w:hanging="720"/>
      </w:pPr>
      <w:r>
        <w:lastRenderedPageBreak/>
        <w:t xml:space="preserve">Alden Wily, L. (2018). The Community Land Act in Kenya opportunities and challenges for communities. </w:t>
      </w:r>
      <w:r>
        <w:rPr>
          <w:i/>
          <w:iCs/>
        </w:rPr>
        <w:t>Land</w:t>
      </w:r>
      <w:r>
        <w:t xml:space="preserve">, </w:t>
      </w:r>
      <w:r>
        <w:rPr>
          <w:i/>
          <w:iCs/>
        </w:rPr>
        <w:t>7</w:t>
      </w:r>
      <w:r>
        <w:t>(1), Article 12. https://doi.org/10.3390/land7010012</w:t>
      </w:r>
    </w:p>
    <w:p w14:paraId="3F161AEF" w14:textId="77777777" w:rsidR="00D32166" w:rsidRDefault="00FD100D">
      <w:pPr>
        <w:spacing w:after="120" w:line="300" w:lineRule="auto"/>
        <w:ind w:left="720" w:hanging="720"/>
      </w:pPr>
      <w:proofErr w:type="spellStart"/>
      <w:r>
        <w:t>Amoatey</w:t>
      </w:r>
      <w:proofErr w:type="spellEnd"/>
      <w:r>
        <w:t xml:space="preserve">, C., &amp; </w:t>
      </w:r>
      <w:proofErr w:type="spellStart"/>
      <w:r>
        <w:t>Hayibor</w:t>
      </w:r>
      <w:proofErr w:type="spellEnd"/>
      <w:r>
        <w:t xml:space="preserve">, M. V. K. (2017). Critical success factors for local government project stakeholder management. </w:t>
      </w:r>
      <w:r>
        <w:rPr>
          <w:i/>
          <w:iCs/>
        </w:rPr>
        <w:t>Built Environment Project and Asset Management</w:t>
      </w:r>
      <w:r>
        <w:t xml:space="preserve">, </w:t>
      </w:r>
      <w:r>
        <w:rPr>
          <w:i/>
          <w:iCs/>
        </w:rPr>
        <w:t>7</w:t>
      </w:r>
      <w:r>
        <w:t>(2), 143–156. https://doi.org/10.1108/BEPAM-07-2016-0030</w:t>
      </w:r>
    </w:p>
    <w:p w14:paraId="4E140DCA" w14:textId="77777777" w:rsidR="00D32166" w:rsidRDefault="00FD100D">
      <w:pPr>
        <w:spacing w:after="120" w:line="300" w:lineRule="auto"/>
        <w:ind w:left="720" w:hanging="720"/>
      </w:pPr>
      <w:r>
        <w:t xml:space="preserve">Arditi, D., &amp; Gunaydin, H. M. (1997). Total quality management in the construction process. </w:t>
      </w:r>
      <w:r>
        <w:rPr>
          <w:i/>
          <w:iCs/>
        </w:rPr>
        <w:t>International Journal of Project Management</w:t>
      </w:r>
      <w:r>
        <w:t xml:space="preserve">, </w:t>
      </w:r>
      <w:r>
        <w:rPr>
          <w:i/>
          <w:iCs/>
        </w:rPr>
        <w:t>15</w:t>
      </w:r>
      <w:r>
        <w:t>(4), 235–243. https://doi.org/10.1016/S0263-7863(96)00076-2</w:t>
      </w:r>
    </w:p>
    <w:p w14:paraId="7261E123" w14:textId="77777777" w:rsidR="00D32166" w:rsidRDefault="00FD100D">
      <w:pPr>
        <w:spacing w:after="120" w:line="300" w:lineRule="auto"/>
        <w:ind w:left="720" w:hanging="720"/>
      </w:pPr>
      <w:proofErr w:type="spellStart"/>
      <w:r>
        <w:t>Babayomi</w:t>
      </w:r>
      <w:proofErr w:type="spellEnd"/>
      <w:r>
        <w:t xml:space="preserve">, O. O., Olubayo, B., </w:t>
      </w:r>
      <w:proofErr w:type="spellStart"/>
      <w:r>
        <w:t>Denwigwe</w:t>
      </w:r>
      <w:proofErr w:type="spellEnd"/>
      <w:r>
        <w:t xml:space="preserve">, I. H., </w:t>
      </w:r>
      <w:proofErr w:type="spellStart"/>
      <w:r>
        <w:t>Somefun</w:t>
      </w:r>
      <w:proofErr w:type="spellEnd"/>
      <w:r>
        <w:t xml:space="preserve">, T. E., Adedoja, O. S., </w:t>
      </w:r>
      <w:proofErr w:type="spellStart"/>
      <w:r>
        <w:t>Somefun</w:t>
      </w:r>
      <w:proofErr w:type="spellEnd"/>
      <w:r>
        <w:t xml:space="preserve">, C. T., Olukayode, K., &amp; Attah, A. (2023). A review of renewable off-grid mini-grids in Sub-Saharan Africa. </w:t>
      </w:r>
      <w:r>
        <w:rPr>
          <w:i/>
          <w:iCs/>
        </w:rPr>
        <w:t>Frontiers in Energy Research</w:t>
      </w:r>
      <w:r>
        <w:t xml:space="preserve">, </w:t>
      </w:r>
      <w:r>
        <w:rPr>
          <w:i/>
          <w:iCs/>
        </w:rPr>
        <w:t>10</w:t>
      </w:r>
      <w:r>
        <w:t>, Article 1089025. https://doi.org/10.3389/fenrg.2022.1089025</w:t>
      </w:r>
    </w:p>
    <w:p w14:paraId="3006E4FE" w14:textId="77777777" w:rsidR="00D32166" w:rsidRDefault="00FD100D">
      <w:pPr>
        <w:spacing w:after="120" w:line="300" w:lineRule="auto"/>
        <w:ind w:left="720" w:hanging="720"/>
      </w:pPr>
      <w:proofErr w:type="spellStart"/>
      <w:r>
        <w:t>Baethge</w:t>
      </w:r>
      <w:proofErr w:type="spellEnd"/>
      <w:r>
        <w:t xml:space="preserve">, C., Goldbeck-Wood, S., &amp; Mertens, S. (2019). SANRA—a scale for the quality assessment of narrative review articles. </w:t>
      </w:r>
      <w:r>
        <w:rPr>
          <w:i/>
          <w:iCs/>
        </w:rPr>
        <w:t>Research Integrity and Peer Review</w:t>
      </w:r>
      <w:r>
        <w:t xml:space="preserve">, </w:t>
      </w:r>
      <w:r>
        <w:rPr>
          <w:i/>
          <w:iCs/>
        </w:rPr>
        <w:t>4</w:t>
      </w:r>
      <w:r>
        <w:t>(1), Article 5. https://doi.org/10.1186/s41073-019-0064-8</w:t>
      </w:r>
    </w:p>
    <w:p w14:paraId="138B9FB2" w14:textId="77777777" w:rsidR="00D32166" w:rsidRDefault="00FD100D">
      <w:pPr>
        <w:spacing w:after="120" w:line="300" w:lineRule="auto"/>
        <w:ind w:left="720" w:hanging="720"/>
      </w:pPr>
      <w:r>
        <w:t xml:space="preserve">Baron, R. M., &amp; Kenny, D. A. (1986). The moderator–mediator variable distinction in social psychological research: Conceptual, strategic, and statistical considerations. </w:t>
      </w:r>
      <w:r>
        <w:rPr>
          <w:i/>
          <w:iCs/>
        </w:rPr>
        <w:t>Journal of Personality and Social Psychology</w:t>
      </w:r>
      <w:r>
        <w:t xml:space="preserve">, </w:t>
      </w:r>
      <w:r>
        <w:rPr>
          <w:i/>
          <w:iCs/>
        </w:rPr>
        <w:t>51</w:t>
      </w:r>
      <w:r>
        <w:t>(6), 1173–1182. https://doi.org/10.1037/0022-3514.51.6.1173</w:t>
      </w:r>
    </w:p>
    <w:p w14:paraId="6E7A24B6" w14:textId="77777777" w:rsidR="00D32166" w:rsidRDefault="00FD100D">
      <w:pPr>
        <w:spacing w:after="120" w:line="300" w:lineRule="auto"/>
        <w:ind w:left="720" w:hanging="720"/>
      </w:pPr>
      <w:r>
        <w:t xml:space="preserve">Batel, S. (2020). Research on the social acceptance of renewable energy technologies: Past, present and future. </w:t>
      </w:r>
      <w:r>
        <w:rPr>
          <w:i/>
          <w:iCs/>
        </w:rPr>
        <w:t>Energy Research &amp; Social Science</w:t>
      </w:r>
      <w:r>
        <w:t xml:space="preserve">, </w:t>
      </w:r>
      <w:r>
        <w:rPr>
          <w:i/>
          <w:iCs/>
        </w:rPr>
        <w:t>68</w:t>
      </w:r>
      <w:r>
        <w:t>, Article 101544. https://doi.org/10.1016/j.erss.2020.101544</w:t>
      </w:r>
    </w:p>
    <w:p w14:paraId="5EDF4B08" w14:textId="77777777" w:rsidR="00D32166" w:rsidRDefault="00FD100D">
      <w:pPr>
        <w:spacing w:after="120" w:line="300" w:lineRule="auto"/>
        <w:ind w:left="720" w:hanging="720"/>
      </w:pPr>
      <w:proofErr w:type="spellStart"/>
      <w:r>
        <w:t>Bendaanane</w:t>
      </w:r>
      <w:proofErr w:type="spellEnd"/>
      <w:r>
        <w:t xml:space="preserve">, M., &amp; Belz, F. M. (2025). Sustainable energy, unsustainable business? Foreignness and the challenge of profitability for private mini-grid developers in sub-Saharan Africa. </w:t>
      </w:r>
      <w:r>
        <w:rPr>
          <w:i/>
          <w:iCs/>
        </w:rPr>
        <w:t>Energy Research &amp; Social Science</w:t>
      </w:r>
      <w:r>
        <w:t xml:space="preserve">, </w:t>
      </w:r>
      <w:r>
        <w:rPr>
          <w:i/>
          <w:iCs/>
        </w:rPr>
        <w:t>129</w:t>
      </w:r>
      <w:r>
        <w:t>, Article 104405. https://doi.org/10.1016/j.erss.2025.104405</w:t>
      </w:r>
    </w:p>
    <w:p w14:paraId="374E67EB" w14:textId="77777777" w:rsidR="00D32166" w:rsidRDefault="00FD100D">
      <w:pPr>
        <w:spacing w:after="120" w:line="300" w:lineRule="auto"/>
        <w:ind w:left="720" w:hanging="720"/>
      </w:pPr>
      <w:proofErr w:type="spellStart"/>
      <w:r>
        <w:t>Cherkos</w:t>
      </w:r>
      <w:proofErr w:type="spellEnd"/>
      <w:r>
        <w:t xml:space="preserve">, F. D., &amp; Kifle, K. T. (2026). Importance and interrelationship of stakeholder management critical success factors in Ethiopia mega construction projects. </w:t>
      </w:r>
      <w:r>
        <w:rPr>
          <w:i/>
          <w:iCs/>
        </w:rPr>
        <w:t>Built Environment Project and Asset Management</w:t>
      </w:r>
      <w:r>
        <w:t xml:space="preserve">, </w:t>
      </w:r>
      <w:r>
        <w:rPr>
          <w:i/>
          <w:iCs/>
        </w:rPr>
        <w:t>16</w:t>
      </w:r>
      <w:r>
        <w:t>(2), 242–262. https://doi.org/10.1108/BEPAM-01-2025-0051</w:t>
      </w:r>
    </w:p>
    <w:p w14:paraId="55F57F6E" w14:textId="77777777" w:rsidR="00D32166" w:rsidRDefault="00FD100D">
      <w:pPr>
        <w:spacing w:after="120" w:line="300" w:lineRule="auto"/>
        <w:ind w:left="720" w:hanging="720"/>
      </w:pPr>
      <w:r>
        <w:t xml:space="preserve">Chowdhury, S. A., &amp; </w:t>
      </w:r>
      <w:proofErr w:type="spellStart"/>
      <w:r>
        <w:t>Mourshed</w:t>
      </w:r>
      <w:proofErr w:type="spellEnd"/>
      <w:r>
        <w:t xml:space="preserve">, M. (2016). Off-grid electrification with solar home systems: An appraisal of the quality of components. </w:t>
      </w:r>
      <w:r>
        <w:rPr>
          <w:i/>
          <w:iCs/>
        </w:rPr>
        <w:t>Renewable Energy</w:t>
      </w:r>
      <w:r>
        <w:t xml:space="preserve">, </w:t>
      </w:r>
      <w:r>
        <w:rPr>
          <w:i/>
          <w:iCs/>
        </w:rPr>
        <w:t>97</w:t>
      </w:r>
      <w:r>
        <w:t>, 585–598. https://doi.org/10.1016/j.renene.2016.06.017</w:t>
      </w:r>
    </w:p>
    <w:p w14:paraId="46268FBA" w14:textId="77777777" w:rsidR="00D32166" w:rsidRDefault="00FD100D">
      <w:pPr>
        <w:spacing w:after="120" w:line="300" w:lineRule="auto"/>
        <w:ind w:left="720" w:hanging="720"/>
      </w:pPr>
      <w:proofErr w:type="spellStart"/>
      <w:r>
        <w:t>Colenbrander</w:t>
      </w:r>
      <w:proofErr w:type="spellEnd"/>
      <w:r>
        <w:t xml:space="preserve">, S., Lovett, J., Abbo, M. S., Msigwa, C., </w:t>
      </w:r>
      <w:proofErr w:type="spellStart"/>
      <w:r>
        <w:t>M'Passi</w:t>
      </w:r>
      <w:proofErr w:type="spellEnd"/>
      <w:r>
        <w:t xml:space="preserve">-Mabiala, B., &amp; Opoku, R. (2015). Renewable energy doctoral programmes in sub-Saharan Africa: A preliminary assessment of common capacity deficits and emerging capacity-building strategies. </w:t>
      </w:r>
      <w:r>
        <w:rPr>
          <w:i/>
          <w:iCs/>
        </w:rPr>
        <w:t>Energy Research &amp; Social Science</w:t>
      </w:r>
      <w:r>
        <w:t xml:space="preserve">, </w:t>
      </w:r>
      <w:r>
        <w:rPr>
          <w:i/>
          <w:iCs/>
        </w:rPr>
        <w:t>5</w:t>
      </w:r>
      <w:r>
        <w:t>, 70–77. https://doi.org/10.1016/j.erss.2014.12.010</w:t>
      </w:r>
    </w:p>
    <w:p w14:paraId="5064BA92" w14:textId="77777777" w:rsidR="00D32166" w:rsidRDefault="00FD100D">
      <w:pPr>
        <w:spacing w:after="120" w:line="300" w:lineRule="auto"/>
        <w:ind w:left="720" w:hanging="720"/>
      </w:pPr>
      <w:r>
        <w:lastRenderedPageBreak/>
        <w:t xml:space="preserve">Cormack, Z., &amp; </w:t>
      </w:r>
      <w:proofErr w:type="spellStart"/>
      <w:r>
        <w:t>Kurewa</w:t>
      </w:r>
      <w:proofErr w:type="spellEnd"/>
      <w:r>
        <w:t xml:space="preserve">, A. (2018). The changing value of land in Northern Kenya: The case of Lake Turkana Wind Power. </w:t>
      </w:r>
      <w:r>
        <w:rPr>
          <w:i/>
          <w:iCs/>
        </w:rPr>
        <w:t>Critical African Studies</w:t>
      </w:r>
      <w:r>
        <w:t xml:space="preserve">, </w:t>
      </w:r>
      <w:r>
        <w:rPr>
          <w:i/>
          <w:iCs/>
        </w:rPr>
        <w:t>10</w:t>
      </w:r>
      <w:r>
        <w:t>(1), 89–107. https://doi.org/10.1080/21681392.2018.1470017</w:t>
      </w:r>
    </w:p>
    <w:p w14:paraId="43565160" w14:textId="77777777" w:rsidR="00D32166" w:rsidRDefault="00FD100D">
      <w:pPr>
        <w:spacing w:after="120" w:line="300" w:lineRule="auto"/>
        <w:ind w:left="720" w:hanging="720"/>
      </w:pPr>
      <w:r>
        <w:t xml:space="preserve">Davis, K. (2016). A method to measure success dimensions relating to individual stakeholder groups. </w:t>
      </w:r>
      <w:r>
        <w:rPr>
          <w:i/>
          <w:iCs/>
        </w:rPr>
        <w:t>International Journal of Project Management</w:t>
      </w:r>
      <w:r>
        <w:t xml:space="preserve">, </w:t>
      </w:r>
      <w:r>
        <w:rPr>
          <w:i/>
          <w:iCs/>
        </w:rPr>
        <w:t>34</w:t>
      </w:r>
      <w:r>
        <w:t>(3), 480–493. https://doi.org/10.1016/j.ijproman.2015.12.009</w:t>
      </w:r>
    </w:p>
    <w:p w14:paraId="617C9DA6" w14:textId="77777777" w:rsidR="00D32166" w:rsidRDefault="00FD100D">
      <w:pPr>
        <w:spacing w:after="120" w:line="300" w:lineRule="auto"/>
        <w:ind w:left="720" w:hanging="720"/>
      </w:pPr>
      <w:r>
        <w:t>de Las Casas, J. B., Pardo-</w:t>
      </w:r>
      <w:proofErr w:type="spellStart"/>
      <w:r>
        <w:t>Piñashca</w:t>
      </w:r>
      <w:proofErr w:type="spellEnd"/>
      <w:r>
        <w:t xml:space="preserve">, E., &amp; Pardo, C. P. (2026). The role of soft and hard TQM practices on stakeholder management: A SEM-ANN approach. </w:t>
      </w:r>
      <w:r>
        <w:rPr>
          <w:i/>
          <w:iCs/>
        </w:rPr>
        <w:t>Quality Management Journal</w:t>
      </w:r>
      <w:r>
        <w:t xml:space="preserve">, </w:t>
      </w:r>
      <w:r>
        <w:rPr>
          <w:i/>
          <w:iCs/>
        </w:rPr>
        <w:t>33</w:t>
      </w:r>
      <w:r>
        <w:t>(3), 164–183. https://doi.org/10.1080/10686967.2025.2591631</w:t>
      </w:r>
    </w:p>
    <w:p w14:paraId="04B8D7FA" w14:textId="77777777" w:rsidR="00D32166" w:rsidRDefault="00FD100D">
      <w:pPr>
        <w:spacing w:after="120" w:line="300" w:lineRule="auto"/>
        <w:ind w:left="720" w:hanging="720"/>
      </w:pPr>
      <w:r>
        <w:t xml:space="preserve">Diallo, A., &amp; Thuillier, D. (2004). The success dimensions of international development projects: The perceptions of African project coordinators. </w:t>
      </w:r>
      <w:r>
        <w:rPr>
          <w:i/>
          <w:iCs/>
        </w:rPr>
        <w:t>International Journal of Project Management</w:t>
      </w:r>
      <w:r>
        <w:t xml:space="preserve">, </w:t>
      </w:r>
      <w:r>
        <w:rPr>
          <w:i/>
          <w:iCs/>
        </w:rPr>
        <w:t>22</w:t>
      </w:r>
      <w:r>
        <w:t>(1), 19–31. https://doi.org/10.1016/S0263-7863(03)00008-5</w:t>
      </w:r>
    </w:p>
    <w:p w14:paraId="42425029" w14:textId="77777777" w:rsidR="00D32166" w:rsidRDefault="00FD100D">
      <w:pPr>
        <w:spacing w:after="120" w:line="300" w:lineRule="auto"/>
        <w:ind w:left="720" w:hanging="720"/>
      </w:pPr>
      <w:proofErr w:type="spellStart"/>
      <w:r>
        <w:t>Egze</w:t>
      </w:r>
      <w:proofErr w:type="spellEnd"/>
      <w:r>
        <w:t xml:space="preserve">, A., Zeleke, T., &amp; Seyoum, A. (2023). The impact of involuntary resettlement on households' livelihood: A case study of railway infrastructure induced resettlement in South Wello zone of Amhara Region, Ethiopia. </w:t>
      </w:r>
      <w:r>
        <w:rPr>
          <w:i/>
          <w:iCs/>
        </w:rPr>
        <w:t>Journal of Cleaner Production</w:t>
      </w:r>
      <w:r>
        <w:t xml:space="preserve">, </w:t>
      </w:r>
      <w:r>
        <w:rPr>
          <w:i/>
          <w:iCs/>
        </w:rPr>
        <w:t>420</w:t>
      </w:r>
      <w:r>
        <w:t>, Article 138402. https://doi.org/10.1016/j.jclepro.2023.138402</w:t>
      </w:r>
    </w:p>
    <w:p w14:paraId="050A1388" w14:textId="77777777" w:rsidR="00D32166" w:rsidRDefault="00FD100D">
      <w:pPr>
        <w:spacing w:after="120" w:line="300" w:lineRule="auto"/>
        <w:ind w:left="720" w:hanging="720"/>
      </w:pPr>
      <w:r>
        <w:t xml:space="preserve">Ellis, G., Schneider, N., &amp; </w:t>
      </w:r>
      <w:proofErr w:type="spellStart"/>
      <w:r>
        <w:t>Wüstenhagen</w:t>
      </w:r>
      <w:proofErr w:type="spellEnd"/>
      <w:r>
        <w:t xml:space="preserve">, R. (2023). Dynamics of social acceptance of renewable energy: An introduction to the concept. </w:t>
      </w:r>
      <w:r>
        <w:rPr>
          <w:i/>
          <w:iCs/>
        </w:rPr>
        <w:t>Energy Policy</w:t>
      </w:r>
      <w:r>
        <w:t xml:space="preserve">, </w:t>
      </w:r>
      <w:r>
        <w:rPr>
          <w:i/>
          <w:iCs/>
        </w:rPr>
        <w:t>181</w:t>
      </w:r>
      <w:r>
        <w:t>, Article 113706. https://doi.org/10.1016/j.enpol.2023.113706</w:t>
      </w:r>
    </w:p>
    <w:p w14:paraId="6E9C0BB0" w14:textId="77777777" w:rsidR="00D32166" w:rsidRDefault="00FD100D">
      <w:pPr>
        <w:spacing w:after="120" w:line="300" w:lineRule="auto"/>
        <w:ind w:left="720" w:hanging="720"/>
      </w:pPr>
      <w:r>
        <w:t xml:space="preserve">Fajardo, A., Baker, L., Sesan, T., Bhattacharyya, S., Kerr, D., </w:t>
      </w:r>
      <w:proofErr w:type="spellStart"/>
      <w:r>
        <w:t>Katyega</w:t>
      </w:r>
      <w:proofErr w:type="spellEnd"/>
      <w:r>
        <w:t xml:space="preserve">, M., &amp; Barnett, A. (2025). Business models and access to finance for mini grid development in sub-Saharan Africa. </w:t>
      </w:r>
      <w:r>
        <w:rPr>
          <w:i/>
          <w:iCs/>
        </w:rPr>
        <w:t>Energy for Sustainable Development</w:t>
      </w:r>
      <w:r>
        <w:t xml:space="preserve">, </w:t>
      </w:r>
      <w:r>
        <w:rPr>
          <w:i/>
          <w:iCs/>
        </w:rPr>
        <w:t>85</w:t>
      </w:r>
      <w:r>
        <w:t>, Article 101666. https://doi.org/10.1016/j.esd.2025.101666</w:t>
      </w:r>
    </w:p>
    <w:p w14:paraId="7379637C" w14:textId="77777777" w:rsidR="00D32166" w:rsidRDefault="00FD100D">
      <w:pPr>
        <w:spacing w:after="120" w:line="300" w:lineRule="auto"/>
        <w:ind w:left="720" w:hanging="720"/>
      </w:pPr>
      <w:r>
        <w:t xml:space="preserve">Farquharson, D., Jaramillo, P., &amp; Samaras, C. (2018). Sustainability implications of electricity outages in sub-Saharan Africa. </w:t>
      </w:r>
      <w:r>
        <w:rPr>
          <w:i/>
          <w:iCs/>
        </w:rPr>
        <w:t>Nature Sustainability</w:t>
      </w:r>
      <w:r>
        <w:t xml:space="preserve">, </w:t>
      </w:r>
      <w:r>
        <w:rPr>
          <w:i/>
          <w:iCs/>
        </w:rPr>
        <w:t>1</w:t>
      </w:r>
      <w:r>
        <w:t>(10), 589–597. https://doi.org/10.1038/s41893-018-0151-8</w:t>
      </w:r>
    </w:p>
    <w:p w14:paraId="12EA7254" w14:textId="77777777" w:rsidR="00D32166" w:rsidRDefault="00FD100D">
      <w:pPr>
        <w:spacing w:after="120" w:line="300" w:lineRule="auto"/>
        <w:ind w:left="720" w:hanging="720"/>
      </w:pPr>
      <w:r>
        <w:t xml:space="preserve">Fields, N., </w:t>
      </w:r>
      <w:proofErr w:type="spellStart"/>
      <w:r>
        <w:t>Akute</w:t>
      </w:r>
      <w:proofErr w:type="spellEnd"/>
      <w:r>
        <w:t xml:space="preserve">, M., Hofbauer, L., Mutembei, M., Nganga, A., Howells, M., &amp; Brown, E. (2025). CORE-D: County resolution energy demand projections for multi-scale modelling and multi-level governance dialogues in Kenya. </w:t>
      </w:r>
      <w:r>
        <w:rPr>
          <w:i/>
          <w:iCs/>
        </w:rPr>
        <w:t>Renewable and Sustainable Energy Transition</w:t>
      </w:r>
      <w:r>
        <w:t xml:space="preserve">, </w:t>
      </w:r>
      <w:r>
        <w:rPr>
          <w:i/>
          <w:iCs/>
        </w:rPr>
        <w:t>8</w:t>
      </w:r>
      <w:r>
        <w:t>, Article 100131. https://doi.org/10.1016/j.rset.2025.100131</w:t>
      </w:r>
    </w:p>
    <w:p w14:paraId="4730B1BE" w14:textId="77777777" w:rsidR="00D32166" w:rsidRDefault="00FD100D">
      <w:pPr>
        <w:spacing w:after="120" w:line="300" w:lineRule="auto"/>
        <w:ind w:left="720" w:hanging="720"/>
      </w:pPr>
      <w:r>
        <w:t xml:space="preserve">Flyvbjerg, B. (2014). What you should know about megaprojects and why: An overview. </w:t>
      </w:r>
      <w:r>
        <w:rPr>
          <w:i/>
          <w:iCs/>
        </w:rPr>
        <w:t>Project Management Journal</w:t>
      </w:r>
      <w:r>
        <w:t xml:space="preserve">, </w:t>
      </w:r>
      <w:r>
        <w:rPr>
          <w:i/>
          <w:iCs/>
        </w:rPr>
        <w:t>45</w:t>
      </w:r>
      <w:r>
        <w:t>(2), 6–19. https://doi.org/10.1002/pmj.21409</w:t>
      </w:r>
    </w:p>
    <w:p w14:paraId="321FACD4" w14:textId="77777777" w:rsidR="00D32166" w:rsidRDefault="00FD100D">
      <w:pPr>
        <w:spacing w:after="120" w:line="300" w:lineRule="auto"/>
        <w:ind w:left="720" w:hanging="720"/>
      </w:pPr>
      <w:r>
        <w:t xml:space="preserve">Freeman, R. E., </w:t>
      </w:r>
      <w:proofErr w:type="spellStart"/>
      <w:r>
        <w:t>Menghwar</w:t>
      </w:r>
      <w:proofErr w:type="spellEnd"/>
      <w:r>
        <w:t xml:space="preserve">, P. S., &amp; </w:t>
      </w:r>
      <w:proofErr w:type="spellStart"/>
      <w:r>
        <w:t>Grushka</w:t>
      </w:r>
      <w:proofErr w:type="spellEnd"/>
      <w:r>
        <w:t xml:space="preserve">-Cockayne, Y. (2025). A stakeholder theory perspective for project management. </w:t>
      </w:r>
      <w:r>
        <w:rPr>
          <w:i/>
          <w:iCs/>
        </w:rPr>
        <w:t>International Journal of Project Management</w:t>
      </w:r>
      <w:r>
        <w:t xml:space="preserve">, </w:t>
      </w:r>
      <w:r>
        <w:rPr>
          <w:i/>
          <w:iCs/>
        </w:rPr>
        <w:t>43</w:t>
      </w:r>
      <w:r>
        <w:t>(7), Article 102764. https://doi.org/10.1016/j.ijproman.2025.102764</w:t>
      </w:r>
    </w:p>
    <w:p w14:paraId="0435FC96" w14:textId="77777777" w:rsidR="00D32166" w:rsidRDefault="00FD100D">
      <w:pPr>
        <w:spacing w:after="120" w:line="300" w:lineRule="auto"/>
        <w:ind w:left="720" w:hanging="720"/>
      </w:pPr>
      <w:r>
        <w:t xml:space="preserve">Gai, A. B., Wahome, R. G., &amp; Bett, R. C. (2022). Impact of resettlement on livestock production and performance among the Maasai pastoralists of </w:t>
      </w:r>
      <w:proofErr w:type="spellStart"/>
      <w:r>
        <w:t>RAPland</w:t>
      </w:r>
      <w:proofErr w:type="spellEnd"/>
      <w:r>
        <w:t xml:space="preserve"> village, Olkaria Kenya. </w:t>
      </w:r>
      <w:r>
        <w:rPr>
          <w:i/>
          <w:iCs/>
        </w:rPr>
        <w:t>Pastoralism</w:t>
      </w:r>
      <w:r>
        <w:t xml:space="preserve">, </w:t>
      </w:r>
      <w:r>
        <w:rPr>
          <w:i/>
          <w:iCs/>
        </w:rPr>
        <w:t>12</w:t>
      </w:r>
      <w:r>
        <w:t>(1), Article 15. https://doi.org/10.1186/s13570-021-00212-6</w:t>
      </w:r>
    </w:p>
    <w:p w14:paraId="2627C97B" w14:textId="77777777" w:rsidR="00D32166" w:rsidRDefault="00FD100D">
      <w:pPr>
        <w:spacing w:after="120" w:line="300" w:lineRule="auto"/>
        <w:ind w:left="720" w:hanging="720"/>
      </w:pPr>
      <w:r>
        <w:lastRenderedPageBreak/>
        <w:t xml:space="preserve">Gómez-Cabrera, A., Gutierrez-Bucheli, L., &amp; Muñoz, S. (2024). Causes of time and cost overruns in construction projects: A scoping review. </w:t>
      </w:r>
      <w:r>
        <w:rPr>
          <w:i/>
          <w:iCs/>
        </w:rPr>
        <w:t>International Journal of Construction Management</w:t>
      </w:r>
      <w:r>
        <w:t xml:space="preserve">, </w:t>
      </w:r>
      <w:r>
        <w:rPr>
          <w:i/>
          <w:iCs/>
        </w:rPr>
        <w:t>24</w:t>
      </w:r>
      <w:r>
        <w:t>(10), 1107–1125. https://doi.org/10.1080/15623599.2023.2252288</w:t>
      </w:r>
    </w:p>
    <w:p w14:paraId="5F6935FE" w14:textId="77777777" w:rsidR="00D32166" w:rsidRDefault="00FD100D">
      <w:pPr>
        <w:spacing w:after="120" w:line="300" w:lineRule="auto"/>
        <w:ind w:left="720" w:hanging="720"/>
      </w:pPr>
      <w:r>
        <w:t xml:space="preserve">Greenhalgh, T., Thorne, S., &amp; </w:t>
      </w:r>
      <w:proofErr w:type="spellStart"/>
      <w:r>
        <w:t>Malterud</w:t>
      </w:r>
      <w:proofErr w:type="spellEnd"/>
      <w:r>
        <w:t xml:space="preserve">, K. (2018). Time to challenge the spurious hierarchy of systematic over narrative reviews? </w:t>
      </w:r>
      <w:r>
        <w:rPr>
          <w:i/>
          <w:iCs/>
        </w:rPr>
        <w:t>European Journal of Clinical Investigation</w:t>
      </w:r>
      <w:r>
        <w:t xml:space="preserve">, </w:t>
      </w:r>
      <w:r>
        <w:rPr>
          <w:i/>
          <w:iCs/>
        </w:rPr>
        <w:t>48</w:t>
      </w:r>
      <w:r>
        <w:t>(6), Article e12931. https://doi.org/10.1111/eci.12931</w:t>
      </w:r>
    </w:p>
    <w:p w14:paraId="624947F5" w14:textId="77777777" w:rsidR="00D32166" w:rsidRDefault="00FD100D">
      <w:pPr>
        <w:spacing w:after="120" w:line="300" w:lineRule="auto"/>
        <w:ind w:left="720" w:hanging="720"/>
      </w:pPr>
      <w:r>
        <w:t xml:space="preserve">Gregersen, C. T. T. (2022). Local learning and capability building through technology transfer: Experiences from the Lake Turkana Wind Power project in Kenya. </w:t>
      </w:r>
      <w:r>
        <w:rPr>
          <w:i/>
          <w:iCs/>
        </w:rPr>
        <w:t>Innovation and Development</w:t>
      </w:r>
      <w:r>
        <w:t xml:space="preserve">, </w:t>
      </w:r>
      <w:r>
        <w:rPr>
          <w:i/>
          <w:iCs/>
        </w:rPr>
        <w:t>12</w:t>
      </w:r>
      <w:r>
        <w:t>(2), 209–230. https://doi.org/10.1080/2157930X.2020.1858612</w:t>
      </w:r>
    </w:p>
    <w:p w14:paraId="305A776B" w14:textId="77777777" w:rsidR="00D32166" w:rsidRDefault="00FD100D">
      <w:pPr>
        <w:spacing w:after="120" w:line="300" w:lineRule="auto"/>
        <w:ind w:left="720" w:hanging="720"/>
      </w:pPr>
      <w:r>
        <w:t xml:space="preserve">Haq, S. U., Liang, C., Gu, D., Du, J. T., &amp; Zhao, S. (2018). Project governance, project performance, and the mediating role of project quality and project management risk: An agency theory perspective. </w:t>
      </w:r>
      <w:r>
        <w:rPr>
          <w:i/>
          <w:iCs/>
        </w:rPr>
        <w:t>Engineering Management Journal</w:t>
      </w:r>
      <w:r>
        <w:t xml:space="preserve">, </w:t>
      </w:r>
      <w:r>
        <w:rPr>
          <w:i/>
          <w:iCs/>
        </w:rPr>
        <w:t>30</w:t>
      </w:r>
      <w:r>
        <w:t>(4), 274–292. https://doi.org/10.1080/10429247.2018.1503038</w:t>
      </w:r>
    </w:p>
    <w:p w14:paraId="19A40F8D" w14:textId="77777777" w:rsidR="00D32166" w:rsidRDefault="00FD100D">
      <w:pPr>
        <w:spacing w:after="120" w:line="300" w:lineRule="auto"/>
        <w:ind w:left="720" w:hanging="720"/>
      </w:pPr>
      <w:r>
        <w:t xml:space="preserve">Harrington, E., &amp; Wambugu, A. W. (2021). Beyond technical standards: Creating an ecosystem for quality and repair in Kenya's off-grid solar sector. </w:t>
      </w:r>
      <w:r>
        <w:rPr>
          <w:i/>
          <w:iCs/>
        </w:rPr>
        <w:t>Energy Research &amp; Social Science</w:t>
      </w:r>
      <w:r>
        <w:t xml:space="preserve">, </w:t>
      </w:r>
      <w:r>
        <w:rPr>
          <w:i/>
          <w:iCs/>
        </w:rPr>
        <w:t>77</w:t>
      </w:r>
      <w:r>
        <w:t>, Article 102101. https://doi.org/10.1016/j.erss.2021.102101</w:t>
      </w:r>
    </w:p>
    <w:p w14:paraId="45F5593B" w14:textId="77777777" w:rsidR="00D32166" w:rsidRDefault="00FD100D">
      <w:pPr>
        <w:spacing w:after="120" w:line="300" w:lineRule="auto"/>
        <w:ind w:left="720" w:hanging="720"/>
      </w:pPr>
      <w:proofErr w:type="spellStart"/>
      <w:r>
        <w:t>Hashimshony</w:t>
      </w:r>
      <w:proofErr w:type="spellEnd"/>
      <w:r>
        <w:t xml:space="preserve"> Yaffe, N., &amp; Segal-Klein, H. (2023). Renewable energy and the centralisation of power: The case study of Lake Turkana Wind Power, Kenya. </w:t>
      </w:r>
      <w:r>
        <w:rPr>
          <w:i/>
          <w:iCs/>
        </w:rPr>
        <w:t>Political Geography</w:t>
      </w:r>
      <w:r>
        <w:t xml:space="preserve">, </w:t>
      </w:r>
      <w:r>
        <w:rPr>
          <w:i/>
          <w:iCs/>
        </w:rPr>
        <w:t>102</w:t>
      </w:r>
      <w:r>
        <w:t>, Article 102819. https://doi.org/10.1016/j.polgeo.2022.102819</w:t>
      </w:r>
    </w:p>
    <w:p w14:paraId="706D116F" w14:textId="77777777" w:rsidR="00D32166" w:rsidRDefault="00FD100D">
      <w:pPr>
        <w:spacing w:after="120" w:line="300" w:lineRule="auto"/>
        <w:ind w:left="720" w:hanging="720"/>
      </w:pPr>
      <w:r>
        <w:t xml:space="preserve">Hassan, A. S., &amp; Jaaron, A. A. (2021). Total quality management for enhancing organizational performance: The mediating role of green manufacturing practices. </w:t>
      </w:r>
      <w:r>
        <w:rPr>
          <w:i/>
          <w:iCs/>
        </w:rPr>
        <w:t>Journal of Cleaner Production</w:t>
      </w:r>
      <w:r>
        <w:t xml:space="preserve">, </w:t>
      </w:r>
      <w:r>
        <w:rPr>
          <w:i/>
          <w:iCs/>
        </w:rPr>
        <w:t>308</w:t>
      </w:r>
      <w:r>
        <w:t>, Article 127366. https://doi.org/10.1016/j.jclepro.2021.127366</w:t>
      </w:r>
    </w:p>
    <w:p w14:paraId="2342C9D6" w14:textId="77777777" w:rsidR="00D32166" w:rsidRDefault="00FD100D">
      <w:pPr>
        <w:spacing w:after="120" w:line="300" w:lineRule="auto"/>
        <w:ind w:left="720" w:hanging="720"/>
      </w:pPr>
      <w:proofErr w:type="spellStart"/>
      <w:r>
        <w:t>Ikejemba</w:t>
      </w:r>
      <w:proofErr w:type="spellEnd"/>
      <w:r>
        <w:t xml:space="preserve">, E. C., &amp; Schuur, P. C. (2020). The empirical failures of attaining the societal benefits of renewable energy development projects in Sub-Saharan Africa. </w:t>
      </w:r>
      <w:r>
        <w:rPr>
          <w:i/>
          <w:iCs/>
        </w:rPr>
        <w:t>Renewable Energy</w:t>
      </w:r>
      <w:r>
        <w:t xml:space="preserve">, </w:t>
      </w:r>
      <w:r>
        <w:rPr>
          <w:i/>
          <w:iCs/>
        </w:rPr>
        <w:t>162</w:t>
      </w:r>
      <w:r>
        <w:t>, 1490–1498. https://doi.org/10.1016/j.renene.2020.08.052</w:t>
      </w:r>
    </w:p>
    <w:p w14:paraId="5445C99E" w14:textId="77777777" w:rsidR="00D32166" w:rsidRDefault="00FD100D">
      <w:pPr>
        <w:spacing w:after="120" w:line="300" w:lineRule="auto"/>
        <w:ind w:left="720" w:hanging="720"/>
      </w:pPr>
      <w:r>
        <w:t xml:space="preserve">International Energy Agency. (2025). </w:t>
      </w:r>
      <w:r>
        <w:rPr>
          <w:i/>
          <w:iCs/>
        </w:rPr>
        <w:t>Kenya 2024: Energy policy review</w:t>
      </w:r>
      <w:r>
        <w:t>. https://www.iea.org/reports/kenya-2024</w:t>
      </w:r>
    </w:p>
    <w:p w14:paraId="1454990E" w14:textId="77777777" w:rsidR="00D32166" w:rsidRDefault="00FD100D">
      <w:pPr>
        <w:spacing w:after="120" w:line="300" w:lineRule="auto"/>
        <w:ind w:left="720" w:hanging="720"/>
      </w:pPr>
      <w:r>
        <w:t xml:space="preserve">Jakhar, S. K. (2017). Stakeholder engagement and environmental practice adoption: The mediating role of process management practices. </w:t>
      </w:r>
      <w:r>
        <w:rPr>
          <w:i/>
          <w:iCs/>
        </w:rPr>
        <w:t>Sustainable Development</w:t>
      </w:r>
      <w:r>
        <w:t xml:space="preserve">, </w:t>
      </w:r>
      <w:r>
        <w:rPr>
          <w:i/>
          <w:iCs/>
        </w:rPr>
        <w:t>25</w:t>
      </w:r>
      <w:r>
        <w:t>(1), 92–110. https://doi.org/10.1002/sd.1644</w:t>
      </w:r>
    </w:p>
    <w:p w14:paraId="0C805BB9" w14:textId="77777777" w:rsidR="00D32166" w:rsidRDefault="00FD100D">
      <w:pPr>
        <w:spacing w:after="120" w:line="300" w:lineRule="auto"/>
        <w:ind w:left="720" w:hanging="720"/>
      </w:pPr>
      <w:r>
        <w:t xml:space="preserve">Jimoh, R., </w:t>
      </w:r>
      <w:proofErr w:type="spellStart"/>
      <w:r>
        <w:t>Oyewobi</w:t>
      </w:r>
      <w:proofErr w:type="spellEnd"/>
      <w:r>
        <w:t xml:space="preserve">, L., Isa, R., &amp; Waziri, I. (2019). Total quality management practices and organizational performance: The mediating roles of strategies for continuous improvement. </w:t>
      </w:r>
      <w:r>
        <w:rPr>
          <w:i/>
          <w:iCs/>
        </w:rPr>
        <w:t>International Journal of Construction Management</w:t>
      </w:r>
      <w:r>
        <w:t xml:space="preserve">, </w:t>
      </w:r>
      <w:r>
        <w:rPr>
          <w:i/>
          <w:iCs/>
        </w:rPr>
        <w:t>19</w:t>
      </w:r>
      <w:r>
        <w:t>(2), 162–177. https://doi.org/10.1080/15623599.2017.1411456</w:t>
      </w:r>
    </w:p>
    <w:p w14:paraId="334B6D13" w14:textId="77777777" w:rsidR="00D32166" w:rsidRDefault="00FD100D">
      <w:pPr>
        <w:spacing w:after="120" w:line="300" w:lineRule="auto"/>
        <w:ind w:left="720" w:hanging="720"/>
      </w:pPr>
      <w:r>
        <w:t xml:space="preserve">Johannsen, R. M., Østergaard, P. A., &amp; Hanlin, R. (2020). Hybrid photovoltaic and wind mini-grids in Kenya: Techno-economic assessment and barriers to diffusion. </w:t>
      </w:r>
      <w:r>
        <w:rPr>
          <w:i/>
          <w:iCs/>
        </w:rPr>
        <w:t>Energy for Sustainable Development</w:t>
      </w:r>
      <w:r>
        <w:t xml:space="preserve">, </w:t>
      </w:r>
      <w:r>
        <w:rPr>
          <w:i/>
          <w:iCs/>
        </w:rPr>
        <w:t>54</w:t>
      </w:r>
      <w:r>
        <w:t>, 111–126. https://doi.org/10.1016/j.esd.2019.11.002</w:t>
      </w:r>
    </w:p>
    <w:p w14:paraId="6FA43376" w14:textId="77777777" w:rsidR="00D32166" w:rsidRDefault="00FD100D">
      <w:pPr>
        <w:spacing w:after="120" w:line="300" w:lineRule="auto"/>
        <w:ind w:left="720" w:hanging="720"/>
      </w:pPr>
      <w:r>
        <w:lastRenderedPageBreak/>
        <w:t xml:space="preserve">Kaynak, H. (2003). The relationship between total quality management practices and their effects on firm performance. </w:t>
      </w:r>
      <w:r>
        <w:rPr>
          <w:i/>
          <w:iCs/>
        </w:rPr>
        <w:t>Journal of Operations Management</w:t>
      </w:r>
      <w:r>
        <w:t xml:space="preserve">, </w:t>
      </w:r>
      <w:r>
        <w:rPr>
          <w:i/>
          <w:iCs/>
        </w:rPr>
        <w:t>21</w:t>
      </w:r>
      <w:r>
        <w:t>(4), 405–435. https://doi.org/10.1016/S0272-6963(03)00004-4</w:t>
      </w:r>
    </w:p>
    <w:p w14:paraId="0957339A" w14:textId="77777777" w:rsidR="00D32166" w:rsidRDefault="00FD100D">
      <w:pPr>
        <w:spacing w:after="120" w:line="300" w:lineRule="auto"/>
        <w:ind w:left="720" w:hanging="720"/>
      </w:pPr>
      <w:r>
        <w:t xml:space="preserve">Kehbila, A. G., Masumbuko, R. K., </w:t>
      </w:r>
      <w:proofErr w:type="spellStart"/>
      <w:r>
        <w:t>Ogeya</w:t>
      </w:r>
      <w:proofErr w:type="spellEnd"/>
      <w:r>
        <w:t xml:space="preserve">, M., &amp; Osano, P. (2021). Assessing transition pathways to low-carbon electricity generation in Kenya: A hybrid approach using </w:t>
      </w:r>
      <w:proofErr w:type="spellStart"/>
      <w:r>
        <w:t>backcasting</w:t>
      </w:r>
      <w:proofErr w:type="spellEnd"/>
      <w:r>
        <w:t xml:space="preserve">, socio-technical scenarios and energy system modelling. </w:t>
      </w:r>
      <w:r>
        <w:rPr>
          <w:i/>
          <w:iCs/>
        </w:rPr>
        <w:t>Renewable and Sustainable Energy Transition</w:t>
      </w:r>
      <w:r>
        <w:t xml:space="preserve">, </w:t>
      </w:r>
      <w:r>
        <w:rPr>
          <w:i/>
          <w:iCs/>
        </w:rPr>
        <w:t>1</w:t>
      </w:r>
      <w:r>
        <w:t>, Article 100004. https://doi.org/10.1016/j.rset.2021.100004</w:t>
      </w:r>
    </w:p>
    <w:p w14:paraId="716346A0" w14:textId="77777777" w:rsidR="00D32166" w:rsidRDefault="00FD100D">
      <w:pPr>
        <w:spacing w:after="120" w:line="300" w:lineRule="auto"/>
        <w:ind w:left="720" w:hanging="720"/>
      </w:pPr>
      <w:r>
        <w:t xml:space="preserve">Kennedy, R., Numminen, S., Sutherland, J., &amp; </w:t>
      </w:r>
      <w:proofErr w:type="spellStart"/>
      <w:r>
        <w:t>Urpelainen</w:t>
      </w:r>
      <w:proofErr w:type="spellEnd"/>
      <w:r>
        <w:t xml:space="preserve">, J. (2019). Multilevel customer segmentation for off-grid solar in developing countries: Evidence from solar home systems in Rwanda and Kenya. </w:t>
      </w:r>
      <w:r>
        <w:rPr>
          <w:i/>
          <w:iCs/>
        </w:rPr>
        <w:t>Energy</w:t>
      </w:r>
      <w:r>
        <w:t xml:space="preserve">, </w:t>
      </w:r>
      <w:r>
        <w:rPr>
          <w:i/>
          <w:iCs/>
        </w:rPr>
        <w:t>186</w:t>
      </w:r>
      <w:r>
        <w:t>, Article 115728. https://doi.org/10.1016/j.energy.2019.07.058</w:t>
      </w:r>
    </w:p>
    <w:p w14:paraId="0899645C" w14:textId="77777777" w:rsidR="00D32166" w:rsidRDefault="00FD100D">
      <w:pPr>
        <w:spacing w:after="120" w:line="300" w:lineRule="auto"/>
        <w:ind w:left="720" w:hanging="720"/>
      </w:pPr>
      <w:r>
        <w:t xml:space="preserve">Khan, B. A., &amp; Naeem, H. (2018). Measuring the impact of soft and hard quality practices on service innovation and organisational performance. </w:t>
      </w:r>
      <w:r>
        <w:rPr>
          <w:i/>
          <w:iCs/>
        </w:rPr>
        <w:t>Total Quality Management &amp; Business Excellence</w:t>
      </w:r>
      <w:r>
        <w:t xml:space="preserve">, </w:t>
      </w:r>
      <w:r>
        <w:rPr>
          <w:i/>
          <w:iCs/>
        </w:rPr>
        <w:t>29</w:t>
      </w:r>
      <w:r>
        <w:t>(11–12), 1402–1426. https://doi.org/10.1080/14783363.2016.1263543</w:t>
      </w:r>
    </w:p>
    <w:p w14:paraId="7FABD730" w14:textId="77777777" w:rsidR="00D32166" w:rsidRDefault="00FD100D">
      <w:pPr>
        <w:spacing w:after="120" w:line="300" w:lineRule="auto"/>
        <w:ind w:left="720" w:hanging="720"/>
      </w:pPr>
      <w:r>
        <w:t xml:space="preserve">Kuo, T. H., &amp; Kuo, Y. L. (2010). The effect of corporate culture and total quality management on construction project performance in Taiwan. </w:t>
      </w:r>
      <w:r>
        <w:rPr>
          <w:i/>
          <w:iCs/>
        </w:rPr>
        <w:t>Total Quality Management &amp; Business Excellence</w:t>
      </w:r>
      <w:r>
        <w:t xml:space="preserve">, </w:t>
      </w:r>
      <w:r>
        <w:rPr>
          <w:i/>
          <w:iCs/>
        </w:rPr>
        <w:t>21</w:t>
      </w:r>
      <w:r>
        <w:t>(6), 617–632. https://doi.org/10.1080/14783363.2010.483074</w:t>
      </w:r>
    </w:p>
    <w:p w14:paraId="7E6B4E5C" w14:textId="77777777" w:rsidR="00D32166" w:rsidRDefault="00FD100D">
      <w:pPr>
        <w:spacing w:after="120" w:line="300" w:lineRule="auto"/>
        <w:ind w:left="720" w:hanging="720"/>
      </w:pPr>
      <w:r>
        <w:t xml:space="preserve">Kupzig, N. (2023). Power outages, firm productivity, and generator ownership in East Africa. </w:t>
      </w:r>
      <w:r>
        <w:rPr>
          <w:i/>
          <w:iCs/>
        </w:rPr>
        <w:t>Journal of African Business</w:t>
      </w:r>
      <w:r>
        <w:t xml:space="preserve">, </w:t>
      </w:r>
      <w:r>
        <w:rPr>
          <w:i/>
          <w:iCs/>
        </w:rPr>
        <w:t>24</w:t>
      </w:r>
      <w:r>
        <w:t>(2), 280–300. https://doi.org/10.1080/15228916.2022.2072112</w:t>
      </w:r>
    </w:p>
    <w:p w14:paraId="75AA1E6C" w14:textId="77777777" w:rsidR="00D32166" w:rsidRDefault="00FD100D">
      <w:pPr>
        <w:spacing w:after="120" w:line="300" w:lineRule="auto"/>
        <w:ind w:left="720" w:hanging="720"/>
      </w:pPr>
      <w:r>
        <w:t xml:space="preserve">Lind, J., &amp; </w:t>
      </w:r>
      <w:proofErr w:type="spellStart"/>
      <w:r>
        <w:t>Rogei</w:t>
      </w:r>
      <w:proofErr w:type="spellEnd"/>
      <w:r>
        <w:t xml:space="preserve">, D. S. (2025). Contestation, conflict and claims-making around the Lake Turkana Wind Power windfarm, northern Kenya. </w:t>
      </w:r>
      <w:r>
        <w:rPr>
          <w:i/>
          <w:iCs/>
        </w:rPr>
        <w:t>World Development</w:t>
      </w:r>
      <w:r>
        <w:t xml:space="preserve">, </w:t>
      </w:r>
      <w:r>
        <w:rPr>
          <w:i/>
          <w:iCs/>
        </w:rPr>
        <w:t>188</w:t>
      </w:r>
      <w:r>
        <w:t>, Article 106913. https://doi.org/10.1016/j.worlddev.2024.106913</w:t>
      </w:r>
    </w:p>
    <w:p w14:paraId="1A5E10F2" w14:textId="77777777" w:rsidR="00D32166" w:rsidRDefault="00FD100D">
      <w:pPr>
        <w:spacing w:after="120" w:line="300" w:lineRule="auto"/>
        <w:ind w:left="720" w:hanging="720"/>
      </w:pPr>
      <w:r>
        <w:t xml:space="preserve">Lomax, J., </w:t>
      </w:r>
      <w:proofErr w:type="spellStart"/>
      <w:r>
        <w:t>Mirumachi</w:t>
      </w:r>
      <w:proofErr w:type="spellEnd"/>
      <w:r>
        <w:t xml:space="preserve">, N., &amp; </w:t>
      </w:r>
      <w:proofErr w:type="spellStart"/>
      <w:r>
        <w:t>Hautsch</w:t>
      </w:r>
      <w:proofErr w:type="spellEnd"/>
      <w:r>
        <w:t xml:space="preserve">, M. (2023). Does renewable energy affect violent conflict? Exploring social opposition and injustice in the struggle over the Lake Turkana Wind Farm, Kenya. </w:t>
      </w:r>
      <w:r>
        <w:rPr>
          <w:i/>
          <w:iCs/>
        </w:rPr>
        <w:t>Energy Research &amp; Social Science</w:t>
      </w:r>
      <w:r>
        <w:t xml:space="preserve">, </w:t>
      </w:r>
      <w:r>
        <w:rPr>
          <w:i/>
          <w:iCs/>
        </w:rPr>
        <w:t>100</w:t>
      </w:r>
      <w:r>
        <w:t>, Article 103089. https://doi.org/10.1016/j.erss.2023.103089</w:t>
      </w:r>
    </w:p>
    <w:p w14:paraId="25BCC332" w14:textId="77777777" w:rsidR="00D32166" w:rsidRDefault="00FD100D">
      <w:pPr>
        <w:spacing w:after="120" w:line="300" w:lineRule="auto"/>
        <w:ind w:left="720" w:hanging="720"/>
      </w:pPr>
      <w:r>
        <w:t xml:space="preserve">Mahamoud Abdi, A., Murayama, T., </w:t>
      </w:r>
      <w:proofErr w:type="spellStart"/>
      <w:r>
        <w:t>Nishikizawa</w:t>
      </w:r>
      <w:proofErr w:type="spellEnd"/>
      <w:r>
        <w:t xml:space="preserve">, S., </w:t>
      </w:r>
      <w:proofErr w:type="spellStart"/>
      <w:r>
        <w:t>Suwanteep</w:t>
      </w:r>
      <w:proofErr w:type="spellEnd"/>
      <w:r>
        <w:t xml:space="preserve">, K., &amp; Obuya Mariita, N. (2024). Determinants of community acceptance of geothermal energy projects: A case study on a geothermal energy project in Kenya. </w:t>
      </w:r>
      <w:r>
        <w:rPr>
          <w:i/>
          <w:iCs/>
        </w:rPr>
        <w:t>Renewable Energy Focus</w:t>
      </w:r>
      <w:r>
        <w:t xml:space="preserve">, </w:t>
      </w:r>
      <w:r>
        <w:rPr>
          <w:i/>
          <w:iCs/>
        </w:rPr>
        <w:t>50</w:t>
      </w:r>
      <w:r>
        <w:t>, Article 100594. https://doi.org/10.1016/j.ref.2024.100594</w:t>
      </w:r>
    </w:p>
    <w:p w14:paraId="5599203E" w14:textId="77777777" w:rsidR="00D32166" w:rsidRDefault="00FD100D">
      <w:pPr>
        <w:spacing w:after="120" w:line="300" w:lineRule="auto"/>
        <w:ind w:left="720" w:hanging="720"/>
      </w:pPr>
      <w:proofErr w:type="spellStart"/>
      <w:r>
        <w:t>Mariita</w:t>
      </w:r>
      <w:proofErr w:type="spellEnd"/>
      <w:r>
        <w:t xml:space="preserve">, N. O. (2002). The impact of large-scale renewable energy development on the poor: Environmental and socio-economic impact of a geothermal power plant on a poor rural community in Kenya. </w:t>
      </w:r>
      <w:r>
        <w:rPr>
          <w:i/>
          <w:iCs/>
        </w:rPr>
        <w:t>Energy Policy</w:t>
      </w:r>
      <w:r>
        <w:t xml:space="preserve">, </w:t>
      </w:r>
      <w:r>
        <w:rPr>
          <w:i/>
          <w:iCs/>
        </w:rPr>
        <w:t>30</w:t>
      </w:r>
      <w:r>
        <w:t>(11–12), 1119–1128. https://doi.org/10.1016/S0301-4215(02)00063-0</w:t>
      </w:r>
    </w:p>
    <w:p w14:paraId="6E76C483" w14:textId="77777777" w:rsidR="00D32166" w:rsidRDefault="00FD100D">
      <w:pPr>
        <w:spacing w:after="120" w:line="300" w:lineRule="auto"/>
        <w:ind w:left="720" w:hanging="720"/>
      </w:pPr>
      <w:r>
        <w:t xml:space="preserve">Martin, N., &amp; Rice, J. (2015). Improving Australia's renewable energy project policy and planning: A multiple stakeholder analysis. </w:t>
      </w:r>
      <w:r>
        <w:rPr>
          <w:i/>
          <w:iCs/>
        </w:rPr>
        <w:t>Energy Policy</w:t>
      </w:r>
      <w:r>
        <w:t xml:space="preserve">, </w:t>
      </w:r>
      <w:r>
        <w:rPr>
          <w:i/>
          <w:iCs/>
        </w:rPr>
        <w:t>84</w:t>
      </w:r>
      <w:r>
        <w:t>, 128–141. https://doi.org/10.1016/j.enpol.2015.04.034</w:t>
      </w:r>
    </w:p>
    <w:p w14:paraId="5D5DB532" w14:textId="77777777" w:rsidR="00D32166" w:rsidRDefault="00FD100D">
      <w:pPr>
        <w:spacing w:after="120" w:line="300" w:lineRule="auto"/>
        <w:ind w:left="720" w:hanging="720"/>
      </w:pPr>
      <w:r>
        <w:lastRenderedPageBreak/>
        <w:t xml:space="preserve">Mehta, K., </w:t>
      </w:r>
      <w:proofErr w:type="spellStart"/>
      <w:r>
        <w:t>Lwakatare</w:t>
      </w:r>
      <w:proofErr w:type="spellEnd"/>
      <w:r>
        <w:t xml:space="preserve">, B., </w:t>
      </w:r>
      <w:proofErr w:type="spellStart"/>
      <w:r>
        <w:t>Zörner</w:t>
      </w:r>
      <w:proofErr w:type="spellEnd"/>
      <w:r>
        <w:t xml:space="preserve">, W., &amp; </w:t>
      </w:r>
      <w:proofErr w:type="spellStart"/>
      <w:r>
        <w:t>Ehrenwirth</w:t>
      </w:r>
      <w:proofErr w:type="spellEnd"/>
      <w:r>
        <w:t xml:space="preserve">, M. (2025). Mini-grid performance in Sub-Saharan Africa: Case studies from </w:t>
      </w:r>
      <w:proofErr w:type="spellStart"/>
      <w:r>
        <w:t>Tsumkwe</w:t>
      </w:r>
      <w:proofErr w:type="spellEnd"/>
      <w:r>
        <w:t xml:space="preserve"> and Gam, Namibia. </w:t>
      </w:r>
      <w:r>
        <w:rPr>
          <w:i/>
          <w:iCs/>
        </w:rPr>
        <w:t>Sustainable Energy Research</w:t>
      </w:r>
      <w:r>
        <w:t xml:space="preserve">, </w:t>
      </w:r>
      <w:r>
        <w:rPr>
          <w:i/>
          <w:iCs/>
        </w:rPr>
        <w:t>12</w:t>
      </w:r>
      <w:r>
        <w:t>(1), Article 30. https://doi.org/10.1186/s40807-025-00174-y</w:t>
      </w:r>
    </w:p>
    <w:p w14:paraId="6EFD36AC" w14:textId="77777777" w:rsidR="00D32166" w:rsidRDefault="00FD100D">
      <w:pPr>
        <w:spacing w:after="120" w:line="300" w:lineRule="auto"/>
        <w:ind w:left="720" w:hanging="720"/>
      </w:pPr>
      <w:proofErr w:type="spellStart"/>
      <w:r>
        <w:t>Missonier</w:t>
      </w:r>
      <w:proofErr w:type="spellEnd"/>
      <w:r>
        <w:t xml:space="preserve">, S., &amp; </w:t>
      </w:r>
      <w:proofErr w:type="spellStart"/>
      <w:r>
        <w:t>Loufrani</w:t>
      </w:r>
      <w:proofErr w:type="spellEnd"/>
      <w:r>
        <w:t xml:space="preserve">-Fedida, S. (2014). Stakeholder analysis and engagement in projects: From stakeholder relational perspective to stakeholder relational ontology. </w:t>
      </w:r>
      <w:r>
        <w:rPr>
          <w:i/>
          <w:iCs/>
        </w:rPr>
        <w:t>International Journal of Project Management</w:t>
      </w:r>
      <w:r>
        <w:t xml:space="preserve">, </w:t>
      </w:r>
      <w:r>
        <w:rPr>
          <w:i/>
          <w:iCs/>
        </w:rPr>
        <w:t>32</w:t>
      </w:r>
      <w:r>
        <w:t>(7), 1108–1122. https://doi.org/10.1016/j.ijproman.2014.02.010</w:t>
      </w:r>
    </w:p>
    <w:p w14:paraId="032759D3" w14:textId="77777777" w:rsidR="00D32166" w:rsidRDefault="00FD100D">
      <w:pPr>
        <w:spacing w:after="120" w:line="300" w:lineRule="auto"/>
        <w:ind w:left="720" w:hanging="720"/>
      </w:pPr>
      <w:r>
        <w:t xml:space="preserve">Mitchell, R. K., Agle, B. R., &amp; Wood, D. J. (1997). Toward a theory of stakeholder identification and salience: Defining the principle of who and what really counts. </w:t>
      </w:r>
      <w:r>
        <w:rPr>
          <w:i/>
          <w:iCs/>
        </w:rPr>
        <w:t>The Academy of Management Review</w:t>
      </w:r>
      <w:r>
        <w:t xml:space="preserve">, </w:t>
      </w:r>
      <w:r>
        <w:rPr>
          <w:i/>
          <w:iCs/>
        </w:rPr>
        <w:t>22</w:t>
      </w:r>
      <w:r>
        <w:t>(4), 853–886. https://doi.org/10.2307/259247</w:t>
      </w:r>
    </w:p>
    <w:p w14:paraId="17ADB884" w14:textId="77777777" w:rsidR="00D32166" w:rsidRDefault="00FD100D">
      <w:pPr>
        <w:spacing w:after="120" w:line="300" w:lineRule="auto"/>
        <w:ind w:left="720" w:hanging="720"/>
      </w:pPr>
      <w:proofErr w:type="spellStart"/>
      <w:r>
        <w:t>Mutezo</w:t>
      </w:r>
      <w:proofErr w:type="spellEnd"/>
      <w:r>
        <w:t xml:space="preserve">, G., &amp; </w:t>
      </w:r>
      <w:proofErr w:type="spellStart"/>
      <w:r>
        <w:t>Mulopo</w:t>
      </w:r>
      <w:proofErr w:type="spellEnd"/>
      <w:r>
        <w:t xml:space="preserve">, J. (2021). A review of Africa's transition from fossil fuels to renewable energy using circular economy principles. </w:t>
      </w:r>
      <w:r>
        <w:rPr>
          <w:i/>
          <w:iCs/>
        </w:rPr>
        <w:t>Renewable and Sustainable Energy Reviews</w:t>
      </w:r>
      <w:r>
        <w:t xml:space="preserve">, </w:t>
      </w:r>
      <w:r>
        <w:rPr>
          <w:i/>
          <w:iCs/>
        </w:rPr>
        <w:t>137</w:t>
      </w:r>
      <w:r>
        <w:t>, Article 110609. https://doi.org/10.1016/j.rser.2020.110609</w:t>
      </w:r>
    </w:p>
    <w:p w14:paraId="7E8C50A8" w14:textId="77777777" w:rsidR="00D32166" w:rsidRDefault="00FD100D">
      <w:pPr>
        <w:spacing w:after="120" w:line="300" w:lineRule="auto"/>
        <w:ind w:left="720" w:hanging="720"/>
      </w:pPr>
      <w:r>
        <w:t xml:space="preserve">Nair, A. (2006). Meta-analysis of the relationship between quality management practices and firm performance—implications for quality management theory development. </w:t>
      </w:r>
      <w:r>
        <w:rPr>
          <w:i/>
          <w:iCs/>
        </w:rPr>
        <w:t>Journal of Operations Management</w:t>
      </w:r>
      <w:r>
        <w:t xml:space="preserve">, </w:t>
      </w:r>
      <w:r>
        <w:rPr>
          <w:i/>
          <w:iCs/>
        </w:rPr>
        <w:t>24</w:t>
      </w:r>
      <w:r>
        <w:t>(6), 948–975. https://doi.org/10.1016/j.jom.2005.11.005</w:t>
      </w:r>
    </w:p>
    <w:p w14:paraId="67FF306B" w14:textId="77777777" w:rsidR="00D32166" w:rsidRDefault="00FD100D">
      <w:pPr>
        <w:spacing w:after="120" w:line="300" w:lineRule="auto"/>
        <w:ind w:left="720" w:hanging="720"/>
      </w:pPr>
      <w:r>
        <w:t xml:space="preserve">Ndi, F. A. (2024a). Land acquisition, renewable energy development, and livelihood transformation in rural Kenya: The case of the </w:t>
      </w:r>
      <w:proofErr w:type="spellStart"/>
      <w:r>
        <w:t>Kipeto</w:t>
      </w:r>
      <w:proofErr w:type="spellEnd"/>
      <w:r>
        <w:t xml:space="preserve"> wind energy project. </w:t>
      </w:r>
      <w:r>
        <w:rPr>
          <w:i/>
          <w:iCs/>
        </w:rPr>
        <w:t>Energy Research &amp; Social Science</w:t>
      </w:r>
      <w:r>
        <w:t xml:space="preserve">, </w:t>
      </w:r>
      <w:r>
        <w:rPr>
          <w:i/>
          <w:iCs/>
        </w:rPr>
        <w:t>112</w:t>
      </w:r>
      <w:r>
        <w:t>, Article 103530. https://doi.org/10.1016/j.erss.2024.103530</w:t>
      </w:r>
    </w:p>
    <w:p w14:paraId="43F16E95" w14:textId="77777777" w:rsidR="00D32166" w:rsidRDefault="00FD100D">
      <w:pPr>
        <w:spacing w:after="120" w:line="300" w:lineRule="auto"/>
        <w:ind w:left="720" w:hanging="720"/>
      </w:pPr>
      <w:r>
        <w:t xml:space="preserve">Ndi, F. A. (2024b). Justice concerns in large-scale renewable energy projects: A case study echoing the importance of procedural justice in wind energy development in Kenya. </w:t>
      </w:r>
      <w:r>
        <w:rPr>
          <w:i/>
          <w:iCs/>
        </w:rPr>
        <w:t>Energy, Sustainability and Society</w:t>
      </w:r>
      <w:r>
        <w:t xml:space="preserve">, </w:t>
      </w:r>
      <w:r>
        <w:rPr>
          <w:i/>
          <w:iCs/>
        </w:rPr>
        <w:t>14</w:t>
      </w:r>
      <w:r>
        <w:t>(1), Article 47. https://doi.org/10.1186/s13705-024-00482-z</w:t>
      </w:r>
    </w:p>
    <w:p w14:paraId="202C31AF" w14:textId="77777777" w:rsidR="00D32166" w:rsidRDefault="00FD100D">
      <w:pPr>
        <w:spacing w:after="120" w:line="300" w:lineRule="auto"/>
        <w:ind w:left="720" w:hanging="720"/>
      </w:pPr>
      <w:r>
        <w:t xml:space="preserve">Ndi, F. A. (2025). When promises are not (yet) met: Local dysphoria, contestations, and the struggle for survival amidst large-scale solar energy development in Kenya. </w:t>
      </w:r>
      <w:r>
        <w:rPr>
          <w:i/>
          <w:iCs/>
        </w:rPr>
        <w:t>Energy, Sustainability and Society</w:t>
      </w:r>
      <w:r>
        <w:t xml:space="preserve">, </w:t>
      </w:r>
      <w:r>
        <w:rPr>
          <w:i/>
          <w:iCs/>
        </w:rPr>
        <w:t>16</w:t>
      </w:r>
      <w:r>
        <w:t>(1), Article 7. https://doi.org/10.1186/s13705-025-00550-y</w:t>
      </w:r>
    </w:p>
    <w:p w14:paraId="5A7ABB19" w14:textId="77777777" w:rsidR="00D32166" w:rsidRDefault="00FD100D">
      <w:pPr>
        <w:spacing w:after="120" w:line="300" w:lineRule="auto"/>
        <w:ind w:left="720" w:hanging="720"/>
      </w:pPr>
      <w:proofErr w:type="spellStart"/>
      <w:r>
        <w:t>Ogeya</w:t>
      </w:r>
      <w:proofErr w:type="spellEnd"/>
      <w:r>
        <w:t xml:space="preserve">, M., &amp; Lambe, F. (2025). The political economy of mini-grid electricity development and innovation in Kenya. </w:t>
      </w:r>
      <w:r>
        <w:rPr>
          <w:i/>
          <w:iCs/>
        </w:rPr>
        <w:t>Renewable and Sustainable Energy Transition</w:t>
      </w:r>
      <w:r>
        <w:t xml:space="preserve">, </w:t>
      </w:r>
      <w:r>
        <w:rPr>
          <w:i/>
          <w:iCs/>
        </w:rPr>
        <w:t>6</w:t>
      </w:r>
      <w:r>
        <w:t>, Article 100092. https://doi.org/10.1016/j.rset.2024.100092</w:t>
      </w:r>
    </w:p>
    <w:p w14:paraId="31689496" w14:textId="77777777" w:rsidR="00D32166" w:rsidRDefault="00FD100D">
      <w:pPr>
        <w:spacing w:after="120" w:line="300" w:lineRule="auto"/>
        <w:ind w:left="720" w:hanging="720"/>
      </w:pPr>
      <w:r>
        <w:t xml:space="preserve">Ogola, P. F. A., </w:t>
      </w:r>
      <w:proofErr w:type="spellStart"/>
      <w:r>
        <w:t>Davidsdottir</w:t>
      </w:r>
      <w:proofErr w:type="spellEnd"/>
      <w:r>
        <w:t xml:space="preserve">, B., &amp; </w:t>
      </w:r>
      <w:proofErr w:type="spellStart"/>
      <w:r>
        <w:t>Fridleifsson</w:t>
      </w:r>
      <w:proofErr w:type="spellEnd"/>
      <w:r>
        <w:t xml:space="preserve">, I. B. (2011). Lighting villages at the end of the line with geothermal energy in eastern Baringo lowlands, Kenya – Steps towards reaching the millennium development goals (MDGs). </w:t>
      </w:r>
      <w:r>
        <w:rPr>
          <w:i/>
          <w:iCs/>
        </w:rPr>
        <w:t>Renewable and Sustainable Energy Reviews</w:t>
      </w:r>
      <w:r>
        <w:t xml:space="preserve">, </w:t>
      </w:r>
      <w:r>
        <w:rPr>
          <w:i/>
          <w:iCs/>
        </w:rPr>
        <w:t>15</w:t>
      </w:r>
      <w:r>
        <w:t>(8), 4067–4079. https://doi.org/10.1016/j.rser.2011.07.038</w:t>
      </w:r>
    </w:p>
    <w:p w14:paraId="1419048E" w14:textId="77777777" w:rsidR="00D32166" w:rsidRDefault="00FD100D">
      <w:pPr>
        <w:spacing w:after="120" w:line="300" w:lineRule="auto"/>
        <w:ind w:left="720" w:hanging="720"/>
      </w:pPr>
      <w:r>
        <w:t xml:space="preserve">Okello, J. F., Bowa, O., &amp; </w:t>
      </w:r>
      <w:proofErr w:type="spellStart"/>
      <w:r>
        <w:t>Migosi</w:t>
      </w:r>
      <w:proofErr w:type="spellEnd"/>
      <w:r>
        <w:t xml:space="preserve">, J. (2025). The role of project delivery methods on the execution of construction projects in Kenyan Judiciary. </w:t>
      </w:r>
      <w:r>
        <w:rPr>
          <w:i/>
          <w:iCs/>
        </w:rPr>
        <w:t>Construction Economics and Building</w:t>
      </w:r>
      <w:r>
        <w:t xml:space="preserve">, </w:t>
      </w:r>
      <w:r>
        <w:rPr>
          <w:i/>
          <w:iCs/>
        </w:rPr>
        <w:t>25</w:t>
      </w:r>
      <w:r>
        <w:t>(1). https://doi.org/10.5130/AJCEB.v25i1.9298</w:t>
      </w:r>
    </w:p>
    <w:p w14:paraId="1ED068B2" w14:textId="77777777" w:rsidR="00D32166" w:rsidRDefault="00FD100D">
      <w:pPr>
        <w:spacing w:after="120" w:line="300" w:lineRule="auto"/>
        <w:ind w:left="720" w:hanging="720"/>
      </w:pPr>
      <w:proofErr w:type="spellStart"/>
      <w:r>
        <w:t>Ongoma</w:t>
      </w:r>
      <w:proofErr w:type="spellEnd"/>
      <w:r>
        <w:t xml:space="preserve">, V. (2018). Socio-economic and environmental analysis of wind power projects as viable renewable energy resources in Kenya. </w:t>
      </w:r>
      <w:r>
        <w:rPr>
          <w:i/>
          <w:iCs/>
        </w:rPr>
        <w:t>African Journal of Science, Technology, Innovation and Development</w:t>
      </w:r>
      <w:r>
        <w:t xml:space="preserve">, </w:t>
      </w:r>
      <w:r>
        <w:rPr>
          <w:i/>
          <w:iCs/>
        </w:rPr>
        <w:t>10</w:t>
      </w:r>
      <w:r>
        <w:t>(5), 525–538. https://doi.org/10.1080/20421338.2017.1366132</w:t>
      </w:r>
    </w:p>
    <w:p w14:paraId="3C4D357A" w14:textId="77777777" w:rsidR="00D32166" w:rsidRDefault="00FD100D">
      <w:pPr>
        <w:spacing w:after="120" w:line="300" w:lineRule="auto"/>
        <w:ind w:left="720" w:hanging="720"/>
      </w:pPr>
      <w:r>
        <w:lastRenderedPageBreak/>
        <w:t xml:space="preserve">Ottinger, G., Hargrave, T. J., &amp; Hopson, E. (2014). Procedural justice in wind facility siting: Recommendations for state-led siting processes. </w:t>
      </w:r>
      <w:r>
        <w:rPr>
          <w:i/>
          <w:iCs/>
        </w:rPr>
        <w:t>Energy Policy</w:t>
      </w:r>
      <w:r>
        <w:t xml:space="preserve">, </w:t>
      </w:r>
      <w:r>
        <w:rPr>
          <w:i/>
          <w:iCs/>
        </w:rPr>
        <w:t>65</w:t>
      </w:r>
      <w:r>
        <w:t>, 662–669. https://doi.org/10.1016/j.enpol.2013.09.066</w:t>
      </w:r>
    </w:p>
    <w:p w14:paraId="790967BA" w14:textId="77777777" w:rsidR="00D32166" w:rsidRDefault="00FD100D">
      <w:pPr>
        <w:spacing w:after="120" w:line="300" w:lineRule="auto"/>
        <w:ind w:left="720" w:hanging="720"/>
      </w:pPr>
      <w:r>
        <w:t xml:space="preserve">Parmar, B. L., Freeman, R. E., Harrison, J. S., Wicks, A. C., Purnell, L., &amp; de Colle, S. (2010). Stakeholder theory: The state of the art. </w:t>
      </w:r>
      <w:r>
        <w:rPr>
          <w:i/>
          <w:iCs/>
        </w:rPr>
        <w:t>Academy of Management Annals</w:t>
      </w:r>
      <w:r>
        <w:t xml:space="preserve">, </w:t>
      </w:r>
      <w:r>
        <w:rPr>
          <w:i/>
          <w:iCs/>
        </w:rPr>
        <w:t>4</w:t>
      </w:r>
      <w:r>
        <w:t>(1), 403–445. https://doi.org/10.5465/19416520.2010.495581</w:t>
      </w:r>
    </w:p>
    <w:p w14:paraId="78DD45AD" w14:textId="77777777" w:rsidR="00D32166" w:rsidRDefault="00FD100D">
      <w:pPr>
        <w:spacing w:after="120" w:line="300" w:lineRule="auto"/>
        <w:ind w:left="720" w:hanging="720"/>
      </w:pPr>
      <w:r>
        <w:t xml:space="preserve">Podsakoff, P. M., MacKenzie, S. B., Lee, J. Y., &amp; Podsakoff, N. P. (2003). Common method biases in </w:t>
      </w:r>
      <w:proofErr w:type="spellStart"/>
      <w:r>
        <w:t>behavioral</w:t>
      </w:r>
      <w:proofErr w:type="spellEnd"/>
      <w:r>
        <w:t xml:space="preserve"> research: A critical review of the literature and recommended remedies. </w:t>
      </w:r>
      <w:r>
        <w:rPr>
          <w:i/>
          <w:iCs/>
        </w:rPr>
        <w:t>Journal of Applied Psychology</w:t>
      </w:r>
      <w:r>
        <w:t xml:space="preserve">, </w:t>
      </w:r>
      <w:r>
        <w:rPr>
          <w:i/>
          <w:iCs/>
        </w:rPr>
        <w:t>88</w:t>
      </w:r>
      <w:r>
        <w:t>(5), 879–903. https://doi.org/10.1037/0021-9010.88.5.879</w:t>
      </w:r>
    </w:p>
    <w:p w14:paraId="5BC6E878" w14:textId="77777777" w:rsidR="00D32166" w:rsidRDefault="00FD100D">
      <w:pPr>
        <w:spacing w:after="120" w:line="300" w:lineRule="auto"/>
        <w:ind w:left="720" w:hanging="720"/>
      </w:pPr>
      <w:proofErr w:type="spellStart"/>
      <w:r>
        <w:t>Prajogo</w:t>
      </w:r>
      <w:proofErr w:type="spellEnd"/>
      <w:r>
        <w:t xml:space="preserve">, D. I., &amp; Sohal, A. S. (2003). The relationship between TQM practices, quality performance, and innovation performance. </w:t>
      </w:r>
      <w:r>
        <w:rPr>
          <w:i/>
          <w:iCs/>
        </w:rPr>
        <w:t>International Journal of Quality &amp; Reliability Management</w:t>
      </w:r>
      <w:r>
        <w:t xml:space="preserve">, </w:t>
      </w:r>
      <w:r>
        <w:rPr>
          <w:i/>
          <w:iCs/>
        </w:rPr>
        <w:t>20</w:t>
      </w:r>
      <w:r>
        <w:t>(8), 901–918. https://doi.org/10.1108/02656710310493625</w:t>
      </w:r>
    </w:p>
    <w:p w14:paraId="78D12FB6" w14:textId="77777777" w:rsidR="00D32166" w:rsidRDefault="00FD100D">
      <w:pPr>
        <w:spacing w:after="120" w:line="300" w:lineRule="auto"/>
        <w:ind w:left="720" w:hanging="720"/>
      </w:pPr>
      <w:r>
        <w:t xml:space="preserve">Preacher, K. J., &amp; Hayes, A. F. (2008). Asymptotic and resampling strategies for assessing and comparing indirect effects in multiple mediator models. </w:t>
      </w:r>
      <w:proofErr w:type="spellStart"/>
      <w:r>
        <w:rPr>
          <w:i/>
          <w:iCs/>
        </w:rPr>
        <w:t>Behavior</w:t>
      </w:r>
      <w:proofErr w:type="spellEnd"/>
      <w:r>
        <w:rPr>
          <w:i/>
          <w:iCs/>
        </w:rPr>
        <w:t xml:space="preserve"> Research Methods</w:t>
      </w:r>
      <w:r>
        <w:t xml:space="preserve">, </w:t>
      </w:r>
      <w:r>
        <w:rPr>
          <w:i/>
          <w:iCs/>
        </w:rPr>
        <w:t>40</w:t>
      </w:r>
      <w:r>
        <w:t>(3), 879–891. https://doi.org/10.3758/BRM.40.3.879</w:t>
      </w:r>
    </w:p>
    <w:p w14:paraId="0C205D72" w14:textId="77777777" w:rsidR="00D32166" w:rsidRDefault="00FD100D">
      <w:pPr>
        <w:spacing w:after="120" w:line="300" w:lineRule="auto"/>
        <w:ind w:left="720" w:hanging="720"/>
      </w:pPr>
      <w:r>
        <w:t xml:space="preserve">Ramiah, C., Ramgolam, Y. K., Dookhun, V., &amp; Sultan, R. (2026). Optimising solar energy project bankability through stakeholder engagement: A case of Mauritius. </w:t>
      </w:r>
      <w:r>
        <w:rPr>
          <w:i/>
          <w:iCs/>
        </w:rPr>
        <w:t>Energy for Sustainable Development</w:t>
      </w:r>
      <w:r>
        <w:t xml:space="preserve">, </w:t>
      </w:r>
      <w:r>
        <w:rPr>
          <w:i/>
          <w:iCs/>
        </w:rPr>
        <w:t>92</w:t>
      </w:r>
      <w:r>
        <w:t>, Article 101924. https://doi.org/10.1016/j.esd.2026.101924</w:t>
      </w:r>
    </w:p>
    <w:p w14:paraId="50AD897F" w14:textId="77777777" w:rsidR="00D32166" w:rsidRDefault="00FD100D">
      <w:pPr>
        <w:spacing w:after="120" w:line="300" w:lineRule="auto"/>
        <w:ind w:left="720" w:hanging="720"/>
      </w:pPr>
      <w:r>
        <w:t xml:space="preserve">Ramirez, J., Costantino, E., </w:t>
      </w:r>
      <w:proofErr w:type="spellStart"/>
      <w:r>
        <w:t>Durach</w:t>
      </w:r>
      <w:proofErr w:type="spellEnd"/>
      <w:r>
        <w:t xml:space="preserve">, C., </w:t>
      </w:r>
      <w:proofErr w:type="spellStart"/>
      <w:r>
        <w:t>Flickenschild</w:t>
      </w:r>
      <w:proofErr w:type="spellEnd"/>
      <w:r>
        <w:t xml:space="preserve">, J., Sun, H. C., </w:t>
      </w:r>
      <w:proofErr w:type="spellStart"/>
      <w:r>
        <w:t>Ang'elei</w:t>
      </w:r>
      <w:proofErr w:type="spellEnd"/>
      <w:r>
        <w:t xml:space="preserve">, I., &amp; </w:t>
      </w:r>
      <w:proofErr w:type="spellStart"/>
      <w:r>
        <w:t>Lekapana</w:t>
      </w:r>
      <w:proofErr w:type="spellEnd"/>
      <w:r>
        <w:t xml:space="preserve">, P. (2025). Conflicting injustices in decolonization and indigenous land rights: The case of the Lake Turkana Wind Power project. </w:t>
      </w:r>
      <w:r>
        <w:rPr>
          <w:i/>
          <w:iCs/>
        </w:rPr>
        <w:t>Energy Research &amp; Social Science</w:t>
      </w:r>
      <w:r>
        <w:t xml:space="preserve">, </w:t>
      </w:r>
      <w:r>
        <w:rPr>
          <w:i/>
          <w:iCs/>
        </w:rPr>
        <w:t>120</w:t>
      </w:r>
      <w:r>
        <w:t>, Article 103912. https://doi.org/10.1016/j.erss.2024.103912</w:t>
      </w:r>
    </w:p>
    <w:p w14:paraId="2C80B7FC" w14:textId="77777777" w:rsidR="00D32166" w:rsidRDefault="00FD100D">
      <w:pPr>
        <w:spacing w:after="120" w:line="300" w:lineRule="auto"/>
        <w:ind w:left="720" w:hanging="720"/>
      </w:pPr>
      <w:proofErr w:type="spellStart"/>
      <w:r>
        <w:t>Renkens</w:t>
      </w:r>
      <w:proofErr w:type="spellEnd"/>
      <w:r>
        <w:t xml:space="preserve">, I. M. (2024). Mind the gap: Conflicts in the implementation of Kenya's Lake Turkana Wind Power project. </w:t>
      </w:r>
      <w:r>
        <w:rPr>
          <w:i/>
          <w:iCs/>
        </w:rPr>
        <w:t>Forum for Development Studies</w:t>
      </w:r>
      <w:r>
        <w:t xml:space="preserve">, </w:t>
      </w:r>
      <w:r>
        <w:rPr>
          <w:i/>
          <w:iCs/>
        </w:rPr>
        <w:t>51</w:t>
      </w:r>
      <w:r>
        <w:t>(3), 517–542. https://doi.org/10.1080/08039410.2024.2351879</w:t>
      </w:r>
    </w:p>
    <w:p w14:paraId="611F1922" w14:textId="77777777" w:rsidR="00D32166" w:rsidRDefault="00FD100D">
      <w:pPr>
        <w:spacing w:after="120" w:line="300" w:lineRule="auto"/>
        <w:ind w:left="720" w:hanging="720"/>
      </w:pPr>
      <w:r>
        <w:t xml:space="preserve">Rotich, I. K., Chepkirui, H., Musyimi, P. K., &amp; Kipruto, G. (2024). Geothermal energy in Kenya: Evaluating health impacts and environmental challenges. </w:t>
      </w:r>
      <w:r>
        <w:rPr>
          <w:i/>
          <w:iCs/>
        </w:rPr>
        <w:t>Energy for Sustainable Development</w:t>
      </w:r>
      <w:r>
        <w:t xml:space="preserve">, </w:t>
      </w:r>
      <w:r>
        <w:rPr>
          <w:i/>
          <w:iCs/>
        </w:rPr>
        <w:t>82</w:t>
      </w:r>
      <w:r>
        <w:t>, Article 101522. https://doi.org/10.1016/j.esd.2024.101522</w:t>
      </w:r>
    </w:p>
    <w:p w14:paraId="01141E59" w14:textId="77777777" w:rsidR="00D32166" w:rsidRDefault="00FD100D">
      <w:pPr>
        <w:spacing w:after="120" w:line="300" w:lineRule="auto"/>
        <w:ind w:left="720" w:hanging="720"/>
      </w:pPr>
      <w:r>
        <w:t xml:space="preserve">Rowley, T. J. (1997). Moving beyond dyadic ties: A network theory of stakeholder influences. </w:t>
      </w:r>
      <w:r>
        <w:rPr>
          <w:i/>
          <w:iCs/>
        </w:rPr>
        <w:t>The Academy of Management Review</w:t>
      </w:r>
      <w:r>
        <w:t xml:space="preserve">, </w:t>
      </w:r>
      <w:r>
        <w:rPr>
          <w:i/>
          <w:iCs/>
        </w:rPr>
        <w:t>22</w:t>
      </w:r>
      <w:r>
        <w:t>(4), 887–910. https://doi.org/10.2307/259248</w:t>
      </w:r>
    </w:p>
    <w:p w14:paraId="7BDCEC82" w14:textId="77777777" w:rsidR="00D32166" w:rsidRDefault="00FD100D">
      <w:pPr>
        <w:spacing w:after="120" w:line="300" w:lineRule="auto"/>
        <w:ind w:left="720" w:hanging="720"/>
      </w:pPr>
      <w:r>
        <w:t xml:space="preserve">Rowlinson, S., &amp; Cheung, Y. K. F. (2008). Stakeholder management through empowerment: Modelling project success. </w:t>
      </w:r>
      <w:r>
        <w:rPr>
          <w:i/>
          <w:iCs/>
        </w:rPr>
        <w:t>Construction Management and Economics</w:t>
      </w:r>
      <w:r>
        <w:t xml:space="preserve">, </w:t>
      </w:r>
      <w:r>
        <w:rPr>
          <w:i/>
          <w:iCs/>
        </w:rPr>
        <w:t>26</w:t>
      </w:r>
      <w:r>
        <w:t>(6), 611–623. https://doi.org/10.1080/01446190802071182</w:t>
      </w:r>
    </w:p>
    <w:p w14:paraId="656A2F90" w14:textId="77777777" w:rsidR="00D32166" w:rsidRDefault="00FD100D">
      <w:pPr>
        <w:spacing w:after="120" w:line="300" w:lineRule="auto"/>
        <w:ind w:left="720" w:hanging="720"/>
      </w:pPr>
      <w:r>
        <w:t xml:space="preserve">Salon, S. A., Salom, A., &amp; Parra, D. (2025). Accidental adversaries in renewable energy projects: A system dynamics perspective on conflicts and procedural justice with local communities. </w:t>
      </w:r>
      <w:r>
        <w:rPr>
          <w:i/>
          <w:iCs/>
        </w:rPr>
        <w:t>Energy Research &amp; Social Science</w:t>
      </w:r>
      <w:r>
        <w:t xml:space="preserve">, </w:t>
      </w:r>
      <w:r>
        <w:rPr>
          <w:i/>
          <w:iCs/>
        </w:rPr>
        <w:t>127</w:t>
      </w:r>
      <w:r>
        <w:t>, Article 104226. https://doi.org/10.1016/j.erss.2025.104226</w:t>
      </w:r>
    </w:p>
    <w:p w14:paraId="35AF81C0" w14:textId="77777777" w:rsidR="00D32166" w:rsidRDefault="00FD100D">
      <w:pPr>
        <w:spacing w:after="120" w:line="300" w:lineRule="auto"/>
        <w:ind w:left="720" w:hanging="720"/>
      </w:pPr>
      <w:r>
        <w:lastRenderedPageBreak/>
        <w:t xml:space="preserve">Samson, D., &amp; </w:t>
      </w:r>
      <w:proofErr w:type="spellStart"/>
      <w:r>
        <w:t>Terziovski</w:t>
      </w:r>
      <w:proofErr w:type="spellEnd"/>
      <w:r>
        <w:t xml:space="preserve">, M. (1999). The relationship between total quality management practices and operational performance. </w:t>
      </w:r>
      <w:r>
        <w:rPr>
          <w:i/>
          <w:iCs/>
        </w:rPr>
        <w:t>Journal of Operations Management</w:t>
      </w:r>
      <w:r>
        <w:t xml:space="preserve">, </w:t>
      </w:r>
      <w:r>
        <w:rPr>
          <w:i/>
          <w:iCs/>
        </w:rPr>
        <w:t>17</w:t>
      </w:r>
      <w:r>
        <w:t>(4), 393–409. https://doi.org/10.1016/S0272-6963(98)00046-1</w:t>
      </w:r>
    </w:p>
    <w:p w14:paraId="291185CF" w14:textId="77777777" w:rsidR="00D32166" w:rsidRDefault="00FD100D">
      <w:pPr>
        <w:spacing w:after="120" w:line="300" w:lineRule="auto"/>
        <w:ind w:left="720" w:hanging="720"/>
      </w:pPr>
      <w:proofErr w:type="spellStart"/>
      <w:r>
        <w:t>Sciarelli</w:t>
      </w:r>
      <w:proofErr w:type="spellEnd"/>
      <w:r>
        <w:t xml:space="preserve">, M., Gheith, M. H., &amp; Tani, M. (2020). The relationship between soft and hard quality management practices, innovation and organizational performance in higher education. </w:t>
      </w:r>
      <w:r>
        <w:rPr>
          <w:i/>
          <w:iCs/>
        </w:rPr>
        <w:t>The TQM Journal</w:t>
      </w:r>
      <w:r>
        <w:t xml:space="preserve">, </w:t>
      </w:r>
      <w:r>
        <w:rPr>
          <w:i/>
          <w:iCs/>
        </w:rPr>
        <w:t>32</w:t>
      </w:r>
      <w:r>
        <w:t>(6), 1349–1372. https://doi.org/10.1108/TQM-01-2020-0014</w:t>
      </w:r>
    </w:p>
    <w:p w14:paraId="20470E9F" w14:textId="77777777" w:rsidR="00D32166" w:rsidRDefault="00FD100D">
      <w:pPr>
        <w:spacing w:after="120" w:line="300" w:lineRule="auto"/>
        <w:ind w:left="720" w:hanging="720"/>
      </w:pPr>
      <w:r>
        <w:t xml:space="preserve">Shah, S. A., Sultan, K., </w:t>
      </w:r>
      <w:proofErr w:type="spellStart"/>
      <w:r>
        <w:t>Shoukat</w:t>
      </w:r>
      <w:proofErr w:type="spellEnd"/>
      <w:r>
        <w:t xml:space="preserve">, M. H., &amp; Rehman, S. U. (2025). Quality management practices toward project performance in healthcare sector: Modelling the mediating role of intellectual capital. </w:t>
      </w:r>
      <w:r>
        <w:rPr>
          <w:i/>
          <w:iCs/>
        </w:rPr>
        <w:t>International Journal of Quality &amp; Reliability Management</w:t>
      </w:r>
      <w:r>
        <w:t xml:space="preserve">, </w:t>
      </w:r>
      <w:r>
        <w:rPr>
          <w:i/>
          <w:iCs/>
        </w:rPr>
        <w:t>42</w:t>
      </w:r>
      <w:r>
        <w:t>(5), 1507–1526. https://doi.org/10.1108/IJQRM-05-2021-0142</w:t>
      </w:r>
    </w:p>
    <w:p w14:paraId="6108BAFB" w14:textId="77777777" w:rsidR="00D32166" w:rsidRDefault="00FD100D">
      <w:pPr>
        <w:spacing w:after="120" w:line="300" w:lineRule="auto"/>
        <w:ind w:left="720" w:hanging="720"/>
      </w:pPr>
      <w:r>
        <w:t xml:space="preserve">Shortall, R., </w:t>
      </w:r>
      <w:proofErr w:type="spellStart"/>
      <w:r>
        <w:t>Davidsdottir</w:t>
      </w:r>
      <w:proofErr w:type="spellEnd"/>
      <w:r>
        <w:t xml:space="preserve">, B., &amp; Axelsson, G. (2015). A sustainability assessment framework for geothermal energy projects: Development in Iceland, New Zealand and Kenya. </w:t>
      </w:r>
      <w:r>
        <w:rPr>
          <w:i/>
          <w:iCs/>
        </w:rPr>
        <w:t>Renewable and Sustainable Energy Reviews</w:t>
      </w:r>
      <w:r>
        <w:t xml:space="preserve">, </w:t>
      </w:r>
      <w:r>
        <w:rPr>
          <w:i/>
          <w:iCs/>
        </w:rPr>
        <w:t>50</w:t>
      </w:r>
      <w:r>
        <w:t>, 372–407. https://doi.org/10.1016/j.rser.2015.04.175</w:t>
      </w:r>
    </w:p>
    <w:p w14:paraId="26FA2B7E" w14:textId="77777777" w:rsidR="00D32166" w:rsidRDefault="00FD100D">
      <w:pPr>
        <w:spacing w:after="120" w:line="300" w:lineRule="auto"/>
        <w:ind w:left="720" w:hanging="720"/>
      </w:pPr>
      <w:proofErr w:type="spellStart"/>
      <w:r>
        <w:t>Simberg-Koulumies</w:t>
      </w:r>
      <w:proofErr w:type="spellEnd"/>
      <w:r>
        <w:t xml:space="preserve">, N. (2024). Just </w:t>
      </w:r>
      <w:proofErr w:type="spellStart"/>
      <w:r>
        <w:t>sustainabilities</w:t>
      </w:r>
      <w:proofErr w:type="spellEnd"/>
      <w:r>
        <w:t xml:space="preserve">: Lessons from the Lake Turkana Wind Power project in Kenya. </w:t>
      </w:r>
      <w:r>
        <w:rPr>
          <w:i/>
          <w:iCs/>
        </w:rPr>
        <w:t>Local Environment</w:t>
      </w:r>
      <w:r>
        <w:t xml:space="preserve">, </w:t>
      </w:r>
      <w:r>
        <w:rPr>
          <w:i/>
          <w:iCs/>
        </w:rPr>
        <w:t>29</w:t>
      </w:r>
      <w:r>
        <w:t>(1), 40–56. https://doi.org/10.1080/13549839.2023.2249497</w:t>
      </w:r>
    </w:p>
    <w:p w14:paraId="6663415C" w14:textId="77777777" w:rsidR="00D32166" w:rsidRDefault="00FD100D">
      <w:pPr>
        <w:spacing w:after="120" w:line="300" w:lineRule="auto"/>
        <w:ind w:left="720" w:hanging="720"/>
      </w:pPr>
      <w:r>
        <w:t xml:space="preserve">Soares, A., Soltani, E., &amp; Liao, Y. Y. (2017). The influence of supply chain quality management practices on quality performance: An empirical investigation. </w:t>
      </w:r>
      <w:r>
        <w:rPr>
          <w:i/>
          <w:iCs/>
        </w:rPr>
        <w:t>Supply Chain Management: An International Journal</w:t>
      </w:r>
      <w:r>
        <w:t xml:space="preserve">, </w:t>
      </w:r>
      <w:r>
        <w:rPr>
          <w:i/>
          <w:iCs/>
        </w:rPr>
        <w:t>22</w:t>
      </w:r>
      <w:r>
        <w:t>(2), 122–144. https://doi.org/10.1108/SCM-08-2016-0286</w:t>
      </w:r>
    </w:p>
    <w:p w14:paraId="08CF564B" w14:textId="77777777" w:rsidR="00D32166" w:rsidRDefault="00FD100D">
      <w:pPr>
        <w:spacing w:after="120" w:line="300" w:lineRule="auto"/>
        <w:ind w:left="720" w:hanging="720"/>
      </w:pPr>
      <w:r>
        <w:t xml:space="preserve">Song, J., </w:t>
      </w:r>
      <w:proofErr w:type="spellStart"/>
      <w:r>
        <w:t>Munyinda</w:t>
      </w:r>
      <w:proofErr w:type="spellEnd"/>
      <w:r>
        <w:t xml:space="preserve">, M., &amp; Adu Sarfo, P. (2025). Examining the impact of risk management practices on sustainable project performance in the construction industry: The role of stakeholder engagement. </w:t>
      </w:r>
      <w:r>
        <w:rPr>
          <w:i/>
          <w:iCs/>
        </w:rPr>
        <w:t>Frontiers in Built Environment</w:t>
      </w:r>
      <w:r>
        <w:t xml:space="preserve">, </w:t>
      </w:r>
      <w:r>
        <w:rPr>
          <w:i/>
          <w:iCs/>
        </w:rPr>
        <w:t>11</w:t>
      </w:r>
      <w:r>
        <w:t>, Article 1575827. https://doi.org/10.3389/fbuil.2025.1575827</w:t>
      </w:r>
    </w:p>
    <w:p w14:paraId="152E35FE" w14:textId="77777777" w:rsidR="00D32166" w:rsidRDefault="00FD100D">
      <w:pPr>
        <w:spacing w:after="120" w:line="300" w:lineRule="auto"/>
        <w:ind w:left="720" w:hanging="720"/>
      </w:pPr>
      <w:proofErr w:type="spellStart"/>
      <w:r>
        <w:t>Sovacool</w:t>
      </w:r>
      <w:proofErr w:type="spellEnd"/>
      <w:r>
        <w:t xml:space="preserve">, B. K., Mullard, S., &amp; Ceballos, J. C. (2024). "Made for corruption?" Private sector actors, renewable energy, and corruption risks for wind power in Mexico and solar electricity in Kenya. </w:t>
      </w:r>
      <w:r>
        <w:rPr>
          <w:i/>
          <w:iCs/>
        </w:rPr>
        <w:t>The Electricity Journal</w:t>
      </w:r>
      <w:r>
        <w:t xml:space="preserve">, </w:t>
      </w:r>
      <w:r>
        <w:rPr>
          <w:i/>
          <w:iCs/>
        </w:rPr>
        <w:t>37</w:t>
      </w:r>
      <w:r>
        <w:t>(7–10), Article 107448. https://doi.org/10.1016/j.tej.2024.107448</w:t>
      </w:r>
    </w:p>
    <w:p w14:paraId="28DA1456" w14:textId="77777777" w:rsidR="00D32166" w:rsidRDefault="00FD100D">
      <w:pPr>
        <w:spacing w:after="120" w:line="300" w:lineRule="auto"/>
        <w:ind w:left="720" w:hanging="720"/>
      </w:pPr>
      <w:r>
        <w:t xml:space="preserve">Spittler, N., </w:t>
      </w:r>
      <w:proofErr w:type="spellStart"/>
      <w:r>
        <w:t>Davidsdottir</w:t>
      </w:r>
      <w:proofErr w:type="spellEnd"/>
      <w:r>
        <w:t xml:space="preserve">, B., Shafiei, E., &amp; Diemer, A. (2021). Implications of renewable resource dynamics for energy system planning: The case of geothermal and hydropower in Kenya. </w:t>
      </w:r>
      <w:r>
        <w:rPr>
          <w:i/>
          <w:iCs/>
        </w:rPr>
        <w:t>Energy Policy</w:t>
      </w:r>
      <w:r>
        <w:t xml:space="preserve">, </w:t>
      </w:r>
      <w:r>
        <w:rPr>
          <w:i/>
          <w:iCs/>
        </w:rPr>
        <w:t>150</w:t>
      </w:r>
      <w:r>
        <w:t>, Article 111985. https://doi.org/10.1016/j.enpol.2020.111985</w:t>
      </w:r>
    </w:p>
    <w:p w14:paraId="514AF085" w14:textId="77777777" w:rsidR="00D32166" w:rsidRDefault="00FD100D">
      <w:pPr>
        <w:spacing w:after="120" w:line="300" w:lineRule="auto"/>
        <w:ind w:left="720" w:hanging="720"/>
      </w:pPr>
      <w:r>
        <w:t xml:space="preserve">Stadelmann-Steffen, I., &amp; Dermont, C. (2021). Acceptance through inclusion? Political and economic participation and the acceptance of local renewable energy projects in Switzerland. </w:t>
      </w:r>
      <w:r>
        <w:rPr>
          <w:i/>
          <w:iCs/>
        </w:rPr>
        <w:t>Energy Research &amp; Social Science</w:t>
      </w:r>
      <w:r>
        <w:t xml:space="preserve">, </w:t>
      </w:r>
      <w:r>
        <w:rPr>
          <w:i/>
          <w:iCs/>
        </w:rPr>
        <w:t>71</w:t>
      </w:r>
      <w:r>
        <w:t>, Article 101818. https://doi.org/10.1016/j.erss.2020.101818</w:t>
      </w:r>
    </w:p>
    <w:p w14:paraId="42FA10E2" w14:textId="77777777" w:rsidR="00D32166" w:rsidRDefault="00FD100D">
      <w:pPr>
        <w:spacing w:after="120" w:line="300" w:lineRule="auto"/>
        <w:ind w:left="720" w:hanging="720"/>
      </w:pPr>
      <w:r>
        <w:t xml:space="preserve">Toor, S.-u.-R., &amp; Ogunlana, S. O. (2010). Beyond the 'iron triangle': Stakeholder perception of key performance indicators (KPIs) for large-scale public sector development projects. </w:t>
      </w:r>
      <w:r>
        <w:rPr>
          <w:i/>
          <w:iCs/>
        </w:rPr>
        <w:t>International Journal of Project Management</w:t>
      </w:r>
      <w:r>
        <w:t xml:space="preserve">, </w:t>
      </w:r>
      <w:r>
        <w:rPr>
          <w:i/>
          <w:iCs/>
        </w:rPr>
        <w:t>28</w:t>
      </w:r>
      <w:r>
        <w:t>(3), 228–236. https://doi.org/10.1016/j.ijproman.2009.05.005</w:t>
      </w:r>
    </w:p>
    <w:p w14:paraId="0E667D87" w14:textId="77777777" w:rsidR="00D32166" w:rsidRDefault="00FD100D">
      <w:pPr>
        <w:spacing w:after="120" w:line="300" w:lineRule="auto"/>
        <w:ind w:left="720" w:hanging="720"/>
      </w:pPr>
      <w:r>
        <w:lastRenderedPageBreak/>
        <w:t xml:space="preserve">Uribe, D. F., Ortiz-Marcos, I., &amp; </w:t>
      </w:r>
      <w:proofErr w:type="spellStart"/>
      <w:r>
        <w:t>Uruburu</w:t>
      </w:r>
      <w:proofErr w:type="spellEnd"/>
      <w:r>
        <w:t xml:space="preserve">, Á. (2018). What is going on with stakeholder theory in project management literature? A symbiotic relationship for sustainability. </w:t>
      </w:r>
      <w:r>
        <w:rPr>
          <w:i/>
          <w:iCs/>
        </w:rPr>
        <w:t>Sustainability</w:t>
      </w:r>
      <w:r>
        <w:t xml:space="preserve">, </w:t>
      </w:r>
      <w:r>
        <w:rPr>
          <w:i/>
          <w:iCs/>
        </w:rPr>
        <w:t>10</w:t>
      </w:r>
      <w:r>
        <w:t>(4), Article 1300. https://doi.org/10.3390/su10041300</w:t>
      </w:r>
    </w:p>
    <w:p w14:paraId="0CEA6C34" w14:textId="77777777" w:rsidR="00D32166" w:rsidRDefault="00FD100D">
      <w:pPr>
        <w:spacing w:after="120" w:line="300" w:lineRule="auto"/>
        <w:ind w:left="720" w:hanging="720"/>
      </w:pPr>
      <w:proofErr w:type="spellStart"/>
      <w:r>
        <w:t>Valmohammadi</w:t>
      </w:r>
      <w:proofErr w:type="spellEnd"/>
      <w:r>
        <w:t xml:space="preserve">, C., &amp; Kalantari, M. (2015). The moderating effect of motivations on the relationship between obtaining ISO 9001 certification and organizational performance. </w:t>
      </w:r>
      <w:r>
        <w:rPr>
          <w:i/>
          <w:iCs/>
        </w:rPr>
        <w:t>The TQM Journal</w:t>
      </w:r>
      <w:r>
        <w:t xml:space="preserve">, </w:t>
      </w:r>
      <w:r>
        <w:rPr>
          <w:i/>
          <w:iCs/>
        </w:rPr>
        <w:t>27</w:t>
      </w:r>
      <w:r>
        <w:t>(5), 503–518. https://doi.org/10.1108/TQM-05-2014-0042</w:t>
      </w:r>
    </w:p>
    <w:p w14:paraId="1845B74C" w14:textId="77777777" w:rsidR="00D32166" w:rsidRDefault="00FD100D">
      <w:pPr>
        <w:spacing w:after="120" w:line="300" w:lineRule="auto"/>
        <w:ind w:left="720" w:hanging="720"/>
      </w:pPr>
      <w:r>
        <w:t xml:space="preserve">Wagner, N., Rieger, M., Bedi, A. S., Vermeulen, J., &amp; </w:t>
      </w:r>
      <w:proofErr w:type="spellStart"/>
      <w:r>
        <w:t>Demena</w:t>
      </w:r>
      <w:proofErr w:type="spellEnd"/>
      <w:r>
        <w:t xml:space="preserve">, B. A. (2021). The impact of off-grid solar home systems in Kenya on energy consumption and expenditures. </w:t>
      </w:r>
      <w:r>
        <w:rPr>
          <w:i/>
          <w:iCs/>
        </w:rPr>
        <w:t>Energy Economics</w:t>
      </w:r>
      <w:r>
        <w:t xml:space="preserve">, </w:t>
      </w:r>
      <w:r>
        <w:rPr>
          <w:i/>
          <w:iCs/>
        </w:rPr>
        <w:t>99</w:t>
      </w:r>
      <w:r>
        <w:t>, Article 105314. https://doi.org/10.1016/j.eneco.2021.105314</w:t>
      </w:r>
    </w:p>
    <w:p w14:paraId="45959F1F" w14:textId="77777777" w:rsidR="00D32166" w:rsidRDefault="00FD100D">
      <w:pPr>
        <w:spacing w:after="120" w:line="300" w:lineRule="auto"/>
        <w:ind w:left="720" w:hanging="720"/>
      </w:pPr>
      <w:r>
        <w:t xml:space="preserve">Walker, C., &amp; Baxter, J. (2017). Procedural justice in Canadian wind energy development: A comparison of community-based and technocratic siting processes. </w:t>
      </w:r>
      <w:r>
        <w:rPr>
          <w:i/>
          <w:iCs/>
        </w:rPr>
        <w:t>Energy Research &amp; Social Science</w:t>
      </w:r>
      <w:r>
        <w:t xml:space="preserve">, </w:t>
      </w:r>
      <w:r>
        <w:rPr>
          <w:i/>
          <w:iCs/>
        </w:rPr>
        <w:t>29</w:t>
      </w:r>
      <w:r>
        <w:t>, 160–169. https://doi.org/10.1016/j.erss.2017.05.016</w:t>
      </w:r>
    </w:p>
    <w:p w14:paraId="1806512A" w14:textId="77777777" w:rsidR="00D32166" w:rsidRDefault="00FD100D">
      <w:pPr>
        <w:spacing w:after="120" w:line="300" w:lineRule="auto"/>
        <w:ind w:left="720" w:hanging="720"/>
      </w:pPr>
      <w:r>
        <w:t xml:space="preserve">Walker, H., Sinclair, A. J., &amp; </w:t>
      </w:r>
      <w:proofErr w:type="spellStart"/>
      <w:r>
        <w:t>Spaling</w:t>
      </w:r>
      <w:proofErr w:type="spellEnd"/>
      <w:r>
        <w:t xml:space="preserve">, H. (2014). Public participation in and learning through SEA in Kenya. </w:t>
      </w:r>
      <w:r>
        <w:rPr>
          <w:i/>
          <w:iCs/>
        </w:rPr>
        <w:t>Environmental Impact Assessment Review</w:t>
      </w:r>
      <w:r>
        <w:t xml:space="preserve">, </w:t>
      </w:r>
      <w:r>
        <w:rPr>
          <w:i/>
          <w:iCs/>
        </w:rPr>
        <w:t>45</w:t>
      </w:r>
      <w:r>
        <w:t>, 1–9. https://doi.org/10.1016/j.eiar.2013.10.003</w:t>
      </w:r>
    </w:p>
    <w:p w14:paraId="4564771F" w14:textId="77777777" w:rsidR="00D32166" w:rsidRDefault="00FD100D">
      <w:pPr>
        <w:spacing w:after="120" w:line="300" w:lineRule="auto"/>
        <w:ind w:left="720" w:hanging="720"/>
      </w:pPr>
      <w:r>
        <w:t xml:space="preserve">Walker, H., </w:t>
      </w:r>
      <w:proofErr w:type="spellStart"/>
      <w:r>
        <w:t>Spaling</w:t>
      </w:r>
      <w:proofErr w:type="spellEnd"/>
      <w:r>
        <w:t xml:space="preserve">, H., &amp; Sinclair, A. J. (2016). Towards a home-grown approach to strategic environmental assessment: Adapting practice and participation in Kenya. </w:t>
      </w:r>
      <w:r>
        <w:rPr>
          <w:i/>
          <w:iCs/>
        </w:rPr>
        <w:t>Impact Assessment and Project Appraisal</w:t>
      </w:r>
      <w:r>
        <w:t xml:space="preserve">, </w:t>
      </w:r>
      <w:r>
        <w:rPr>
          <w:i/>
          <w:iCs/>
        </w:rPr>
        <w:t>34</w:t>
      </w:r>
      <w:r>
        <w:t>(3), 186–198. https://doi.org/10.1080/14615517.2016.1176409</w:t>
      </w:r>
    </w:p>
    <w:p w14:paraId="3A3AC950" w14:textId="77777777" w:rsidR="00D32166" w:rsidRDefault="00FD100D">
      <w:pPr>
        <w:spacing w:after="120" w:line="300" w:lineRule="auto"/>
        <w:ind w:left="720" w:hanging="720"/>
      </w:pPr>
      <w:proofErr w:type="spellStart"/>
      <w:r>
        <w:t>Wassie</w:t>
      </w:r>
      <w:proofErr w:type="spellEnd"/>
      <w:r>
        <w:t xml:space="preserve">, Y. T., &amp; Ahlgren, E. O. (2023). Performance and reliability analysis of an off-grid PV mini-grid system in rural tropical Africa: A case study in southern Ethiopia. </w:t>
      </w:r>
      <w:r>
        <w:rPr>
          <w:i/>
          <w:iCs/>
        </w:rPr>
        <w:t>Development Engineering</w:t>
      </w:r>
      <w:r>
        <w:t xml:space="preserve">, </w:t>
      </w:r>
      <w:r>
        <w:rPr>
          <w:i/>
          <w:iCs/>
        </w:rPr>
        <w:t>8</w:t>
      </w:r>
      <w:r>
        <w:t>, Article 100106. https://doi.org/10.1016/j.deveng.2022.100106</w:t>
      </w:r>
    </w:p>
    <w:p w14:paraId="7C49CEDC" w14:textId="77777777" w:rsidR="00D32166" w:rsidRDefault="00FD100D">
      <w:pPr>
        <w:spacing w:after="120" w:line="300" w:lineRule="auto"/>
        <w:ind w:left="720" w:hanging="720"/>
      </w:pPr>
      <w:r>
        <w:t xml:space="preserve">Woollacott, J., Henry, C. L., de Hernández, A. B., </w:t>
      </w:r>
      <w:proofErr w:type="spellStart"/>
      <w:r>
        <w:t>DiVenanzo</w:t>
      </w:r>
      <w:proofErr w:type="spellEnd"/>
      <w:r>
        <w:t xml:space="preserve">, L., Oliveira, H., Cai, Y., &amp; Larson, J. (2023). Quantifying the local economic supply chain impacts of renewable energy investment in Kenya. </w:t>
      </w:r>
      <w:r>
        <w:rPr>
          <w:i/>
          <w:iCs/>
        </w:rPr>
        <w:t>Energy Economics</w:t>
      </w:r>
      <w:r>
        <w:t xml:space="preserve">, </w:t>
      </w:r>
      <w:r>
        <w:rPr>
          <w:i/>
          <w:iCs/>
        </w:rPr>
        <w:t>125</w:t>
      </w:r>
      <w:r>
        <w:t>, Article 106810. https://doi.org/10.1016/j.eneco.2023.106810</w:t>
      </w:r>
    </w:p>
    <w:p w14:paraId="3691D518" w14:textId="77777777" w:rsidR="00D32166" w:rsidRDefault="00FD100D">
      <w:pPr>
        <w:spacing w:after="120" w:line="300" w:lineRule="auto"/>
        <w:ind w:left="720" w:hanging="720"/>
      </w:pPr>
      <w:proofErr w:type="spellStart"/>
      <w:r>
        <w:t>Wüstenhagen</w:t>
      </w:r>
      <w:proofErr w:type="spellEnd"/>
      <w:r>
        <w:t xml:space="preserve">, R., </w:t>
      </w:r>
      <w:proofErr w:type="spellStart"/>
      <w:r>
        <w:t>Wolsink</w:t>
      </w:r>
      <w:proofErr w:type="spellEnd"/>
      <w:r>
        <w:t xml:space="preserve">, M., &amp; </w:t>
      </w:r>
      <w:proofErr w:type="spellStart"/>
      <w:r>
        <w:t>Bürer</w:t>
      </w:r>
      <w:proofErr w:type="spellEnd"/>
      <w:r>
        <w:t xml:space="preserve">, M. J. (2007). Social acceptance of renewable energy innovation: An introduction to the concept. </w:t>
      </w:r>
      <w:r>
        <w:rPr>
          <w:i/>
          <w:iCs/>
        </w:rPr>
        <w:t>Energy Policy</w:t>
      </w:r>
      <w:r>
        <w:t xml:space="preserve">, </w:t>
      </w:r>
      <w:r>
        <w:rPr>
          <w:i/>
          <w:iCs/>
        </w:rPr>
        <w:t>35</w:t>
      </w:r>
      <w:r>
        <w:t>(5), 2683–2691. https://doi.org/10.1016/j.enpol.2006.12.001</w:t>
      </w:r>
    </w:p>
    <w:p w14:paraId="13A8C746" w14:textId="77777777" w:rsidR="00D32166" w:rsidRDefault="00FD100D">
      <w:pPr>
        <w:spacing w:after="120" w:line="300" w:lineRule="auto"/>
        <w:ind w:left="720" w:hanging="720"/>
      </w:pPr>
      <w:r>
        <w:t xml:space="preserve">Yang, J., Shen, G. Q., Drew, D. S., &amp; Ho, M. (2010). Critical success factors for stakeholder management: Construction practitioners' perspectives. </w:t>
      </w:r>
      <w:r>
        <w:rPr>
          <w:i/>
          <w:iCs/>
        </w:rPr>
        <w:t>Journal of Construction Engineering and Management</w:t>
      </w:r>
      <w:r>
        <w:t xml:space="preserve">, </w:t>
      </w:r>
      <w:r>
        <w:rPr>
          <w:i/>
          <w:iCs/>
        </w:rPr>
        <w:t>136</w:t>
      </w:r>
      <w:r>
        <w:t>(7), 778–786. https://doi.org/10.1061/(ASCE)CO.1943-7862.0000180</w:t>
      </w:r>
    </w:p>
    <w:p w14:paraId="4CF17BD4" w14:textId="77777777" w:rsidR="00D32166" w:rsidRDefault="00FD100D">
      <w:pPr>
        <w:spacing w:after="120" w:line="300" w:lineRule="auto"/>
        <w:ind w:left="720" w:hanging="720"/>
      </w:pPr>
      <w:r>
        <w:t xml:space="preserve">Zeng, J., Anh Phan, C., &amp; Matsui, Y. (2015). The impact of hard and soft quality management on quality and innovation performance: An empirical study. </w:t>
      </w:r>
      <w:r>
        <w:rPr>
          <w:i/>
          <w:iCs/>
        </w:rPr>
        <w:t>International Journal of Production Economics</w:t>
      </w:r>
      <w:r>
        <w:t xml:space="preserve">, </w:t>
      </w:r>
      <w:r>
        <w:rPr>
          <w:i/>
          <w:iCs/>
        </w:rPr>
        <w:t>162</w:t>
      </w:r>
      <w:r>
        <w:t>, 216–226. https://doi.org/10.1016/j.ijpe.2014.07.006</w:t>
      </w:r>
    </w:p>
    <w:p w14:paraId="67286515" w14:textId="77777777" w:rsidR="00D32166" w:rsidRDefault="00FD100D">
      <w:pPr>
        <w:spacing w:after="120" w:line="300" w:lineRule="auto"/>
        <w:ind w:left="720" w:hanging="720"/>
      </w:pPr>
      <w:r>
        <w:t xml:space="preserve">Zhang, H. M., Chong, H. Y., Zeng, Y., &amp; Zhang, W. (2023). The effective mediating role of stakeholder management in the relationship between BIM implementation and project performance. </w:t>
      </w:r>
      <w:r>
        <w:rPr>
          <w:i/>
          <w:iCs/>
        </w:rPr>
        <w:t>Engineering, Construction and Architectural Management</w:t>
      </w:r>
      <w:r>
        <w:t xml:space="preserve">, </w:t>
      </w:r>
      <w:r>
        <w:rPr>
          <w:i/>
          <w:iCs/>
        </w:rPr>
        <w:t>30</w:t>
      </w:r>
      <w:r>
        <w:t>(6), 2503–2522. https://doi.org/10.1108/ECAM-04-2020-0225</w:t>
      </w:r>
    </w:p>
    <w:sectPr w:rsidR="00D32166">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99817" w14:textId="77777777" w:rsidR="00F70DFF" w:rsidRDefault="00F70DFF" w:rsidP="007C64F3">
      <w:r>
        <w:separator/>
      </w:r>
    </w:p>
  </w:endnote>
  <w:endnote w:type="continuationSeparator" w:id="0">
    <w:p w14:paraId="2942DB1E" w14:textId="77777777" w:rsidR="00F70DFF" w:rsidRDefault="00F70DFF" w:rsidP="007C6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0FBB" w14:textId="77777777" w:rsidR="007C64F3" w:rsidRDefault="007C6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932E" w14:textId="77777777" w:rsidR="007C64F3" w:rsidRDefault="007C64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EAD6" w14:textId="77777777" w:rsidR="007C64F3" w:rsidRDefault="007C6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A386F" w14:textId="77777777" w:rsidR="00F70DFF" w:rsidRDefault="00F70DFF" w:rsidP="007C64F3">
      <w:r>
        <w:separator/>
      </w:r>
    </w:p>
  </w:footnote>
  <w:footnote w:type="continuationSeparator" w:id="0">
    <w:p w14:paraId="03863074" w14:textId="77777777" w:rsidR="00F70DFF" w:rsidRDefault="00F70DFF" w:rsidP="007C6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8D7D" w14:textId="39F36F19" w:rsidR="007C64F3" w:rsidRDefault="007C64F3">
    <w:pPr>
      <w:pStyle w:val="Header"/>
    </w:pPr>
    <w:r>
      <w:rPr>
        <w:noProof/>
      </w:rPr>
      <w:pict w14:anchorId="3DAD3C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245860"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2B75" w14:textId="75040CF3" w:rsidR="007C64F3" w:rsidRDefault="007C64F3">
    <w:pPr>
      <w:pStyle w:val="Header"/>
    </w:pPr>
    <w:r>
      <w:rPr>
        <w:noProof/>
      </w:rPr>
      <w:pict w14:anchorId="3DDD7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245861"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4F522" w14:textId="6E6DD592" w:rsidR="007C64F3" w:rsidRDefault="007C64F3">
    <w:pPr>
      <w:pStyle w:val="Header"/>
    </w:pPr>
    <w:r>
      <w:rPr>
        <w:noProof/>
      </w:rPr>
      <w:pict w14:anchorId="50267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245859"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21788"/>
    <w:multiLevelType w:val="hybridMultilevel"/>
    <w:tmpl w:val="F9AA9798"/>
    <w:lvl w:ilvl="0" w:tplc="3EA00A32">
      <w:start w:val="1"/>
      <w:numFmt w:val="bullet"/>
      <w:lvlText w:val="●"/>
      <w:lvlJc w:val="left"/>
      <w:pPr>
        <w:ind w:left="720" w:hanging="360"/>
      </w:pPr>
    </w:lvl>
    <w:lvl w:ilvl="1" w:tplc="5B46DF7C">
      <w:start w:val="1"/>
      <w:numFmt w:val="bullet"/>
      <w:lvlText w:val="○"/>
      <w:lvlJc w:val="left"/>
      <w:pPr>
        <w:ind w:left="1440" w:hanging="360"/>
      </w:pPr>
    </w:lvl>
    <w:lvl w:ilvl="2" w:tplc="48C65232">
      <w:start w:val="1"/>
      <w:numFmt w:val="bullet"/>
      <w:lvlText w:val="■"/>
      <w:lvlJc w:val="left"/>
      <w:pPr>
        <w:ind w:left="2160" w:hanging="360"/>
      </w:pPr>
    </w:lvl>
    <w:lvl w:ilvl="3" w:tplc="A5F2B400">
      <w:start w:val="1"/>
      <w:numFmt w:val="bullet"/>
      <w:lvlText w:val="●"/>
      <w:lvlJc w:val="left"/>
      <w:pPr>
        <w:ind w:left="2880" w:hanging="360"/>
      </w:pPr>
    </w:lvl>
    <w:lvl w:ilvl="4" w:tplc="0E623526">
      <w:start w:val="1"/>
      <w:numFmt w:val="bullet"/>
      <w:lvlText w:val="○"/>
      <w:lvlJc w:val="left"/>
      <w:pPr>
        <w:ind w:left="3600" w:hanging="360"/>
      </w:pPr>
    </w:lvl>
    <w:lvl w:ilvl="5" w:tplc="3AA65FA6">
      <w:start w:val="1"/>
      <w:numFmt w:val="bullet"/>
      <w:lvlText w:val="■"/>
      <w:lvlJc w:val="left"/>
      <w:pPr>
        <w:ind w:left="4320" w:hanging="360"/>
      </w:pPr>
    </w:lvl>
    <w:lvl w:ilvl="6" w:tplc="E6DC4A86">
      <w:start w:val="1"/>
      <w:numFmt w:val="bullet"/>
      <w:lvlText w:val="●"/>
      <w:lvlJc w:val="left"/>
      <w:pPr>
        <w:ind w:left="5040" w:hanging="360"/>
      </w:pPr>
    </w:lvl>
    <w:lvl w:ilvl="7" w:tplc="7A9E7EF6">
      <w:start w:val="1"/>
      <w:numFmt w:val="bullet"/>
      <w:lvlText w:val="●"/>
      <w:lvlJc w:val="left"/>
      <w:pPr>
        <w:ind w:left="5760" w:hanging="360"/>
      </w:pPr>
    </w:lvl>
    <w:lvl w:ilvl="8" w:tplc="08F4CC54">
      <w:start w:val="1"/>
      <w:numFmt w:val="bullet"/>
      <w:lvlText w:val="●"/>
      <w:lvlJc w:val="left"/>
      <w:pPr>
        <w:ind w:left="6480" w:hanging="360"/>
      </w:pPr>
    </w:lvl>
  </w:abstractNum>
  <w:num w:numId="1" w16cid:durableId="20070474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166"/>
    <w:rsid w:val="0038344D"/>
    <w:rsid w:val="007C64F3"/>
    <w:rsid w:val="008A16AA"/>
    <w:rsid w:val="00A878A5"/>
    <w:rsid w:val="00D32166"/>
    <w:rsid w:val="00F70DFF"/>
    <w:rsid w:val="00FD10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77737"/>
  <w15:docId w15:val="{144AD84E-2548-4A8E-8B41-8B8BCA72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C64F3"/>
    <w:pPr>
      <w:tabs>
        <w:tab w:val="center" w:pos="4680"/>
        <w:tab w:val="right" w:pos="9360"/>
      </w:tabs>
    </w:pPr>
  </w:style>
  <w:style w:type="character" w:customStyle="1" w:styleId="HeaderChar">
    <w:name w:val="Header Char"/>
    <w:basedOn w:val="DefaultParagraphFont"/>
    <w:link w:val="Header"/>
    <w:uiPriority w:val="99"/>
    <w:rsid w:val="007C64F3"/>
  </w:style>
  <w:style w:type="paragraph" w:styleId="Footer">
    <w:name w:val="footer"/>
    <w:basedOn w:val="Normal"/>
    <w:link w:val="FooterChar"/>
    <w:uiPriority w:val="99"/>
    <w:unhideWhenUsed/>
    <w:rsid w:val="007C64F3"/>
    <w:pPr>
      <w:tabs>
        <w:tab w:val="center" w:pos="4680"/>
        <w:tab w:val="right" w:pos="9360"/>
      </w:tabs>
    </w:pPr>
  </w:style>
  <w:style w:type="character" w:customStyle="1" w:styleId="FooterChar">
    <w:name w:val="Footer Char"/>
    <w:basedOn w:val="DefaultParagraphFont"/>
    <w:link w:val="Footer"/>
    <w:uiPriority w:val="99"/>
    <w:rsid w:val="007C6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40</Pages>
  <Words>20243</Words>
  <Characters>115390</Characters>
  <Application>Microsoft Office Word</Application>
  <DocSecurity>0</DocSecurity>
  <Lines>961</Lines>
  <Paragraphs>270</Paragraphs>
  <ScaleCrop>false</ScaleCrop>
  <Company/>
  <LinksUpToDate>false</LinksUpToDate>
  <CharactersWithSpaces>135363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5</cp:revision>
  <dcterms:created xsi:type="dcterms:W3CDTF">2026-09-12T10:55:00Z</dcterms:created>
  <dcterms:modified xsi:type="dcterms:W3CDTF">2026-09-14T11:51:00Z</dcterms:modified>
</cp:coreProperties>
</file>