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CC1791" w14:textId="77777777" w:rsidR="00FE593F" w:rsidRPr="00983732" w:rsidRDefault="004E2748">
      <w:pPr>
        <w:spacing w:after="100"/>
        <w:jc w:val="center"/>
        <w:rPr>
          <w:b/>
          <w:color w:val="000000"/>
          <w:sz w:val="48"/>
          <w:szCs w:val="48"/>
        </w:rPr>
      </w:pPr>
      <w:r w:rsidRPr="00983732">
        <w:rPr>
          <w:b/>
          <w:color w:val="000000"/>
          <w:sz w:val="48"/>
          <w:szCs w:val="48"/>
        </w:rPr>
        <w:t>RENEWABLE-ENERGY MOBILITY SYSTEMS AND SOCIAL SUSTAINABILITY: A CASE-BASED EVALUATION OF AFRICAN AND ASIAN CITIES</w:t>
      </w:r>
    </w:p>
    <w:p w14:paraId="4FB0DDD5" w14:textId="77777777" w:rsidR="00674A1E" w:rsidRPr="00983732" w:rsidRDefault="00674A1E">
      <w:pPr>
        <w:spacing w:after="100"/>
        <w:jc w:val="center"/>
        <w:rPr>
          <w:sz w:val="48"/>
          <w:szCs w:val="48"/>
        </w:rPr>
      </w:pPr>
    </w:p>
    <w:p w14:paraId="68C527EE" w14:textId="77777777" w:rsidR="00FE593F" w:rsidRDefault="00FE593F">
      <w:pPr>
        <w:spacing w:after="20"/>
        <w:rPr>
          <w:color w:val="000000"/>
          <w:sz w:val="19"/>
          <w:szCs w:val="19"/>
        </w:rPr>
      </w:pPr>
    </w:p>
    <w:p w14:paraId="5A2A3921" w14:textId="77777777" w:rsidR="00553BFA" w:rsidRPr="00983732" w:rsidRDefault="00553BFA">
      <w:pPr>
        <w:spacing w:after="20"/>
        <w:rPr>
          <w:color w:val="000000"/>
          <w:sz w:val="19"/>
          <w:szCs w:val="19"/>
        </w:rPr>
      </w:pPr>
    </w:p>
    <w:p w14:paraId="6E99C686" w14:textId="77777777" w:rsidR="00FE593F" w:rsidRPr="00983732" w:rsidRDefault="004E2748">
      <w:pPr>
        <w:pStyle w:val="Heading1"/>
        <w:rPr>
          <w:bCs w:val="0"/>
        </w:rPr>
      </w:pPr>
      <w:r w:rsidRPr="00983732">
        <w:rPr>
          <w:rFonts w:ascii="Times New Roman" w:hAnsi="Times New Roman"/>
          <w:bCs w:val="0"/>
          <w:sz w:val="24"/>
        </w:rPr>
        <w:t>Abstract</w:t>
      </w:r>
    </w:p>
    <w:p w14:paraId="1C62068E" w14:textId="77777777" w:rsidR="00FE593F" w:rsidRPr="00983732" w:rsidRDefault="004E2748">
      <w:pPr>
        <w:rPr>
          <w:color w:val="000000"/>
          <w:sz w:val="19"/>
          <w:szCs w:val="19"/>
        </w:rPr>
      </w:pPr>
      <w:r w:rsidRPr="00983732">
        <w:rPr>
          <w:color w:val="000000"/>
          <w:sz w:val="19"/>
          <w:szCs w:val="19"/>
        </w:rPr>
        <w:t>Renewable-energy mobility is expanding across developing cities, yet its social-sustainability effects remain less established than its environmental and technological benefits. This study examined how renewable-energy mobility systems influenced affordability, accessibility, employment, local capability, gender inclusion and spatial equity in Addis Ababa, Nairobi, Lagos, Delhi and Shenzhen. A qualitative multiple-case design drew on peer-reviewed studies, policy documents, transport-agency records, project reports and development-organisation publications. Evidence was analysed through within-case coding and cross-case pattern matching, guided by socio-technical transitions, energy justice, mobility justice, sustainable livelihoods and institutional perspectives. Findings showed that electric rail and bus systems were associated with improved service reliability, wider urban access, reduced local air and noise pollution, and emerging technical employment. However, outcomes varied with fare design, route coverage, first- and last-mile integration, electricity and charging reliability, institutional coordination, long-term finance and domestic technical capability. Delhi and Shenzhen demonstrated the benefits of scale and coordinated implementation, while the African cases revealed constraints associated with infrastructure, financing and implementation maturity. The study concludes that cleaner mobility does not automatically produce equitable mobility. Renewable-energy transport should therefore be evaluated through distributional and social-performance indicators alongside environmental and operational measures.</w:t>
      </w:r>
    </w:p>
    <w:p w14:paraId="77A2436F" w14:textId="77777777" w:rsidR="00FE593F" w:rsidRPr="00983732" w:rsidRDefault="004E2748">
      <w:pPr>
        <w:rPr>
          <w:color w:val="000000"/>
          <w:sz w:val="19"/>
          <w:szCs w:val="19"/>
        </w:rPr>
      </w:pPr>
      <w:r w:rsidRPr="00983732">
        <w:rPr>
          <w:b/>
          <w:bCs/>
          <w:color w:val="000000"/>
          <w:sz w:val="19"/>
          <w:szCs w:val="19"/>
        </w:rPr>
        <w:t>Keywords:</w:t>
      </w:r>
      <w:r w:rsidRPr="00983732">
        <w:rPr>
          <w:color w:val="000000"/>
          <w:sz w:val="19"/>
          <w:szCs w:val="19"/>
        </w:rPr>
        <w:t xml:space="preserve"> renewable-energy mobility; electric public transport; social sustainability; mobility justice; urban accessibility; transport equity</w:t>
      </w:r>
    </w:p>
    <w:p w14:paraId="2701EEF7" w14:textId="77777777" w:rsidR="00FE593F" w:rsidRPr="00983732" w:rsidRDefault="004E2748">
      <w:pPr>
        <w:pStyle w:val="Heading1"/>
        <w:rPr>
          <w:rFonts w:ascii="Times New Roman" w:hAnsi="Times New Roman" w:cs="Times New Roman"/>
          <w:bCs w:val="0"/>
          <w:sz w:val="22"/>
          <w:szCs w:val="22"/>
        </w:rPr>
      </w:pPr>
      <w:r w:rsidRPr="00983732">
        <w:rPr>
          <w:rFonts w:ascii="Times New Roman" w:hAnsi="Times New Roman" w:cs="Times New Roman"/>
          <w:bCs w:val="0"/>
          <w:sz w:val="22"/>
          <w:szCs w:val="22"/>
        </w:rPr>
        <w:t>1.</w:t>
      </w:r>
      <w:r w:rsidRPr="00983732">
        <w:rPr>
          <w:rFonts w:ascii="Times New Roman" w:hAnsi="Times New Roman" w:cs="Times New Roman"/>
          <w:bCs w:val="0"/>
          <w:sz w:val="22"/>
          <w:szCs w:val="22"/>
          <w:lang w:val="en-CA"/>
        </w:rPr>
        <w:t>0</w:t>
      </w:r>
      <w:r w:rsidRPr="00983732">
        <w:rPr>
          <w:rFonts w:ascii="Times New Roman" w:hAnsi="Times New Roman" w:cs="Times New Roman"/>
          <w:bCs w:val="0"/>
          <w:sz w:val="22"/>
          <w:szCs w:val="22"/>
        </w:rPr>
        <w:t xml:space="preserve"> Introduction</w:t>
      </w:r>
    </w:p>
    <w:p w14:paraId="1039341A"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t>Urban transport is undergoing a transition toward electrification and renewable-energy-based mobility, driven by climate commitments, deteriorating air quality, energy-security concerns and advances in electric vehicles, charging infrastructure and digital mobility systems. Across developing economies, electric buses, rail systems, renewable-powered charging and battery technologies are increasingly incorporated into transport and urban-development strategies (Agyeman et al., 2023; Gao &amp; Zhang, 2022).</w:t>
      </w:r>
    </w:p>
    <w:p w14:paraId="7D909006"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t>This transition supports the objectives of SDGs 7, 9, 11 and 13 by linking clean energy, resilient infrastructure, sustainable cities and climate action (International Energy Agency, 2022; Liu et al., 2021). Its significance, however, extends beyond emission reduction and technological efficiency. Urban mobility determines access to employment, education, health care and markets, while transport costs and service distribution can reinforce existing socioeconomic inequalities.</w:t>
      </w:r>
    </w:p>
    <w:p w14:paraId="2DF23A6E"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t>Renewable-energy mobility should therefore be assessed by both technical performance and social outcomes. Cleaner vehicles may reduce pollution and operating costs, but equitable benefits depend on affordability, spatial coverage, service reliability, inclusive design, employment effects and institutional capacity. This social dimension is particularly important in African and Asian cities, where rapid urbanisation, infrastructure constraints, informal transport systems and unequal access to mobility shape the outcomes of technological transition.</w:t>
      </w:r>
    </w:p>
    <w:p w14:paraId="40B8585D" w14:textId="77777777" w:rsidR="00FE593F" w:rsidRPr="00983732" w:rsidRDefault="00FE593F">
      <w:pPr>
        <w:ind w:firstLine="317"/>
        <w:rPr>
          <w:rFonts w:cs="Times New Roman"/>
          <w:color w:val="000000"/>
          <w:sz w:val="19"/>
          <w:szCs w:val="19"/>
        </w:rPr>
      </w:pPr>
    </w:p>
    <w:p w14:paraId="7B22CFC8" w14:textId="77777777" w:rsidR="00FE593F" w:rsidRPr="00983732" w:rsidRDefault="004E2748">
      <w:pPr>
        <w:pStyle w:val="Heading2"/>
        <w:rPr>
          <w:rFonts w:ascii="Times New Roman" w:hAnsi="Times New Roman" w:cs="Times New Roman"/>
          <w:bCs w:val="0"/>
          <w:sz w:val="22"/>
          <w:szCs w:val="22"/>
        </w:rPr>
      </w:pPr>
      <w:r w:rsidRPr="00983732">
        <w:rPr>
          <w:rFonts w:ascii="Times New Roman" w:hAnsi="Times New Roman" w:cs="Times New Roman"/>
          <w:bCs w:val="0"/>
          <w:sz w:val="22"/>
          <w:szCs w:val="22"/>
        </w:rPr>
        <w:t>1.1 Research problem and gap</w:t>
      </w:r>
    </w:p>
    <w:p w14:paraId="018A305C"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t>Renewable-energy mobility is increasingly promoted as a response to urban pollution, fossil-fuel dependence and inefficient transport systems. However, cleaner technology does not necessarily produce socially equitable mobility. Low-income households, women, peripheral communities and other disadvantaged groups may still face high fares, weak spatial coverage, poor first- and last-mile connectivity and limited participation in transport decisions (Chakraborty &amp; Singh, 2021; Mitullah &amp; Opiyo, 2023).</w:t>
      </w:r>
    </w:p>
    <w:p w14:paraId="2D6DE0E9"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lastRenderedPageBreak/>
        <w:t>Existing research remains more concentrated on technological performance, environmental benefits and system optimisation than on affordability, accessibility, employment, gender inclusion and community welfare (Kumar et al., 2023; Ugochukwu &amp; Fadare, 2024). Evidence is also uneven across African pilot-stage systems and more mature Asian programmes, limiting direct comparison.</w:t>
      </w:r>
    </w:p>
    <w:p w14:paraId="6B5A19EB"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t>This study addressed that gap by applying a common social-sustainability framework to five African and Asian cities and examining the conditions under which renewable-energy mobility produced more inclusive outcomes.</w:t>
      </w:r>
    </w:p>
    <w:p w14:paraId="7AA13874" w14:textId="77777777" w:rsidR="00FE593F" w:rsidRPr="00983732" w:rsidRDefault="00FE593F">
      <w:pPr>
        <w:ind w:firstLine="317"/>
        <w:rPr>
          <w:rFonts w:cs="Times New Roman"/>
          <w:color w:val="000000"/>
          <w:sz w:val="19"/>
          <w:szCs w:val="19"/>
        </w:rPr>
      </w:pPr>
    </w:p>
    <w:p w14:paraId="15FFA7EA" w14:textId="77777777" w:rsidR="00FE593F" w:rsidRPr="00983732" w:rsidRDefault="004E2748">
      <w:pPr>
        <w:pStyle w:val="Heading2"/>
        <w:rPr>
          <w:rFonts w:ascii="Times New Roman" w:hAnsi="Times New Roman" w:cs="Times New Roman"/>
          <w:bCs w:val="0"/>
          <w:sz w:val="22"/>
          <w:szCs w:val="22"/>
        </w:rPr>
      </w:pPr>
      <w:r w:rsidRPr="00983732">
        <w:rPr>
          <w:rFonts w:ascii="Times New Roman" w:hAnsi="Times New Roman" w:cs="Times New Roman"/>
          <w:bCs w:val="0"/>
          <w:sz w:val="22"/>
          <w:szCs w:val="22"/>
        </w:rPr>
        <w:t>1.2 Research questions and objectives</w:t>
      </w:r>
    </w:p>
    <w:p w14:paraId="0BD97388"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t>The study addressed the following question:</w:t>
      </w:r>
    </w:p>
    <w:p w14:paraId="3031F2BD"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t>How do renewable-energy mobility systems shape social sustainability across selected African and Asian cities, and what conditions determine equitable outcomes?</w:t>
      </w:r>
    </w:p>
    <w:p w14:paraId="0739F755"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t>Accordingly, the study sought to:</w:t>
      </w:r>
    </w:p>
    <w:p w14:paraId="55D233F8" w14:textId="77777777" w:rsidR="00FE593F" w:rsidRPr="00983732" w:rsidRDefault="004E2748">
      <w:pPr>
        <w:numPr>
          <w:ilvl w:val="0"/>
          <w:numId w:val="7"/>
        </w:numPr>
        <w:rPr>
          <w:rFonts w:cs="Times New Roman"/>
          <w:color w:val="000000"/>
          <w:sz w:val="19"/>
          <w:szCs w:val="19"/>
        </w:rPr>
      </w:pPr>
      <w:r w:rsidRPr="00983732">
        <w:rPr>
          <w:rFonts w:cs="Times New Roman"/>
          <w:color w:val="000000"/>
          <w:sz w:val="19"/>
          <w:szCs w:val="19"/>
        </w:rPr>
        <w:t>examine the effects of renewable-energy mobility on affordability, accessibility, employment, inclusion and public-health co-benefits;</w:t>
      </w:r>
    </w:p>
    <w:p w14:paraId="7C20A4DB" w14:textId="77777777" w:rsidR="00FE593F" w:rsidRPr="00983732" w:rsidRDefault="004E2748">
      <w:pPr>
        <w:numPr>
          <w:ilvl w:val="0"/>
          <w:numId w:val="7"/>
        </w:numPr>
        <w:rPr>
          <w:rFonts w:cs="Times New Roman"/>
          <w:color w:val="000000"/>
          <w:sz w:val="19"/>
          <w:szCs w:val="19"/>
        </w:rPr>
      </w:pPr>
      <w:r w:rsidRPr="00983732">
        <w:rPr>
          <w:rFonts w:cs="Times New Roman"/>
          <w:color w:val="000000"/>
          <w:sz w:val="19"/>
          <w:szCs w:val="19"/>
        </w:rPr>
        <w:t>compare these outcomes across Addis Ababa, Nairobi, Lagos, Delhi and Shenzhen;</w:t>
      </w:r>
    </w:p>
    <w:p w14:paraId="0B6157C1" w14:textId="77777777" w:rsidR="00FE593F" w:rsidRPr="00983732" w:rsidRDefault="004E2748">
      <w:pPr>
        <w:numPr>
          <w:ilvl w:val="0"/>
          <w:numId w:val="7"/>
        </w:numPr>
        <w:rPr>
          <w:rFonts w:cs="Times New Roman"/>
          <w:color w:val="000000"/>
          <w:sz w:val="19"/>
          <w:szCs w:val="19"/>
        </w:rPr>
      </w:pPr>
      <w:r w:rsidRPr="00983732">
        <w:rPr>
          <w:rFonts w:cs="Times New Roman"/>
          <w:color w:val="000000"/>
          <w:sz w:val="19"/>
          <w:szCs w:val="19"/>
        </w:rPr>
        <w:t>identify the financial, institutional, infrastructural and technical conditions shaping observed outcomes; and</w:t>
      </w:r>
    </w:p>
    <w:p w14:paraId="307033B2" w14:textId="77777777" w:rsidR="00FE593F" w:rsidRPr="00983732" w:rsidRDefault="004E2748">
      <w:pPr>
        <w:numPr>
          <w:ilvl w:val="0"/>
          <w:numId w:val="7"/>
        </w:numPr>
        <w:rPr>
          <w:rFonts w:cs="Times New Roman"/>
          <w:color w:val="000000"/>
          <w:sz w:val="19"/>
          <w:szCs w:val="19"/>
        </w:rPr>
      </w:pPr>
      <w:r w:rsidRPr="00983732">
        <w:rPr>
          <w:rFonts w:cs="Times New Roman"/>
          <w:color w:val="000000"/>
          <w:sz w:val="19"/>
          <w:szCs w:val="19"/>
        </w:rPr>
        <w:t>derive policy lessons for socially equitable renewable-mobility transitions.</w:t>
      </w:r>
    </w:p>
    <w:p w14:paraId="5B7C106D" w14:textId="77777777" w:rsidR="00FE593F" w:rsidRPr="00983732" w:rsidRDefault="00FE593F">
      <w:pPr>
        <w:ind w:firstLine="317"/>
        <w:rPr>
          <w:rFonts w:cs="Times New Roman"/>
          <w:color w:val="000000"/>
          <w:sz w:val="19"/>
          <w:szCs w:val="19"/>
        </w:rPr>
      </w:pPr>
    </w:p>
    <w:p w14:paraId="418EFA7E" w14:textId="77777777" w:rsidR="00FE593F" w:rsidRPr="00983732" w:rsidRDefault="004E2748">
      <w:pPr>
        <w:pStyle w:val="Heading2"/>
        <w:rPr>
          <w:rFonts w:ascii="Times New Roman" w:hAnsi="Times New Roman" w:cs="Times New Roman"/>
          <w:bCs w:val="0"/>
          <w:sz w:val="22"/>
          <w:szCs w:val="22"/>
        </w:rPr>
      </w:pPr>
      <w:r w:rsidRPr="00983732">
        <w:rPr>
          <w:rFonts w:ascii="Times New Roman" w:hAnsi="Times New Roman" w:cs="Times New Roman"/>
          <w:bCs w:val="0"/>
          <w:sz w:val="22"/>
          <w:szCs w:val="22"/>
        </w:rPr>
        <w:t>1.3 Scope, significance and contribution</w:t>
      </w:r>
    </w:p>
    <w:p w14:paraId="252C85E6"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t>The study focused on renewable-energy public-transport systems in Addis Ababa, Nairobi, Lagos, Delhi and Shenzhen, selected to reflect variation in regional context, technology, implementation maturity and institutional capacity. It examined social-sustainability outcomes through affordability, accessibility, employment and local capability, gender and social inclusion, and public-health co-benefits.</w:t>
      </w:r>
    </w:p>
    <w:p w14:paraId="38197F07"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t>The study contributes by applying a common justice-based framework to cases that are often assessed separately or primarily through technological and environmental indicators. It shows that cleaner mobility does not automatically produce equitable mobility; outcomes depend on fare design, network coverage, institutional coordination, infrastructure reliability, financing and local capability. The study therefore provides a comparative basis for evaluating renewable-energy mobility as both a transport transition and a social-development intervention, with policy relevance for cities pursuing inclusive low-carbon mobility.</w:t>
      </w:r>
    </w:p>
    <w:p w14:paraId="452B0B68" w14:textId="77777777" w:rsidR="00FE593F" w:rsidRPr="00983732" w:rsidRDefault="004E2748">
      <w:pPr>
        <w:pStyle w:val="Heading1"/>
        <w:rPr>
          <w:rFonts w:ascii="Times New Roman" w:hAnsi="Times New Roman" w:cs="Times New Roman"/>
          <w:bCs w:val="0"/>
          <w:sz w:val="22"/>
          <w:szCs w:val="22"/>
        </w:rPr>
      </w:pPr>
      <w:r w:rsidRPr="00983732">
        <w:rPr>
          <w:rFonts w:ascii="Times New Roman" w:hAnsi="Times New Roman" w:cs="Times New Roman"/>
          <w:bCs w:val="0"/>
          <w:sz w:val="22"/>
          <w:szCs w:val="22"/>
        </w:rPr>
        <w:t>2.</w:t>
      </w:r>
      <w:r w:rsidRPr="00983732">
        <w:rPr>
          <w:rFonts w:ascii="Times New Roman" w:hAnsi="Times New Roman" w:cs="Times New Roman"/>
          <w:bCs w:val="0"/>
          <w:sz w:val="22"/>
          <w:szCs w:val="22"/>
          <w:lang w:val="en-CA"/>
        </w:rPr>
        <w:t>0</w:t>
      </w:r>
      <w:r w:rsidRPr="00983732">
        <w:rPr>
          <w:rFonts w:ascii="Times New Roman" w:hAnsi="Times New Roman" w:cs="Times New Roman"/>
          <w:bCs w:val="0"/>
          <w:sz w:val="22"/>
          <w:szCs w:val="22"/>
        </w:rPr>
        <w:t xml:space="preserve"> Literature Review</w:t>
      </w:r>
    </w:p>
    <w:p w14:paraId="1F6162C9"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Renewable-energy mobility is increasingly promoted as a response to urban pollution, fossil-fuel dependence and inefficient transport systems. However, cleaner technology does not necessarily produce socially equitable mobility. Low-income households, women, peripheral communities and other disadvantaged groups may still face high fares, weak spatial coverage, poor first- and last-mile connectivity and limited participation in transport decisions (Chakraborty &amp; Singh, 2021; Mitullah &amp; Opiyo, 2023).</w:t>
      </w:r>
    </w:p>
    <w:p w14:paraId="76176FDD"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Existing research remains more concentrated on technological performance, environmental benefits and system optimisation than on affordability, accessibility, employment, gender inclusion and community welfare (Kumar et al., 2023; Ugochukwu &amp; Fadare, 2024). Evidence is also uneven across African pilot-stage systems and more mature Asian programmes, limiting direct comparison.</w:t>
      </w:r>
    </w:p>
    <w:p w14:paraId="7C2B6FFC"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This study addressed that gap by applying a common social-sustainability framework to five African and Asian cities and examining the conditions under which renewable-energy mobility produced more inclusive outcomes.</w:t>
      </w:r>
    </w:p>
    <w:p w14:paraId="29741CBF" w14:textId="77777777" w:rsidR="00FE593F" w:rsidRPr="00983732" w:rsidRDefault="00FE593F">
      <w:pPr>
        <w:pStyle w:val="Heading2"/>
        <w:rPr>
          <w:rFonts w:ascii="Times New Roman" w:hAnsi="Times New Roman" w:cs="Times New Roman"/>
          <w:b w:val="0"/>
          <w:sz w:val="19"/>
          <w:szCs w:val="19"/>
        </w:rPr>
      </w:pPr>
    </w:p>
    <w:p w14:paraId="667F8B26" w14:textId="77777777" w:rsidR="00FE593F" w:rsidRPr="00983732" w:rsidRDefault="004E2748">
      <w:pPr>
        <w:pStyle w:val="Heading2"/>
        <w:rPr>
          <w:rFonts w:ascii="Times New Roman" w:hAnsi="Times New Roman" w:cs="Times New Roman"/>
          <w:b w:val="0"/>
          <w:sz w:val="22"/>
          <w:szCs w:val="22"/>
        </w:rPr>
      </w:pPr>
      <w:r w:rsidRPr="00983732">
        <w:rPr>
          <w:rFonts w:ascii="Times New Roman" w:hAnsi="Times New Roman" w:cs="Times New Roman"/>
          <w:bCs w:val="0"/>
          <w:sz w:val="22"/>
          <w:szCs w:val="22"/>
        </w:rPr>
        <w:t>2.1 Conceptual Review</w:t>
      </w:r>
    </w:p>
    <w:p w14:paraId="460A20BF"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t>The conceptual review links the technological characteristics of renewable-energy mobility with the social outcomes used to assess its sustainability. It focuses on renewable-energy mobility systems, social sustainability, mobility justice and transport equity, transport-energy transition, accessibility and inclusive mobility, and system innovation.</w:t>
      </w:r>
    </w:p>
    <w:p w14:paraId="0D972777" w14:textId="77777777" w:rsidR="00FE593F" w:rsidRPr="00983732" w:rsidRDefault="004E2748">
      <w:pPr>
        <w:ind w:firstLine="317"/>
        <w:rPr>
          <w:rFonts w:cs="Times New Roman"/>
          <w:b/>
          <w:bCs/>
          <w:color w:val="000000"/>
          <w:sz w:val="22"/>
        </w:rPr>
      </w:pPr>
      <w:r w:rsidRPr="00983732">
        <w:rPr>
          <w:rFonts w:cs="Times New Roman"/>
          <w:b/>
          <w:bCs/>
          <w:color w:val="000000"/>
          <w:sz w:val="22"/>
        </w:rPr>
        <w:t>2.1.1 Renewable-Energy Mobility Systems</w:t>
      </w:r>
    </w:p>
    <w:p w14:paraId="7AD1BF2B"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t>Renewable-energy mobility comprises transport systems powered wholly or partly by low-carbon or renewable energy, including electric buses and rail, renewable-powered charging, battery-swapping systems and supporting digital platforms (Agyeman et al., 2023; Gao &amp; Zhang, 2022). Such systems can reduce dependence on fossil fuels, improve urban environmental performance and support energy diversification and technological development (IRENA, 2022; Ayamga et al., 2024). Their sustainability, however, depends on how technological gains translate into reliable, affordable and inclusive mobility.</w:t>
      </w:r>
    </w:p>
    <w:p w14:paraId="5B9FC4A3" w14:textId="77777777" w:rsidR="00FE593F" w:rsidRPr="00983732" w:rsidRDefault="004E2748">
      <w:pPr>
        <w:ind w:firstLine="317"/>
        <w:rPr>
          <w:rFonts w:cs="Times New Roman"/>
          <w:b/>
          <w:bCs/>
          <w:color w:val="000000"/>
          <w:sz w:val="22"/>
        </w:rPr>
      </w:pPr>
      <w:r w:rsidRPr="00983732">
        <w:rPr>
          <w:rFonts w:cs="Times New Roman"/>
          <w:b/>
          <w:bCs/>
          <w:color w:val="000000"/>
          <w:sz w:val="22"/>
        </w:rPr>
        <w:lastRenderedPageBreak/>
        <w:t>2.1.2 Social Sustainability</w:t>
      </w:r>
    </w:p>
    <w:p w14:paraId="1B479056"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t>Social sustainability concerns the extent to which transport systems improve access, livelihoods, employment and equitable participation in urban life. In renewable mobility, relevant outcomes include affordability, accessibility, employment opportunities, gender inclusion and the distribution of benefits across social groups (Mendoza et al., 2020; Ugochukwu &amp; Fadare, 2024). This perspective extends evaluation beyond environmental performance to whether clean-mobility investments improve welfare among low-income and otherwise underserved populations (Chakraborty &amp; Singh, 2021).</w:t>
      </w:r>
    </w:p>
    <w:p w14:paraId="2378F508" w14:textId="77777777" w:rsidR="00FE593F" w:rsidRPr="00983732" w:rsidRDefault="004E2748">
      <w:pPr>
        <w:ind w:firstLine="317"/>
        <w:rPr>
          <w:rFonts w:cs="Times New Roman"/>
          <w:b/>
          <w:bCs/>
          <w:color w:val="000000"/>
          <w:sz w:val="22"/>
        </w:rPr>
      </w:pPr>
      <w:r w:rsidRPr="00983732">
        <w:rPr>
          <w:rFonts w:cs="Times New Roman"/>
          <w:b/>
          <w:bCs/>
          <w:color w:val="000000"/>
          <w:sz w:val="22"/>
        </w:rPr>
        <w:t>2.1.3 Mobility Justice and Transport Equity</w:t>
      </w:r>
    </w:p>
    <w:p w14:paraId="725CF9D0"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t>Mobility justice and transport equity concern the fair distribution of mobility opportunities, costs and benefits. Safe, reliable and affordable transport supports participation in employment and social life, yet disadvantaged communities frequently experience weaker services, longer journeys and higher transport burdens (van der Kloof et al., 2022; Mitullah &amp; Opiyo, 2023). Renewable mobility is therefore socially sustainable only where cleaner technologies do not reproduce or deepen inequalities in access, cost or service quality.</w:t>
      </w:r>
    </w:p>
    <w:p w14:paraId="73E88C75" w14:textId="77777777" w:rsidR="00FE593F" w:rsidRPr="00983732" w:rsidRDefault="004E2748">
      <w:pPr>
        <w:ind w:firstLine="317"/>
        <w:rPr>
          <w:rFonts w:cs="Times New Roman"/>
          <w:b/>
          <w:bCs/>
          <w:color w:val="000000"/>
          <w:sz w:val="22"/>
        </w:rPr>
      </w:pPr>
      <w:r w:rsidRPr="00983732">
        <w:rPr>
          <w:rFonts w:cs="Times New Roman"/>
          <w:b/>
          <w:bCs/>
          <w:color w:val="000000"/>
          <w:sz w:val="22"/>
        </w:rPr>
        <w:t>2.1.4 Transport-Energy Transition</w:t>
      </w:r>
    </w:p>
    <w:p w14:paraId="3B6153EC"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t>Transport-energy transition refers to the movement from fossil-fuel-based mobility toward low-emission and renewable-energy transport systems. Climate concerns, urban pollution, energy security and sustainable development have accelerated this transition (Liu et al., 2021). In developing cities, however, progress remains conditioned by charging infrastructure, finance, policy coherence and technical capability (Osei et al., 2023). The transition must therefore be assessed as both an energy shift and an institutional and social transformation.</w:t>
      </w:r>
    </w:p>
    <w:p w14:paraId="1FDD6279" w14:textId="77777777" w:rsidR="00FE593F" w:rsidRPr="00983732" w:rsidRDefault="004E2748">
      <w:pPr>
        <w:ind w:firstLine="317"/>
        <w:rPr>
          <w:rFonts w:cs="Times New Roman"/>
          <w:b/>
          <w:bCs/>
          <w:color w:val="000000"/>
          <w:sz w:val="22"/>
        </w:rPr>
      </w:pPr>
      <w:r w:rsidRPr="00983732">
        <w:rPr>
          <w:rFonts w:cs="Times New Roman"/>
          <w:b/>
          <w:bCs/>
          <w:color w:val="000000"/>
          <w:sz w:val="22"/>
        </w:rPr>
        <w:t>2.1.5 Accessibility and Inclusive Mobility</w:t>
      </w:r>
    </w:p>
    <w:p w14:paraId="0B17785A"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t>Accessibility reflects the ability to reach employment, education, health care, markets and other valued destinations through available transport. Inclusive mobility extends this principle across income, gender, age and physical ability (Adebayo et al., 2023). Renewable-energy transport can improve accessibility through reliable services and efficient networks, but poorly planned deployment may remain concentrated in commercially attractive or central corridors (Kiggundu et al., 2022; Ugochukwu &amp; Fadare, 2024). Spatial coverage and effective access therefore remain central indicators of social sustainability.</w:t>
      </w:r>
    </w:p>
    <w:p w14:paraId="1E70D79C" w14:textId="77777777" w:rsidR="00FE593F" w:rsidRPr="00983732" w:rsidRDefault="004E2748">
      <w:pPr>
        <w:ind w:firstLine="317"/>
        <w:rPr>
          <w:rFonts w:cs="Times New Roman"/>
          <w:b/>
          <w:bCs/>
          <w:color w:val="000000"/>
          <w:sz w:val="22"/>
        </w:rPr>
      </w:pPr>
      <w:r w:rsidRPr="00983732">
        <w:rPr>
          <w:rFonts w:cs="Times New Roman"/>
          <w:b/>
          <w:bCs/>
          <w:color w:val="000000"/>
          <w:sz w:val="22"/>
        </w:rPr>
        <w:t>2.1.6 Technology Adoption and System Innovation</w:t>
      </w:r>
    </w:p>
    <w:p w14:paraId="6A0C3703"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t>Technology adoption involves the uptake of cleaner transport technologies, while system innovation requires coordinated change in technology, infrastructure, institutions, regulation, finance and user practices (Geels, 2020; Zhang et al., 2021). Renewable-energy mobility therefore extends beyond vehicle electrification to charging systems, digitalisation, financing arrangements and governance. Technological efficiency alone cannot secure sustainable outcomes where infrastructure, institutions and user needs remain poorly aligned (Sovacool et al., 2020).</w:t>
      </w:r>
    </w:p>
    <w:p w14:paraId="71A768E5" w14:textId="77777777" w:rsidR="00FE593F" w:rsidRPr="00983732" w:rsidRDefault="00FE593F">
      <w:pPr>
        <w:ind w:firstLine="317"/>
        <w:rPr>
          <w:rFonts w:cs="Times New Roman"/>
          <w:color w:val="000000"/>
          <w:sz w:val="19"/>
          <w:szCs w:val="19"/>
        </w:rPr>
      </w:pPr>
    </w:p>
    <w:p w14:paraId="3E700E3B" w14:textId="77777777" w:rsidR="00FE593F" w:rsidRPr="00983732" w:rsidRDefault="004E2748">
      <w:pPr>
        <w:pStyle w:val="Heading2"/>
        <w:rPr>
          <w:rFonts w:ascii="Times New Roman" w:hAnsi="Times New Roman" w:cs="Times New Roman"/>
          <w:bCs w:val="0"/>
          <w:sz w:val="22"/>
          <w:szCs w:val="22"/>
        </w:rPr>
      </w:pPr>
      <w:r w:rsidRPr="00983732">
        <w:rPr>
          <w:rFonts w:ascii="Times New Roman" w:hAnsi="Times New Roman" w:cs="Times New Roman"/>
          <w:bCs w:val="0"/>
          <w:sz w:val="22"/>
          <w:szCs w:val="22"/>
        </w:rPr>
        <w:t>2.2 Theoretical Review</w:t>
      </w:r>
    </w:p>
    <w:p w14:paraId="6BDEBCC8" w14:textId="77777777" w:rsidR="00FE593F" w:rsidRPr="00983732" w:rsidRDefault="004E2748">
      <w:pPr>
        <w:pStyle w:val="Heading3"/>
        <w:rPr>
          <w:rFonts w:ascii="Times New Roman" w:hAnsi="Times New Roman" w:cs="Times New Roman"/>
          <w:bCs w:val="0"/>
        </w:rPr>
      </w:pPr>
      <w:r w:rsidRPr="00983732">
        <w:rPr>
          <w:rFonts w:ascii="Times New Roman" w:hAnsi="Times New Roman" w:cs="Times New Roman"/>
          <w:bCs w:val="0"/>
        </w:rPr>
        <w:t>2.2.1 Socio-technical transitions theory</w:t>
      </w:r>
    </w:p>
    <w:p w14:paraId="5AFD2C35" w14:textId="77777777" w:rsidR="00FE593F" w:rsidRPr="00983732" w:rsidRDefault="004E2748">
      <w:pPr>
        <w:ind w:firstLine="317"/>
        <w:rPr>
          <w:rFonts w:cs="Times New Roman"/>
          <w:sz w:val="19"/>
          <w:szCs w:val="19"/>
        </w:rPr>
      </w:pPr>
      <w:r w:rsidRPr="00983732">
        <w:rPr>
          <w:rFonts w:cs="Times New Roman"/>
          <w:color w:val="000000"/>
          <w:sz w:val="19"/>
          <w:szCs w:val="19"/>
        </w:rPr>
        <w:t>Socio-technical transitions theory explains structural change as an interaction among technologies, infrastructures, regulations, markets, user practices and cultural meanings. The multi-level perspective associated with Geels (2002, 2012) distinguishes protected niches, established regimes and wider landscape pressures. Electric buses, charging systems and battery-swapping ventures often begin as niches. They can alter an urban transport regime only when procurement rules, electricity supply, depot design, operator capabilities, finance and passenger practices change with them. The theory therefore prevents a technology-centred reading of clean mobility: replacing a diesel bus with an electric bus may reduce local emissions, yet it does not necessarily change route inequality, fare exclusion or weak service integration.</w:t>
      </w:r>
    </w:p>
    <w:p w14:paraId="3D95C84B" w14:textId="77777777" w:rsidR="00FE593F" w:rsidRPr="00983732" w:rsidRDefault="004E2748">
      <w:pPr>
        <w:ind w:firstLine="317"/>
        <w:rPr>
          <w:rFonts w:cs="Times New Roman"/>
          <w:sz w:val="19"/>
          <w:szCs w:val="19"/>
        </w:rPr>
      </w:pPr>
      <w:r w:rsidRPr="00983732">
        <w:rPr>
          <w:rFonts w:cs="Times New Roman"/>
          <w:color w:val="000000"/>
          <w:sz w:val="19"/>
          <w:szCs w:val="19"/>
        </w:rPr>
        <w:t>The perspective is particularly relevant to the contrast between pilot-oriented African cases and the system-scale experience of Shenzhen. Pilot projects permit technical learning but can remain isolated if institutions cannot coordinate infrastructure, contracts and long-term finance. System transformation requires alignment across the mobility and electricity sectors. The theory is less explicit about justice, however, and may describe successful regime change without determining whether the transition distributes benefits fairly. Mobility and energy justice therefore supply the study’s normative criteria.</w:t>
      </w:r>
    </w:p>
    <w:p w14:paraId="3631B353" w14:textId="77777777" w:rsidR="00FE593F" w:rsidRPr="00983732" w:rsidRDefault="004E2748">
      <w:pPr>
        <w:pStyle w:val="Heading3"/>
        <w:rPr>
          <w:rFonts w:ascii="Times New Roman" w:hAnsi="Times New Roman" w:cs="Times New Roman"/>
          <w:bCs w:val="0"/>
        </w:rPr>
      </w:pPr>
      <w:r w:rsidRPr="00983732">
        <w:rPr>
          <w:rFonts w:ascii="Times New Roman" w:hAnsi="Times New Roman" w:cs="Times New Roman"/>
          <w:bCs w:val="0"/>
        </w:rPr>
        <w:t>2.2.2 Energy justice theory</w:t>
      </w:r>
    </w:p>
    <w:p w14:paraId="2BB934F8" w14:textId="77777777" w:rsidR="00FE593F" w:rsidRPr="00983732" w:rsidRDefault="004E2748">
      <w:pPr>
        <w:ind w:firstLine="317"/>
        <w:rPr>
          <w:rFonts w:cs="Times New Roman"/>
          <w:sz w:val="19"/>
          <w:szCs w:val="19"/>
        </w:rPr>
      </w:pPr>
      <w:r w:rsidRPr="00983732">
        <w:rPr>
          <w:rFonts w:cs="Times New Roman"/>
          <w:color w:val="000000"/>
          <w:sz w:val="19"/>
          <w:szCs w:val="19"/>
        </w:rPr>
        <w:t>Energy justice evaluates energy systems through distributional, procedural and recognition justice (Jenkins et al., 2016; Sovacool et al., 2017). Distributional justice asks how benefits, costs and risks are allocated. In renewable mobility, the relevant benefits include lower pollution, travel-time savings and reliable services, while burdens include public subsidies, higher fares, depot land requirements, battery impacts and possible job displacement. Procedural justice asks who participates in decisions on routes, fares, procurement and resettlement. Recognition justice asks whether planners identify the needs of groups that conventional appraisal often overlooks, including low-income households, women, persons with disabilities, peripheral residents and informal transport workers.</w:t>
      </w:r>
    </w:p>
    <w:p w14:paraId="7B31E24F" w14:textId="77777777" w:rsidR="00FE593F" w:rsidRPr="00983732" w:rsidRDefault="004E2748">
      <w:pPr>
        <w:ind w:firstLine="317"/>
        <w:rPr>
          <w:rFonts w:cs="Times New Roman"/>
          <w:sz w:val="19"/>
          <w:szCs w:val="19"/>
        </w:rPr>
      </w:pPr>
      <w:r w:rsidRPr="00983732">
        <w:rPr>
          <w:rFonts w:cs="Times New Roman"/>
          <w:color w:val="000000"/>
          <w:sz w:val="19"/>
          <w:szCs w:val="19"/>
        </w:rPr>
        <w:t xml:space="preserve">The theory helps explain why apparently clean investments can remain socially unsustainable. A fleet may reduce aggregate emissions while public funding primarily improves affluent corridors, or an electrification programme may </w:t>
      </w:r>
      <w:r w:rsidRPr="00983732">
        <w:rPr>
          <w:rFonts w:cs="Times New Roman"/>
          <w:color w:val="000000"/>
          <w:sz w:val="19"/>
          <w:szCs w:val="19"/>
        </w:rPr>
        <w:lastRenderedPageBreak/>
        <w:t>displace informal workers without transition support. Its limitation is that it originated primarily in energy-system analysis and requires adaptation to the spatial and temporal character of daily mobility. The study makes that adaptation by treating access to destinations, fare burden and service geography as central distributional outcomes.</w:t>
      </w:r>
    </w:p>
    <w:p w14:paraId="43C3F732" w14:textId="77777777" w:rsidR="00FE593F" w:rsidRPr="00983732" w:rsidRDefault="004E2748">
      <w:pPr>
        <w:pStyle w:val="Heading3"/>
        <w:rPr>
          <w:rFonts w:ascii="Times New Roman" w:hAnsi="Times New Roman" w:cs="Times New Roman"/>
          <w:bCs w:val="0"/>
        </w:rPr>
      </w:pPr>
      <w:r w:rsidRPr="00983732">
        <w:rPr>
          <w:rFonts w:ascii="Times New Roman" w:hAnsi="Times New Roman" w:cs="Times New Roman"/>
          <w:bCs w:val="0"/>
        </w:rPr>
        <w:t>2.2.3 Mobility justice theory</w:t>
      </w:r>
    </w:p>
    <w:p w14:paraId="4FEF14CD" w14:textId="77777777" w:rsidR="00FE593F" w:rsidRPr="00983732" w:rsidRDefault="004E2748">
      <w:pPr>
        <w:ind w:firstLine="317"/>
        <w:rPr>
          <w:rFonts w:cs="Times New Roman"/>
          <w:sz w:val="19"/>
          <w:szCs w:val="19"/>
        </w:rPr>
      </w:pPr>
      <w:r w:rsidRPr="00983732">
        <w:rPr>
          <w:rFonts w:cs="Times New Roman"/>
          <w:color w:val="000000"/>
          <w:sz w:val="19"/>
          <w:szCs w:val="19"/>
        </w:rPr>
        <w:t>Mobility justice extends transport equity beyond equal infrastructure provision to the capability to reach valued opportunities safely, affordably and with dignity (Martens, 2016; Sheller, 2018). It distinguishes the presence of a transport service from effective accessibility. A route may pass through a low-income district yet remain exclusionary if fares are unaffordable, stops are inaccessible, transfers are poorly coordinated or service ends before workers complete late shifts. The approach also directs attention to unequal exposure to congestion, crashes, noise and polluted air.</w:t>
      </w:r>
    </w:p>
    <w:p w14:paraId="21FDDBEF" w14:textId="77777777" w:rsidR="00FE593F" w:rsidRPr="00983732" w:rsidRDefault="004E2748">
      <w:pPr>
        <w:ind w:firstLine="317"/>
        <w:rPr>
          <w:rFonts w:cs="Times New Roman"/>
          <w:sz w:val="19"/>
          <w:szCs w:val="19"/>
        </w:rPr>
      </w:pPr>
      <w:r w:rsidRPr="00983732">
        <w:rPr>
          <w:rFonts w:cs="Times New Roman"/>
          <w:color w:val="000000"/>
          <w:sz w:val="19"/>
          <w:szCs w:val="19"/>
        </w:rPr>
        <w:t>This theory provides the principal evaluative lens for the study because the research questions concern access, affordability and inclusion. It supports examination of spatial coverage, first- and last-mile connections, universal design, gendered safety and the treatment of informal operators. A limitation is the difficulty of translating a broad justice ideal into comparable indicators when city-level data are uneven. The study responds by using a consistent set of outcome domains and by avoiding unsupported rankings.</w:t>
      </w:r>
    </w:p>
    <w:p w14:paraId="22EB2309" w14:textId="77777777" w:rsidR="00FE593F" w:rsidRPr="00983732" w:rsidRDefault="004E2748">
      <w:pPr>
        <w:pStyle w:val="Heading3"/>
        <w:rPr>
          <w:rFonts w:ascii="Times New Roman" w:hAnsi="Times New Roman" w:cs="Times New Roman"/>
          <w:bCs w:val="0"/>
        </w:rPr>
      </w:pPr>
      <w:r w:rsidRPr="00983732">
        <w:rPr>
          <w:rFonts w:ascii="Times New Roman" w:hAnsi="Times New Roman" w:cs="Times New Roman"/>
          <w:bCs w:val="0"/>
        </w:rPr>
        <w:t>2.2.4 Sustainable livelihoods and institutional perspectives</w:t>
      </w:r>
    </w:p>
    <w:p w14:paraId="31ABE77D" w14:textId="77777777" w:rsidR="00FE593F" w:rsidRPr="00983732" w:rsidRDefault="004E2748">
      <w:pPr>
        <w:ind w:firstLine="317"/>
        <w:rPr>
          <w:rFonts w:cs="Times New Roman"/>
          <w:sz w:val="19"/>
          <w:szCs w:val="19"/>
        </w:rPr>
      </w:pPr>
      <w:r w:rsidRPr="00983732">
        <w:rPr>
          <w:rFonts w:cs="Times New Roman"/>
          <w:color w:val="000000"/>
          <w:sz w:val="19"/>
          <w:szCs w:val="19"/>
        </w:rPr>
        <w:t>The sustainable livelihoods perspective treats transport as an asset that affects access to employment, education, markets, health care and social networks. Reduced travel cost and improved reliability can increase household capability, while unreliable or expensive mobility can intensify vulnerability. The perspective also draws attention to employment within the clean-mobility value chain, including driving, vehicle assembly, charging operations, software, battery management and maintenance. It is useful in African and Asian cities where households combine formal and informal work and where transport expenditure takes a significant share of disposable income.</w:t>
      </w:r>
    </w:p>
    <w:p w14:paraId="2ADC6A5F" w14:textId="77777777" w:rsidR="00FE593F" w:rsidRPr="00983732" w:rsidRDefault="004E2748">
      <w:pPr>
        <w:ind w:firstLine="317"/>
        <w:rPr>
          <w:rFonts w:cs="Times New Roman"/>
          <w:sz w:val="19"/>
          <w:szCs w:val="19"/>
        </w:rPr>
      </w:pPr>
      <w:r w:rsidRPr="00983732">
        <w:rPr>
          <w:rFonts w:cs="Times New Roman"/>
          <w:color w:val="000000"/>
          <w:sz w:val="19"/>
          <w:szCs w:val="19"/>
        </w:rPr>
        <w:t>Institutional theory complements this household-level view by explaining how rules, organisational mandates and established practices shape implementation. Fragmented authority between transport, electricity, environment, finance and local-government bodies can delay charging infrastructure, weaken fare integration and obscure accountability. Institutional capacity also affects contract management, maintenance, data collection and enforcement of service standards. The institutional perspective can overemphasise organisational stability, but it remains valuable for identifying the governance conditions that convert project investment into durable social outcomes.</w:t>
      </w:r>
    </w:p>
    <w:p w14:paraId="64E98EAF" w14:textId="77777777" w:rsidR="00FE593F" w:rsidRPr="00983732" w:rsidRDefault="004E2748">
      <w:pPr>
        <w:pStyle w:val="Heading3"/>
        <w:rPr>
          <w:rFonts w:ascii="Times New Roman" w:hAnsi="Times New Roman" w:cs="Times New Roman"/>
          <w:bCs w:val="0"/>
        </w:rPr>
      </w:pPr>
      <w:r w:rsidRPr="00983732">
        <w:rPr>
          <w:rFonts w:ascii="Times New Roman" w:hAnsi="Times New Roman" w:cs="Times New Roman"/>
          <w:bCs w:val="0"/>
        </w:rPr>
        <w:t>2.2.5 Integrated theoretical position</w:t>
      </w:r>
    </w:p>
    <w:p w14:paraId="6F13B70C" w14:textId="77777777" w:rsidR="00FE593F" w:rsidRPr="00983732" w:rsidRDefault="004E2748">
      <w:pPr>
        <w:ind w:firstLine="317"/>
        <w:rPr>
          <w:rFonts w:cs="Times New Roman"/>
          <w:sz w:val="19"/>
          <w:szCs w:val="19"/>
        </w:rPr>
      </w:pPr>
      <w:r w:rsidRPr="00983732">
        <w:rPr>
          <w:rFonts w:cs="Times New Roman"/>
          <w:color w:val="000000"/>
          <w:sz w:val="19"/>
          <w:szCs w:val="19"/>
        </w:rPr>
        <w:t>No single theory adequately captures technological change, distributive outcomes, household livelihood effects and implementation capacity. The study therefore adopts an integrated framework. Socio-technical transitions theory explains system change; energy justice assesses the distribution and governance of transition benefits and burdens; mobility justice provides the primary criteria of accessibility, affordability and recognition; and livelihoods and institutional perspectives clarify employment effects and implementation conditions. The integrated position leads to a central proposition: renewable-energy mobility improves social sustainability only when technological performance is combined with inclusive network design, affordable access, institutional coordination and local capability development.</w:t>
      </w:r>
    </w:p>
    <w:p w14:paraId="626241A4" w14:textId="77777777" w:rsidR="00FE593F" w:rsidRPr="00983732" w:rsidRDefault="004E2748">
      <w:pPr>
        <w:spacing w:before="80" w:after="40"/>
        <w:jc w:val="center"/>
        <w:rPr>
          <w:rFonts w:cs="Times New Roman"/>
          <w:sz w:val="19"/>
          <w:szCs w:val="19"/>
        </w:rPr>
      </w:pPr>
      <w:r w:rsidRPr="00983732">
        <w:rPr>
          <w:rFonts w:cs="Times New Roman"/>
          <w:noProof/>
          <w:sz w:val="19"/>
          <w:szCs w:val="19"/>
        </w:rPr>
        <w:drawing>
          <wp:inline distT="0" distB="0" distL="114300" distR="114300" wp14:anchorId="62A7AF3B" wp14:editId="55FA4DDD">
            <wp:extent cx="5210175" cy="2252345"/>
            <wp:effectExtent l="0" t="0" r="0" b="0"/>
            <wp:docPr id="1" name="Picture 1" descr="Image: 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age: image1.png"/>
                    <pic:cNvPicPr>
                      <a:picLocks noChangeAspect="1"/>
                    </pic:cNvPicPr>
                  </pic:nvPicPr>
                  <pic:blipFill>
                    <a:blip r:embed="rId8"/>
                    <a:srcRect l="1321" t="12266" r="6030" b="13108"/>
                    <a:stretch>
                      <a:fillRect/>
                    </a:stretch>
                  </pic:blipFill>
                  <pic:spPr>
                    <a:xfrm>
                      <a:off x="0" y="0"/>
                      <a:ext cx="5210175" cy="2252345"/>
                    </a:xfrm>
                    <a:prstGeom prst="rect">
                      <a:avLst/>
                    </a:prstGeom>
                  </pic:spPr>
                </pic:pic>
              </a:graphicData>
            </a:graphic>
          </wp:inline>
        </w:drawing>
      </w:r>
    </w:p>
    <w:p w14:paraId="6E7D1B33" w14:textId="77777777" w:rsidR="00FE593F" w:rsidRPr="00983732" w:rsidRDefault="004E2748">
      <w:pPr>
        <w:jc w:val="center"/>
        <w:rPr>
          <w:rFonts w:cs="Times New Roman"/>
          <w:sz w:val="19"/>
          <w:szCs w:val="19"/>
        </w:rPr>
      </w:pPr>
      <w:r w:rsidRPr="00983732">
        <w:rPr>
          <w:rFonts w:cs="Times New Roman"/>
          <w:b/>
          <w:color w:val="000000"/>
          <w:sz w:val="19"/>
          <w:szCs w:val="19"/>
        </w:rPr>
        <w:t>Figure 1. Integrated analytical framework linking renewable-energy mobility systems to social sustainability</w:t>
      </w:r>
    </w:p>
    <w:p w14:paraId="50895F93" w14:textId="77777777" w:rsidR="00FE593F" w:rsidRPr="00983732" w:rsidRDefault="004E2748">
      <w:pPr>
        <w:pStyle w:val="Heading2"/>
        <w:rPr>
          <w:rFonts w:ascii="Times New Roman" w:hAnsi="Times New Roman" w:cs="Times New Roman"/>
          <w:bCs w:val="0"/>
          <w:sz w:val="22"/>
          <w:szCs w:val="22"/>
        </w:rPr>
      </w:pPr>
      <w:r w:rsidRPr="00983732">
        <w:rPr>
          <w:rFonts w:ascii="Times New Roman" w:hAnsi="Times New Roman" w:cs="Times New Roman"/>
          <w:bCs w:val="0"/>
          <w:sz w:val="22"/>
          <w:szCs w:val="22"/>
        </w:rPr>
        <w:t>2.3 Empirical Review</w:t>
      </w:r>
    </w:p>
    <w:p w14:paraId="4124618B"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t>Empirical evidence from 2015–2026 shows rapid growth in renewable-energy mobility, but its social outcomes remain less systematically assessed than technological, financial and environmental performance. Studies of electric public transport commonly report lower local emissions, reduced fossil-fuel dependence and potential operating efficiencies, yet realised benefits vary with infrastructure, finance, institutional capacity and network design (Sclar et al., 2019; Chen &amp; Li, 2020; Liu et al., 2021; IEA, 2024). This suggests that electrification is a necessary technological transition but not a sufficient condition for socially sustainable mobility.</w:t>
      </w:r>
    </w:p>
    <w:p w14:paraId="2BBEF4DA"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lastRenderedPageBreak/>
        <w:t>Evidence from Asia demonstrates the importance of implementation scale and institutional coordination. Shenzhen’s large-scale bus electrification was supported by coordinated municipal policy, charging infrastructure, domestic industrial capability and operational learning, producing stronger evidence of system-level performance than pilot programmes (Chen &amp; Li, 2020; World Bank, 2021; Zhang et al., 2021; Liu &amp; Sun, 2022). Delhi similarly illustrates how public procurement and air-quality policy can accelerate electric-bus deployment, although high capital requirements, charging capacity and inter-agency coordination remain significant constraints (Bhatia &amp; Gupta, 2021; Raghav &amp; Mehta, 2022; Kumar &amp; Sabharwal, 2023). These cases indicate that scale can strengthen accessibility and environmental benefits, but distributional outcomes still depend on route allocation, fares and inclusive service design.</w:t>
      </w:r>
    </w:p>
    <w:p w14:paraId="57C4237D"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t>African evidence presents a different implementation context. Studies and policy assessments identify substantial potential for electric mobility through renewable-energy availability, reduced petroleum dependence, urban air-quality improvements and local industrial development (Agyeman et al., 2023; Osei et al., 2023; Ayamga et al., 2024). However, unreliable electricity supply, limited charging infrastructure, high financing costs, weak maintenance capability and fragmented regulation constrain deployment. Addis Ababa’s electric rail experience demonstrates the value of affordable high-capacity transport while also revealing maintenance, reliability and feeder-integration difficulties (Taffese &amp; Tilahun, 2021; Alemu &amp; Worku, 2022). Nairobi’s emerging e-bus sector shows opportunities for private innovation, charging services and technical employment, although scaling remains constrained by infrastructure, regulation and interactions with incumbent operators (Kiplagat et al., 2022; Mungai &amp; Aoko, 2023; Waweru et al., 2024). Lagos exhibits similar potential, but available evidence remains early-stage, with finance, electricity reliability, charging infrastructure and inter-agency coordination continuing to shape implementation (Ogunjimi &amp; Odewumi, 2023; Olowu et al., 2024).</w:t>
      </w:r>
    </w:p>
    <w:p w14:paraId="1A925984"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t>Across these contexts, social outcomes remain unevenly documented. Research increasingly recognises that affordability, accessibility, gender, employment and spatial distribution determine whether clean transport benefits extend beyond technological performance (Chakraborty &amp; Singh, 2021; van der Kloof et al., 2022; Kumar et al., 2023; Mitullah &amp; Opiyo, 2023; Ugochukwu &amp; Fadare, 2024). Cleaner vehicles may improve comfort, reliability and air quality, yet low-income and peripheral users can remain disadvantaged where fares, route coverage, first- and last-mile access or service hours are poorly designed. Likewise, new employment in charging, maintenance and digital fleet management may coexist with displacement risks for informal operators and workers tied to conventional vehicle technologies.</w:t>
      </w:r>
    </w:p>
    <w:p w14:paraId="7B80CE07" w14:textId="77777777" w:rsidR="00FE593F" w:rsidRPr="00983732" w:rsidRDefault="004E2748">
      <w:pPr>
        <w:ind w:firstLine="317"/>
        <w:rPr>
          <w:rFonts w:cs="Times New Roman"/>
          <w:b/>
          <w:bCs/>
          <w:color w:val="000000"/>
          <w:sz w:val="22"/>
        </w:rPr>
      </w:pPr>
      <w:r w:rsidRPr="00983732">
        <w:rPr>
          <w:rFonts w:cs="Times New Roman"/>
          <w:b/>
          <w:bCs/>
          <w:color w:val="000000"/>
          <w:sz w:val="22"/>
        </w:rPr>
        <w:t>2.3.1 Synthesis of the Empirical Gap</w:t>
      </w:r>
    </w:p>
    <w:p w14:paraId="176CE1C6"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t>Three gaps remain evident. First, existing studies emphasise environmental and operational performance more consistently than affordability, accessibility, labour transition, gender inclusion and spatial equity. Second, African pilot and early-stage systems are rarely compared with mature Asian programmes through a framework that explicitly accounts for implementation maturity. Third, social outcomes are often inferred from projects rather than measured through consistent disaggregated indicators. This study addressed these gaps by applying a common five-city analytical framework linking implementation conditions to social-sustainability outcomes without assuming causal equivalence across cases.</w:t>
      </w:r>
    </w:p>
    <w:p w14:paraId="471E2CE4" w14:textId="77777777" w:rsidR="00FE593F" w:rsidRPr="00983732" w:rsidRDefault="00FE593F">
      <w:pPr>
        <w:ind w:firstLine="317"/>
        <w:rPr>
          <w:rFonts w:cs="Times New Roman"/>
          <w:color w:val="000000"/>
          <w:sz w:val="19"/>
          <w:szCs w:val="19"/>
        </w:rPr>
      </w:pPr>
    </w:p>
    <w:p w14:paraId="6BACF700" w14:textId="77777777" w:rsidR="00FE593F" w:rsidRPr="00983732" w:rsidRDefault="004E2748">
      <w:pPr>
        <w:keepNext/>
        <w:spacing w:after="40"/>
        <w:jc w:val="center"/>
        <w:rPr>
          <w:rFonts w:cs="Times New Roman"/>
          <w:sz w:val="19"/>
          <w:szCs w:val="19"/>
        </w:rPr>
      </w:pPr>
      <w:r w:rsidRPr="00983732">
        <w:rPr>
          <w:rFonts w:cs="Times New Roman"/>
          <w:b/>
          <w:color w:val="000000"/>
          <w:sz w:val="19"/>
          <w:szCs w:val="19"/>
        </w:rPr>
        <w:t>Table 1. Selected empirical literature and the unresolved research gap</w:t>
      </w:r>
    </w:p>
    <w:tbl>
      <w:tblPr>
        <w:tblStyle w:val="TableGrid"/>
        <w:tblW w:w="0" w:type="auto"/>
        <w:jc w:val="center"/>
        <w:tblLayout w:type="fixed"/>
        <w:tblLook w:val="04A0" w:firstRow="1" w:lastRow="0" w:firstColumn="1" w:lastColumn="0" w:noHBand="0" w:noVBand="1"/>
      </w:tblPr>
      <w:tblGrid>
        <w:gridCol w:w="1728"/>
        <w:gridCol w:w="2448"/>
        <w:gridCol w:w="2664"/>
        <w:gridCol w:w="2592"/>
      </w:tblGrid>
      <w:tr w:rsidR="00FE593F" w:rsidRPr="00983732" w14:paraId="0001C097" w14:textId="77777777">
        <w:trPr>
          <w:tblHeader/>
          <w:jc w:val="center"/>
        </w:trPr>
        <w:tc>
          <w:tcPr>
            <w:tcW w:w="1728" w:type="dxa"/>
            <w:shd w:val="clear" w:color="auto" w:fill="D9E2F3"/>
            <w:tcMar>
              <w:top w:w="70" w:type="dxa"/>
              <w:left w:w="90" w:type="dxa"/>
              <w:bottom w:w="70" w:type="dxa"/>
              <w:right w:w="90" w:type="dxa"/>
            </w:tcMar>
            <w:vAlign w:val="center"/>
          </w:tcPr>
          <w:p w14:paraId="658CA279" w14:textId="77777777" w:rsidR="00FE593F" w:rsidRPr="00983732" w:rsidRDefault="004E2748">
            <w:pPr>
              <w:spacing w:after="0"/>
              <w:jc w:val="center"/>
              <w:rPr>
                <w:rFonts w:cs="Times New Roman"/>
                <w:sz w:val="19"/>
                <w:szCs w:val="19"/>
              </w:rPr>
            </w:pPr>
            <w:r w:rsidRPr="00983732">
              <w:rPr>
                <w:rFonts w:cs="Times New Roman"/>
                <w:b/>
                <w:color w:val="000000"/>
                <w:sz w:val="19"/>
                <w:szCs w:val="19"/>
              </w:rPr>
              <w:t>Study/source</w:t>
            </w:r>
          </w:p>
        </w:tc>
        <w:tc>
          <w:tcPr>
            <w:tcW w:w="2448" w:type="dxa"/>
            <w:shd w:val="clear" w:color="auto" w:fill="D9E2F3"/>
            <w:tcMar>
              <w:top w:w="70" w:type="dxa"/>
              <w:left w:w="90" w:type="dxa"/>
              <w:bottom w:w="70" w:type="dxa"/>
              <w:right w:w="90" w:type="dxa"/>
            </w:tcMar>
            <w:vAlign w:val="center"/>
          </w:tcPr>
          <w:p w14:paraId="5F41F650" w14:textId="77777777" w:rsidR="00FE593F" w:rsidRPr="00983732" w:rsidRDefault="004E2748">
            <w:pPr>
              <w:spacing w:after="0"/>
              <w:jc w:val="center"/>
              <w:rPr>
                <w:rFonts w:cs="Times New Roman"/>
                <w:sz w:val="19"/>
                <w:szCs w:val="19"/>
              </w:rPr>
            </w:pPr>
            <w:r w:rsidRPr="00983732">
              <w:rPr>
                <w:rFonts w:cs="Times New Roman"/>
                <w:b/>
                <w:color w:val="000000"/>
                <w:sz w:val="19"/>
                <w:szCs w:val="19"/>
              </w:rPr>
              <w:t>Context and method</w:t>
            </w:r>
          </w:p>
        </w:tc>
        <w:tc>
          <w:tcPr>
            <w:tcW w:w="2664" w:type="dxa"/>
            <w:shd w:val="clear" w:color="auto" w:fill="D9E2F3"/>
            <w:tcMar>
              <w:top w:w="70" w:type="dxa"/>
              <w:left w:w="90" w:type="dxa"/>
              <w:bottom w:w="70" w:type="dxa"/>
              <w:right w:w="90" w:type="dxa"/>
            </w:tcMar>
            <w:vAlign w:val="center"/>
          </w:tcPr>
          <w:p w14:paraId="00934CA8" w14:textId="77777777" w:rsidR="00FE593F" w:rsidRPr="00983732" w:rsidRDefault="004E2748">
            <w:pPr>
              <w:spacing w:after="0"/>
              <w:jc w:val="center"/>
              <w:rPr>
                <w:rFonts w:cs="Times New Roman"/>
                <w:sz w:val="19"/>
                <w:szCs w:val="19"/>
              </w:rPr>
            </w:pPr>
            <w:r w:rsidRPr="00983732">
              <w:rPr>
                <w:rFonts w:cs="Times New Roman"/>
                <w:b/>
                <w:color w:val="000000"/>
                <w:sz w:val="19"/>
                <w:szCs w:val="19"/>
              </w:rPr>
              <w:t>Principal finding</w:t>
            </w:r>
          </w:p>
        </w:tc>
        <w:tc>
          <w:tcPr>
            <w:tcW w:w="2592" w:type="dxa"/>
            <w:shd w:val="clear" w:color="auto" w:fill="D9E2F3"/>
            <w:tcMar>
              <w:top w:w="70" w:type="dxa"/>
              <w:left w:w="90" w:type="dxa"/>
              <w:bottom w:w="70" w:type="dxa"/>
              <w:right w:w="90" w:type="dxa"/>
            </w:tcMar>
            <w:vAlign w:val="center"/>
          </w:tcPr>
          <w:p w14:paraId="2DF08A98" w14:textId="77777777" w:rsidR="00FE593F" w:rsidRPr="00983732" w:rsidRDefault="004E2748">
            <w:pPr>
              <w:spacing w:after="0"/>
              <w:jc w:val="center"/>
              <w:rPr>
                <w:rFonts w:cs="Times New Roman"/>
                <w:sz w:val="19"/>
                <w:szCs w:val="19"/>
              </w:rPr>
            </w:pPr>
            <w:r w:rsidRPr="00983732">
              <w:rPr>
                <w:rFonts w:cs="Times New Roman"/>
                <w:b/>
                <w:color w:val="000000"/>
                <w:sz w:val="19"/>
                <w:szCs w:val="19"/>
              </w:rPr>
              <w:t>Gap relevant to this study</w:t>
            </w:r>
          </w:p>
        </w:tc>
      </w:tr>
      <w:tr w:rsidR="00FE593F" w:rsidRPr="00983732" w14:paraId="2B7061F3" w14:textId="77777777">
        <w:trPr>
          <w:jc w:val="center"/>
        </w:trPr>
        <w:tc>
          <w:tcPr>
            <w:tcW w:w="1728" w:type="dxa"/>
            <w:tcMar>
              <w:top w:w="70" w:type="dxa"/>
              <w:left w:w="90" w:type="dxa"/>
              <w:bottom w:w="70" w:type="dxa"/>
              <w:right w:w="90" w:type="dxa"/>
            </w:tcMar>
            <w:vAlign w:val="center"/>
          </w:tcPr>
          <w:p w14:paraId="5E4617E4" w14:textId="77777777" w:rsidR="00FE593F" w:rsidRPr="00983732" w:rsidRDefault="004E2748">
            <w:pPr>
              <w:spacing w:after="0"/>
              <w:jc w:val="center"/>
              <w:rPr>
                <w:rFonts w:cs="Times New Roman"/>
                <w:sz w:val="19"/>
                <w:szCs w:val="19"/>
              </w:rPr>
            </w:pPr>
            <w:r w:rsidRPr="00983732">
              <w:rPr>
                <w:rFonts w:cs="Times New Roman"/>
                <w:color w:val="000000"/>
                <w:sz w:val="19"/>
                <w:szCs w:val="19"/>
              </w:rPr>
              <w:t>Lucas (2012)</w:t>
            </w:r>
          </w:p>
        </w:tc>
        <w:tc>
          <w:tcPr>
            <w:tcW w:w="2448" w:type="dxa"/>
            <w:tcMar>
              <w:top w:w="70" w:type="dxa"/>
              <w:left w:w="90" w:type="dxa"/>
              <w:bottom w:w="70" w:type="dxa"/>
              <w:right w:w="90" w:type="dxa"/>
            </w:tcMar>
            <w:vAlign w:val="center"/>
          </w:tcPr>
          <w:p w14:paraId="420F5C69" w14:textId="77777777" w:rsidR="00FE593F" w:rsidRPr="00983732" w:rsidRDefault="004E2748">
            <w:pPr>
              <w:spacing w:after="0"/>
              <w:jc w:val="left"/>
              <w:rPr>
                <w:rFonts w:cs="Times New Roman"/>
                <w:sz w:val="19"/>
                <w:szCs w:val="19"/>
              </w:rPr>
            </w:pPr>
            <w:r w:rsidRPr="00983732">
              <w:rPr>
                <w:rFonts w:cs="Times New Roman"/>
                <w:color w:val="000000"/>
                <w:sz w:val="19"/>
                <w:szCs w:val="19"/>
              </w:rPr>
              <w:t>Conceptual synthesis of transport and social exclusion</w:t>
            </w:r>
          </w:p>
        </w:tc>
        <w:tc>
          <w:tcPr>
            <w:tcW w:w="2664" w:type="dxa"/>
            <w:tcMar>
              <w:top w:w="70" w:type="dxa"/>
              <w:left w:w="90" w:type="dxa"/>
              <w:bottom w:w="70" w:type="dxa"/>
              <w:right w:w="90" w:type="dxa"/>
            </w:tcMar>
            <w:vAlign w:val="center"/>
          </w:tcPr>
          <w:p w14:paraId="6258F83E" w14:textId="77777777" w:rsidR="00FE593F" w:rsidRPr="00983732" w:rsidRDefault="004E2748">
            <w:pPr>
              <w:spacing w:after="0"/>
              <w:jc w:val="left"/>
              <w:rPr>
                <w:rFonts w:cs="Times New Roman"/>
                <w:sz w:val="19"/>
                <w:szCs w:val="19"/>
              </w:rPr>
            </w:pPr>
            <w:r w:rsidRPr="00983732">
              <w:rPr>
                <w:rFonts w:cs="Times New Roman"/>
                <w:color w:val="000000"/>
                <w:sz w:val="19"/>
                <w:szCs w:val="19"/>
              </w:rPr>
              <w:t>Transport disadvantage combines affordability, availability and personal constraints</w:t>
            </w:r>
          </w:p>
        </w:tc>
        <w:tc>
          <w:tcPr>
            <w:tcW w:w="2592" w:type="dxa"/>
            <w:tcMar>
              <w:top w:w="70" w:type="dxa"/>
              <w:left w:w="90" w:type="dxa"/>
              <w:bottom w:w="70" w:type="dxa"/>
              <w:right w:w="90" w:type="dxa"/>
            </w:tcMar>
            <w:vAlign w:val="center"/>
          </w:tcPr>
          <w:p w14:paraId="0A384309" w14:textId="77777777" w:rsidR="00FE593F" w:rsidRPr="00983732" w:rsidRDefault="004E2748">
            <w:pPr>
              <w:spacing w:after="0"/>
              <w:jc w:val="left"/>
              <w:rPr>
                <w:rFonts w:cs="Times New Roman"/>
                <w:sz w:val="19"/>
                <w:szCs w:val="19"/>
              </w:rPr>
            </w:pPr>
            <w:r w:rsidRPr="00983732">
              <w:rPr>
                <w:rFonts w:cs="Times New Roman"/>
                <w:color w:val="000000"/>
                <w:sz w:val="19"/>
                <w:szCs w:val="19"/>
              </w:rPr>
              <w:t>Does not examine renewable-energy mobility or cross-city implementation</w:t>
            </w:r>
          </w:p>
        </w:tc>
      </w:tr>
      <w:tr w:rsidR="00FE593F" w:rsidRPr="00983732" w14:paraId="1EE44B14" w14:textId="77777777">
        <w:trPr>
          <w:jc w:val="center"/>
        </w:trPr>
        <w:tc>
          <w:tcPr>
            <w:tcW w:w="1728" w:type="dxa"/>
            <w:shd w:val="clear" w:color="auto" w:fill="F7F7F7"/>
            <w:tcMar>
              <w:top w:w="70" w:type="dxa"/>
              <w:left w:w="90" w:type="dxa"/>
              <w:bottom w:w="70" w:type="dxa"/>
              <w:right w:w="90" w:type="dxa"/>
            </w:tcMar>
            <w:vAlign w:val="center"/>
          </w:tcPr>
          <w:p w14:paraId="116A6B2A" w14:textId="77777777" w:rsidR="00FE593F" w:rsidRPr="00983732" w:rsidRDefault="004E2748">
            <w:pPr>
              <w:spacing w:after="0"/>
              <w:jc w:val="center"/>
              <w:rPr>
                <w:rFonts w:cs="Times New Roman"/>
                <w:sz w:val="19"/>
                <w:szCs w:val="19"/>
              </w:rPr>
            </w:pPr>
            <w:r w:rsidRPr="00983732">
              <w:rPr>
                <w:rFonts w:cs="Times New Roman"/>
                <w:color w:val="000000"/>
                <w:sz w:val="19"/>
                <w:szCs w:val="19"/>
              </w:rPr>
              <w:t>Sclar et al. (2019)</w:t>
            </w:r>
          </w:p>
        </w:tc>
        <w:tc>
          <w:tcPr>
            <w:tcW w:w="2448" w:type="dxa"/>
            <w:shd w:val="clear" w:color="auto" w:fill="F7F7F7"/>
            <w:tcMar>
              <w:top w:w="70" w:type="dxa"/>
              <w:left w:w="90" w:type="dxa"/>
              <w:bottom w:w="70" w:type="dxa"/>
              <w:right w:w="90" w:type="dxa"/>
            </w:tcMar>
            <w:vAlign w:val="center"/>
          </w:tcPr>
          <w:p w14:paraId="3A9DF377" w14:textId="77777777" w:rsidR="00FE593F" w:rsidRPr="00983732" w:rsidRDefault="004E2748">
            <w:pPr>
              <w:spacing w:after="0"/>
              <w:jc w:val="left"/>
              <w:rPr>
                <w:rFonts w:cs="Times New Roman"/>
                <w:sz w:val="19"/>
                <w:szCs w:val="19"/>
              </w:rPr>
            </w:pPr>
            <w:r w:rsidRPr="00983732">
              <w:rPr>
                <w:rFonts w:cs="Times New Roman"/>
                <w:color w:val="000000"/>
                <w:sz w:val="19"/>
                <w:szCs w:val="19"/>
              </w:rPr>
              <w:t>Sixteen electric-bus case studies</w:t>
            </w:r>
          </w:p>
        </w:tc>
        <w:tc>
          <w:tcPr>
            <w:tcW w:w="2664" w:type="dxa"/>
            <w:shd w:val="clear" w:color="auto" w:fill="F7F7F7"/>
            <w:tcMar>
              <w:top w:w="70" w:type="dxa"/>
              <w:left w:w="90" w:type="dxa"/>
              <w:bottom w:w="70" w:type="dxa"/>
              <w:right w:w="90" w:type="dxa"/>
            </w:tcMar>
            <w:vAlign w:val="center"/>
          </w:tcPr>
          <w:p w14:paraId="5891E177" w14:textId="77777777" w:rsidR="00FE593F" w:rsidRPr="00983732" w:rsidRDefault="004E2748">
            <w:pPr>
              <w:spacing w:after="0"/>
              <w:jc w:val="left"/>
              <w:rPr>
                <w:rFonts w:cs="Times New Roman"/>
                <w:sz w:val="19"/>
                <w:szCs w:val="19"/>
              </w:rPr>
            </w:pPr>
            <w:r w:rsidRPr="00983732">
              <w:rPr>
                <w:rFonts w:cs="Times New Roman"/>
                <w:color w:val="000000"/>
                <w:sz w:val="19"/>
                <w:szCs w:val="19"/>
              </w:rPr>
              <w:t>Finance, procurement, technology and institutional authority determine adoption</w:t>
            </w:r>
          </w:p>
        </w:tc>
        <w:tc>
          <w:tcPr>
            <w:tcW w:w="2592" w:type="dxa"/>
            <w:shd w:val="clear" w:color="auto" w:fill="F7F7F7"/>
            <w:tcMar>
              <w:top w:w="70" w:type="dxa"/>
              <w:left w:w="90" w:type="dxa"/>
              <w:bottom w:w="70" w:type="dxa"/>
              <w:right w:w="90" w:type="dxa"/>
            </w:tcMar>
            <w:vAlign w:val="center"/>
          </w:tcPr>
          <w:p w14:paraId="6F8365C6" w14:textId="77777777" w:rsidR="00FE593F" w:rsidRPr="00983732" w:rsidRDefault="004E2748">
            <w:pPr>
              <w:spacing w:after="0"/>
              <w:jc w:val="left"/>
              <w:rPr>
                <w:rFonts w:cs="Times New Roman"/>
                <w:sz w:val="19"/>
                <w:szCs w:val="19"/>
              </w:rPr>
            </w:pPr>
            <w:r w:rsidRPr="00983732">
              <w:rPr>
                <w:rFonts w:cs="Times New Roman"/>
                <w:color w:val="000000"/>
                <w:sz w:val="19"/>
                <w:szCs w:val="19"/>
              </w:rPr>
              <w:t>Social distribution and Global South evidence remain limited</w:t>
            </w:r>
          </w:p>
        </w:tc>
      </w:tr>
      <w:tr w:rsidR="00FE593F" w:rsidRPr="00983732" w14:paraId="7F43D7C3" w14:textId="77777777">
        <w:trPr>
          <w:jc w:val="center"/>
        </w:trPr>
        <w:tc>
          <w:tcPr>
            <w:tcW w:w="1728" w:type="dxa"/>
            <w:tcMar>
              <w:top w:w="70" w:type="dxa"/>
              <w:left w:w="90" w:type="dxa"/>
              <w:bottom w:w="70" w:type="dxa"/>
              <w:right w:w="90" w:type="dxa"/>
            </w:tcMar>
            <w:vAlign w:val="center"/>
          </w:tcPr>
          <w:p w14:paraId="3720F257" w14:textId="77777777" w:rsidR="00FE593F" w:rsidRPr="00983732" w:rsidRDefault="004E2748">
            <w:pPr>
              <w:spacing w:after="0"/>
              <w:jc w:val="center"/>
              <w:rPr>
                <w:rFonts w:cs="Times New Roman"/>
                <w:sz w:val="19"/>
                <w:szCs w:val="19"/>
              </w:rPr>
            </w:pPr>
            <w:r w:rsidRPr="00983732">
              <w:rPr>
                <w:rFonts w:cs="Times New Roman"/>
                <w:color w:val="000000"/>
                <w:sz w:val="19"/>
                <w:szCs w:val="19"/>
              </w:rPr>
              <w:t>World Bank (2021)</w:t>
            </w:r>
          </w:p>
        </w:tc>
        <w:tc>
          <w:tcPr>
            <w:tcW w:w="2448" w:type="dxa"/>
            <w:tcMar>
              <w:top w:w="70" w:type="dxa"/>
              <w:left w:w="90" w:type="dxa"/>
              <w:bottom w:w="70" w:type="dxa"/>
              <w:right w:w="90" w:type="dxa"/>
            </w:tcMar>
            <w:vAlign w:val="center"/>
          </w:tcPr>
          <w:p w14:paraId="05FDD6AA" w14:textId="77777777" w:rsidR="00FE593F" w:rsidRPr="00983732" w:rsidRDefault="004E2748">
            <w:pPr>
              <w:spacing w:after="0"/>
              <w:jc w:val="left"/>
              <w:rPr>
                <w:rFonts w:cs="Times New Roman"/>
                <w:sz w:val="19"/>
                <w:szCs w:val="19"/>
              </w:rPr>
            </w:pPr>
            <w:r w:rsidRPr="00983732">
              <w:rPr>
                <w:rFonts w:cs="Times New Roman"/>
                <w:color w:val="000000"/>
                <w:sz w:val="19"/>
                <w:szCs w:val="19"/>
              </w:rPr>
              <w:t>Commercial assessment of BRT systems in Sub-Saharan Africa</w:t>
            </w:r>
          </w:p>
        </w:tc>
        <w:tc>
          <w:tcPr>
            <w:tcW w:w="2664" w:type="dxa"/>
            <w:tcMar>
              <w:top w:w="70" w:type="dxa"/>
              <w:left w:w="90" w:type="dxa"/>
              <w:bottom w:w="70" w:type="dxa"/>
              <w:right w:w="90" w:type="dxa"/>
            </w:tcMar>
            <w:vAlign w:val="center"/>
          </w:tcPr>
          <w:p w14:paraId="7620F02D" w14:textId="77777777" w:rsidR="00FE593F" w:rsidRPr="00983732" w:rsidRDefault="004E2748">
            <w:pPr>
              <w:spacing w:after="0"/>
              <w:jc w:val="left"/>
              <w:rPr>
                <w:rFonts w:cs="Times New Roman"/>
                <w:sz w:val="19"/>
                <w:szCs w:val="19"/>
              </w:rPr>
            </w:pPr>
            <w:r w:rsidRPr="00983732">
              <w:rPr>
                <w:rFonts w:cs="Times New Roman"/>
                <w:color w:val="000000"/>
                <w:sz w:val="19"/>
                <w:szCs w:val="19"/>
              </w:rPr>
              <w:t>Cost overruns, weak fare systems and fragmented institutions undermine viability</w:t>
            </w:r>
          </w:p>
        </w:tc>
        <w:tc>
          <w:tcPr>
            <w:tcW w:w="2592" w:type="dxa"/>
            <w:tcMar>
              <w:top w:w="70" w:type="dxa"/>
              <w:left w:w="90" w:type="dxa"/>
              <w:bottom w:w="70" w:type="dxa"/>
              <w:right w:w="90" w:type="dxa"/>
            </w:tcMar>
            <w:vAlign w:val="center"/>
          </w:tcPr>
          <w:p w14:paraId="68AAE5EE" w14:textId="77777777" w:rsidR="00FE593F" w:rsidRPr="00983732" w:rsidRDefault="004E2748">
            <w:pPr>
              <w:spacing w:after="0"/>
              <w:jc w:val="left"/>
              <w:rPr>
                <w:rFonts w:cs="Times New Roman"/>
                <w:sz w:val="19"/>
                <w:szCs w:val="19"/>
              </w:rPr>
            </w:pPr>
            <w:r w:rsidRPr="00983732">
              <w:rPr>
                <w:rFonts w:cs="Times New Roman"/>
                <w:color w:val="000000"/>
                <w:sz w:val="19"/>
                <w:szCs w:val="19"/>
              </w:rPr>
              <w:t>Focuses commercial performance more than household equity</w:t>
            </w:r>
          </w:p>
        </w:tc>
      </w:tr>
      <w:tr w:rsidR="00FE593F" w:rsidRPr="00983732" w14:paraId="4DDE32A8" w14:textId="77777777">
        <w:trPr>
          <w:jc w:val="center"/>
        </w:trPr>
        <w:tc>
          <w:tcPr>
            <w:tcW w:w="1728" w:type="dxa"/>
            <w:shd w:val="clear" w:color="auto" w:fill="F7F7F7"/>
            <w:tcMar>
              <w:top w:w="70" w:type="dxa"/>
              <w:left w:w="90" w:type="dxa"/>
              <w:bottom w:w="70" w:type="dxa"/>
              <w:right w:w="90" w:type="dxa"/>
            </w:tcMar>
            <w:vAlign w:val="center"/>
          </w:tcPr>
          <w:p w14:paraId="68B96127" w14:textId="77777777" w:rsidR="00FE593F" w:rsidRPr="00983732" w:rsidRDefault="004E2748">
            <w:pPr>
              <w:spacing w:after="0"/>
              <w:jc w:val="center"/>
              <w:rPr>
                <w:rFonts w:cs="Times New Roman"/>
                <w:sz w:val="19"/>
                <w:szCs w:val="19"/>
              </w:rPr>
            </w:pPr>
            <w:r w:rsidRPr="00983732">
              <w:rPr>
                <w:rFonts w:cs="Times New Roman"/>
                <w:color w:val="000000"/>
                <w:sz w:val="19"/>
                <w:szCs w:val="19"/>
              </w:rPr>
              <w:t>World Bank (2021)</w:t>
            </w:r>
          </w:p>
        </w:tc>
        <w:tc>
          <w:tcPr>
            <w:tcW w:w="2448" w:type="dxa"/>
            <w:shd w:val="clear" w:color="auto" w:fill="F7F7F7"/>
            <w:tcMar>
              <w:top w:w="70" w:type="dxa"/>
              <w:left w:w="90" w:type="dxa"/>
              <w:bottom w:w="70" w:type="dxa"/>
              <w:right w:w="90" w:type="dxa"/>
            </w:tcMar>
            <w:vAlign w:val="center"/>
          </w:tcPr>
          <w:p w14:paraId="2AD10530" w14:textId="77777777" w:rsidR="00FE593F" w:rsidRPr="00983732" w:rsidRDefault="004E2748">
            <w:pPr>
              <w:spacing w:after="0"/>
              <w:jc w:val="left"/>
              <w:rPr>
                <w:rFonts w:cs="Times New Roman"/>
                <w:sz w:val="19"/>
                <w:szCs w:val="19"/>
              </w:rPr>
            </w:pPr>
            <w:r w:rsidRPr="00983732">
              <w:rPr>
                <w:rFonts w:cs="Times New Roman"/>
                <w:color w:val="000000"/>
                <w:sz w:val="19"/>
                <w:szCs w:val="19"/>
              </w:rPr>
              <w:t>Shenzhen public-transport electrification case</w:t>
            </w:r>
          </w:p>
        </w:tc>
        <w:tc>
          <w:tcPr>
            <w:tcW w:w="2664" w:type="dxa"/>
            <w:shd w:val="clear" w:color="auto" w:fill="F7F7F7"/>
            <w:tcMar>
              <w:top w:w="70" w:type="dxa"/>
              <w:left w:w="90" w:type="dxa"/>
              <w:bottom w:w="70" w:type="dxa"/>
              <w:right w:w="90" w:type="dxa"/>
            </w:tcMar>
            <w:vAlign w:val="center"/>
          </w:tcPr>
          <w:p w14:paraId="2FC0CB1F" w14:textId="77777777" w:rsidR="00FE593F" w:rsidRPr="00983732" w:rsidRDefault="004E2748">
            <w:pPr>
              <w:spacing w:after="0"/>
              <w:jc w:val="left"/>
              <w:rPr>
                <w:rFonts w:cs="Times New Roman"/>
                <w:sz w:val="19"/>
                <w:szCs w:val="19"/>
              </w:rPr>
            </w:pPr>
            <w:r w:rsidRPr="00983732">
              <w:rPr>
                <w:rFonts w:cs="Times New Roman"/>
                <w:color w:val="000000"/>
                <w:sz w:val="19"/>
                <w:szCs w:val="19"/>
              </w:rPr>
              <w:t>Coordinated policy, infrastructure, subsidies and operational learning supported scale</w:t>
            </w:r>
          </w:p>
        </w:tc>
        <w:tc>
          <w:tcPr>
            <w:tcW w:w="2592" w:type="dxa"/>
            <w:shd w:val="clear" w:color="auto" w:fill="F7F7F7"/>
            <w:tcMar>
              <w:top w:w="70" w:type="dxa"/>
              <w:left w:w="90" w:type="dxa"/>
              <w:bottom w:w="70" w:type="dxa"/>
              <w:right w:w="90" w:type="dxa"/>
            </w:tcMar>
            <w:vAlign w:val="center"/>
          </w:tcPr>
          <w:p w14:paraId="123D1F15" w14:textId="77777777" w:rsidR="00FE593F" w:rsidRPr="00983732" w:rsidRDefault="004E2748">
            <w:pPr>
              <w:spacing w:after="0"/>
              <w:jc w:val="left"/>
              <w:rPr>
                <w:rFonts w:cs="Times New Roman"/>
                <w:sz w:val="19"/>
                <w:szCs w:val="19"/>
              </w:rPr>
            </w:pPr>
            <w:r w:rsidRPr="00983732">
              <w:rPr>
                <w:rFonts w:cs="Times New Roman"/>
                <w:color w:val="000000"/>
                <w:sz w:val="19"/>
                <w:szCs w:val="19"/>
              </w:rPr>
              <w:t>Mature Chinese conditions may not transfer directly to African cities</w:t>
            </w:r>
          </w:p>
        </w:tc>
      </w:tr>
      <w:tr w:rsidR="00FE593F" w:rsidRPr="00983732" w14:paraId="263678D7" w14:textId="77777777">
        <w:trPr>
          <w:jc w:val="center"/>
        </w:trPr>
        <w:tc>
          <w:tcPr>
            <w:tcW w:w="1728" w:type="dxa"/>
            <w:tcMar>
              <w:top w:w="70" w:type="dxa"/>
              <w:left w:w="90" w:type="dxa"/>
              <w:bottom w:w="70" w:type="dxa"/>
              <w:right w:w="90" w:type="dxa"/>
            </w:tcMar>
            <w:vAlign w:val="center"/>
          </w:tcPr>
          <w:p w14:paraId="604A428D" w14:textId="77777777" w:rsidR="00FE593F" w:rsidRPr="00983732" w:rsidRDefault="004E2748">
            <w:pPr>
              <w:spacing w:after="0"/>
              <w:jc w:val="center"/>
              <w:rPr>
                <w:rFonts w:cs="Times New Roman"/>
                <w:sz w:val="19"/>
                <w:szCs w:val="19"/>
              </w:rPr>
            </w:pPr>
            <w:r w:rsidRPr="00983732">
              <w:rPr>
                <w:rFonts w:cs="Times New Roman"/>
                <w:color w:val="000000"/>
                <w:sz w:val="19"/>
                <w:szCs w:val="19"/>
              </w:rPr>
              <w:t>UNEP (2021)</w:t>
            </w:r>
          </w:p>
        </w:tc>
        <w:tc>
          <w:tcPr>
            <w:tcW w:w="2448" w:type="dxa"/>
            <w:tcMar>
              <w:top w:w="70" w:type="dxa"/>
              <w:left w:w="90" w:type="dxa"/>
              <w:bottom w:w="70" w:type="dxa"/>
              <w:right w:w="90" w:type="dxa"/>
            </w:tcMar>
            <w:vAlign w:val="center"/>
          </w:tcPr>
          <w:p w14:paraId="1BE80E2A" w14:textId="77777777" w:rsidR="00FE593F" w:rsidRPr="00983732" w:rsidRDefault="004E2748">
            <w:pPr>
              <w:spacing w:after="0"/>
              <w:jc w:val="left"/>
              <w:rPr>
                <w:rFonts w:cs="Times New Roman"/>
                <w:sz w:val="19"/>
                <w:szCs w:val="19"/>
              </w:rPr>
            </w:pPr>
            <w:r w:rsidRPr="00983732">
              <w:rPr>
                <w:rFonts w:cs="Times New Roman"/>
                <w:color w:val="000000"/>
                <w:sz w:val="19"/>
                <w:szCs w:val="19"/>
              </w:rPr>
              <w:t>Global programme and policy synthesis on electric mobility</w:t>
            </w:r>
          </w:p>
        </w:tc>
        <w:tc>
          <w:tcPr>
            <w:tcW w:w="2664" w:type="dxa"/>
            <w:tcMar>
              <w:top w:w="70" w:type="dxa"/>
              <w:left w:w="90" w:type="dxa"/>
              <w:bottom w:w="70" w:type="dxa"/>
              <w:right w:w="90" w:type="dxa"/>
            </w:tcMar>
            <w:vAlign w:val="center"/>
          </w:tcPr>
          <w:p w14:paraId="30742D29" w14:textId="77777777" w:rsidR="00FE593F" w:rsidRPr="00983732" w:rsidRDefault="004E2748">
            <w:pPr>
              <w:spacing w:after="0"/>
              <w:jc w:val="left"/>
              <w:rPr>
                <w:rFonts w:cs="Times New Roman"/>
                <w:sz w:val="19"/>
                <w:szCs w:val="19"/>
              </w:rPr>
            </w:pPr>
            <w:r w:rsidRPr="00983732">
              <w:rPr>
                <w:rFonts w:cs="Times New Roman"/>
                <w:color w:val="000000"/>
                <w:sz w:val="19"/>
                <w:szCs w:val="19"/>
              </w:rPr>
              <w:t>Electrification can reduce emissions and petroleum dependence when power and policy align</w:t>
            </w:r>
          </w:p>
        </w:tc>
        <w:tc>
          <w:tcPr>
            <w:tcW w:w="2592" w:type="dxa"/>
            <w:tcMar>
              <w:top w:w="70" w:type="dxa"/>
              <w:left w:w="90" w:type="dxa"/>
              <w:bottom w:w="70" w:type="dxa"/>
              <w:right w:w="90" w:type="dxa"/>
            </w:tcMar>
            <w:vAlign w:val="center"/>
          </w:tcPr>
          <w:p w14:paraId="73F557CE" w14:textId="77777777" w:rsidR="00FE593F" w:rsidRPr="00983732" w:rsidRDefault="004E2748">
            <w:pPr>
              <w:spacing w:after="0"/>
              <w:jc w:val="left"/>
              <w:rPr>
                <w:rFonts w:cs="Times New Roman"/>
                <w:sz w:val="19"/>
                <w:szCs w:val="19"/>
              </w:rPr>
            </w:pPr>
            <w:r w:rsidRPr="00983732">
              <w:rPr>
                <w:rFonts w:cs="Times New Roman"/>
                <w:color w:val="000000"/>
                <w:sz w:val="19"/>
                <w:szCs w:val="19"/>
              </w:rPr>
              <w:t>Limited city-level measurement of inclusion and fare burden</w:t>
            </w:r>
          </w:p>
        </w:tc>
      </w:tr>
      <w:tr w:rsidR="00FE593F" w:rsidRPr="00983732" w14:paraId="3C72F121" w14:textId="77777777">
        <w:trPr>
          <w:jc w:val="center"/>
        </w:trPr>
        <w:tc>
          <w:tcPr>
            <w:tcW w:w="1728" w:type="dxa"/>
            <w:shd w:val="clear" w:color="auto" w:fill="F7F7F7"/>
            <w:tcMar>
              <w:top w:w="70" w:type="dxa"/>
              <w:left w:w="90" w:type="dxa"/>
              <w:bottom w:w="70" w:type="dxa"/>
              <w:right w:w="90" w:type="dxa"/>
            </w:tcMar>
            <w:vAlign w:val="center"/>
          </w:tcPr>
          <w:p w14:paraId="12C6A574" w14:textId="77777777" w:rsidR="00FE593F" w:rsidRPr="00983732" w:rsidRDefault="004E2748">
            <w:pPr>
              <w:spacing w:after="0"/>
              <w:jc w:val="center"/>
              <w:rPr>
                <w:rFonts w:cs="Times New Roman"/>
                <w:sz w:val="19"/>
                <w:szCs w:val="19"/>
              </w:rPr>
            </w:pPr>
            <w:r w:rsidRPr="00983732">
              <w:rPr>
                <w:rFonts w:cs="Times New Roman"/>
                <w:color w:val="000000"/>
                <w:sz w:val="19"/>
                <w:szCs w:val="19"/>
              </w:rPr>
              <w:t>Agora Verkehrswende &amp; GIZ (2023)</w:t>
            </w:r>
          </w:p>
        </w:tc>
        <w:tc>
          <w:tcPr>
            <w:tcW w:w="2448" w:type="dxa"/>
            <w:shd w:val="clear" w:color="auto" w:fill="F7F7F7"/>
            <w:tcMar>
              <w:top w:w="70" w:type="dxa"/>
              <w:left w:w="90" w:type="dxa"/>
              <w:bottom w:w="70" w:type="dxa"/>
              <w:right w:w="90" w:type="dxa"/>
            </w:tcMar>
            <w:vAlign w:val="center"/>
          </w:tcPr>
          <w:p w14:paraId="69C60258" w14:textId="77777777" w:rsidR="00FE593F" w:rsidRPr="00983732" w:rsidRDefault="004E2748">
            <w:pPr>
              <w:spacing w:after="0"/>
              <w:jc w:val="left"/>
              <w:rPr>
                <w:rFonts w:cs="Times New Roman"/>
                <w:sz w:val="19"/>
                <w:szCs w:val="19"/>
              </w:rPr>
            </w:pPr>
            <w:r w:rsidRPr="00983732">
              <w:rPr>
                <w:rFonts w:cs="Times New Roman"/>
                <w:color w:val="000000"/>
                <w:sz w:val="19"/>
                <w:szCs w:val="19"/>
              </w:rPr>
              <w:t>Africa-focused policy and evidence review</w:t>
            </w:r>
          </w:p>
        </w:tc>
        <w:tc>
          <w:tcPr>
            <w:tcW w:w="2664" w:type="dxa"/>
            <w:shd w:val="clear" w:color="auto" w:fill="F7F7F7"/>
            <w:tcMar>
              <w:top w:w="70" w:type="dxa"/>
              <w:left w:w="90" w:type="dxa"/>
              <w:bottom w:w="70" w:type="dxa"/>
              <w:right w:w="90" w:type="dxa"/>
            </w:tcMar>
            <w:vAlign w:val="center"/>
          </w:tcPr>
          <w:p w14:paraId="6C54D471" w14:textId="77777777" w:rsidR="00FE593F" w:rsidRPr="00983732" w:rsidRDefault="004E2748">
            <w:pPr>
              <w:spacing w:after="0"/>
              <w:jc w:val="left"/>
              <w:rPr>
                <w:rFonts w:cs="Times New Roman"/>
                <w:sz w:val="19"/>
                <w:szCs w:val="19"/>
              </w:rPr>
            </w:pPr>
            <w:r w:rsidRPr="00983732">
              <w:rPr>
                <w:rFonts w:cs="Times New Roman"/>
                <w:color w:val="000000"/>
                <w:sz w:val="19"/>
                <w:szCs w:val="19"/>
              </w:rPr>
              <w:t>Sustainable transport requires clean energy plus fair and efficient mobility</w:t>
            </w:r>
          </w:p>
        </w:tc>
        <w:tc>
          <w:tcPr>
            <w:tcW w:w="2592" w:type="dxa"/>
            <w:shd w:val="clear" w:color="auto" w:fill="F7F7F7"/>
            <w:tcMar>
              <w:top w:w="70" w:type="dxa"/>
              <w:left w:w="90" w:type="dxa"/>
              <w:bottom w:w="70" w:type="dxa"/>
              <w:right w:w="90" w:type="dxa"/>
            </w:tcMar>
            <w:vAlign w:val="center"/>
          </w:tcPr>
          <w:p w14:paraId="0D66D12A" w14:textId="77777777" w:rsidR="00FE593F" w:rsidRPr="00983732" w:rsidRDefault="004E2748">
            <w:pPr>
              <w:spacing w:after="0"/>
              <w:jc w:val="left"/>
              <w:rPr>
                <w:rFonts w:cs="Times New Roman"/>
                <w:sz w:val="19"/>
                <w:szCs w:val="19"/>
              </w:rPr>
            </w:pPr>
            <w:r w:rsidRPr="00983732">
              <w:rPr>
                <w:rFonts w:cs="Times New Roman"/>
                <w:color w:val="000000"/>
                <w:sz w:val="19"/>
                <w:szCs w:val="19"/>
              </w:rPr>
              <w:t>Provides regional directions rather than matched city outcomes</w:t>
            </w:r>
          </w:p>
        </w:tc>
      </w:tr>
      <w:tr w:rsidR="00FE593F" w:rsidRPr="00983732" w14:paraId="0B691352" w14:textId="77777777">
        <w:trPr>
          <w:jc w:val="center"/>
        </w:trPr>
        <w:tc>
          <w:tcPr>
            <w:tcW w:w="1728" w:type="dxa"/>
            <w:tcMar>
              <w:top w:w="70" w:type="dxa"/>
              <w:left w:w="90" w:type="dxa"/>
              <w:bottom w:w="70" w:type="dxa"/>
              <w:right w:w="90" w:type="dxa"/>
            </w:tcMar>
            <w:vAlign w:val="center"/>
          </w:tcPr>
          <w:p w14:paraId="209953A9" w14:textId="77777777" w:rsidR="00FE593F" w:rsidRPr="00983732" w:rsidRDefault="004E2748">
            <w:pPr>
              <w:spacing w:after="0"/>
              <w:jc w:val="center"/>
              <w:rPr>
                <w:rFonts w:cs="Times New Roman"/>
                <w:sz w:val="19"/>
                <w:szCs w:val="19"/>
              </w:rPr>
            </w:pPr>
            <w:r w:rsidRPr="00983732">
              <w:rPr>
                <w:rFonts w:cs="Times New Roman"/>
                <w:color w:val="000000"/>
                <w:sz w:val="19"/>
                <w:szCs w:val="19"/>
              </w:rPr>
              <w:lastRenderedPageBreak/>
              <w:t>IEA (2024)</w:t>
            </w:r>
          </w:p>
        </w:tc>
        <w:tc>
          <w:tcPr>
            <w:tcW w:w="2448" w:type="dxa"/>
            <w:tcMar>
              <w:top w:w="70" w:type="dxa"/>
              <w:left w:w="90" w:type="dxa"/>
              <w:bottom w:w="70" w:type="dxa"/>
              <w:right w:w="90" w:type="dxa"/>
            </w:tcMar>
            <w:vAlign w:val="center"/>
          </w:tcPr>
          <w:p w14:paraId="352B379D" w14:textId="77777777" w:rsidR="00FE593F" w:rsidRPr="00983732" w:rsidRDefault="004E2748">
            <w:pPr>
              <w:spacing w:after="0"/>
              <w:jc w:val="left"/>
              <w:rPr>
                <w:rFonts w:cs="Times New Roman"/>
                <w:sz w:val="19"/>
                <w:szCs w:val="19"/>
              </w:rPr>
            </w:pPr>
            <w:r w:rsidRPr="00983732">
              <w:rPr>
                <w:rFonts w:cs="Times New Roman"/>
                <w:color w:val="000000"/>
                <w:sz w:val="19"/>
                <w:szCs w:val="19"/>
              </w:rPr>
              <w:t>Global market and policy assessment</w:t>
            </w:r>
          </w:p>
        </w:tc>
        <w:tc>
          <w:tcPr>
            <w:tcW w:w="2664" w:type="dxa"/>
            <w:tcMar>
              <w:top w:w="70" w:type="dxa"/>
              <w:left w:w="90" w:type="dxa"/>
              <w:bottom w:w="70" w:type="dxa"/>
              <w:right w:w="90" w:type="dxa"/>
            </w:tcMar>
            <w:vAlign w:val="center"/>
          </w:tcPr>
          <w:p w14:paraId="560144DF" w14:textId="77777777" w:rsidR="00FE593F" w:rsidRPr="00983732" w:rsidRDefault="004E2748">
            <w:pPr>
              <w:spacing w:after="0"/>
              <w:jc w:val="left"/>
              <w:rPr>
                <w:rFonts w:cs="Times New Roman"/>
                <w:sz w:val="19"/>
                <w:szCs w:val="19"/>
              </w:rPr>
            </w:pPr>
            <w:r w:rsidRPr="00983732">
              <w:rPr>
                <w:rFonts w:cs="Times New Roman"/>
                <w:color w:val="000000"/>
                <w:sz w:val="19"/>
                <w:szCs w:val="19"/>
              </w:rPr>
              <w:t>Electric mobility is scaling, but buses and emerging markets face finance and infrastructure constraints</w:t>
            </w:r>
          </w:p>
        </w:tc>
        <w:tc>
          <w:tcPr>
            <w:tcW w:w="2592" w:type="dxa"/>
            <w:tcMar>
              <w:top w:w="70" w:type="dxa"/>
              <w:left w:w="90" w:type="dxa"/>
              <w:bottom w:w="70" w:type="dxa"/>
              <w:right w:w="90" w:type="dxa"/>
            </w:tcMar>
            <w:vAlign w:val="center"/>
          </w:tcPr>
          <w:p w14:paraId="09BBF9C1" w14:textId="77777777" w:rsidR="00FE593F" w:rsidRPr="00983732" w:rsidRDefault="004E2748">
            <w:pPr>
              <w:spacing w:after="0"/>
              <w:jc w:val="left"/>
              <w:rPr>
                <w:rFonts w:cs="Times New Roman"/>
                <w:sz w:val="19"/>
                <w:szCs w:val="19"/>
              </w:rPr>
            </w:pPr>
            <w:r w:rsidRPr="00983732">
              <w:rPr>
                <w:rFonts w:cs="Times New Roman"/>
                <w:color w:val="000000"/>
                <w:sz w:val="19"/>
                <w:szCs w:val="19"/>
              </w:rPr>
              <w:t>Macro evidence provides little disaggregated social analysis</w:t>
            </w:r>
          </w:p>
        </w:tc>
      </w:tr>
      <w:tr w:rsidR="00FE593F" w:rsidRPr="00983732" w14:paraId="1F9A778A" w14:textId="77777777">
        <w:trPr>
          <w:jc w:val="center"/>
        </w:trPr>
        <w:tc>
          <w:tcPr>
            <w:tcW w:w="1728" w:type="dxa"/>
            <w:shd w:val="clear" w:color="auto" w:fill="F7F7F7"/>
            <w:tcMar>
              <w:top w:w="70" w:type="dxa"/>
              <w:left w:w="90" w:type="dxa"/>
              <w:bottom w:w="70" w:type="dxa"/>
              <w:right w:w="90" w:type="dxa"/>
            </w:tcMar>
            <w:vAlign w:val="center"/>
          </w:tcPr>
          <w:p w14:paraId="5916D8BA" w14:textId="77777777" w:rsidR="00FE593F" w:rsidRPr="00983732" w:rsidRDefault="004E2748">
            <w:pPr>
              <w:spacing w:after="0"/>
              <w:jc w:val="center"/>
              <w:rPr>
                <w:rFonts w:cs="Times New Roman"/>
                <w:sz w:val="19"/>
                <w:szCs w:val="19"/>
              </w:rPr>
            </w:pPr>
            <w:r w:rsidRPr="00983732">
              <w:rPr>
                <w:rFonts w:cs="Times New Roman"/>
                <w:color w:val="000000"/>
                <w:sz w:val="19"/>
                <w:szCs w:val="19"/>
              </w:rPr>
              <w:t>Case literature on Addis Ababa, Nairobi, Lagos, Delhi and Shenzhen</w:t>
            </w:r>
          </w:p>
        </w:tc>
        <w:tc>
          <w:tcPr>
            <w:tcW w:w="2448" w:type="dxa"/>
            <w:shd w:val="clear" w:color="auto" w:fill="F7F7F7"/>
            <w:tcMar>
              <w:top w:w="70" w:type="dxa"/>
              <w:left w:w="90" w:type="dxa"/>
              <w:bottom w:w="70" w:type="dxa"/>
              <w:right w:w="90" w:type="dxa"/>
            </w:tcMar>
            <w:vAlign w:val="center"/>
          </w:tcPr>
          <w:p w14:paraId="5C852A4A" w14:textId="77777777" w:rsidR="00FE593F" w:rsidRPr="00983732" w:rsidRDefault="004E2748">
            <w:pPr>
              <w:spacing w:after="0"/>
              <w:jc w:val="left"/>
              <w:rPr>
                <w:rFonts w:cs="Times New Roman"/>
                <w:sz w:val="19"/>
                <w:szCs w:val="19"/>
              </w:rPr>
            </w:pPr>
            <w:r w:rsidRPr="00983732">
              <w:rPr>
                <w:rFonts w:cs="Times New Roman"/>
                <w:color w:val="000000"/>
                <w:sz w:val="19"/>
                <w:szCs w:val="19"/>
              </w:rPr>
              <w:t>City case studies and project documents</w:t>
            </w:r>
          </w:p>
        </w:tc>
        <w:tc>
          <w:tcPr>
            <w:tcW w:w="2664" w:type="dxa"/>
            <w:shd w:val="clear" w:color="auto" w:fill="F7F7F7"/>
            <w:tcMar>
              <w:top w:w="70" w:type="dxa"/>
              <w:left w:w="90" w:type="dxa"/>
              <w:bottom w:w="70" w:type="dxa"/>
              <w:right w:w="90" w:type="dxa"/>
            </w:tcMar>
            <w:vAlign w:val="center"/>
          </w:tcPr>
          <w:p w14:paraId="7BB44719" w14:textId="77777777" w:rsidR="00FE593F" w:rsidRPr="00983732" w:rsidRDefault="004E2748">
            <w:pPr>
              <w:spacing w:after="0"/>
              <w:jc w:val="left"/>
              <w:rPr>
                <w:rFonts w:cs="Times New Roman"/>
                <w:sz w:val="19"/>
                <w:szCs w:val="19"/>
              </w:rPr>
            </w:pPr>
            <w:r w:rsidRPr="00983732">
              <w:rPr>
                <w:rFonts w:cs="Times New Roman"/>
                <w:color w:val="000000"/>
                <w:sz w:val="19"/>
                <w:szCs w:val="19"/>
              </w:rPr>
              <w:t>Benefits vary with scale, reliability, fares, coverage and institutional capability</w:t>
            </w:r>
          </w:p>
        </w:tc>
        <w:tc>
          <w:tcPr>
            <w:tcW w:w="2592" w:type="dxa"/>
            <w:shd w:val="clear" w:color="auto" w:fill="F7F7F7"/>
            <w:tcMar>
              <w:top w:w="70" w:type="dxa"/>
              <w:left w:w="90" w:type="dxa"/>
              <w:bottom w:w="70" w:type="dxa"/>
              <w:right w:w="90" w:type="dxa"/>
            </w:tcMar>
            <w:vAlign w:val="center"/>
          </w:tcPr>
          <w:p w14:paraId="4E1891B4" w14:textId="77777777" w:rsidR="00FE593F" w:rsidRPr="00983732" w:rsidRDefault="004E2748">
            <w:pPr>
              <w:spacing w:after="0"/>
              <w:jc w:val="left"/>
              <w:rPr>
                <w:rFonts w:cs="Times New Roman"/>
                <w:sz w:val="19"/>
                <w:szCs w:val="19"/>
              </w:rPr>
            </w:pPr>
            <w:r w:rsidRPr="00983732">
              <w:rPr>
                <w:rFonts w:cs="Times New Roman"/>
                <w:color w:val="000000"/>
                <w:sz w:val="19"/>
                <w:szCs w:val="19"/>
              </w:rPr>
              <w:t>No common equity framework compares the five cases</w:t>
            </w:r>
          </w:p>
        </w:tc>
      </w:tr>
    </w:tbl>
    <w:p w14:paraId="03E8B81C" w14:textId="77777777" w:rsidR="00FE593F" w:rsidRPr="00983732" w:rsidRDefault="004E2748">
      <w:pPr>
        <w:jc w:val="center"/>
        <w:rPr>
          <w:rFonts w:cs="Times New Roman"/>
          <w:sz w:val="19"/>
          <w:szCs w:val="19"/>
        </w:rPr>
      </w:pPr>
      <w:r w:rsidRPr="00983732">
        <w:rPr>
          <w:rFonts w:cs="Times New Roman"/>
          <w:i/>
          <w:color w:val="000000"/>
          <w:sz w:val="19"/>
          <w:szCs w:val="19"/>
        </w:rPr>
        <w:t>Source: Authors’ synthesis from the documentary evidence reviewed.</w:t>
      </w:r>
    </w:p>
    <w:p w14:paraId="11EBCEE2" w14:textId="77777777" w:rsidR="00FE593F" w:rsidRPr="00983732" w:rsidRDefault="004E2748">
      <w:pPr>
        <w:pStyle w:val="Heading1"/>
        <w:rPr>
          <w:rFonts w:ascii="Times New Roman" w:hAnsi="Times New Roman" w:cs="Times New Roman"/>
          <w:bCs w:val="0"/>
          <w:sz w:val="22"/>
          <w:szCs w:val="22"/>
        </w:rPr>
      </w:pPr>
      <w:r w:rsidRPr="00983732">
        <w:rPr>
          <w:rFonts w:ascii="Times New Roman" w:hAnsi="Times New Roman" w:cs="Times New Roman"/>
          <w:bCs w:val="0"/>
          <w:sz w:val="22"/>
          <w:szCs w:val="22"/>
        </w:rPr>
        <w:t>3.</w:t>
      </w:r>
      <w:r w:rsidRPr="00983732">
        <w:rPr>
          <w:rFonts w:ascii="Times New Roman" w:hAnsi="Times New Roman" w:cs="Times New Roman"/>
          <w:bCs w:val="0"/>
          <w:sz w:val="22"/>
          <w:szCs w:val="22"/>
          <w:lang w:val="en-CA"/>
        </w:rPr>
        <w:t>0</w:t>
      </w:r>
      <w:r w:rsidRPr="00983732">
        <w:rPr>
          <w:rFonts w:ascii="Times New Roman" w:hAnsi="Times New Roman" w:cs="Times New Roman"/>
          <w:bCs w:val="0"/>
          <w:sz w:val="22"/>
          <w:szCs w:val="22"/>
        </w:rPr>
        <w:t xml:space="preserve"> Methodology</w:t>
      </w:r>
    </w:p>
    <w:p w14:paraId="1E6C7D3C" w14:textId="77777777" w:rsidR="00FE593F" w:rsidRPr="00983732" w:rsidRDefault="004E2748">
      <w:pPr>
        <w:pStyle w:val="Heading2"/>
        <w:rPr>
          <w:rFonts w:ascii="Times New Roman" w:hAnsi="Times New Roman" w:cs="Times New Roman"/>
          <w:bCs w:val="0"/>
          <w:sz w:val="22"/>
          <w:szCs w:val="22"/>
        </w:rPr>
      </w:pPr>
      <w:r w:rsidRPr="00983732">
        <w:rPr>
          <w:rFonts w:ascii="Times New Roman" w:hAnsi="Times New Roman" w:cs="Times New Roman"/>
          <w:bCs w:val="0"/>
          <w:sz w:val="22"/>
          <w:szCs w:val="22"/>
        </w:rPr>
        <w:t>3.1 Research design and case selection</w:t>
      </w:r>
    </w:p>
    <w:p w14:paraId="430D2510"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t>The study adopted a qualitative multiple-case design to examine how renewable-energy mobility systems shaped social-sustainability outcomes across contrasting urban contexts. Addis Ababa, Nairobi, Lagos, Delhi and Shenzhen were purposively selected based on documented electric public-transport interventions, availability of credible evidence, and variation in region, technology, implementation maturity and governance. The cases ranged from pilot and early-stage deployment to mature system-wide electrification, permitting comparison without assuming equivalent levels of implementation.</w:t>
      </w:r>
    </w:p>
    <w:p w14:paraId="6A53AE7A" w14:textId="77777777" w:rsidR="00FE593F" w:rsidRPr="00983732" w:rsidRDefault="00FE593F">
      <w:pPr>
        <w:ind w:firstLine="317"/>
        <w:rPr>
          <w:rFonts w:cs="Times New Roman"/>
          <w:color w:val="000000"/>
          <w:sz w:val="19"/>
          <w:szCs w:val="19"/>
        </w:rPr>
      </w:pPr>
    </w:p>
    <w:p w14:paraId="27596C18" w14:textId="77777777" w:rsidR="00FE593F" w:rsidRPr="00983732" w:rsidRDefault="004E2748">
      <w:pPr>
        <w:keepNext/>
        <w:spacing w:after="40"/>
        <w:jc w:val="center"/>
        <w:rPr>
          <w:rFonts w:cs="Times New Roman"/>
          <w:sz w:val="19"/>
          <w:szCs w:val="19"/>
        </w:rPr>
      </w:pPr>
      <w:r w:rsidRPr="00983732">
        <w:rPr>
          <w:rFonts w:cs="Times New Roman"/>
          <w:b/>
          <w:color w:val="000000"/>
          <w:sz w:val="19"/>
          <w:szCs w:val="19"/>
        </w:rPr>
        <w:t>Table 2. Case selection and analytical relevance</w:t>
      </w:r>
    </w:p>
    <w:tbl>
      <w:tblPr>
        <w:tblStyle w:val="TableGrid"/>
        <w:tblW w:w="0" w:type="auto"/>
        <w:jc w:val="center"/>
        <w:tblLayout w:type="fixed"/>
        <w:tblLook w:val="04A0" w:firstRow="1" w:lastRow="0" w:firstColumn="1" w:lastColumn="0" w:noHBand="0" w:noVBand="1"/>
      </w:tblPr>
      <w:tblGrid>
        <w:gridCol w:w="1224"/>
        <w:gridCol w:w="2088"/>
        <w:gridCol w:w="1944"/>
        <w:gridCol w:w="4392"/>
      </w:tblGrid>
      <w:tr w:rsidR="00FE593F" w:rsidRPr="00983732" w14:paraId="76F03426" w14:textId="77777777">
        <w:trPr>
          <w:tblHeader/>
          <w:jc w:val="center"/>
        </w:trPr>
        <w:tc>
          <w:tcPr>
            <w:tcW w:w="1224" w:type="dxa"/>
            <w:shd w:val="clear" w:color="auto" w:fill="D9E2F3"/>
            <w:tcMar>
              <w:top w:w="70" w:type="dxa"/>
              <w:left w:w="90" w:type="dxa"/>
              <w:bottom w:w="70" w:type="dxa"/>
              <w:right w:w="90" w:type="dxa"/>
            </w:tcMar>
            <w:vAlign w:val="center"/>
          </w:tcPr>
          <w:p w14:paraId="2C948C2B" w14:textId="77777777" w:rsidR="00FE593F" w:rsidRPr="00983732" w:rsidRDefault="004E2748">
            <w:pPr>
              <w:spacing w:after="0"/>
              <w:jc w:val="center"/>
              <w:rPr>
                <w:rFonts w:cs="Times New Roman"/>
                <w:sz w:val="19"/>
                <w:szCs w:val="19"/>
              </w:rPr>
            </w:pPr>
            <w:r w:rsidRPr="00983732">
              <w:rPr>
                <w:rFonts w:cs="Times New Roman"/>
                <w:b/>
                <w:color w:val="000000"/>
                <w:sz w:val="19"/>
                <w:szCs w:val="19"/>
              </w:rPr>
              <w:t>City</w:t>
            </w:r>
          </w:p>
        </w:tc>
        <w:tc>
          <w:tcPr>
            <w:tcW w:w="2088" w:type="dxa"/>
            <w:shd w:val="clear" w:color="auto" w:fill="D9E2F3"/>
            <w:tcMar>
              <w:top w:w="70" w:type="dxa"/>
              <w:left w:w="90" w:type="dxa"/>
              <w:bottom w:w="70" w:type="dxa"/>
              <w:right w:w="90" w:type="dxa"/>
            </w:tcMar>
            <w:vAlign w:val="center"/>
          </w:tcPr>
          <w:p w14:paraId="59D210FB" w14:textId="77777777" w:rsidR="00FE593F" w:rsidRPr="00983732" w:rsidRDefault="004E2748">
            <w:pPr>
              <w:spacing w:after="0"/>
              <w:jc w:val="center"/>
              <w:rPr>
                <w:rFonts w:cs="Times New Roman"/>
                <w:sz w:val="19"/>
                <w:szCs w:val="19"/>
              </w:rPr>
            </w:pPr>
            <w:r w:rsidRPr="00983732">
              <w:rPr>
                <w:rFonts w:cs="Times New Roman"/>
                <w:b/>
                <w:color w:val="000000"/>
                <w:sz w:val="19"/>
                <w:szCs w:val="19"/>
              </w:rPr>
              <w:t>Mobility intervention</w:t>
            </w:r>
          </w:p>
        </w:tc>
        <w:tc>
          <w:tcPr>
            <w:tcW w:w="1944" w:type="dxa"/>
            <w:shd w:val="clear" w:color="auto" w:fill="D9E2F3"/>
            <w:tcMar>
              <w:top w:w="70" w:type="dxa"/>
              <w:left w:w="90" w:type="dxa"/>
              <w:bottom w:w="70" w:type="dxa"/>
              <w:right w:w="90" w:type="dxa"/>
            </w:tcMar>
            <w:vAlign w:val="center"/>
          </w:tcPr>
          <w:p w14:paraId="6AE25256" w14:textId="77777777" w:rsidR="00FE593F" w:rsidRPr="00983732" w:rsidRDefault="004E2748">
            <w:pPr>
              <w:spacing w:after="0"/>
              <w:jc w:val="center"/>
              <w:rPr>
                <w:rFonts w:cs="Times New Roman"/>
                <w:sz w:val="19"/>
                <w:szCs w:val="19"/>
              </w:rPr>
            </w:pPr>
            <w:r w:rsidRPr="00983732">
              <w:rPr>
                <w:rFonts w:cs="Times New Roman"/>
                <w:b/>
                <w:color w:val="000000"/>
                <w:sz w:val="19"/>
                <w:szCs w:val="19"/>
              </w:rPr>
              <w:t>Implementation position</w:t>
            </w:r>
          </w:p>
        </w:tc>
        <w:tc>
          <w:tcPr>
            <w:tcW w:w="4392" w:type="dxa"/>
            <w:shd w:val="clear" w:color="auto" w:fill="D9E2F3"/>
            <w:tcMar>
              <w:top w:w="70" w:type="dxa"/>
              <w:left w:w="90" w:type="dxa"/>
              <w:bottom w:w="70" w:type="dxa"/>
              <w:right w:w="90" w:type="dxa"/>
            </w:tcMar>
            <w:vAlign w:val="center"/>
          </w:tcPr>
          <w:p w14:paraId="077D8F54" w14:textId="77777777" w:rsidR="00FE593F" w:rsidRPr="00983732" w:rsidRDefault="004E2748">
            <w:pPr>
              <w:spacing w:after="0"/>
              <w:jc w:val="center"/>
              <w:rPr>
                <w:rFonts w:cs="Times New Roman"/>
                <w:sz w:val="19"/>
                <w:szCs w:val="19"/>
              </w:rPr>
            </w:pPr>
            <w:r w:rsidRPr="00983732">
              <w:rPr>
                <w:rFonts w:cs="Times New Roman"/>
                <w:b/>
                <w:color w:val="000000"/>
                <w:sz w:val="19"/>
                <w:szCs w:val="19"/>
              </w:rPr>
              <w:t>Comparative value</w:t>
            </w:r>
          </w:p>
        </w:tc>
      </w:tr>
      <w:tr w:rsidR="00FE593F" w:rsidRPr="00983732" w14:paraId="68568715" w14:textId="77777777">
        <w:trPr>
          <w:jc w:val="center"/>
        </w:trPr>
        <w:tc>
          <w:tcPr>
            <w:tcW w:w="1224" w:type="dxa"/>
            <w:tcMar>
              <w:top w:w="70" w:type="dxa"/>
              <w:left w:w="90" w:type="dxa"/>
              <w:bottom w:w="70" w:type="dxa"/>
              <w:right w:w="90" w:type="dxa"/>
            </w:tcMar>
            <w:vAlign w:val="center"/>
          </w:tcPr>
          <w:p w14:paraId="780D7D34" w14:textId="77777777" w:rsidR="00FE593F" w:rsidRPr="00983732" w:rsidRDefault="004E2748">
            <w:pPr>
              <w:spacing w:after="0"/>
              <w:jc w:val="center"/>
              <w:rPr>
                <w:rFonts w:cs="Times New Roman"/>
                <w:sz w:val="19"/>
                <w:szCs w:val="19"/>
              </w:rPr>
            </w:pPr>
            <w:r w:rsidRPr="00983732">
              <w:rPr>
                <w:rFonts w:cs="Times New Roman"/>
                <w:color w:val="000000"/>
                <w:sz w:val="19"/>
                <w:szCs w:val="19"/>
              </w:rPr>
              <w:t>Addis Ababa</w:t>
            </w:r>
          </w:p>
        </w:tc>
        <w:tc>
          <w:tcPr>
            <w:tcW w:w="2088" w:type="dxa"/>
            <w:tcMar>
              <w:top w:w="70" w:type="dxa"/>
              <w:left w:w="90" w:type="dxa"/>
              <w:bottom w:w="70" w:type="dxa"/>
              <w:right w:w="90" w:type="dxa"/>
            </w:tcMar>
            <w:vAlign w:val="center"/>
          </w:tcPr>
          <w:p w14:paraId="38892735" w14:textId="77777777" w:rsidR="00FE593F" w:rsidRPr="00983732" w:rsidRDefault="004E2748">
            <w:pPr>
              <w:spacing w:after="0"/>
              <w:jc w:val="left"/>
              <w:rPr>
                <w:rFonts w:cs="Times New Roman"/>
                <w:sz w:val="19"/>
                <w:szCs w:val="19"/>
              </w:rPr>
            </w:pPr>
            <w:r w:rsidRPr="00983732">
              <w:rPr>
                <w:rFonts w:cs="Times New Roman"/>
                <w:color w:val="000000"/>
                <w:sz w:val="19"/>
                <w:szCs w:val="19"/>
              </w:rPr>
              <w:t>Grid-powered light rail</w:t>
            </w:r>
          </w:p>
        </w:tc>
        <w:tc>
          <w:tcPr>
            <w:tcW w:w="1944" w:type="dxa"/>
            <w:tcMar>
              <w:top w:w="70" w:type="dxa"/>
              <w:left w:w="90" w:type="dxa"/>
              <w:bottom w:w="70" w:type="dxa"/>
              <w:right w:w="90" w:type="dxa"/>
            </w:tcMar>
            <w:vAlign w:val="center"/>
          </w:tcPr>
          <w:p w14:paraId="00B1E4B7" w14:textId="77777777" w:rsidR="00FE593F" w:rsidRPr="00983732" w:rsidRDefault="004E2748">
            <w:pPr>
              <w:spacing w:after="0"/>
              <w:jc w:val="left"/>
              <w:rPr>
                <w:rFonts w:cs="Times New Roman"/>
                <w:sz w:val="19"/>
                <w:szCs w:val="19"/>
              </w:rPr>
            </w:pPr>
            <w:r w:rsidRPr="00983732">
              <w:rPr>
                <w:rFonts w:cs="Times New Roman"/>
                <w:color w:val="000000"/>
                <w:sz w:val="19"/>
                <w:szCs w:val="19"/>
              </w:rPr>
              <w:t>Operational; constrained by maintenance and service integration</w:t>
            </w:r>
          </w:p>
        </w:tc>
        <w:tc>
          <w:tcPr>
            <w:tcW w:w="4392" w:type="dxa"/>
            <w:tcMar>
              <w:top w:w="70" w:type="dxa"/>
              <w:left w:w="90" w:type="dxa"/>
              <w:bottom w:w="70" w:type="dxa"/>
              <w:right w:w="90" w:type="dxa"/>
            </w:tcMar>
            <w:vAlign w:val="center"/>
          </w:tcPr>
          <w:p w14:paraId="439FE665" w14:textId="77777777" w:rsidR="00FE593F" w:rsidRPr="00983732" w:rsidRDefault="004E2748">
            <w:pPr>
              <w:spacing w:after="0"/>
              <w:jc w:val="left"/>
              <w:rPr>
                <w:rFonts w:cs="Times New Roman"/>
                <w:sz w:val="19"/>
                <w:szCs w:val="19"/>
              </w:rPr>
            </w:pPr>
            <w:r w:rsidRPr="00983732">
              <w:rPr>
                <w:rFonts w:cs="Times New Roman"/>
                <w:color w:val="000000"/>
                <w:sz w:val="19"/>
                <w:szCs w:val="19"/>
              </w:rPr>
              <w:t>Early African rail electrification and affordability trade-offs</w:t>
            </w:r>
          </w:p>
        </w:tc>
      </w:tr>
      <w:tr w:rsidR="00FE593F" w:rsidRPr="00983732" w14:paraId="2766C6AC" w14:textId="77777777">
        <w:trPr>
          <w:jc w:val="center"/>
        </w:trPr>
        <w:tc>
          <w:tcPr>
            <w:tcW w:w="1224" w:type="dxa"/>
            <w:shd w:val="clear" w:color="auto" w:fill="F7F7F7"/>
            <w:tcMar>
              <w:top w:w="70" w:type="dxa"/>
              <w:left w:w="90" w:type="dxa"/>
              <w:bottom w:w="70" w:type="dxa"/>
              <w:right w:w="90" w:type="dxa"/>
            </w:tcMar>
            <w:vAlign w:val="center"/>
          </w:tcPr>
          <w:p w14:paraId="5A89267D" w14:textId="77777777" w:rsidR="00FE593F" w:rsidRPr="00983732" w:rsidRDefault="004E2748">
            <w:pPr>
              <w:spacing w:after="0"/>
              <w:jc w:val="center"/>
              <w:rPr>
                <w:rFonts w:cs="Times New Roman"/>
                <w:sz w:val="19"/>
                <w:szCs w:val="19"/>
              </w:rPr>
            </w:pPr>
            <w:r w:rsidRPr="00983732">
              <w:rPr>
                <w:rFonts w:cs="Times New Roman"/>
                <w:color w:val="000000"/>
                <w:sz w:val="19"/>
                <w:szCs w:val="19"/>
              </w:rPr>
              <w:t>Nairobi</w:t>
            </w:r>
          </w:p>
        </w:tc>
        <w:tc>
          <w:tcPr>
            <w:tcW w:w="2088" w:type="dxa"/>
            <w:shd w:val="clear" w:color="auto" w:fill="F7F7F7"/>
            <w:tcMar>
              <w:top w:w="70" w:type="dxa"/>
              <w:left w:w="90" w:type="dxa"/>
              <w:bottom w:w="70" w:type="dxa"/>
              <w:right w:w="90" w:type="dxa"/>
            </w:tcMar>
            <w:vAlign w:val="center"/>
          </w:tcPr>
          <w:p w14:paraId="5A967EE5" w14:textId="77777777" w:rsidR="00FE593F" w:rsidRPr="00983732" w:rsidRDefault="004E2748">
            <w:pPr>
              <w:spacing w:after="0"/>
              <w:jc w:val="left"/>
              <w:rPr>
                <w:rFonts w:cs="Times New Roman"/>
                <w:sz w:val="19"/>
                <w:szCs w:val="19"/>
              </w:rPr>
            </w:pPr>
            <w:r w:rsidRPr="00983732">
              <w:rPr>
                <w:rFonts w:cs="Times New Roman"/>
                <w:color w:val="000000"/>
                <w:sz w:val="19"/>
                <w:szCs w:val="19"/>
              </w:rPr>
              <w:t>Electric-bus pilots and private fleet deployment</w:t>
            </w:r>
          </w:p>
        </w:tc>
        <w:tc>
          <w:tcPr>
            <w:tcW w:w="1944" w:type="dxa"/>
            <w:shd w:val="clear" w:color="auto" w:fill="F7F7F7"/>
            <w:tcMar>
              <w:top w:w="70" w:type="dxa"/>
              <w:left w:w="90" w:type="dxa"/>
              <w:bottom w:w="70" w:type="dxa"/>
              <w:right w:w="90" w:type="dxa"/>
            </w:tcMar>
            <w:vAlign w:val="center"/>
          </w:tcPr>
          <w:p w14:paraId="5A8F1033" w14:textId="77777777" w:rsidR="00FE593F" w:rsidRPr="00983732" w:rsidRDefault="004E2748">
            <w:pPr>
              <w:spacing w:after="0"/>
              <w:jc w:val="left"/>
              <w:rPr>
                <w:rFonts w:cs="Times New Roman"/>
                <w:sz w:val="19"/>
                <w:szCs w:val="19"/>
              </w:rPr>
            </w:pPr>
            <w:r w:rsidRPr="00983732">
              <w:rPr>
                <w:rFonts w:cs="Times New Roman"/>
                <w:color w:val="000000"/>
                <w:sz w:val="19"/>
                <w:szCs w:val="19"/>
              </w:rPr>
              <w:t>Pilot and early scaling</w:t>
            </w:r>
          </w:p>
        </w:tc>
        <w:tc>
          <w:tcPr>
            <w:tcW w:w="4392" w:type="dxa"/>
            <w:shd w:val="clear" w:color="auto" w:fill="F7F7F7"/>
            <w:tcMar>
              <w:top w:w="70" w:type="dxa"/>
              <w:left w:w="90" w:type="dxa"/>
              <w:bottom w:w="70" w:type="dxa"/>
              <w:right w:w="90" w:type="dxa"/>
            </w:tcMar>
            <w:vAlign w:val="center"/>
          </w:tcPr>
          <w:p w14:paraId="3D6D5BC7" w14:textId="77777777" w:rsidR="00FE593F" w:rsidRPr="00983732" w:rsidRDefault="004E2748">
            <w:pPr>
              <w:spacing w:after="0"/>
              <w:jc w:val="left"/>
              <w:rPr>
                <w:rFonts w:cs="Times New Roman"/>
                <w:sz w:val="19"/>
                <w:szCs w:val="19"/>
              </w:rPr>
            </w:pPr>
            <w:r w:rsidRPr="00983732">
              <w:rPr>
                <w:rFonts w:cs="Times New Roman"/>
                <w:color w:val="000000"/>
                <w:sz w:val="19"/>
                <w:szCs w:val="19"/>
              </w:rPr>
              <w:t>Private innovation, charging models and links to BRT planning</w:t>
            </w:r>
          </w:p>
        </w:tc>
      </w:tr>
      <w:tr w:rsidR="00FE593F" w:rsidRPr="00983732" w14:paraId="29846B13" w14:textId="77777777">
        <w:trPr>
          <w:jc w:val="center"/>
        </w:trPr>
        <w:tc>
          <w:tcPr>
            <w:tcW w:w="1224" w:type="dxa"/>
            <w:tcMar>
              <w:top w:w="70" w:type="dxa"/>
              <w:left w:w="90" w:type="dxa"/>
              <w:bottom w:w="70" w:type="dxa"/>
              <w:right w:w="90" w:type="dxa"/>
            </w:tcMar>
            <w:vAlign w:val="center"/>
          </w:tcPr>
          <w:p w14:paraId="2CE0851C" w14:textId="77777777" w:rsidR="00FE593F" w:rsidRPr="00983732" w:rsidRDefault="004E2748">
            <w:pPr>
              <w:spacing w:after="0"/>
              <w:jc w:val="center"/>
              <w:rPr>
                <w:rFonts w:cs="Times New Roman"/>
                <w:sz w:val="19"/>
                <w:szCs w:val="19"/>
              </w:rPr>
            </w:pPr>
            <w:r w:rsidRPr="00983732">
              <w:rPr>
                <w:rFonts w:cs="Times New Roman"/>
                <w:color w:val="000000"/>
                <w:sz w:val="19"/>
                <w:szCs w:val="19"/>
              </w:rPr>
              <w:t>Lagos</w:t>
            </w:r>
          </w:p>
        </w:tc>
        <w:tc>
          <w:tcPr>
            <w:tcW w:w="2088" w:type="dxa"/>
            <w:tcMar>
              <w:top w:w="70" w:type="dxa"/>
              <w:left w:w="90" w:type="dxa"/>
              <w:bottom w:w="70" w:type="dxa"/>
              <w:right w:w="90" w:type="dxa"/>
            </w:tcMar>
            <w:vAlign w:val="center"/>
          </w:tcPr>
          <w:p w14:paraId="3C5F47BB" w14:textId="77777777" w:rsidR="00FE593F" w:rsidRPr="00983732" w:rsidRDefault="004E2748">
            <w:pPr>
              <w:spacing w:after="0"/>
              <w:jc w:val="left"/>
              <w:rPr>
                <w:rFonts w:cs="Times New Roman"/>
                <w:sz w:val="19"/>
                <w:szCs w:val="19"/>
              </w:rPr>
            </w:pPr>
            <w:r w:rsidRPr="00983732">
              <w:rPr>
                <w:rFonts w:cs="Times New Roman"/>
                <w:color w:val="000000"/>
                <w:sz w:val="19"/>
                <w:szCs w:val="19"/>
              </w:rPr>
              <w:t>Electric buses within mass-transit modernisation</w:t>
            </w:r>
          </w:p>
        </w:tc>
        <w:tc>
          <w:tcPr>
            <w:tcW w:w="1944" w:type="dxa"/>
            <w:tcMar>
              <w:top w:w="70" w:type="dxa"/>
              <w:left w:w="90" w:type="dxa"/>
              <w:bottom w:w="70" w:type="dxa"/>
              <w:right w:w="90" w:type="dxa"/>
            </w:tcMar>
            <w:vAlign w:val="center"/>
          </w:tcPr>
          <w:p w14:paraId="2E4FB27E" w14:textId="77777777" w:rsidR="00FE593F" w:rsidRPr="00983732" w:rsidRDefault="004E2748">
            <w:pPr>
              <w:spacing w:after="0"/>
              <w:jc w:val="left"/>
              <w:rPr>
                <w:rFonts w:cs="Times New Roman"/>
                <w:sz w:val="19"/>
                <w:szCs w:val="19"/>
              </w:rPr>
            </w:pPr>
            <w:r w:rsidRPr="00983732">
              <w:rPr>
                <w:rFonts w:cs="Times New Roman"/>
                <w:color w:val="000000"/>
                <w:sz w:val="19"/>
                <w:szCs w:val="19"/>
              </w:rPr>
              <w:t>Early deployment</w:t>
            </w:r>
          </w:p>
        </w:tc>
        <w:tc>
          <w:tcPr>
            <w:tcW w:w="4392" w:type="dxa"/>
            <w:tcMar>
              <w:top w:w="70" w:type="dxa"/>
              <w:left w:w="90" w:type="dxa"/>
              <w:bottom w:w="70" w:type="dxa"/>
              <w:right w:w="90" w:type="dxa"/>
            </w:tcMar>
            <w:vAlign w:val="center"/>
          </w:tcPr>
          <w:p w14:paraId="427F5248" w14:textId="77777777" w:rsidR="00FE593F" w:rsidRPr="00983732" w:rsidRDefault="004E2748">
            <w:pPr>
              <w:spacing w:after="0"/>
              <w:jc w:val="left"/>
              <w:rPr>
                <w:rFonts w:cs="Times New Roman"/>
                <w:sz w:val="19"/>
                <w:szCs w:val="19"/>
              </w:rPr>
            </w:pPr>
            <w:r w:rsidRPr="00983732">
              <w:rPr>
                <w:rFonts w:cs="Times New Roman"/>
                <w:color w:val="000000"/>
                <w:sz w:val="19"/>
                <w:szCs w:val="19"/>
              </w:rPr>
              <w:t>Megacity demand, fiscal constraints and network integration</w:t>
            </w:r>
          </w:p>
        </w:tc>
      </w:tr>
      <w:tr w:rsidR="00FE593F" w:rsidRPr="00983732" w14:paraId="087DBC9A" w14:textId="77777777">
        <w:trPr>
          <w:jc w:val="center"/>
        </w:trPr>
        <w:tc>
          <w:tcPr>
            <w:tcW w:w="1224" w:type="dxa"/>
            <w:shd w:val="clear" w:color="auto" w:fill="F7F7F7"/>
            <w:tcMar>
              <w:top w:w="70" w:type="dxa"/>
              <w:left w:w="90" w:type="dxa"/>
              <w:bottom w:w="70" w:type="dxa"/>
              <w:right w:w="90" w:type="dxa"/>
            </w:tcMar>
            <w:vAlign w:val="center"/>
          </w:tcPr>
          <w:p w14:paraId="580C865A" w14:textId="77777777" w:rsidR="00FE593F" w:rsidRPr="00983732" w:rsidRDefault="004E2748">
            <w:pPr>
              <w:spacing w:after="0"/>
              <w:jc w:val="center"/>
              <w:rPr>
                <w:rFonts w:cs="Times New Roman"/>
                <w:sz w:val="19"/>
                <w:szCs w:val="19"/>
              </w:rPr>
            </w:pPr>
            <w:r w:rsidRPr="00983732">
              <w:rPr>
                <w:rFonts w:cs="Times New Roman"/>
                <w:color w:val="000000"/>
                <w:sz w:val="19"/>
                <w:szCs w:val="19"/>
              </w:rPr>
              <w:t>Delhi</w:t>
            </w:r>
          </w:p>
        </w:tc>
        <w:tc>
          <w:tcPr>
            <w:tcW w:w="2088" w:type="dxa"/>
            <w:shd w:val="clear" w:color="auto" w:fill="F7F7F7"/>
            <w:tcMar>
              <w:top w:w="70" w:type="dxa"/>
              <w:left w:w="90" w:type="dxa"/>
              <w:bottom w:w="70" w:type="dxa"/>
              <w:right w:w="90" w:type="dxa"/>
            </w:tcMar>
            <w:vAlign w:val="center"/>
          </w:tcPr>
          <w:p w14:paraId="738B0B5A" w14:textId="77777777" w:rsidR="00FE593F" w:rsidRPr="00983732" w:rsidRDefault="004E2748">
            <w:pPr>
              <w:spacing w:after="0"/>
              <w:jc w:val="left"/>
              <w:rPr>
                <w:rFonts w:cs="Times New Roman"/>
                <w:sz w:val="19"/>
                <w:szCs w:val="19"/>
              </w:rPr>
            </w:pPr>
            <w:r w:rsidRPr="00983732">
              <w:rPr>
                <w:rFonts w:cs="Times New Roman"/>
                <w:color w:val="000000"/>
                <w:sz w:val="19"/>
                <w:szCs w:val="19"/>
              </w:rPr>
              <w:t>Large public electric-bus programme</w:t>
            </w:r>
          </w:p>
        </w:tc>
        <w:tc>
          <w:tcPr>
            <w:tcW w:w="1944" w:type="dxa"/>
            <w:shd w:val="clear" w:color="auto" w:fill="F7F7F7"/>
            <w:tcMar>
              <w:top w:w="70" w:type="dxa"/>
              <w:left w:w="90" w:type="dxa"/>
              <w:bottom w:w="70" w:type="dxa"/>
              <w:right w:w="90" w:type="dxa"/>
            </w:tcMar>
            <w:vAlign w:val="center"/>
          </w:tcPr>
          <w:p w14:paraId="383F61AC" w14:textId="77777777" w:rsidR="00FE593F" w:rsidRPr="00983732" w:rsidRDefault="004E2748">
            <w:pPr>
              <w:spacing w:after="0"/>
              <w:jc w:val="left"/>
              <w:rPr>
                <w:rFonts w:cs="Times New Roman"/>
                <w:sz w:val="19"/>
                <w:szCs w:val="19"/>
              </w:rPr>
            </w:pPr>
            <w:r w:rsidRPr="00983732">
              <w:rPr>
                <w:rFonts w:cs="Times New Roman"/>
                <w:color w:val="000000"/>
                <w:sz w:val="19"/>
                <w:szCs w:val="19"/>
              </w:rPr>
              <w:t>Rapid fleet expansion</w:t>
            </w:r>
          </w:p>
        </w:tc>
        <w:tc>
          <w:tcPr>
            <w:tcW w:w="4392" w:type="dxa"/>
            <w:shd w:val="clear" w:color="auto" w:fill="F7F7F7"/>
            <w:tcMar>
              <w:top w:w="70" w:type="dxa"/>
              <w:left w:w="90" w:type="dxa"/>
              <w:bottom w:w="70" w:type="dxa"/>
              <w:right w:w="90" w:type="dxa"/>
            </w:tcMar>
            <w:vAlign w:val="center"/>
          </w:tcPr>
          <w:p w14:paraId="7292E590" w14:textId="77777777" w:rsidR="00FE593F" w:rsidRPr="00983732" w:rsidRDefault="004E2748">
            <w:pPr>
              <w:spacing w:after="0"/>
              <w:jc w:val="left"/>
              <w:rPr>
                <w:rFonts w:cs="Times New Roman"/>
                <w:sz w:val="19"/>
                <w:szCs w:val="19"/>
              </w:rPr>
            </w:pPr>
            <w:r w:rsidRPr="00983732">
              <w:rPr>
                <w:rFonts w:cs="Times New Roman"/>
                <w:color w:val="000000"/>
                <w:sz w:val="19"/>
                <w:szCs w:val="19"/>
              </w:rPr>
              <w:t>Public procurement, air-quality policy and inclusive service design</w:t>
            </w:r>
          </w:p>
        </w:tc>
      </w:tr>
      <w:tr w:rsidR="00FE593F" w:rsidRPr="00983732" w14:paraId="3307A658" w14:textId="77777777">
        <w:trPr>
          <w:jc w:val="center"/>
        </w:trPr>
        <w:tc>
          <w:tcPr>
            <w:tcW w:w="1224" w:type="dxa"/>
            <w:tcMar>
              <w:top w:w="70" w:type="dxa"/>
              <w:left w:w="90" w:type="dxa"/>
              <w:bottom w:w="70" w:type="dxa"/>
              <w:right w:w="90" w:type="dxa"/>
            </w:tcMar>
            <w:vAlign w:val="center"/>
          </w:tcPr>
          <w:p w14:paraId="5AB91A03" w14:textId="77777777" w:rsidR="00FE593F" w:rsidRPr="00983732" w:rsidRDefault="004E2748">
            <w:pPr>
              <w:spacing w:after="0"/>
              <w:jc w:val="center"/>
              <w:rPr>
                <w:rFonts w:cs="Times New Roman"/>
                <w:sz w:val="19"/>
                <w:szCs w:val="19"/>
              </w:rPr>
            </w:pPr>
            <w:r w:rsidRPr="00983732">
              <w:rPr>
                <w:rFonts w:cs="Times New Roman"/>
                <w:color w:val="000000"/>
                <w:sz w:val="19"/>
                <w:szCs w:val="19"/>
              </w:rPr>
              <w:t>Shenzhen</w:t>
            </w:r>
          </w:p>
        </w:tc>
        <w:tc>
          <w:tcPr>
            <w:tcW w:w="2088" w:type="dxa"/>
            <w:tcMar>
              <w:top w:w="70" w:type="dxa"/>
              <w:left w:w="90" w:type="dxa"/>
              <w:bottom w:w="70" w:type="dxa"/>
              <w:right w:w="90" w:type="dxa"/>
            </w:tcMar>
            <w:vAlign w:val="center"/>
          </w:tcPr>
          <w:p w14:paraId="0A27DC87" w14:textId="77777777" w:rsidR="00FE593F" w:rsidRPr="00983732" w:rsidRDefault="004E2748">
            <w:pPr>
              <w:spacing w:after="0"/>
              <w:jc w:val="left"/>
              <w:rPr>
                <w:rFonts w:cs="Times New Roman"/>
                <w:sz w:val="19"/>
                <w:szCs w:val="19"/>
              </w:rPr>
            </w:pPr>
            <w:r w:rsidRPr="00983732">
              <w:rPr>
                <w:rFonts w:cs="Times New Roman"/>
                <w:color w:val="000000"/>
                <w:sz w:val="19"/>
                <w:szCs w:val="19"/>
              </w:rPr>
              <w:t>Fully electrified municipal bus fleet</w:t>
            </w:r>
          </w:p>
        </w:tc>
        <w:tc>
          <w:tcPr>
            <w:tcW w:w="1944" w:type="dxa"/>
            <w:tcMar>
              <w:top w:w="70" w:type="dxa"/>
              <w:left w:w="90" w:type="dxa"/>
              <w:bottom w:w="70" w:type="dxa"/>
              <w:right w:w="90" w:type="dxa"/>
            </w:tcMar>
            <w:vAlign w:val="center"/>
          </w:tcPr>
          <w:p w14:paraId="3643EF0D" w14:textId="77777777" w:rsidR="00FE593F" w:rsidRPr="00983732" w:rsidRDefault="004E2748">
            <w:pPr>
              <w:spacing w:after="0"/>
              <w:jc w:val="left"/>
              <w:rPr>
                <w:rFonts w:cs="Times New Roman"/>
                <w:sz w:val="19"/>
                <w:szCs w:val="19"/>
              </w:rPr>
            </w:pPr>
            <w:r w:rsidRPr="00983732">
              <w:rPr>
                <w:rFonts w:cs="Times New Roman"/>
                <w:color w:val="000000"/>
                <w:sz w:val="19"/>
                <w:szCs w:val="19"/>
              </w:rPr>
              <w:t>Mature large-scale operation</w:t>
            </w:r>
          </w:p>
        </w:tc>
        <w:tc>
          <w:tcPr>
            <w:tcW w:w="4392" w:type="dxa"/>
            <w:tcMar>
              <w:top w:w="70" w:type="dxa"/>
              <w:left w:w="90" w:type="dxa"/>
              <w:bottom w:w="70" w:type="dxa"/>
              <w:right w:w="90" w:type="dxa"/>
            </w:tcMar>
            <w:vAlign w:val="center"/>
          </w:tcPr>
          <w:p w14:paraId="67368E8D" w14:textId="77777777" w:rsidR="00FE593F" w:rsidRPr="00983732" w:rsidRDefault="004E2748">
            <w:pPr>
              <w:spacing w:after="0"/>
              <w:jc w:val="left"/>
              <w:rPr>
                <w:rFonts w:cs="Times New Roman"/>
                <w:sz w:val="19"/>
                <w:szCs w:val="19"/>
              </w:rPr>
            </w:pPr>
            <w:r w:rsidRPr="00983732">
              <w:rPr>
                <w:rFonts w:cs="Times New Roman"/>
                <w:color w:val="000000"/>
                <w:sz w:val="19"/>
                <w:szCs w:val="19"/>
              </w:rPr>
              <w:t>Scale, industrial policy, charging coordination and workforce transition</w:t>
            </w:r>
          </w:p>
        </w:tc>
      </w:tr>
    </w:tbl>
    <w:p w14:paraId="47853FC1" w14:textId="77777777" w:rsidR="00FE593F" w:rsidRPr="00983732" w:rsidRDefault="004E2748">
      <w:pPr>
        <w:jc w:val="center"/>
        <w:rPr>
          <w:rFonts w:cs="Times New Roman"/>
          <w:sz w:val="19"/>
          <w:szCs w:val="19"/>
        </w:rPr>
      </w:pPr>
      <w:r w:rsidRPr="00983732">
        <w:rPr>
          <w:rFonts w:cs="Times New Roman"/>
          <w:i/>
          <w:color w:val="000000"/>
          <w:sz w:val="19"/>
          <w:szCs w:val="19"/>
        </w:rPr>
        <w:t>Source: Authors’ synthesis from the documentary evidence reviewed.</w:t>
      </w:r>
    </w:p>
    <w:p w14:paraId="5DEBBB62" w14:textId="77777777" w:rsidR="00FE593F" w:rsidRPr="00983732" w:rsidRDefault="00FE593F">
      <w:pPr>
        <w:pStyle w:val="Heading2"/>
        <w:rPr>
          <w:rFonts w:ascii="Times New Roman" w:hAnsi="Times New Roman" w:cs="Times New Roman"/>
          <w:bCs w:val="0"/>
          <w:sz w:val="22"/>
          <w:szCs w:val="22"/>
        </w:rPr>
      </w:pPr>
    </w:p>
    <w:p w14:paraId="37808A80" w14:textId="77777777" w:rsidR="00FE593F" w:rsidRPr="00983732" w:rsidRDefault="004E2748">
      <w:pPr>
        <w:rPr>
          <w:rFonts w:cs="Times New Roman"/>
          <w:b/>
          <w:bCs/>
          <w:color w:val="000000"/>
          <w:sz w:val="22"/>
        </w:rPr>
      </w:pPr>
      <w:r w:rsidRPr="00983732">
        <w:rPr>
          <w:rFonts w:cs="Times New Roman"/>
          <w:b/>
          <w:bCs/>
          <w:color w:val="000000"/>
          <w:sz w:val="22"/>
        </w:rPr>
        <w:t>3.2 Evidence Identification, Screening and Extraction</w:t>
      </w:r>
    </w:p>
    <w:p w14:paraId="594E198E"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t>A structured documentary search covered publications from 2015 to 31 May 2026, with the final search completed on 31 May 2026. Evidence was identified through Scopus, Web of Science, Google Scholar and ScienceDirect, supplemented by publications of the World Bank, IEA, IRENA, UNEP, national governments and transport agencies. Search terms combined renewable-energy mobility, electric mobility, electric buses, electric rail, social sustainability, mobility justice, transport equity, accessibility, affordability and the five case-city names.</w:t>
      </w:r>
    </w:p>
    <w:p w14:paraId="24373A40"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t>Peer-reviewed studies, policy documents, agency records, project reports and credible institutional publications directly addressing the selected interventions or analytical outcomes were retained. Duplicates, weakly attributable materials and sources lacking substantive relevance were excluded. The completed review drew on 49 referenced sources, comprising empirical, institutional and theoretical evidence. Data were extracted using a common template covering technology, implementation maturity, finance and governance, route coverage, fares, accessibility, employment, inclusion, environmental and health co-benefits, and implementation constraints. Evidence relating to proposed or pilot interventions was treated as prospective rather than realised.</w:t>
      </w:r>
    </w:p>
    <w:p w14:paraId="75C25EAC" w14:textId="77777777" w:rsidR="00FE593F" w:rsidRPr="00983732" w:rsidRDefault="00FE593F">
      <w:pPr>
        <w:rPr>
          <w:rFonts w:cs="Times New Roman"/>
          <w:color w:val="000000"/>
          <w:sz w:val="19"/>
          <w:szCs w:val="19"/>
        </w:rPr>
      </w:pPr>
    </w:p>
    <w:p w14:paraId="3CB6D9E1" w14:textId="77777777" w:rsidR="00FE593F" w:rsidRPr="00983732" w:rsidRDefault="004E2748">
      <w:pPr>
        <w:rPr>
          <w:rFonts w:cs="Times New Roman"/>
          <w:b/>
          <w:bCs/>
          <w:color w:val="000000"/>
          <w:sz w:val="22"/>
        </w:rPr>
      </w:pPr>
      <w:r w:rsidRPr="00983732">
        <w:rPr>
          <w:rFonts w:cs="Times New Roman"/>
          <w:b/>
          <w:bCs/>
          <w:color w:val="000000"/>
          <w:sz w:val="22"/>
        </w:rPr>
        <w:t>3.3 Coding, Cross-Case Analysis and Rigour</w:t>
      </w:r>
    </w:p>
    <w:p w14:paraId="4DD16E12"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lastRenderedPageBreak/>
        <w:t>Analysis proceeded through within-case coding and cross-case pattern matching. Evidence was coded across five domains: accessibility, affordability, employment and local capability, gender and social inclusion, and public-health co-benefits. Cross-case synthesis then examined similarities, differences and the moderating roles of finance, governance, electricity and charging capacity, technical capability and network design.</w:t>
      </w:r>
    </w:p>
    <w:p w14:paraId="76788080"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t>Source triangulation, consistent coding domains and retention of contradictory evidence strengthened analytical rigour. Because the study relied exclusively on public documentary evidence and involved no human participants, participant consent was not required. Uneven reporting across cities and the absence of standardised longitudinal social indicators limited causal inference; accordingly, the findings were interpreted as comparative patterns rather than population estimates or definitive causal effects.</w:t>
      </w:r>
    </w:p>
    <w:p w14:paraId="07E6B826" w14:textId="77777777" w:rsidR="00FE593F" w:rsidRPr="00983732" w:rsidRDefault="004E2748">
      <w:pPr>
        <w:ind w:firstLine="317"/>
        <w:rPr>
          <w:rFonts w:cs="Times New Roman"/>
          <w:color w:val="000000"/>
          <w:sz w:val="19"/>
          <w:szCs w:val="19"/>
          <w:lang w:val="en-CA"/>
        </w:rPr>
      </w:pPr>
      <w:r w:rsidRPr="00983732">
        <w:rPr>
          <w:rFonts w:cs="Times New Roman"/>
          <w:noProof/>
          <w:color w:val="000000"/>
          <w:sz w:val="19"/>
          <w:szCs w:val="19"/>
          <w:lang w:val="en-CA"/>
        </w:rPr>
        <w:drawing>
          <wp:inline distT="0" distB="0" distL="114300" distR="114300" wp14:anchorId="7E89F28B" wp14:editId="0D2AC7D8">
            <wp:extent cx="5451475" cy="2966085"/>
            <wp:effectExtent l="0" t="0" r="0" b="0"/>
            <wp:docPr id="4" name="Picture 4" descr="ChatGPT Image Aug 23, 2026, 08_04_08 P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tGPT Image Aug 23, 2026, 08_04_08 PM"/>
                    <pic:cNvPicPr>
                      <a:picLocks noChangeAspect="1"/>
                    </pic:cNvPicPr>
                  </pic:nvPicPr>
                  <pic:blipFill>
                    <a:blip r:embed="rId9"/>
                    <a:srcRect l="289" t="10000" r="347" b="8906"/>
                    <a:stretch>
                      <a:fillRect/>
                    </a:stretch>
                  </pic:blipFill>
                  <pic:spPr>
                    <a:xfrm>
                      <a:off x="0" y="0"/>
                      <a:ext cx="5451475" cy="2966085"/>
                    </a:xfrm>
                    <a:prstGeom prst="rect">
                      <a:avLst/>
                    </a:prstGeom>
                  </pic:spPr>
                </pic:pic>
              </a:graphicData>
            </a:graphic>
          </wp:inline>
        </w:drawing>
      </w:r>
    </w:p>
    <w:p w14:paraId="393330D8" w14:textId="77777777" w:rsidR="00FE593F" w:rsidRPr="00983732" w:rsidRDefault="004E2748">
      <w:pPr>
        <w:ind w:firstLine="317"/>
        <w:jc w:val="center"/>
        <w:rPr>
          <w:rFonts w:cs="Times New Roman"/>
          <w:color w:val="000000"/>
          <w:sz w:val="19"/>
          <w:szCs w:val="19"/>
          <w:lang w:val="en-CA"/>
        </w:rPr>
      </w:pPr>
      <w:r w:rsidRPr="00983732">
        <w:rPr>
          <w:rFonts w:cs="Times New Roman"/>
          <w:color w:val="000000"/>
          <w:sz w:val="19"/>
          <w:szCs w:val="19"/>
          <w:lang w:val="en-CA"/>
        </w:rPr>
        <w:t>Figure 2. Qualitative Multiple-Case Analytical Procedure for Evaluating Renewable-Energy Mobility and Social-Sustainability Outcomes</w:t>
      </w:r>
      <w:r w:rsidRPr="00983732">
        <w:rPr>
          <w:rFonts w:cs="Times New Roman"/>
          <w:color w:val="000000"/>
          <w:sz w:val="19"/>
          <w:szCs w:val="19"/>
          <w:lang w:val="en-CA"/>
        </w:rPr>
        <w:br/>
        <w:t>Source: Authors’ conceptualisation based on the study’s multiple-case design, drawing on Yin (2018) and Creswell (2014).</w:t>
      </w:r>
    </w:p>
    <w:p w14:paraId="7BE59A4B" w14:textId="77777777" w:rsidR="00FE593F" w:rsidRPr="00983732" w:rsidRDefault="00FE593F">
      <w:pPr>
        <w:ind w:firstLine="317"/>
        <w:rPr>
          <w:rFonts w:cs="Times New Roman"/>
          <w:color w:val="000000"/>
          <w:sz w:val="19"/>
          <w:szCs w:val="19"/>
          <w:lang w:val="en-CA"/>
        </w:rPr>
      </w:pPr>
    </w:p>
    <w:p w14:paraId="325D288E" w14:textId="77777777" w:rsidR="00FE593F" w:rsidRPr="00983732" w:rsidRDefault="004E2748">
      <w:pPr>
        <w:pStyle w:val="Heading1"/>
        <w:rPr>
          <w:rFonts w:ascii="Times New Roman" w:hAnsi="Times New Roman" w:cs="Times New Roman"/>
          <w:bCs w:val="0"/>
          <w:sz w:val="22"/>
          <w:szCs w:val="22"/>
        </w:rPr>
      </w:pPr>
      <w:r w:rsidRPr="00983732">
        <w:rPr>
          <w:rFonts w:ascii="Times New Roman" w:hAnsi="Times New Roman" w:cs="Times New Roman"/>
          <w:bCs w:val="0"/>
          <w:sz w:val="22"/>
          <w:szCs w:val="22"/>
        </w:rPr>
        <w:lastRenderedPageBreak/>
        <w:t>4.</w:t>
      </w:r>
      <w:r w:rsidRPr="00983732">
        <w:rPr>
          <w:rFonts w:ascii="Times New Roman" w:hAnsi="Times New Roman" w:cs="Times New Roman"/>
          <w:bCs w:val="0"/>
          <w:sz w:val="22"/>
          <w:szCs w:val="22"/>
          <w:lang w:val="en-CA"/>
        </w:rPr>
        <w:t>0</w:t>
      </w:r>
      <w:r w:rsidRPr="00983732">
        <w:rPr>
          <w:rFonts w:ascii="Times New Roman" w:hAnsi="Times New Roman" w:cs="Times New Roman"/>
          <w:bCs w:val="0"/>
          <w:sz w:val="22"/>
          <w:szCs w:val="22"/>
        </w:rPr>
        <w:t xml:space="preserve"> Findings: City-Level Evidence</w:t>
      </w:r>
    </w:p>
    <w:p w14:paraId="3AE9AC6C"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The five cases revealed substantial variation in implementation maturity, institutional capacity and the strength of documented social outcomes. Addis Ababa represented established electrified rail with operational constraints; Nairobi and Lagos reflected pilot or early-stage electric-bus deployment; Delhi showed rapid public-fleet expansion; and Shenzhen represented mature system-wide electrification. The evidence was interpreted across affordability, accessibility, employment and local capability, inclusion, public-health co-benefits and implementation conditions, while prospective outcomes were distinguished from demonstrated effects.</w:t>
      </w:r>
    </w:p>
    <w:p w14:paraId="31888719" w14:textId="77777777" w:rsidR="00FE593F" w:rsidRPr="00983732" w:rsidRDefault="004E2748">
      <w:pPr>
        <w:pStyle w:val="Heading2"/>
        <w:rPr>
          <w:rFonts w:ascii="Times New Roman" w:hAnsi="Times New Roman" w:cs="Times New Roman"/>
          <w:bCs w:val="0"/>
          <w:sz w:val="22"/>
          <w:szCs w:val="22"/>
        </w:rPr>
      </w:pPr>
      <w:r w:rsidRPr="00983732">
        <w:rPr>
          <w:rFonts w:ascii="Times New Roman" w:hAnsi="Times New Roman" w:cs="Times New Roman"/>
          <w:bCs w:val="0"/>
          <w:sz w:val="22"/>
          <w:szCs w:val="22"/>
        </w:rPr>
        <w:t>4.1 Addis Ababa: Electrified Light Rail</w:t>
      </w:r>
    </w:p>
    <w:p w14:paraId="5DB39815"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Addis Ababa provided evidence that electrified high-capacity transport can support affordable urban mobility and improve access along major corridors. Available studies associated the light-rail system with relatively low fares, travel-time benefits and reduced exposure to local transport emissions (Taffese &amp; Tilahun, 2021). These benefits are particularly relevant to households dependent on public transport for access to employment and other urban opportunities.</w:t>
      </w:r>
    </w:p>
    <w:p w14:paraId="4DDE3AD7"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The social value of the system was nevertheless constrained by service reliability, electricity supply, maintenance capability and weak feeder integration (Alemu &amp; Worku, 2022). These limitations reduced effective accessibility beyond the rail corridor and imposed additional waiting, transfer and journey costs. Addis Ababa therefore illustrates an important distinction between infrastructure availability and effective mobility access: electrification can provide affordable high-capacity service, but social sustainability depends on reliable operation, network integration and domestic maintenance capacity.</w:t>
      </w:r>
    </w:p>
    <w:p w14:paraId="61842272" w14:textId="77777777" w:rsidR="00FE593F" w:rsidRPr="00983732" w:rsidRDefault="004E2748">
      <w:pPr>
        <w:pStyle w:val="Heading2"/>
        <w:rPr>
          <w:rFonts w:ascii="Times New Roman" w:hAnsi="Times New Roman" w:cs="Times New Roman"/>
          <w:bCs w:val="0"/>
          <w:sz w:val="22"/>
          <w:szCs w:val="22"/>
        </w:rPr>
      </w:pPr>
      <w:r w:rsidRPr="00983732">
        <w:rPr>
          <w:rFonts w:ascii="Times New Roman" w:hAnsi="Times New Roman" w:cs="Times New Roman"/>
          <w:bCs w:val="0"/>
          <w:sz w:val="22"/>
          <w:szCs w:val="22"/>
        </w:rPr>
        <w:t>4.2 Nairobi: Electric-Bus Experimentation and Early Scaling</w:t>
      </w:r>
    </w:p>
    <w:p w14:paraId="252A4F2D"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Nairobi represented a private-sector-led and pilot-oriented pathway to electric mobility. Electric-bus initiatives have introduced cleaner vehicles on selected routes while creating emerging opportunities in driving, charging, maintenance and local technical development (Kiplagat et al., 2022; Mungai &amp; Aoko, 2023). The evidence therefore suggests potential gains in service quality, local capability and employment.</w:t>
      </w:r>
    </w:p>
    <w:p w14:paraId="632C2A11"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However, these outcomes remain spatially and institutionally limited because deployment has not yet reached system-wide scale. Charging constraints, capital requirements, fragmented regulation and interactions with conventional transport operators continue to shape expansion (Waweru et al., 2024). Social benefits should consequently be interpreted as emerging rather than generalised city-wide outcomes. Nairobi demonstrates that entrepreneurial innovation can accelerate experimentation, but wider social sustainability requires integration with public transport planning, dependable charging infrastructure and arrangements that address the transition of incumbent operators.</w:t>
      </w:r>
    </w:p>
    <w:p w14:paraId="3056BB46" w14:textId="77777777" w:rsidR="00FE593F" w:rsidRPr="00983732" w:rsidRDefault="004E2748">
      <w:pPr>
        <w:pStyle w:val="Heading2"/>
        <w:rPr>
          <w:rFonts w:ascii="Times New Roman" w:hAnsi="Times New Roman" w:cs="Times New Roman"/>
          <w:bCs w:val="0"/>
          <w:sz w:val="22"/>
          <w:szCs w:val="22"/>
        </w:rPr>
      </w:pPr>
      <w:r w:rsidRPr="00983732">
        <w:rPr>
          <w:rFonts w:ascii="Times New Roman" w:hAnsi="Times New Roman" w:cs="Times New Roman"/>
          <w:bCs w:val="0"/>
          <w:sz w:val="22"/>
          <w:szCs w:val="22"/>
        </w:rPr>
        <w:t>4.3 Lagos: Early-Stage Electric Mass Transit</w:t>
      </w:r>
    </w:p>
    <w:p w14:paraId="0A5B31E4"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Lagos represented early electric-bus deployment within a large and complex metropolitan transport system. Available evidence associates the emerging initiatives with reduced local noise and emissions and with potential improvements in service comfort and reliability (Ogunjimi &amp; Odewumi, 2023). Reported user benefits and emerging employment around charging and fleet operations indicate possible social value as deployment expands.</w:t>
      </w:r>
    </w:p>
    <w:p w14:paraId="6795B9EA"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The evidence remains insufficient, however, to infer system-wide affordability, accessibility or inclusion effects. Limited fleet scale, electricity reliability, financing constraints, charging infrastructure and inter-agency coordination remain significant implementation barriers (Olowu et al., 2024). Claims concerning benefits for particular passenger groups should therefore remain cautious until supported by consistent disaggregated user data. Lagos illustrates how megacity demand can create a strong case for clean mass transit while institutional and infrastructure conditions determine whether pilot gains become broadly distributed social outcomes.</w:t>
      </w:r>
    </w:p>
    <w:p w14:paraId="760A27C9" w14:textId="77777777" w:rsidR="00FE593F" w:rsidRPr="00983732" w:rsidRDefault="004E2748">
      <w:pPr>
        <w:pStyle w:val="Heading2"/>
        <w:rPr>
          <w:rFonts w:ascii="Times New Roman" w:hAnsi="Times New Roman" w:cs="Times New Roman"/>
          <w:bCs w:val="0"/>
          <w:sz w:val="22"/>
          <w:szCs w:val="22"/>
        </w:rPr>
      </w:pPr>
      <w:r w:rsidRPr="00983732">
        <w:rPr>
          <w:rFonts w:ascii="Times New Roman" w:hAnsi="Times New Roman" w:cs="Times New Roman"/>
          <w:bCs w:val="0"/>
          <w:sz w:val="22"/>
          <w:szCs w:val="22"/>
        </w:rPr>
        <w:t>4.4 Delhi: Rapid Public-Fleet Expansion</w:t>
      </w:r>
    </w:p>
    <w:p w14:paraId="7EA54BCB"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Delhi demonstrated a more advanced public-sector scaling model in which electric-bus deployment was linked to air-quality policy, fleet renewal and charging-infrastructure development (Bhatia &amp; Gupta, 2021). Compared with pilot-stage cases, the scale of deployment increased the likelihood that cleaner vehicles would affect a larger share of daily public-transport journeys.</w:t>
      </w:r>
    </w:p>
    <w:p w14:paraId="26599BAA"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Available evidence associates the programme with reduced local transport pollution, improved passenger comfort and wider exposure to electric public transport (Raghav &amp; Mehta, 2022). Yet scale alone does not establish equitable access. High capital requirements, depot and charging capacity, inter-agency coordination and route allocation remain important determinants of distributional outcomes (Kumar &amp; Sabharwal, 2023). Delhi therefore shows that public procurement can move renewable mobility beyond experimentation, but its social sustainability depends on whether fleet expansion is matched by affordable fares, equitable route coverage and inclusive service standards.</w:t>
      </w:r>
    </w:p>
    <w:p w14:paraId="56B59868" w14:textId="77777777" w:rsidR="00FE593F" w:rsidRPr="00983732" w:rsidRDefault="004E2748">
      <w:pPr>
        <w:pStyle w:val="Heading2"/>
        <w:rPr>
          <w:rFonts w:ascii="Times New Roman" w:hAnsi="Times New Roman" w:cs="Times New Roman"/>
          <w:bCs w:val="0"/>
          <w:sz w:val="22"/>
          <w:szCs w:val="22"/>
        </w:rPr>
      </w:pPr>
      <w:r w:rsidRPr="00983732">
        <w:rPr>
          <w:rFonts w:ascii="Times New Roman" w:hAnsi="Times New Roman" w:cs="Times New Roman"/>
          <w:bCs w:val="0"/>
          <w:sz w:val="22"/>
          <w:szCs w:val="22"/>
        </w:rPr>
        <w:t>4.5 Shenzhen: Mature System-Wide Bus Electrification</w:t>
      </w:r>
    </w:p>
    <w:p w14:paraId="0FA4AAD8"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Shenzhen provided the most mature case, having achieved system-wide electrification of its municipal bus fleet at a scale exceeding 16,000 vehicles (Zhang et al., 2021). Its experience reflects sustained municipal coordination, charging infrastructure, industrial capability and policy support, allowing assessment beyond the pilot stage.</w:t>
      </w:r>
    </w:p>
    <w:p w14:paraId="3B3AEAE0"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lastRenderedPageBreak/>
        <w:t>Documented evidence associates the transition with improved operating performance, reduced local pollution and broader availability of electric public transport, including service across peripheral areas (Chen &amp; Li, 2020). Fleet scale also supported a wider technical value chain involving vehicle production, charging infrastructure, battery systems and related technical employment. However, continuing challenges include high infrastructure costs, technological upgrading, battery lifecycle management and environmental management of end-of-life components (Liu &amp; Sun, 2022).</w:t>
      </w:r>
    </w:p>
    <w:p w14:paraId="5E515503"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Shenzhen therefore provides the strongest evidence that renewable-energy mobility can achieve system-level benefits when vehicle deployment is supported by coordinated infrastructure, finance and domestic technical capability. Its experience should not, however, be treated as directly transferable to cities with weaker fiscal, electricity and institutional systems. Its principal comparative value lies in demonstrating the institutional and technological conditions required to move from isolated electrification to system-wide transition.</w:t>
      </w:r>
    </w:p>
    <w:p w14:paraId="7137326C" w14:textId="77777777" w:rsidR="00FE593F" w:rsidRPr="00983732" w:rsidRDefault="004E2748">
      <w:pPr>
        <w:pStyle w:val="Heading2"/>
        <w:rPr>
          <w:rFonts w:ascii="Times New Roman" w:hAnsi="Times New Roman" w:cs="Times New Roman"/>
          <w:bCs w:val="0"/>
          <w:sz w:val="22"/>
          <w:szCs w:val="22"/>
        </w:rPr>
      </w:pPr>
      <w:r w:rsidRPr="00983732">
        <w:rPr>
          <w:rFonts w:ascii="Times New Roman" w:hAnsi="Times New Roman" w:cs="Times New Roman"/>
          <w:bCs w:val="0"/>
          <w:sz w:val="22"/>
          <w:szCs w:val="22"/>
        </w:rPr>
        <w:t>4.6 City-Level Synthesis</w:t>
      </w:r>
    </w:p>
    <w:p w14:paraId="6D964D5F"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The city-level evidence shows that implementation maturity strongly shaped both the scale of observable benefits and the confidence with which social outcomes could be assessed. Shenzhen and Delhi provided stronger operational evidence because deployment occurred at substantial scale, whereas Nairobi and Lagos largely demonstrated prospective or corridor-specific benefits. Addis Ababa showed that longer operational experience does not by itself guarantee social sustainability where maintenance, reliability and network integration remain weak.</w:t>
      </w:r>
    </w:p>
    <w:p w14:paraId="3A232455"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Across the cases, renewable-energy mobility was associated with potential or documented gains in cleaner local environments, service quality, accessibility and technical employment. These benefits were conditioned consistently by fare design, route coverage, electricity and charging reliability, financing, institutional coordination, maintenance capability and implementation scale. The evidence therefore supports comparison by social-sustainability dimensions rather than simple city ranking. Section 5 examines these recurring patterns across affordability, accessibility, employment, inclusion, public health, governance and efficiency-equity trade-offs.</w:t>
      </w:r>
    </w:p>
    <w:p w14:paraId="71359D3A" w14:textId="77777777" w:rsidR="00FE593F" w:rsidRPr="00983732" w:rsidRDefault="004E2748">
      <w:pPr>
        <w:pStyle w:val="Heading1"/>
        <w:rPr>
          <w:rFonts w:ascii="Times New Roman" w:hAnsi="Times New Roman" w:cs="Times New Roman"/>
          <w:bCs w:val="0"/>
          <w:sz w:val="22"/>
          <w:szCs w:val="22"/>
        </w:rPr>
      </w:pPr>
      <w:r w:rsidRPr="00983732">
        <w:rPr>
          <w:rFonts w:ascii="Times New Roman" w:hAnsi="Times New Roman" w:cs="Times New Roman"/>
          <w:bCs w:val="0"/>
          <w:sz w:val="22"/>
          <w:szCs w:val="22"/>
        </w:rPr>
        <w:t>5.</w:t>
      </w:r>
      <w:r w:rsidRPr="00983732">
        <w:rPr>
          <w:rFonts w:ascii="Times New Roman" w:hAnsi="Times New Roman" w:cs="Times New Roman"/>
          <w:bCs w:val="0"/>
          <w:sz w:val="22"/>
          <w:szCs w:val="22"/>
          <w:lang w:val="en-CA"/>
        </w:rPr>
        <w:t>0</w:t>
      </w:r>
      <w:r w:rsidRPr="00983732">
        <w:rPr>
          <w:rFonts w:ascii="Times New Roman" w:hAnsi="Times New Roman" w:cs="Times New Roman"/>
          <w:bCs w:val="0"/>
          <w:sz w:val="22"/>
          <w:szCs w:val="22"/>
        </w:rPr>
        <w:t xml:space="preserve"> Comparative Findings and Discussion</w:t>
      </w:r>
    </w:p>
    <w:p w14:paraId="30DDBDCC"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Cross-case comparison showed that renewable-energy mobility generated stronger social outcomes where technological deployment was supported by affordable access, broad network coverage, reliable infrastructure, institutional coordination and local capability. Implementation maturity influenced the strength of observable outcomes, but maturity alone did not guarantee equity.</w:t>
      </w:r>
    </w:p>
    <w:p w14:paraId="45C6FB2C" w14:textId="77777777" w:rsidR="00FE593F" w:rsidRPr="00983732" w:rsidRDefault="004E2748">
      <w:pPr>
        <w:pStyle w:val="Heading2"/>
        <w:rPr>
          <w:rFonts w:ascii="Times New Roman" w:hAnsi="Times New Roman" w:cs="Times New Roman"/>
          <w:bCs w:val="0"/>
          <w:sz w:val="22"/>
          <w:szCs w:val="22"/>
        </w:rPr>
      </w:pPr>
      <w:r w:rsidRPr="00983732">
        <w:rPr>
          <w:rFonts w:ascii="Times New Roman" w:hAnsi="Times New Roman" w:cs="Times New Roman"/>
          <w:bCs w:val="0"/>
          <w:sz w:val="22"/>
          <w:szCs w:val="22"/>
        </w:rPr>
        <w:t>5.1 Affordability</w:t>
      </w:r>
    </w:p>
    <w:p w14:paraId="7D9EAC6F"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Affordability emerged as a decisive condition of social sustainability. Lower energy and maintenance costs did not automatically translate into lower passenger costs because fares were also shaped by capital recovery, subsidies, transfers and service reliability. Addis Ababa demonstrated the value of relatively low fares, while the larger Delhi and Shenzhen systems showed how scale and sustained public support could spread capital costs. Nairobi and Lagos remained more constrained by limited fleet scale and financing requirements.</w:t>
      </w:r>
    </w:p>
    <w:p w14:paraId="4B4A1C47"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Affordability should therefore be assessed through total journey burden, including fares, transfers, waiting time and costs arising from unreliable service, rather than ticket price alone.</w:t>
      </w:r>
    </w:p>
    <w:p w14:paraId="752BB6AB" w14:textId="77777777" w:rsidR="00FE593F" w:rsidRPr="00983732" w:rsidRDefault="004E2748">
      <w:pPr>
        <w:pStyle w:val="Heading2"/>
        <w:rPr>
          <w:rFonts w:ascii="Times New Roman" w:hAnsi="Times New Roman" w:cs="Times New Roman"/>
          <w:bCs w:val="0"/>
          <w:sz w:val="22"/>
          <w:szCs w:val="22"/>
        </w:rPr>
      </w:pPr>
      <w:r w:rsidRPr="00983732">
        <w:rPr>
          <w:rFonts w:ascii="Times New Roman" w:hAnsi="Times New Roman" w:cs="Times New Roman"/>
          <w:bCs w:val="0"/>
          <w:sz w:val="22"/>
          <w:szCs w:val="22"/>
        </w:rPr>
        <w:t>5.2 Accessibility and Spatial Inclusion</w:t>
      </w:r>
    </w:p>
    <w:p w14:paraId="290BA706"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Accessibility depended on route coverage, reliability and integration with other modes. Larger systems provided broader exposure to clean transport, whereas pilot-stage deployment remained concentrated on selected corridors. Peripheral communities could still be excluded where route planning favoured high-demand central areas.</w:t>
      </w:r>
    </w:p>
    <w:p w14:paraId="3F13500B"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Effective inclusion therefore required first- and last-mile connectivity, accessible stops, coordinated schedules, integrated fares and adequate operating hours. Fleet electrification improved accessibility only where the wider network connected disadvantaged communities to employment, education, health care and markets.</w:t>
      </w:r>
    </w:p>
    <w:p w14:paraId="62F29F0B" w14:textId="77777777" w:rsidR="00FE593F" w:rsidRPr="00983732" w:rsidRDefault="004E2748">
      <w:pPr>
        <w:pStyle w:val="Heading2"/>
        <w:rPr>
          <w:rFonts w:ascii="Times New Roman" w:hAnsi="Times New Roman" w:cs="Times New Roman"/>
          <w:bCs w:val="0"/>
          <w:sz w:val="22"/>
          <w:szCs w:val="22"/>
        </w:rPr>
      </w:pPr>
      <w:r w:rsidRPr="00983732">
        <w:rPr>
          <w:rFonts w:ascii="Times New Roman" w:hAnsi="Times New Roman" w:cs="Times New Roman"/>
          <w:bCs w:val="0"/>
          <w:sz w:val="22"/>
          <w:szCs w:val="22"/>
        </w:rPr>
        <w:t>5.3 Employment and Local Capability</w:t>
      </w:r>
    </w:p>
    <w:p w14:paraId="10CC5C2A"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Renewable-energy mobility created or anticipated employment in driving, charging, electrical services, maintenance, software, fleet management and battery systems. Shenzhen displayed the deepest technical value chain, while Delhi and Nairobi showed growing demand for charging and maintenance capabilities. Lagos and Addis Ababa revealed greater dependence on external expertise and components.</w:t>
      </w:r>
    </w:p>
    <w:p w14:paraId="0AF871B5"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Employment benefits nevertheless coexisted with displacement risks for informal operators, conventional-vehicle mechanics and related workers. Socially sustainable transition therefore required reskilling, recognition of existing competencies and development of local maintenance and supplier capabilities rather than reliance on vehicle assembly alone.</w:t>
      </w:r>
    </w:p>
    <w:p w14:paraId="782ED3F0" w14:textId="77777777" w:rsidR="00FE593F" w:rsidRPr="00983732" w:rsidRDefault="004E2748">
      <w:pPr>
        <w:pStyle w:val="Heading2"/>
        <w:rPr>
          <w:rFonts w:ascii="Times New Roman" w:hAnsi="Times New Roman" w:cs="Times New Roman"/>
          <w:bCs w:val="0"/>
          <w:sz w:val="22"/>
          <w:szCs w:val="22"/>
        </w:rPr>
      </w:pPr>
      <w:r w:rsidRPr="00983732">
        <w:rPr>
          <w:rFonts w:ascii="Times New Roman" w:hAnsi="Times New Roman" w:cs="Times New Roman"/>
          <w:bCs w:val="0"/>
          <w:sz w:val="22"/>
          <w:szCs w:val="22"/>
        </w:rPr>
        <w:t>5.4 Gender and Social Inclusion</w:t>
      </w:r>
    </w:p>
    <w:p w14:paraId="37859E51"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lastRenderedPageBreak/>
        <w:t>Evidence on gender, disability and other dimensions of inclusion was less consistently reported than technical performance. Cleaner vehicles improved comfort through lower noise, vibration and local emissions, but they did not automatically address harassment, inaccessible boarding, unsafe waiting areas or travel patterns shaped by care responsibilities.</w:t>
      </w:r>
    </w:p>
    <w:p w14:paraId="1C175448"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Inclusive mobility therefore depended on low-floor access, safe stops, accessible passenger information, effective complaint systems and service planning responsive to varied travel needs. Disaggregated data by sex, disability, age, income and location remained essential for determining who actually benefited from transition.</w:t>
      </w:r>
    </w:p>
    <w:p w14:paraId="4609133D" w14:textId="77777777" w:rsidR="00FE593F" w:rsidRPr="00983732" w:rsidRDefault="00FE593F">
      <w:pPr>
        <w:pStyle w:val="Heading2"/>
        <w:rPr>
          <w:rFonts w:ascii="Times New Roman" w:hAnsi="Times New Roman" w:cs="Times New Roman"/>
          <w:b w:val="0"/>
          <w:sz w:val="19"/>
          <w:szCs w:val="19"/>
        </w:rPr>
      </w:pPr>
    </w:p>
    <w:p w14:paraId="6533F721" w14:textId="77777777" w:rsidR="00FE593F" w:rsidRPr="00983732" w:rsidRDefault="004E2748">
      <w:pPr>
        <w:keepNext/>
        <w:spacing w:after="40"/>
        <w:jc w:val="center"/>
        <w:rPr>
          <w:rFonts w:cs="Times New Roman"/>
          <w:sz w:val="19"/>
          <w:szCs w:val="19"/>
        </w:rPr>
      </w:pPr>
      <w:r w:rsidRPr="00983732">
        <w:rPr>
          <w:rFonts w:cs="Times New Roman"/>
          <w:b/>
          <w:color w:val="000000"/>
          <w:sz w:val="19"/>
          <w:szCs w:val="19"/>
        </w:rPr>
        <w:t>Table 3. Cross-case synthesis of social-sustainability outcomes</w:t>
      </w:r>
    </w:p>
    <w:tbl>
      <w:tblPr>
        <w:tblStyle w:val="TableGrid"/>
        <w:tblW w:w="0" w:type="auto"/>
        <w:jc w:val="center"/>
        <w:tblLayout w:type="fixed"/>
        <w:tblLook w:val="04A0" w:firstRow="1" w:lastRow="0" w:firstColumn="1" w:lastColumn="0" w:noHBand="0" w:noVBand="1"/>
      </w:tblPr>
      <w:tblGrid>
        <w:gridCol w:w="1080"/>
        <w:gridCol w:w="2880"/>
        <w:gridCol w:w="2880"/>
        <w:gridCol w:w="2808"/>
      </w:tblGrid>
      <w:tr w:rsidR="00FE593F" w:rsidRPr="00983732" w14:paraId="413E355D" w14:textId="77777777">
        <w:trPr>
          <w:tblHeader/>
          <w:jc w:val="center"/>
        </w:trPr>
        <w:tc>
          <w:tcPr>
            <w:tcW w:w="1080" w:type="dxa"/>
            <w:shd w:val="clear" w:color="auto" w:fill="D9E2F3"/>
            <w:tcMar>
              <w:top w:w="70" w:type="dxa"/>
              <w:left w:w="90" w:type="dxa"/>
              <w:bottom w:w="70" w:type="dxa"/>
              <w:right w:w="90" w:type="dxa"/>
            </w:tcMar>
            <w:vAlign w:val="center"/>
          </w:tcPr>
          <w:p w14:paraId="159CA361" w14:textId="77777777" w:rsidR="00FE593F" w:rsidRPr="00983732" w:rsidRDefault="004E2748">
            <w:pPr>
              <w:spacing w:after="0"/>
              <w:jc w:val="center"/>
              <w:rPr>
                <w:rFonts w:cs="Times New Roman"/>
                <w:sz w:val="19"/>
                <w:szCs w:val="19"/>
              </w:rPr>
            </w:pPr>
            <w:r w:rsidRPr="00983732">
              <w:rPr>
                <w:rFonts w:cs="Times New Roman"/>
                <w:b/>
                <w:color w:val="000000"/>
                <w:sz w:val="19"/>
                <w:szCs w:val="19"/>
              </w:rPr>
              <w:t>City</w:t>
            </w:r>
          </w:p>
        </w:tc>
        <w:tc>
          <w:tcPr>
            <w:tcW w:w="2880" w:type="dxa"/>
            <w:shd w:val="clear" w:color="auto" w:fill="D9E2F3"/>
            <w:tcMar>
              <w:top w:w="70" w:type="dxa"/>
              <w:left w:w="90" w:type="dxa"/>
              <w:bottom w:w="70" w:type="dxa"/>
              <w:right w:w="90" w:type="dxa"/>
            </w:tcMar>
            <w:vAlign w:val="center"/>
          </w:tcPr>
          <w:p w14:paraId="3534736A" w14:textId="77777777" w:rsidR="00FE593F" w:rsidRPr="00983732" w:rsidRDefault="004E2748">
            <w:pPr>
              <w:spacing w:after="0"/>
              <w:jc w:val="center"/>
              <w:rPr>
                <w:rFonts w:cs="Times New Roman"/>
                <w:sz w:val="19"/>
                <w:szCs w:val="19"/>
              </w:rPr>
            </w:pPr>
            <w:r w:rsidRPr="00983732">
              <w:rPr>
                <w:rFonts w:cs="Times New Roman"/>
                <w:b/>
                <w:color w:val="000000"/>
                <w:sz w:val="19"/>
                <w:szCs w:val="19"/>
              </w:rPr>
              <w:t>Access and affordability</w:t>
            </w:r>
          </w:p>
        </w:tc>
        <w:tc>
          <w:tcPr>
            <w:tcW w:w="2880" w:type="dxa"/>
            <w:shd w:val="clear" w:color="auto" w:fill="D9E2F3"/>
            <w:tcMar>
              <w:top w:w="70" w:type="dxa"/>
              <w:left w:w="90" w:type="dxa"/>
              <w:bottom w:w="70" w:type="dxa"/>
              <w:right w:w="90" w:type="dxa"/>
            </w:tcMar>
            <w:vAlign w:val="center"/>
          </w:tcPr>
          <w:p w14:paraId="383C85AC" w14:textId="77777777" w:rsidR="00FE593F" w:rsidRPr="00983732" w:rsidRDefault="004E2748">
            <w:pPr>
              <w:spacing w:after="0"/>
              <w:jc w:val="center"/>
              <w:rPr>
                <w:rFonts w:cs="Times New Roman"/>
                <w:sz w:val="19"/>
                <w:szCs w:val="19"/>
              </w:rPr>
            </w:pPr>
            <w:r w:rsidRPr="00983732">
              <w:rPr>
                <w:rFonts w:cs="Times New Roman"/>
                <w:b/>
                <w:color w:val="000000"/>
                <w:sz w:val="19"/>
                <w:szCs w:val="19"/>
              </w:rPr>
              <w:t>Employment and inclusion</w:t>
            </w:r>
          </w:p>
        </w:tc>
        <w:tc>
          <w:tcPr>
            <w:tcW w:w="2808" w:type="dxa"/>
            <w:shd w:val="clear" w:color="auto" w:fill="D9E2F3"/>
            <w:tcMar>
              <w:top w:w="70" w:type="dxa"/>
              <w:left w:w="90" w:type="dxa"/>
              <w:bottom w:w="70" w:type="dxa"/>
              <w:right w:w="90" w:type="dxa"/>
            </w:tcMar>
            <w:vAlign w:val="center"/>
          </w:tcPr>
          <w:p w14:paraId="04E0DB00" w14:textId="77777777" w:rsidR="00FE593F" w:rsidRPr="00983732" w:rsidRDefault="004E2748">
            <w:pPr>
              <w:spacing w:after="0"/>
              <w:jc w:val="center"/>
              <w:rPr>
                <w:rFonts w:cs="Times New Roman"/>
                <w:sz w:val="19"/>
                <w:szCs w:val="19"/>
              </w:rPr>
            </w:pPr>
            <w:r w:rsidRPr="00983732">
              <w:rPr>
                <w:rFonts w:cs="Times New Roman"/>
                <w:b/>
                <w:color w:val="000000"/>
                <w:sz w:val="19"/>
                <w:szCs w:val="19"/>
              </w:rPr>
              <w:t>Principal constraint</w:t>
            </w:r>
          </w:p>
        </w:tc>
      </w:tr>
      <w:tr w:rsidR="00FE593F" w:rsidRPr="00983732" w14:paraId="27D55B54" w14:textId="77777777">
        <w:trPr>
          <w:jc w:val="center"/>
        </w:trPr>
        <w:tc>
          <w:tcPr>
            <w:tcW w:w="1080" w:type="dxa"/>
            <w:tcMar>
              <w:top w:w="70" w:type="dxa"/>
              <w:left w:w="90" w:type="dxa"/>
              <w:bottom w:w="70" w:type="dxa"/>
              <w:right w:w="90" w:type="dxa"/>
            </w:tcMar>
            <w:vAlign w:val="center"/>
          </w:tcPr>
          <w:p w14:paraId="0A920AA1" w14:textId="77777777" w:rsidR="00FE593F" w:rsidRPr="00983732" w:rsidRDefault="004E2748">
            <w:pPr>
              <w:spacing w:after="0"/>
              <w:jc w:val="center"/>
              <w:rPr>
                <w:rFonts w:cs="Times New Roman"/>
                <w:sz w:val="19"/>
                <w:szCs w:val="19"/>
              </w:rPr>
            </w:pPr>
            <w:r w:rsidRPr="00983732">
              <w:rPr>
                <w:rFonts w:cs="Times New Roman"/>
                <w:color w:val="000000"/>
                <w:sz w:val="19"/>
                <w:szCs w:val="19"/>
              </w:rPr>
              <w:t>Addis Ababa</w:t>
            </w:r>
          </w:p>
        </w:tc>
        <w:tc>
          <w:tcPr>
            <w:tcW w:w="2880" w:type="dxa"/>
            <w:tcMar>
              <w:top w:w="70" w:type="dxa"/>
              <w:left w:w="90" w:type="dxa"/>
              <w:bottom w:w="70" w:type="dxa"/>
              <w:right w:w="90" w:type="dxa"/>
            </w:tcMar>
            <w:vAlign w:val="center"/>
          </w:tcPr>
          <w:p w14:paraId="1FAE6DCD" w14:textId="77777777" w:rsidR="00FE593F" w:rsidRPr="00983732" w:rsidRDefault="004E2748">
            <w:pPr>
              <w:spacing w:after="0"/>
              <w:jc w:val="left"/>
              <w:rPr>
                <w:rFonts w:cs="Times New Roman"/>
                <w:sz w:val="19"/>
                <w:szCs w:val="19"/>
              </w:rPr>
            </w:pPr>
            <w:r w:rsidRPr="00983732">
              <w:rPr>
                <w:rFonts w:cs="Times New Roman"/>
                <w:color w:val="000000"/>
                <w:sz w:val="19"/>
                <w:szCs w:val="19"/>
              </w:rPr>
              <w:t>Relatively low-cost high-capacity service, but reliability and network integration limit reach</w:t>
            </w:r>
          </w:p>
        </w:tc>
        <w:tc>
          <w:tcPr>
            <w:tcW w:w="2880" w:type="dxa"/>
            <w:tcMar>
              <w:top w:w="70" w:type="dxa"/>
              <w:left w:w="90" w:type="dxa"/>
              <w:bottom w:w="70" w:type="dxa"/>
              <w:right w:w="90" w:type="dxa"/>
            </w:tcMar>
            <w:vAlign w:val="center"/>
          </w:tcPr>
          <w:p w14:paraId="01B70481" w14:textId="77777777" w:rsidR="00FE593F" w:rsidRPr="00983732" w:rsidRDefault="004E2748">
            <w:pPr>
              <w:spacing w:after="0"/>
              <w:jc w:val="left"/>
              <w:rPr>
                <w:rFonts w:cs="Times New Roman"/>
                <w:sz w:val="19"/>
                <w:szCs w:val="19"/>
              </w:rPr>
            </w:pPr>
            <w:r w:rsidRPr="00983732">
              <w:rPr>
                <w:rFonts w:cs="Times New Roman"/>
                <w:color w:val="000000"/>
                <w:sz w:val="19"/>
                <w:szCs w:val="19"/>
              </w:rPr>
              <w:t>Technical and operating work; limited disaggregated evidence on inclusion</w:t>
            </w:r>
          </w:p>
        </w:tc>
        <w:tc>
          <w:tcPr>
            <w:tcW w:w="2808" w:type="dxa"/>
            <w:tcMar>
              <w:top w:w="70" w:type="dxa"/>
              <w:left w:w="90" w:type="dxa"/>
              <w:bottom w:w="70" w:type="dxa"/>
              <w:right w:w="90" w:type="dxa"/>
            </w:tcMar>
            <w:vAlign w:val="center"/>
          </w:tcPr>
          <w:p w14:paraId="653470B9" w14:textId="77777777" w:rsidR="00FE593F" w:rsidRPr="00983732" w:rsidRDefault="004E2748">
            <w:pPr>
              <w:spacing w:after="0"/>
              <w:jc w:val="left"/>
              <w:rPr>
                <w:rFonts w:cs="Times New Roman"/>
                <w:sz w:val="19"/>
                <w:szCs w:val="19"/>
              </w:rPr>
            </w:pPr>
            <w:r w:rsidRPr="00983732">
              <w:rPr>
                <w:rFonts w:cs="Times New Roman"/>
                <w:color w:val="000000"/>
                <w:sz w:val="19"/>
                <w:szCs w:val="19"/>
              </w:rPr>
              <w:t>Power, maintenance, rolling-stock availability and first/last-mile links</w:t>
            </w:r>
          </w:p>
        </w:tc>
      </w:tr>
      <w:tr w:rsidR="00FE593F" w:rsidRPr="00983732" w14:paraId="0D7ECB3C" w14:textId="77777777">
        <w:trPr>
          <w:jc w:val="center"/>
        </w:trPr>
        <w:tc>
          <w:tcPr>
            <w:tcW w:w="1080" w:type="dxa"/>
            <w:shd w:val="clear" w:color="auto" w:fill="F7F7F7"/>
            <w:tcMar>
              <w:top w:w="70" w:type="dxa"/>
              <w:left w:w="90" w:type="dxa"/>
              <w:bottom w:w="70" w:type="dxa"/>
              <w:right w:w="90" w:type="dxa"/>
            </w:tcMar>
            <w:vAlign w:val="center"/>
          </w:tcPr>
          <w:p w14:paraId="3F1D6222" w14:textId="77777777" w:rsidR="00FE593F" w:rsidRPr="00983732" w:rsidRDefault="004E2748">
            <w:pPr>
              <w:spacing w:after="0"/>
              <w:jc w:val="center"/>
              <w:rPr>
                <w:rFonts w:cs="Times New Roman"/>
                <w:sz w:val="19"/>
                <w:szCs w:val="19"/>
              </w:rPr>
            </w:pPr>
            <w:r w:rsidRPr="00983732">
              <w:rPr>
                <w:rFonts w:cs="Times New Roman"/>
                <w:color w:val="000000"/>
                <w:sz w:val="19"/>
                <w:szCs w:val="19"/>
              </w:rPr>
              <w:t>Nairobi</w:t>
            </w:r>
          </w:p>
        </w:tc>
        <w:tc>
          <w:tcPr>
            <w:tcW w:w="2880" w:type="dxa"/>
            <w:shd w:val="clear" w:color="auto" w:fill="F7F7F7"/>
            <w:tcMar>
              <w:top w:w="70" w:type="dxa"/>
              <w:left w:w="90" w:type="dxa"/>
              <w:bottom w:w="70" w:type="dxa"/>
              <w:right w:w="90" w:type="dxa"/>
            </w:tcMar>
            <w:vAlign w:val="center"/>
          </w:tcPr>
          <w:p w14:paraId="654A8A2A" w14:textId="77777777" w:rsidR="00FE593F" w:rsidRPr="00983732" w:rsidRDefault="004E2748">
            <w:pPr>
              <w:spacing w:after="0"/>
              <w:jc w:val="left"/>
              <w:rPr>
                <w:rFonts w:cs="Times New Roman"/>
                <w:sz w:val="19"/>
                <w:szCs w:val="19"/>
              </w:rPr>
            </w:pPr>
            <w:r w:rsidRPr="00983732">
              <w:rPr>
                <w:rFonts w:cs="Times New Roman"/>
                <w:color w:val="000000"/>
                <w:sz w:val="19"/>
                <w:szCs w:val="19"/>
              </w:rPr>
              <w:t>Potential service-quality gains remain concentrated in pilot corridors</w:t>
            </w:r>
          </w:p>
        </w:tc>
        <w:tc>
          <w:tcPr>
            <w:tcW w:w="2880" w:type="dxa"/>
            <w:shd w:val="clear" w:color="auto" w:fill="F7F7F7"/>
            <w:tcMar>
              <w:top w:w="70" w:type="dxa"/>
              <w:left w:w="90" w:type="dxa"/>
              <w:bottom w:w="70" w:type="dxa"/>
              <w:right w:w="90" w:type="dxa"/>
            </w:tcMar>
            <w:vAlign w:val="center"/>
          </w:tcPr>
          <w:p w14:paraId="77A368F6" w14:textId="77777777" w:rsidR="00FE593F" w:rsidRPr="00983732" w:rsidRDefault="004E2748">
            <w:pPr>
              <w:spacing w:after="0"/>
              <w:jc w:val="left"/>
              <w:rPr>
                <w:rFonts w:cs="Times New Roman"/>
                <w:sz w:val="19"/>
                <w:szCs w:val="19"/>
              </w:rPr>
            </w:pPr>
            <w:r w:rsidRPr="00983732">
              <w:rPr>
                <w:rFonts w:cs="Times New Roman"/>
                <w:color w:val="000000"/>
                <w:sz w:val="19"/>
                <w:szCs w:val="19"/>
              </w:rPr>
              <w:t>New driving, charging and maintenance roles; transition effects on informal operators require attention</w:t>
            </w:r>
          </w:p>
        </w:tc>
        <w:tc>
          <w:tcPr>
            <w:tcW w:w="2808" w:type="dxa"/>
            <w:shd w:val="clear" w:color="auto" w:fill="F7F7F7"/>
            <w:tcMar>
              <w:top w:w="70" w:type="dxa"/>
              <w:left w:w="90" w:type="dxa"/>
              <w:bottom w:w="70" w:type="dxa"/>
              <w:right w:w="90" w:type="dxa"/>
            </w:tcMar>
            <w:vAlign w:val="center"/>
          </w:tcPr>
          <w:p w14:paraId="52FEA14C" w14:textId="77777777" w:rsidR="00FE593F" w:rsidRPr="00983732" w:rsidRDefault="004E2748">
            <w:pPr>
              <w:spacing w:after="0"/>
              <w:jc w:val="left"/>
              <w:rPr>
                <w:rFonts w:cs="Times New Roman"/>
                <w:sz w:val="19"/>
                <w:szCs w:val="19"/>
              </w:rPr>
            </w:pPr>
            <w:r w:rsidRPr="00983732">
              <w:rPr>
                <w:rFonts w:cs="Times New Roman"/>
                <w:color w:val="000000"/>
                <w:sz w:val="19"/>
                <w:szCs w:val="19"/>
              </w:rPr>
              <w:t>Capital cost, charging infrastructure, regulation and scaling</w:t>
            </w:r>
          </w:p>
        </w:tc>
      </w:tr>
      <w:tr w:rsidR="00FE593F" w:rsidRPr="00983732" w14:paraId="333F9083" w14:textId="77777777">
        <w:trPr>
          <w:jc w:val="center"/>
        </w:trPr>
        <w:tc>
          <w:tcPr>
            <w:tcW w:w="1080" w:type="dxa"/>
            <w:tcMar>
              <w:top w:w="70" w:type="dxa"/>
              <w:left w:w="90" w:type="dxa"/>
              <w:bottom w:w="70" w:type="dxa"/>
              <w:right w:w="90" w:type="dxa"/>
            </w:tcMar>
            <w:vAlign w:val="center"/>
          </w:tcPr>
          <w:p w14:paraId="5447827B" w14:textId="77777777" w:rsidR="00FE593F" w:rsidRPr="00983732" w:rsidRDefault="004E2748">
            <w:pPr>
              <w:spacing w:after="0"/>
              <w:jc w:val="center"/>
              <w:rPr>
                <w:rFonts w:cs="Times New Roman"/>
                <w:sz w:val="19"/>
                <w:szCs w:val="19"/>
              </w:rPr>
            </w:pPr>
            <w:r w:rsidRPr="00983732">
              <w:rPr>
                <w:rFonts w:cs="Times New Roman"/>
                <w:color w:val="000000"/>
                <w:sz w:val="19"/>
                <w:szCs w:val="19"/>
              </w:rPr>
              <w:t>Lagos</w:t>
            </w:r>
          </w:p>
        </w:tc>
        <w:tc>
          <w:tcPr>
            <w:tcW w:w="2880" w:type="dxa"/>
            <w:tcMar>
              <w:top w:w="70" w:type="dxa"/>
              <w:left w:w="90" w:type="dxa"/>
              <w:bottom w:w="70" w:type="dxa"/>
              <w:right w:w="90" w:type="dxa"/>
            </w:tcMar>
            <w:vAlign w:val="center"/>
          </w:tcPr>
          <w:p w14:paraId="56657FAD" w14:textId="77777777" w:rsidR="00FE593F" w:rsidRPr="00983732" w:rsidRDefault="004E2748">
            <w:pPr>
              <w:spacing w:after="0"/>
              <w:jc w:val="left"/>
              <w:rPr>
                <w:rFonts w:cs="Times New Roman"/>
                <w:sz w:val="19"/>
                <w:szCs w:val="19"/>
              </w:rPr>
            </w:pPr>
            <w:r w:rsidRPr="00983732">
              <w:rPr>
                <w:rFonts w:cs="Times New Roman"/>
                <w:color w:val="000000"/>
                <w:sz w:val="19"/>
                <w:szCs w:val="19"/>
              </w:rPr>
              <w:t>Electric buses may improve reliability and comfort, but evidence is still early-stage</w:t>
            </w:r>
          </w:p>
        </w:tc>
        <w:tc>
          <w:tcPr>
            <w:tcW w:w="2880" w:type="dxa"/>
            <w:tcMar>
              <w:top w:w="70" w:type="dxa"/>
              <w:left w:w="90" w:type="dxa"/>
              <w:bottom w:w="70" w:type="dxa"/>
              <w:right w:w="90" w:type="dxa"/>
            </w:tcMar>
            <w:vAlign w:val="center"/>
          </w:tcPr>
          <w:p w14:paraId="0EDFE545" w14:textId="77777777" w:rsidR="00FE593F" w:rsidRPr="00983732" w:rsidRDefault="004E2748">
            <w:pPr>
              <w:spacing w:after="0"/>
              <w:jc w:val="left"/>
              <w:rPr>
                <w:rFonts w:cs="Times New Roman"/>
                <w:sz w:val="19"/>
                <w:szCs w:val="19"/>
              </w:rPr>
            </w:pPr>
            <w:r w:rsidRPr="00983732">
              <w:rPr>
                <w:rFonts w:cs="Times New Roman"/>
                <w:color w:val="000000"/>
                <w:sz w:val="19"/>
                <w:szCs w:val="19"/>
              </w:rPr>
              <w:t>Potential technical employment and user benefits; systematic equity data are limited</w:t>
            </w:r>
          </w:p>
        </w:tc>
        <w:tc>
          <w:tcPr>
            <w:tcW w:w="2808" w:type="dxa"/>
            <w:tcMar>
              <w:top w:w="70" w:type="dxa"/>
              <w:left w:w="90" w:type="dxa"/>
              <w:bottom w:w="70" w:type="dxa"/>
              <w:right w:w="90" w:type="dxa"/>
            </w:tcMar>
            <w:vAlign w:val="center"/>
          </w:tcPr>
          <w:p w14:paraId="3E6B3E3D" w14:textId="77777777" w:rsidR="00FE593F" w:rsidRPr="00983732" w:rsidRDefault="004E2748">
            <w:pPr>
              <w:spacing w:after="0"/>
              <w:jc w:val="left"/>
              <w:rPr>
                <w:rFonts w:cs="Times New Roman"/>
                <w:sz w:val="19"/>
                <w:szCs w:val="19"/>
              </w:rPr>
            </w:pPr>
            <w:r w:rsidRPr="00983732">
              <w:rPr>
                <w:rFonts w:cs="Times New Roman"/>
                <w:color w:val="000000"/>
                <w:sz w:val="19"/>
                <w:szCs w:val="19"/>
              </w:rPr>
              <w:t>Finance, electricity reliability, route coverage and affordability</w:t>
            </w:r>
          </w:p>
        </w:tc>
      </w:tr>
      <w:tr w:rsidR="00FE593F" w:rsidRPr="00983732" w14:paraId="66CECE61" w14:textId="77777777">
        <w:trPr>
          <w:jc w:val="center"/>
        </w:trPr>
        <w:tc>
          <w:tcPr>
            <w:tcW w:w="1080" w:type="dxa"/>
            <w:shd w:val="clear" w:color="auto" w:fill="F7F7F7"/>
            <w:tcMar>
              <w:top w:w="70" w:type="dxa"/>
              <w:left w:w="90" w:type="dxa"/>
              <w:bottom w:w="70" w:type="dxa"/>
              <w:right w:w="90" w:type="dxa"/>
            </w:tcMar>
            <w:vAlign w:val="center"/>
          </w:tcPr>
          <w:p w14:paraId="2897D014" w14:textId="77777777" w:rsidR="00FE593F" w:rsidRPr="00983732" w:rsidRDefault="004E2748">
            <w:pPr>
              <w:spacing w:after="0"/>
              <w:jc w:val="center"/>
              <w:rPr>
                <w:rFonts w:cs="Times New Roman"/>
                <w:sz w:val="19"/>
                <w:szCs w:val="19"/>
              </w:rPr>
            </w:pPr>
            <w:r w:rsidRPr="00983732">
              <w:rPr>
                <w:rFonts w:cs="Times New Roman"/>
                <w:color w:val="000000"/>
                <w:sz w:val="19"/>
                <w:szCs w:val="19"/>
              </w:rPr>
              <w:t>Delhi</w:t>
            </w:r>
          </w:p>
        </w:tc>
        <w:tc>
          <w:tcPr>
            <w:tcW w:w="2880" w:type="dxa"/>
            <w:shd w:val="clear" w:color="auto" w:fill="F7F7F7"/>
            <w:tcMar>
              <w:top w:w="70" w:type="dxa"/>
              <w:left w:w="90" w:type="dxa"/>
              <w:bottom w:w="70" w:type="dxa"/>
              <w:right w:w="90" w:type="dxa"/>
            </w:tcMar>
            <w:vAlign w:val="center"/>
          </w:tcPr>
          <w:p w14:paraId="6316449D" w14:textId="77777777" w:rsidR="00FE593F" w:rsidRPr="00983732" w:rsidRDefault="004E2748">
            <w:pPr>
              <w:spacing w:after="0"/>
              <w:jc w:val="left"/>
              <w:rPr>
                <w:rFonts w:cs="Times New Roman"/>
                <w:sz w:val="19"/>
                <w:szCs w:val="19"/>
              </w:rPr>
            </w:pPr>
            <w:r w:rsidRPr="00983732">
              <w:rPr>
                <w:rFonts w:cs="Times New Roman"/>
                <w:color w:val="000000"/>
                <w:sz w:val="19"/>
                <w:szCs w:val="19"/>
              </w:rPr>
              <w:t>Large fleet increases exposure to cleaner buses and can support broad network access</w:t>
            </w:r>
          </w:p>
        </w:tc>
        <w:tc>
          <w:tcPr>
            <w:tcW w:w="2880" w:type="dxa"/>
            <w:shd w:val="clear" w:color="auto" w:fill="F7F7F7"/>
            <w:tcMar>
              <w:top w:w="70" w:type="dxa"/>
              <w:left w:w="90" w:type="dxa"/>
              <w:bottom w:w="70" w:type="dxa"/>
              <w:right w:w="90" w:type="dxa"/>
            </w:tcMar>
            <w:vAlign w:val="center"/>
          </w:tcPr>
          <w:p w14:paraId="68532176" w14:textId="77777777" w:rsidR="00FE593F" w:rsidRPr="00983732" w:rsidRDefault="004E2748">
            <w:pPr>
              <w:spacing w:after="0"/>
              <w:jc w:val="left"/>
              <w:rPr>
                <w:rFonts w:cs="Times New Roman"/>
                <w:sz w:val="19"/>
                <w:szCs w:val="19"/>
              </w:rPr>
            </w:pPr>
            <w:r w:rsidRPr="00983732">
              <w:rPr>
                <w:rFonts w:cs="Times New Roman"/>
                <w:color w:val="000000"/>
                <w:sz w:val="19"/>
                <w:szCs w:val="19"/>
              </w:rPr>
              <w:t>Public procurement can incorporate accessibility and safety requirements</w:t>
            </w:r>
          </w:p>
        </w:tc>
        <w:tc>
          <w:tcPr>
            <w:tcW w:w="2808" w:type="dxa"/>
            <w:shd w:val="clear" w:color="auto" w:fill="F7F7F7"/>
            <w:tcMar>
              <w:top w:w="70" w:type="dxa"/>
              <w:left w:w="90" w:type="dxa"/>
              <w:bottom w:w="70" w:type="dxa"/>
              <w:right w:w="90" w:type="dxa"/>
            </w:tcMar>
            <w:vAlign w:val="center"/>
          </w:tcPr>
          <w:p w14:paraId="58379152" w14:textId="77777777" w:rsidR="00FE593F" w:rsidRPr="00983732" w:rsidRDefault="004E2748">
            <w:pPr>
              <w:spacing w:after="0"/>
              <w:jc w:val="left"/>
              <w:rPr>
                <w:rFonts w:cs="Times New Roman"/>
                <w:sz w:val="19"/>
                <w:szCs w:val="19"/>
              </w:rPr>
            </w:pPr>
            <w:r w:rsidRPr="00983732">
              <w:rPr>
                <w:rFonts w:cs="Times New Roman"/>
                <w:color w:val="000000"/>
                <w:sz w:val="19"/>
                <w:szCs w:val="19"/>
              </w:rPr>
              <w:t>Depot/charging capacity, operational coordination and equitable route allocation</w:t>
            </w:r>
          </w:p>
        </w:tc>
      </w:tr>
      <w:tr w:rsidR="00FE593F" w:rsidRPr="00983732" w14:paraId="1E7B7EDD" w14:textId="77777777">
        <w:trPr>
          <w:jc w:val="center"/>
        </w:trPr>
        <w:tc>
          <w:tcPr>
            <w:tcW w:w="1080" w:type="dxa"/>
            <w:tcMar>
              <w:top w:w="70" w:type="dxa"/>
              <w:left w:w="90" w:type="dxa"/>
              <w:bottom w:w="70" w:type="dxa"/>
              <w:right w:w="90" w:type="dxa"/>
            </w:tcMar>
            <w:vAlign w:val="center"/>
          </w:tcPr>
          <w:p w14:paraId="26D0460B" w14:textId="77777777" w:rsidR="00FE593F" w:rsidRPr="00983732" w:rsidRDefault="004E2748">
            <w:pPr>
              <w:spacing w:after="0"/>
              <w:jc w:val="center"/>
              <w:rPr>
                <w:rFonts w:cs="Times New Roman"/>
                <w:sz w:val="19"/>
                <w:szCs w:val="19"/>
              </w:rPr>
            </w:pPr>
            <w:r w:rsidRPr="00983732">
              <w:rPr>
                <w:rFonts w:cs="Times New Roman"/>
                <w:color w:val="000000"/>
                <w:sz w:val="19"/>
                <w:szCs w:val="19"/>
              </w:rPr>
              <w:t>Shenzhen</w:t>
            </w:r>
          </w:p>
        </w:tc>
        <w:tc>
          <w:tcPr>
            <w:tcW w:w="2880" w:type="dxa"/>
            <w:tcMar>
              <w:top w:w="70" w:type="dxa"/>
              <w:left w:w="90" w:type="dxa"/>
              <w:bottom w:w="70" w:type="dxa"/>
              <w:right w:w="90" w:type="dxa"/>
            </w:tcMar>
            <w:vAlign w:val="center"/>
          </w:tcPr>
          <w:p w14:paraId="1F1BCF91" w14:textId="77777777" w:rsidR="00FE593F" w:rsidRPr="00983732" w:rsidRDefault="004E2748">
            <w:pPr>
              <w:spacing w:after="0"/>
              <w:jc w:val="left"/>
              <w:rPr>
                <w:rFonts w:cs="Times New Roman"/>
                <w:sz w:val="19"/>
                <w:szCs w:val="19"/>
              </w:rPr>
            </w:pPr>
            <w:r w:rsidRPr="00983732">
              <w:rPr>
                <w:rFonts w:cs="Times New Roman"/>
                <w:color w:val="000000"/>
                <w:sz w:val="19"/>
                <w:szCs w:val="19"/>
              </w:rPr>
              <w:t>System-wide scale provides the strongest operational evidence</w:t>
            </w:r>
          </w:p>
        </w:tc>
        <w:tc>
          <w:tcPr>
            <w:tcW w:w="2880" w:type="dxa"/>
            <w:tcMar>
              <w:top w:w="70" w:type="dxa"/>
              <w:left w:w="90" w:type="dxa"/>
              <w:bottom w:w="70" w:type="dxa"/>
              <w:right w:w="90" w:type="dxa"/>
            </w:tcMar>
            <w:vAlign w:val="center"/>
          </w:tcPr>
          <w:p w14:paraId="08F6B0AA" w14:textId="77777777" w:rsidR="00FE593F" w:rsidRPr="00983732" w:rsidRDefault="004E2748">
            <w:pPr>
              <w:spacing w:after="0"/>
              <w:jc w:val="left"/>
              <w:rPr>
                <w:rFonts w:cs="Times New Roman"/>
                <w:sz w:val="19"/>
                <w:szCs w:val="19"/>
              </w:rPr>
            </w:pPr>
            <w:r w:rsidRPr="00983732">
              <w:rPr>
                <w:rFonts w:cs="Times New Roman"/>
                <w:color w:val="000000"/>
                <w:sz w:val="19"/>
                <w:szCs w:val="19"/>
              </w:rPr>
              <w:t>Large technical value chain and service benefits, with workforce-transition demands</w:t>
            </w:r>
          </w:p>
        </w:tc>
        <w:tc>
          <w:tcPr>
            <w:tcW w:w="2808" w:type="dxa"/>
            <w:tcMar>
              <w:top w:w="70" w:type="dxa"/>
              <w:left w:w="90" w:type="dxa"/>
              <w:bottom w:w="70" w:type="dxa"/>
              <w:right w:w="90" w:type="dxa"/>
            </w:tcMar>
            <w:vAlign w:val="center"/>
          </w:tcPr>
          <w:p w14:paraId="7AE42C11" w14:textId="77777777" w:rsidR="00FE593F" w:rsidRPr="00983732" w:rsidRDefault="004E2748">
            <w:pPr>
              <w:spacing w:after="0"/>
              <w:jc w:val="left"/>
              <w:rPr>
                <w:rFonts w:cs="Times New Roman"/>
                <w:sz w:val="19"/>
                <w:szCs w:val="19"/>
              </w:rPr>
            </w:pPr>
            <w:r w:rsidRPr="00983732">
              <w:rPr>
                <w:rFonts w:cs="Times New Roman"/>
                <w:color w:val="000000"/>
                <w:sz w:val="19"/>
                <w:szCs w:val="19"/>
              </w:rPr>
              <w:t>High capital requirement, battery lifecycle and transferability to weaker institutions</w:t>
            </w:r>
          </w:p>
        </w:tc>
      </w:tr>
    </w:tbl>
    <w:p w14:paraId="02BEB357" w14:textId="77777777" w:rsidR="00FE593F" w:rsidRPr="00983732" w:rsidRDefault="004E2748">
      <w:pPr>
        <w:jc w:val="center"/>
        <w:rPr>
          <w:rFonts w:cs="Times New Roman"/>
          <w:sz w:val="19"/>
          <w:szCs w:val="19"/>
        </w:rPr>
      </w:pPr>
      <w:r w:rsidRPr="00983732">
        <w:rPr>
          <w:rFonts w:cs="Times New Roman"/>
          <w:i/>
          <w:color w:val="000000"/>
          <w:sz w:val="19"/>
          <w:szCs w:val="19"/>
        </w:rPr>
        <w:t>Source: Authors’ synthesis from the documentary evidence reviewed.</w:t>
      </w:r>
    </w:p>
    <w:p w14:paraId="68F2B5EB" w14:textId="77777777" w:rsidR="00FE593F" w:rsidRPr="00983732" w:rsidRDefault="004E2748">
      <w:pPr>
        <w:pStyle w:val="Heading2"/>
        <w:rPr>
          <w:rFonts w:ascii="Times New Roman" w:hAnsi="Times New Roman" w:cs="Times New Roman"/>
          <w:bCs w:val="0"/>
          <w:sz w:val="22"/>
          <w:szCs w:val="22"/>
        </w:rPr>
      </w:pPr>
      <w:r w:rsidRPr="00983732">
        <w:rPr>
          <w:rFonts w:ascii="Times New Roman" w:hAnsi="Times New Roman" w:cs="Times New Roman"/>
          <w:bCs w:val="0"/>
          <w:sz w:val="22"/>
          <w:szCs w:val="22"/>
        </w:rPr>
        <w:lastRenderedPageBreak/>
        <w:t>5.5 Public-Health and Environmental Co-Benefits</w:t>
      </w:r>
    </w:p>
    <w:p w14:paraId="4239E3BF"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All cases indicated potential reductions in local tailpipe pollution and noise, although the scale of benefit varied with fleet penetration, vehicle utilisation and electricity supply. Delhi and Shenzhen offered stronger prospects for city-level effects because larger electric fleets displaced more conventional vehicles, while African cases remained more corridor-specific.</w:t>
      </w:r>
    </w:p>
    <w:p w14:paraId="41E2EC08"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Health gains were also distributional. Route selection determined which neighbourhoods received cleaner air, making high-exposure corridors and densely populated low-income areas important priorities. Electrification therefore improved environmental performance most effectively where deployment targeted both emissions and exposure.</w:t>
      </w:r>
    </w:p>
    <w:p w14:paraId="3985B9FC" w14:textId="77777777" w:rsidR="00FE593F" w:rsidRPr="00983732" w:rsidRDefault="004E2748">
      <w:pPr>
        <w:pStyle w:val="Heading2"/>
        <w:rPr>
          <w:rFonts w:ascii="Times New Roman" w:hAnsi="Times New Roman" w:cs="Times New Roman"/>
          <w:bCs w:val="0"/>
          <w:sz w:val="22"/>
          <w:szCs w:val="22"/>
        </w:rPr>
      </w:pPr>
      <w:r w:rsidRPr="00983732">
        <w:rPr>
          <w:rFonts w:ascii="Times New Roman" w:hAnsi="Times New Roman" w:cs="Times New Roman"/>
          <w:bCs w:val="0"/>
          <w:sz w:val="22"/>
          <w:szCs w:val="22"/>
        </w:rPr>
        <w:t>5.6 Governance, Finance and Implementation Maturity</w:t>
      </w:r>
    </w:p>
    <w:p w14:paraId="5A3CD289"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The strongest cross-case distinction concerned implementation maturity and institutional capacity. Shenzhen combined scale with municipal coordination, infrastructure and industrial capability; Delhi demonstrated rapid public procurement; Addis Ababa showed that operational longevity could still coexist with maintenance and integration weaknesses; Nairobi and Lagos remained at earlier stages of deployment.</w:t>
      </w:r>
    </w:p>
    <w:p w14:paraId="6A65B160"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Finance also shaped social outcomes. High capital costs could generate pressure for higher fares or commercially attractive routes, while unstable subsidies could weaken maintenance and service frequency. Sustainable financing therefore required long-term arrangements that protected both asset performance and affordable service, rather than funding vehicle acquisition alone.</w:t>
      </w:r>
    </w:p>
    <w:p w14:paraId="5A52A762" w14:textId="77777777" w:rsidR="00FE593F" w:rsidRPr="00983732" w:rsidRDefault="004E2748">
      <w:pPr>
        <w:pStyle w:val="Heading2"/>
        <w:rPr>
          <w:rFonts w:ascii="Times New Roman" w:hAnsi="Times New Roman" w:cs="Times New Roman"/>
          <w:bCs w:val="0"/>
          <w:sz w:val="22"/>
          <w:szCs w:val="22"/>
        </w:rPr>
      </w:pPr>
      <w:r w:rsidRPr="00983732">
        <w:rPr>
          <w:rFonts w:ascii="Times New Roman" w:hAnsi="Times New Roman" w:cs="Times New Roman"/>
          <w:bCs w:val="0"/>
          <w:sz w:val="22"/>
          <w:szCs w:val="22"/>
        </w:rPr>
        <w:t>5.7 Efficiency-Equity Trade-Offs</w:t>
      </w:r>
    </w:p>
    <w:p w14:paraId="2FEC4FF1"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Four recurring trade-offs emerged. High-demand routes improved utilisation but could delay service to peripheral areas; cost-reflective fares strengthened financial viability but could exclude poorer passengers; rapid procurement accelerated deployment but could weaken worker consultation and inclusive design; and standardised technologies reduced costs but could perform poorly under local operating conditions.</w:t>
      </w:r>
    </w:p>
    <w:p w14:paraId="17C39543"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These tensions were not inevitable. Reliable service increased ridership, integrated ticketing reduced transfer penalties, universal design widened access and local capability reduced dependence on costly external support. The central issue was therefore how efficiency gains were distributed across users, locations and workers.</w:t>
      </w:r>
    </w:p>
    <w:p w14:paraId="4541F478" w14:textId="77777777" w:rsidR="00FE593F" w:rsidRPr="00983732" w:rsidRDefault="004E2748">
      <w:pPr>
        <w:pStyle w:val="Heading2"/>
        <w:rPr>
          <w:rFonts w:ascii="Times New Roman" w:hAnsi="Times New Roman" w:cs="Times New Roman"/>
          <w:bCs w:val="0"/>
          <w:sz w:val="22"/>
          <w:szCs w:val="22"/>
        </w:rPr>
      </w:pPr>
      <w:r w:rsidRPr="00983732">
        <w:rPr>
          <w:rFonts w:ascii="Times New Roman" w:hAnsi="Times New Roman" w:cs="Times New Roman"/>
          <w:bCs w:val="0"/>
          <w:sz w:val="22"/>
          <w:szCs w:val="22"/>
        </w:rPr>
        <w:t>5.8 Interpretation through the Theoretical Framework</w:t>
      </w:r>
    </w:p>
    <w:p w14:paraId="0E4C843A"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The findings supported the socio-technical view that renewable mobility requires coordinated change in vehicles, infrastructure, finance, institutions and user practices. Energy justice explained the unequal distribution of transition benefits and burdens, while mobility justice clarified why access depended on affordability, spatial coverage, safety and the complete journey.</w:t>
      </w:r>
    </w:p>
    <w:p w14:paraId="28795660"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The livelihoods perspective showed that mobility transition affected both access to employment and the structure of transport-sector work, whereas institutional theory explained the importance of clear mandates, competent authorities and stable financing. Collectively, the evidence confirmed the study's central proposition: renewable-energy mobility becomes socially sustainable when technological transition is combined with equitable access, institutional coordination and local capability.</w:t>
      </w:r>
    </w:p>
    <w:p w14:paraId="51F36848" w14:textId="77777777" w:rsidR="00FE593F" w:rsidRPr="00983732" w:rsidRDefault="004E2748">
      <w:pPr>
        <w:pStyle w:val="Heading1"/>
        <w:rPr>
          <w:rFonts w:ascii="Times New Roman" w:hAnsi="Times New Roman" w:cs="Times New Roman"/>
          <w:bCs w:val="0"/>
          <w:sz w:val="22"/>
          <w:szCs w:val="22"/>
        </w:rPr>
      </w:pPr>
      <w:r w:rsidRPr="00983732">
        <w:rPr>
          <w:rFonts w:ascii="Times New Roman" w:hAnsi="Times New Roman" w:cs="Times New Roman"/>
          <w:bCs w:val="0"/>
          <w:sz w:val="22"/>
          <w:szCs w:val="22"/>
        </w:rPr>
        <w:t>6.</w:t>
      </w:r>
      <w:r w:rsidRPr="00983732">
        <w:rPr>
          <w:rFonts w:ascii="Times New Roman" w:hAnsi="Times New Roman" w:cs="Times New Roman"/>
          <w:bCs w:val="0"/>
          <w:sz w:val="22"/>
          <w:szCs w:val="22"/>
          <w:lang w:val="en-CA"/>
        </w:rPr>
        <w:t>0</w:t>
      </w:r>
      <w:r w:rsidRPr="00983732">
        <w:rPr>
          <w:rFonts w:ascii="Times New Roman" w:hAnsi="Times New Roman" w:cs="Times New Roman"/>
          <w:bCs w:val="0"/>
          <w:sz w:val="22"/>
          <w:szCs w:val="22"/>
        </w:rPr>
        <w:t xml:space="preserve"> Policy Implications</w:t>
      </w:r>
    </w:p>
    <w:p w14:paraId="01F46FF8"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The cross-case evidence indicates that socially sustainable renewable mobility depends on finance, inclusive access, local capability and accountable implementation. Policy should therefore link technological deployment to measurable social outcomes rather than vehicle acquisition alone.</w:t>
      </w:r>
    </w:p>
    <w:p w14:paraId="19784075" w14:textId="77777777" w:rsidR="00FE593F" w:rsidRPr="00983732" w:rsidRDefault="004E2748">
      <w:pPr>
        <w:pStyle w:val="Heading2"/>
        <w:rPr>
          <w:rFonts w:ascii="Times New Roman" w:hAnsi="Times New Roman" w:cs="Times New Roman"/>
          <w:bCs w:val="0"/>
          <w:sz w:val="22"/>
          <w:szCs w:val="22"/>
        </w:rPr>
      </w:pPr>
      <w:r w:rsidRPr="00983732">
        <w:rPr>
          <w:rFonts w:ascii="Times New Roman" w:hAnsi="Times New Roman" w:cs="Times New Roman"/>
          <w:bCs w:val="0"/>
          <w:sz w:val="22"/>
          <w:szCs w:val="22"/>
        </w:rPr>
        <w:t>6.1 Sustainable and Equitable Finance</w:t>
      </w:r>
    </w:p>
    <w:p w14:paraId="354D874C"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High capital costs require financing structures that protect service affordability and long-term operations. Governments should combine public budgets, concessional finance, development-bank funding, green finance and carefully structured private participation. Capital support should cover charging infrastructure, grid connections, maintenance, replacement batteries and workforce development, while subsidies should be transparent and linked to service frequency, accessibility and route coverage.</w:t>
      </w:r>
    </w:p>
    <w:p w14:paraId="7A4C4154" w14:textId="77777777" w:rsidR="00FE593F" w:rsidRPr="00983732" w:rsidRDefault="004E2748">
      <w:pPr>
        <w:pStyle w:val="Heading2"/>
        <w:rPr>
          <w:rFonts w:ascii="Times New Roman" w:hAnsi="Times New Roman" w:cs="Times New Roman"/>
          <w:bCs w:val="0"/>
          <w:sz w:val="22"/>
          <w:szCs w:val="22"/>
        </w:rPr>
      </w:pPr>
      <w:r w:rsidRPr="00983732">
        <w:rPr>
          <w:rFonts w:ascii="Times New Roman" w:hAnsi="Times New Roman" w:cs="Times New Roman"/>
          <w:bCs w:val="0"/>
          <w:sz w:val="22"/>
          <w:szCs w:val="22"/>
        </w:rPr>
        <w:t>6.2 Local Capability and Employment</w:t>
      </w:r>
    </w:p>
    <w:p w14:paraId="5A7321BC"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Procurement should require structured training, knowledge transfer, local supplier development and access to diagnostic and maintenance systems. Workforce policy should identify occupations exposed to displacement and provide reskilling pathways for conventional-vehicle mechanics, informal operators and related workers. Local-content measures should prioritise sustainable capabilities in maintenance, charging, diagnostics, software and battery services.</w:t>
      </w:r>
    </w:p>
    <w:p w14:paraId="0DE20AA2" w14:textId="77777777" w:rsidR="00FE593F" w:rsidRPr="00983732" w:rsidRDefault="004E2748">
      <w:pPr>
        <w:pStyle w:val="Heading2"/>
        <w:rPr>
          <w:rFonts w:ascii="Times New Roman" w:hAnsi="Times New Roman" w:cs="Times New Roman"/>
          <w:bCs w:val="0"/>
          <w:sz w:val="22"/>
          <w:szCs w:val="22"/>
        </w:rPr>
      </w:pPr>
      <w:r w:rsidRPr="00983732">
        <w:rPr>
          <w:rFonts w:ascii="Times New Roman" w:hAnsi="Times New Roman" w:cs="Times New Roman"/>
          <w:bCs w:val="0"/>
          <w:sz w:val="22"/>
          <w:szCs w:val="22"/>
        </w:rPr>
        <w:t>6.3 Pro-Poor Fares and Integrated Access</w:t>
      </w:r>
    </w:p>
    <w:p w14:paraId="33BE9A75"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lastRenderedPageBreak/>
        <w:t>Fare policy should assess total journey burden rather than nominal ticket price. Targeted concessions, fare caps, integrated ticketing and transfer protection can reduce exclusion among low-income users. Network planning should also ensure first- and last-mile connectivity, adequate operating hours, universal accessibility and reliable links to employment, education, health care and markets, particularly in peripheral communities.</w:t>
      </w:r>
    </w:p>
    <w:p w14:paraId="3238376C" w14:textId="77777777" w:rsidR="00FE593F" w:rsidRPr="00983732" w:rsidRDefault="004E2748">
      <w:pPr>
        <w:pStyle w:val="Heading2"/>
        <w:rPr>
          <w:rFonts w:ascii="Times New Roman" w:hAnsi="Times New Roman" w:cs="Times New Roman"/>
          <w:bCs w:val="0"/>
          <w:sz w:val="22"/>
          <w:szCs w:val="22"/>
        </w:rPr>
      </w:pPr>
      <w:r w:rsidRPr="00983732">
        <w:rPr>
          <w:rFonts w:ascii="Times New Roman" w:hAnsi="Times New Roman" w:cs="Times New Roman"/>
          <w:bCs w:val="0"/>
          <w:sz w:val="22"/>
          <w:szCs w:val="22"/>
        </w:rPr>
        <w:t>6.4 Monitoring Social Performance</w:t>
      </w:r>
    </w:p>
    <w:p w14:paraId="31B2F790"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Authorities should complement technical indicators with measures of fare burden, travel time to essential destinations, service frequency, reliability, accessibility, passenger safety, gender inclusion, employment quality and local pollution exposure. Results should be disaggregated by income, sex, disability, age and location where feasible. Regular publication of these indicators would allow corrective action where environmental gains are accompanied by unequal social outcomes.</w:t>
      </w:r>
    </w:p>
    <w:p w14:paraId="39D0142C" w14:textId="77777777" w:rsidR="00FE593F" w:rsidRPr="00983732" w:rsidRDefault="004E2748">
      <w:pPr>
        <w:pStyle w:val="Heading2"/>
        <w:rPr>
          <w:rFonts w:ascii="Times New Roman" w:hAnsi="Times New Roman" w:cs="Times New Roman"/>
          <w:b w:val="0"/>
          <w:sz w:val="19"/>
          <w:szCs w:val="19"/>
        </w:rPr>
      </w:pPr>
      <w:r w:rsidRPr="00983732">
        <w:rPr>
          <w:rFonts w:ascii="Times New Roman" w:hAnsi="Times New Roman" w:cs="Times New Roman"/>
          <w:b w:val="0"/>
          <w:sz w:val="19"/>
          <w:szCs w:val="19"/>
        </w:rPr>
        <w:t>Overall, renewable-energy mobility policy should treat equity, affordability and institutional capacity as core performance requirements rather than secondary social benefits.</w:t>
      </w:r>
    </w:p>
    <w:p w14:paraId="7EA2B30C" w14:textId="77777777" w:rsidR="00FE593F" w:rsidRPr="00983732" w:rsidRDefault="00FE593F">
      <w:pPr>
        <w:pStyle w:val="Heading2"/>
        <w:rPr>
          <w:rFonts w:ascii="Times New Roman" w:hAnsi="Times New Roman" w:cs="Times New Roman"/>
          <w:bCs w:val="0"/>
          <w:sz w:val="19"/>
          <w:szCs w:val="19"/>
        </w:rPr>
      </w:pPr>
    </w:p>
    <w:p w14:paraId="42BBD61C" w14:textId="77777777" w:rsidR="00FE593F" w:rsidRPr="00983732" w:rsidRDefault="004E2748">
      <w:pPr>
        <w:spacing w:before="80" w:after="40"/>
        <w:jc w:val="center"/>
        <w:rPr>
          <w:rFonts w:cs="Times New Roman"/>
          <w:sz w:val="19"/>
          <w:szCs w:val="19"/>
        </w:rPr>
      </w:pPr>
      <w:r w:rsidRPr="00983732">
        <w:rPr>
          <w:rFonts w:cs="Times New Roman"/>
          <w:noProof/>
          <w:sz w:val="19"/>
          <w:szCs w:val="19"/>
        </w:rPr>
        <w:drawing>
          <wp:inline distT="0" distB="0" distL="114300" distR="114300" wp14:anchorId="3D415AFF" wp14:editId="0F4CC4F4">
            <wp:extent cx="5623560" cy="1263650"/>
            <wp:effectExtent l="0" t="0" r="0" b="0"/>
            <wp:docPr id="3" name="Picture 3" descr="Image: 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mage: image3.png"/>
                    <pic:cNvPicPr>
                      <a:picLocks noChangeAspect="1"/>
                    </pic:cNvPicPr>
                  </pic:nvPicPr>
                  <pic:blipFill>
                    <a:blip r:embed="rId10"/>
                    <a:srcRect t="23342" b="22582"/>
                    <a:stretch>
                      <a:fillRect/>
                    </a:stretch>
                  </pic:blipFill>
                  <pic:spPr>
                    <a:xfrm>
                      <a:off x="0" y="0"/>
                      <a:ext cx="5623560" cy="1263650"/>
                    </a:xfrm>
                    <a:prstGeom prst="rect">
                      <a:avLst/>
                    </a:prstGeom>
                  </pic:spPr>
                </pic:pic>
              </a:graphicData>
            </a:graphic>
          </wp:inline>
        </w:drawing>
      </w:r>
    </w:p>
    <w:p w14:paraId="3B11C8AA" w14:textId="77777777" w:rsidR="00FE593F" w:rsidRPr="00983732" w:rsidRDefault="004E2748">
      <w:pPr>
        <w:jc w:val="center"/>
        <w:rPr>
          <w:rFonts w:cs="Times New Roman"/>
          <w:sz w:val="19"/>
          <w:szCs w:val="19"/>
        </w:rPr>
      </w:pPr>
      <w:r w:rsidRPr="00983732">
        <w:rPr>
          <w:rFonts w:cs="Times New Roman"/>
          <w:b/>
          <w:color w:val="000000"/>
          <w:sz w:val="19"/>
          <w:szCs w:val="19"/>
        </w:rPr>
        <w:t>Figure 3. Equity-centred renewable-mobility policy roadmap</w:t>
      </w:r>
    </w:p>
    <w:p w14:paraId="344BE917" w14:textId="77777777" w:rsidR="00FE593F" w:rsidRPr="00983732" w:rsidRDefault="004E2748">
      <w:pPr>
        <w:pStyle w:val="Heading1"/>
        <w:rPr>
          <w:rFonts w:ascii="Times New Roman" w:hAnsi="Times New Roman" w:cs="Times New Roman"/>
          <w:bCs w:val="0"/>
          <w:sz w:val="22"/>
          <w:szCs w:val="22"/>
        </w:rPr>
      </w:pPr>
      <w:r w:rsidRPr="00983732">
        <w:rPr>
          <w:rFonts w:ascii="Times New Roman" w:hAnsi="Times New Roman" w:cs="Times New Roman"/>
          <w:bCs w:val="0"/>
          <w:sz w:val="22"/>
          <w:szCs w:val="22"/>
        </w:rPr>
        <w:t>7.</w:t>
      </w:r>
      <w:r w:rsidRPr="00983732">
        <w:rPr>
          <w:rFonts w:ascii="Times New Roman" w:hAnsi="Times New Roman" w:cs="Times New Roman"/>
          <w:bCs w:val="0"/>
          <w:sz w:val="22"/>
          <w:szCs w:val="22"/>
          <w:lang w:val="en-CA"/>
        </w:rPr>
        <w:t>0</w:t>
      </w:r>
      <w:r w:rsidRPr="00983732">
        <w:rPr>
          <w:rFonts w:ascii="Times New Roman" w:hAnsi="Times New Roman" w:cs="Times New Roman"/>
          <w:bCs w:val="0"/>
          <w:sz w:val="22"/>
          <w:szCs w:val="22"/>
        </w:rPr>
        <w:t xml:space="preserve"> Conclusion</w:t>
      </w:r>
    </w:p>
    <w:p w14:paraId="5F39EE32"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t>This study examined renewable-energy mobility systems across Addis Ababa, Nairobi, Lagos, Delhi and Shenzhen to determine how technological transition translated into social-sustainability outcomes. The comparative evidence showed that cleaner mobility was associated with improved accessibility, service quality, local environmental conditions and emerging technical employment, but the strength and distribution of these benefits varied substantially across cases.</w:t>
      </w:r>
    </w:p>
    <w:p w14:paraId="4C73E202"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t>Implementation maturity influenced outcomes, yet scale alone did not guarantee equity. Social sustainability depended on affordable fares, broad route coverage, first- and last-mile integration, reliable electricity and charging systems, institutional coordination, sustainable finance and local technical capability. Pilot-stage systems therefore offered important opportunities, but their wider social benefits remained contingent on successful transition from isolated deployment to integrated urban transport systems.</w:t>
      </w:r>
    </w:p>
    <w:p w14:paraId="14B24B82"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t>The findings support the study’s integrated theoretical position that renewable mobility is shaped by technological, institutional, distributive and livelihood conditions. Socio-technical transition explains system change, while energy and mobility justice clarify how benefits and burdens are distributed across users, workers and locations.</w:t>
      </w:r>
    </w:p>
    <w:p w14:paraId="17077978" w14:textId="77777777" w:rsidR="00FE593F" w:rsidRPr="00983732" w:rsidRDefault="004E2748">
      <w:pPr>
        <w:ind w:firstLine="317"/>
        <w:rPr>
          <w:rFonts w:cs="Times New Roman"/>
          <w:color w:val="000000"/>
          <w:sz w:val="19"/>
          <w:szCs w:val="19"/>
        </w:rPr>
      </w:pPr>
      <w:r w:rsidRPr="00983732">
        <w:rPr>
          <w:rFonts w:cs="Times New Roman"/>
          <w:color w:val="000000"/>
          <w:sz w:val="19"/>
          <w:szCs w:val="19"/>
        </w:rPr>
        <w:t>The study therefore concludes that renewable-energy mobility becomes socially sustainable when technological efficiency is matched by equitable access, institutional capacity and local capability. Future urban transport policy should consequently evaluate clean-mobility programmes through social-performance indicators alongside emissions, energy use and operational efficiency.</w:t>
      </w:r>
    </w:p>
    <w:p w14:paraId="14CBAFC3" w14:textId="77777777" w:rsidR="00FE593F" w:rsidRPr="00983732" w:rsidRDefault="00FE593F">
      <w:pPr>
        <w:ind w:firstLine="317"/>
        <w:rPr>
          <w:rFonts w:cs="Times New Roman"/>
          <w:color w:val="000000"/>
          <w:sz w:val="19"/>
          <w:szCs w:val="19"/>
        </w:rPr>
      </w:pPr>
    </w:p>
    <w:p w14:paraId="65228409" w14:textId="77777777" w:rsidR="008B2E08" w:rsidRPr="002D08AC" w:rsidRDefault="008B2E08" w:rsidP="008B2E08">
      <w:pPr>
        <w:spacing w:after="0"/>
        <w:rPr>
          <w:rFonts w:ascii="Arial" w:hAnsi="Arial" w:cs="Arial"/>
          <w:b/>
          <w:sz w:val="20"/>
          <w:szCs w:val="20"/>
        </w:rPr>
      </w:pPr>
      <w:bookmarkStart w:id="0" w:name="_Hlk238550938"/>
      <w:bookmarkStart w:id="1" w:name="_Hlk237856463"/>
      <w:r w:rsidRPr="002D08AC">
        <w:rPr>
          <w:rFonts w:ascii="Arial" w:hAnsi="Arial" w:cs="Arial"/>
          <w:b/>
          <w:sz w:val="20"/>
          <w:szCs w:val="20"/>
        </w:rPr>
        <w:t>Declaration of AI Use</w:t>
      </w:r>
    </w:p>
    <w:p w14:paraId="78302FF2" w14:textId="77777777" w:rsidR="008B2E08" w:rsidRPr="002D08AC" w:rsidRDefault="008B2E08" w:rsidP="008B2E08">
      <w:pPr>
        <w:spacing w:after="0"/>
        <w:rPr>
          <w:rFonts w:ascii="Arial" w:hAnsi="Arial" w:cs="Arial"/>
          <w:sz w:val="20"/>
          <w:szCs w:val="20"/>
        </w:rPr>
      </w:pPr>
      <w:bookmarkStart w:id="2" w:name="_Hlk239068730"/>
    </w:p>
    <w:p w14:paraId="6BAC5F95" w14:textId="77777777" w:rsidR="008B2E08" w:rsidRPr="002D08AC" w:rsidRDefault="008B2E08" w:rsidP="008B2E08">
      <w:pPr>
        <w:spacing w:after="0"/>
        <w:rPr>
          <w:rFonts w:ascii="Arial" w:hAnsi="Arial" w:cs="Arial"/>
          <w:sz w:val="20"/>
          <w:szCs w:val="20"/>
        </w:rPr>
      </w:pPr>
      <w:bookmarkStart w:id="3" w:name="_Hlk237862032"/>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2D08AC">
        <w:rPr>
          <w:rFonts w:ascii="Arial" w:hAnsi="Arial" w:cs="Arial"/>
          <w:sz w:val="20"/>
          <w:szCs w:val="20"/>
        </w:rPr>
        <w:t>.</w:t>
      </w:r>
    </w:p>
    <w:bookmarkEnd w:id="1"/>
    <w:bookmarkEnd w:id="2"/>
    <w:bookmarkEnd w:id="3"/>
    <w:p w14:paraId="4EDBBCF5" w14:textId="77777777" w:rsidR="00FE593F" w:rsidRPr="00983732" w:rsidRDefault="00FE593F">
      <w:pPr>
        <w:pStyle w:val="Heading1"/>
        <w:rPr>
          <w:rFonts w:ascii="Times New Roman" w:hAnsi="Times New Roman" w:cs="Times New Roman"/>
          <w:b w:val="0"/>
          <w:sz w:val="19"/>
          <w:szCs w:val="19"/>
        </w:rPr>
      </w:pPr>
    </w:p>
    <w:p w14:paraId="5EECD726" w14:textId="77777777" w:rsidR="00FE593F" w:rsidRPr="00983732" w:rsidRDefault="004E2748">
      <w:pPr>
        <w:pStyle w:val="Heading1"/>
        <w:rPr>
          <w:rFonts w:ascii="Times New Roman" w:hAnsi="Times New Roman" w:cs="Times New Roman"/>
          <w:bCs w:val="0"/>
          <w:sz w:val="22"/>
          <w:szCs w:val="22"/>
        </w:rPr>
      </w:pPr>
      <w:r w:rsidRPr="00983732">
        <w:rPr>
          <w:rFonts w:ascii="Times New Roman" w:hAnsi="Times New Roman" w:cs="Times New Roman"/>
          <w:bCs w:val="0"/>
          <w:sz w:val="22"/>
          <w:szCs w:val="22"/>
        </w:rPr>
        <w:t>References</w:t>
      </w:r>
    </w:p>
    <w:p w14:paraId="3F06A5F8" w14:textId="77777777" w:rsidR="00FE593F" w:rsidRPr="00983732" w:rsidRDefault="00FE593F">
      <w:pPr>
        <w:spacing w:after="40"/>
        <w:ind w:left="360" w:hanging="360"/>
        <w:rPr>
          <w:rFonts w:cs="Times New Roman"/>
          <w:color w:val="000000"/>
          <w:sz w:val="19"/>
          <w:szCs w:val="19"/>
        </w:rPr>
      </w:pPr>
    </w:p>
    <w:p w14:paraId="7D19FAC6"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Adebayo, T., Okorie, D., &amp; Mensah, I. (2023). Urban accessibility and inclusive mobility in African cities: Evidence from emerging transport reforms. Journal of Transport Geography, 108, 103568.</w:t>
      </w:r>
    </w:p>
    <w:p w14:paraId="68B67C68"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Agora Verkehrswende, &amp; Deutsche Gesellschaft für Internationale Zusammenarbeit (GIZ). (2023). Leapfrogging to sustainable transport in Africa: Twelve insights into the transport transition. Agora Verkehrswende and GIZ.</w:t>
      </w:r>
    </w:p>
    <w:p w14:paraId="3BCF9300"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Agyeman, T., Boateng, E., &amp; Nyarko, S. (2023). Renewable-energy-powered mobility systems and sustainable transport transitions in Sub-Saharan Africa. Energy Research &amp; Social Science, 100, 103132.</w:t>
      </w:r>
    </w:p>
    <w:p w14:paraId="25472C16"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lastRenderedPageBreak/>
        <w:t>Alemu, D., &amp; Worku, G. (2022). Challenges of electric rail operations in Ethiopia: Evidence from Addis Ababa. Case Studies on Transport Policy, 10(4), 1697–1705.</w:t>
      </w:r>
    </w:p>
    <w:p w14:paraId="36730D9A"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Ayamga, M., Anaman, K., &amp; Anokye, M. (2024). Renewable mobility and energy diversification pathways in West Africa. Renewable and Sustainable Energy Reviews, 181, 113409.</w:t>
      </w:r>
    </w:p>
    <w:p w14:paraId="76DD9CF7"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Bhatia, S., &amp; Gupta, R. (2021). E-bus transitions in India: Environmental and operational perspectives. Journal of Cleaner Production, 283, 124628.</w:t>
      </w:r>
    </w:p>
    <w:p w14:paraId="2EDBAFA2"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Chakraborty, P., &amp; Singh, A. (2021). Gendered mobility and inclusive transport planning in developing cities. Transport Reviews, 41(6), 765–785.</w:t>
      </w:r>
    </w:p>
    <w:p w14:paraId="3CEDB617"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Chen, H., &amp; Li, J. (2020). Impacts of a fully electrified bus network on urban public transport performance: The case of Shenzhen. Transportation Research Part D: Transport and Environment, 86, 102446.</w:t>
      </w:r>
    </w:p>
    <w:p w14:paraId="066F5AD7"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Creswell, J. W. (2014). Research design: Qualitative, quantitative, and mixed methods approaches (4th ed.). SAGE Publications.</w:t>
      </w:r>
    </w:p>
    <w:p w14:paraId="78FC8C58"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Ezenwa, A., &amp; Akintunde, O. (2024). Adoption of electric buses in Lagos: Implications for user experience and urban mobility. African Transport and Development Review, 12(1), 44–59.</w:t>
      </w:r>
    </w:p>
    <w:p w14:paraId="0BA10C8D"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Gao, X., &amp; Zhang, T. (2022). Financing electric mobility transitions in developing Asia. Energy Policy, 164, 112893.</w:t>
      </w:r>
    </w:p>
    <w:p w14:paraId="3C6B2503"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Geels, F. W. (2002). Technological transitions as evolutionary reconfiguration processes: A multi-level perspective and a case study. Research Policy, 31(8–9), 1257–1274.</w:t>
      </w:r>
    </w:p>
    <w:p w14:paraId="7577A8DF"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Geels, F. W. (2012). A socio-technical analysis of low-carbon transitions: Introducing the multi-level perspective into transport studies. Journal of Transport Geography, 24, 471–482.</w:t>
      </w:r>
    </w:p>
    <w:p w14:paraId="0A96697A"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Geels, F. W. (2020). System innovation and sustainability transitions: Emerging challenges for mobility. Environmental Innovation and Societal Transitions, 36, 1–11.</w:t>
      </w:r>
    </w:p>
    <w:p w14:paraId="4759278A"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International Energy Agency. (2024). Global EV outlook 2024: Moving towards increased affordability. IEA.</w:t>
      </w:r>
    </w:p>
    <w:p w14:paraId="424EB824"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International Renewable Energy Agency. (2022). Renewable energy and transport electrification in emerging markets. IRENA.</w:t>
      </w:r>
    </w:p>
    <w:p w14:paraId="60FB2334"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Jenkins, K., McCauley, D., Heffron, R., Stephan, H., &amp; Rehner, R. (2016). Energy justice: A conceptual review. Energy Research &amp; Social Science, 11, 174–182.</w:t>
      </w:r>
    </w:p>
    <w:p w14:paraId="1D8271D6"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Kiggundu, M., Tumwebaze, R., &amp; Odoch, F. (2022). Enhancing urban accessibility through electric bus systems in East Africa. Journal of Sustainable Mobility, 15(3), 223–238.</w:t>
      </w:r>
    </w:p>
    <w:p w14:paraId="3055E075"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Kiplagat, R., Mwangi, J., &amp; Otieno, S. (2022). E-mobility pilots and the future of BRT in Nairobi. Energy for Sustainable Development, 68, 165–173.</w:t>
      </w:r>
    </w:p>
    <w:p w14:paraId="6990A771"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Kumar, R., &amp; Sabharwal, P. (2023). Implementation barriers to electric bus adoption in Indian metropolitan regions. Transport Policy, 131, 30–41.</w:t>
      </w:r>
    </w:p>
    <w:p w14:paraId="6D748A11"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Kumar, S., Saha, D., &amp; Banerjee, D. (2023). Assessing the socioeconomic impacts of electric public transit in developing cities. Sustainability, 15(4), 3124.</w:t>
      </w:r>
    </w:p>
    <w:p w14:paraId="2AE19D39"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Liu, Y., Wang, X., &amp; Zhou, J. (2021). Transport energy transitions and sustainable urban mobility in Asia. Energy Policy, 149, 112013.</w:t>
      </w:r>
    </w:p>
    <w:p w14:paraId="2C594EAD"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Liu, Z., &amp; Sun, Q. (2022). Technological and operational lessons from Shenzhen’s electric bus transition. Applied Energy, 310, 118512.</w:t>
      </w:r>
    </w:p>
    <w:p w14:paraId="792C1ACF"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Lucas, K. (2012). Transport and social exclusion: Where are we now? Transport Policy, 20, 105–113.</w:t>
      </w:r>
    </w:p>
    <w:p w14:paraId="2C0D80D8"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Martens, K. (2016). Transport justice: Designing fair transportation systems. Routledge.</w:t>
      </w:r>
    </w:p>
    <w:p w14:paraId="1D14ABDF"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Mendoza, A., Prieto, M., &amp; Fernandez, J. (2020). Socioeconomic dimensions of electric bus adoption. Journal of Transport and Land Use, 13(1), 345–362.</w:t>
      </w:r>
    </w:p>
    <w:p w14:paraId="3D1255D7"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Mitullah, W., &amp; Opiyo, R. (2023). Transport inequalities in African cities: Implications for inclusive mobility planning. Urban Studies, 60(12), 2345–2363.</w:t>
      </w:r>
    </w:p>
    <w:p w14:paraId="0373EC0E"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Mungai, M., &amp; Aoko, K. (2023). E-bus pilot initiatives and local job creation in Nairobi’s transport sector. Transport and Development Review, 9(2), 78–95.</w:t>
      </w:r>
    </w:p>
    <w:p w14:paraId="11338B7D"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Ogunjimi, O., &amp; Odewumi, S. (2023). Electric mass transit in Lagos: Opportunities and challenges. Journal of Urban Mobility, 7, 100068.</w:t>
      </w:r>
    </w:p>
    <w:p w14:paraId="017AE8F2"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Olowu, T., Adebisi, A., &amp; Oladele, F. (2024). Policy integration challenges in Lagos electric bus deployment. Case Studies on Transport Policy, 12(1), 88–96.</w:t>
      </w:r>
    </w:p>
    <w:p w14:paraId="634737AC"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Osei, R., Boateng, E., &amp; Adom, P. (2023). Energy transitions in African transport systems: Barriers and opportunities. Energy Research &amp; Social Science, 96, 102965.</w:t>
      </w:r>
    </w:p>
    <w:p w14:paraId="3E2F9E52"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Raghav, V., &amp; Mehta, P. (2022). Air quality benefits and socioeconomic outcomes of Delhi’s electric bus program. Sustainable Cities and Society, 82, 103911.</w:t>
      </w:r>
    </w:p>
    <w:p w14:paraId="43D9971E"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Sclar, R., Gorguinpour, C., Castellanos, S., &amp; Li, X. (2019). Barriers to adopting electric buses. World Resources Institute.</w:t>
      </w:r>
    </w:p>
    <w:p w14:paraId="0D871FE3"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Sheller, M. (2018). Mobility justice: The politics of movement in an age of extremes. Verso.</w:t>
      </w:r>
    </w:p>
    <w:p w14:paraId="13DEED9B"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Sovacool, B. K., Burke, M., &amp; Baker, L. (2020). Energy justice and equitable transitions in global energy systems. Nature Energy, 5(8), 570–579.</w:t>
      </w:r>
    </w:p>
    <w:p w14:paraId="6A4E183E"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lastRenderedPageBreak/>
        <w:t>Sovacool, B. K., Burke, M., Baker, L., Kotikalapudi, C. K., &amp; Wlokas, H. (2017). New frontiers and conceptual frameworks for energy justice. Energy Policy, 105, 677–691.</w:t>
      </w:r>
    </w:p>
    <w:p w14:paraId="5104E08F"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Taffese, S., &amp; Tilahun, N. (2021). Accessibility outcomes of electric rail transit in Addis Ababa. Transport Policy, 102, 98–110.</w:t>
      </w:r>
    </w:p>
    <w:p w14:paraId="4327A637"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Ugochukwu, P., &amp; Fadare, S. (2024). Cross-city assessment of electric mobility and social inclusion in West Africa. African Journal of Sustainable Development, 16(1), 67–84.</w:t>
      </w:r>
    </w:p>
    <w:p w14:paraId="632064C5"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United Nations Environment Programme. (2021). Supporting the global shift to electric mobility. UNEP.</w:t>
      </w:r>
    </w:p>
    <w:p w14:paraId="6CC6BCC5"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van der Kloof, A., Jones, T., &amp; Lucas, K. (2022). Mobility justice and the distribution of public transport opportunities. Transport Policy, 118, 50–60.</w:t>
      </w:r>
    </w:p>
    <w:p w14:paraId="1F44BE4A"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Waweru, J., Ogada, F., &amp; Mwangi, A. (2024). Institutional challenges in scaling electric BRT systems in Kenya. Sustainable Mobility Review, 11(2), 140–159.</w:t>
      </w:r>
    </w:p>
    <w:p w14:paraId="2B44E5F1"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World Bank. (2021a). Market analysis on financial sustainability and commercial viability of bus rapid transit systems in Sub-Saharan Africa. World Bank.</w:t>
      </w:r>
    </w:p>
    <w:p w14:paraId="0D3605DA"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World Bank. (2021b). The electrification of public transport: A case study of Shenzhen Bus Group. World Bank.</w:t>
      </w:r>
    </w:p>
    <w:p w14:paraId="6C8B319E" w14:textId="77777777" w:rsidR="00FE593F" w:rsidRPr="00983732" w:rsidRDefault="004E2748">
      <w:pPr>
        <w:spacing w:after="40"/>
        <w:ind w:left="360" w:hanging="360"/>
        <w:rPr>
          <w:rFonts w:cs="Times New Roman"/>
          <w:color w:val="000000"/>
          <w:sz w:val="19"/>
          <w:szCs w:val="19"/>
        </w:rPr>
      </w:pPr>
      <w:r w:rsidRPr="00983732">
        <w:rPr>
          <w:rFonts w:cs="Times New Roman"/>
          <w:color w:val="000000"/>
          <w:sz w:val="19"/>
          <w:szCs w:val="19"/>
        </w:rPr>
        <w:t>Yin, R. K. (2018). Case study research and applications: Design and methods (6th ed.). SAGE Publications.</w:t>
      </w:r>
    </w:p>
    <w:p w14:paraId="32FB67CB" w14:textId="77777777" w:rsidR="00FE593F" w:rsidRDefault="004E2748">
      <w:pPr>
        <w:spacing w:after="40"/>
        <w:ind w:left="360" w:hanging="360"/>
        <w:rPr>
          <w:rFonts w:cs="Times New Roman"/>
          <w:color w:val="000000"/>
          <w:sz w:val="19"/>
          <w:szCs w:val="19"/>
        </w:rPr>
      </w:pPr>
      <w:r w:rsidRPr="00983732">
        <w:rPr>
          <w:rFonts w:cs="Times New Roman"/>
          <w:color w:val="000000"/>
          <w:sz w:val="19"/>
          <w:szCs w:val="19"/>
        </w:rPr>
        <w:t>Zhang, Y., Zhou, Y., &amp; Li, K. (2021). Lessons from Shenzhen’s full bus electrification for emerging economies. Energy Policy, 156, 112451.</w:t>
      </w:r>
    </w:p>
    <w:p w14:paraId="71C9B813" w14:textId="77777777" w:rsidR="00FE593F" w:rsidRDefault="00FE593F">
      <w:pPr>
        <w:spacing w:after="40"/>
        <w:ind w:left="360" w:hanging="360"/>
        <w:rPr>
          <w:rFonts w:cs="Times New Roman"/>
          <w:color w:val="000000"/>
          <w:sz w:val="19"/>
          <w:szCs w:val="19"/>
        </w:rPr>
      </w:pPr>
    </w:p>
    <w:sectPr w:rsidR="00FE593F">
      <w:headerReference w:type="even" r:id="rId11"/>
      <w:headerReference w:type="default" r:id="rId12"/>
      <w:footerReference w:type="even" r:id="rId13"/>
      <w:footerReference w:type="default" r:id="rId14"/>
      <w:headerReference w:type="first" r:id="rId15"/>
      <w:footerReference w:type="first" r:id="rId16"/>
      <w:pgSz w:w="11909" w:h="16834"/>
      <w:pgMar w:top="1224" w:right="1224" w:bottom="1224" w:left="1224" w:header="432"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406F9" w14:textId="77777777" w:rsidR="00385636" w:rsidRDefault="00385636">
      <w:r>
        <w:separator/>
      </w:r>
    </w:p>
  </w:endnote>
  <w:endnote w:type="continuationSeparator" w:id="0">
    <w:p w14:paraId="2BBD9A24" w14:textId="77777777" w:rsidR="00385636" w:rsidRDefault="00385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06376" w14:textId="77777777" w:rsidR="00553BFA" w:rsidRDefault="00553B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75614" w14:textId="77777777" w:rsidR="00FE593F" w:rsidRDefault="004E2748">
    <w:pPr>
      <w:pStyle w:val="Footer"/>
      <w:jc w:val="center"/>
    </w:pPr>
    <w:r>
      <w:fldChar w:fldCharType="begin"/>
    </w:r>
    <w:r>
      <w:instrText>PAGE</w:instrText>
    </w:r>
    <w:r>
      <w:fldChar w:fldCharType="separate"/>
    </w:r>
    <w:r w:rsidR="000A6AB5">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58350" w14:textId="77777777" w:rsidR="00553BFA" w:rsidRDefault="00553B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096C65" w14:textId="77777777" w:rsidR="00385636" w:rsidRDefault="00385636">
      <w:pPr>
        <w:spacing w:after="0"/>
      </w:pPr>
      <w:r>
        <w:separator/>
      </w:r>
    </w:p>
  </w:footnote>
  <w:footnote w:type="continuationSeparator" w:id="0">
    <w:p w14:paraId="373D31EF" w14:textId="77777777" w:rsidR="00385636" w:rsidRDefault="0038563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B56F3" w14:textId="1FC19EB3" w:rsidR="00553BFA" w:rsidRDefault="00553BFA">
    <w:pPr>
      <w:pStyle w:val="Header"/>
    </w:pPr>
    <w:r>
      <w:rPr>
        <w:noProof/>
      </w:rPr>
      <w:pict w14:anchorId="673964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199329" o:spid="_x0000_s1026" type="#_x0000_t136" style="position:absolute;left:0;text-align:left;margin-left:0;margin-top:0;width:600.2pt;height:66.6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EBF55" w14:textId="07192C19" w:rsidR="00553BFA" w:rsidRDefault="00553BFA">
    <w:pPr>
      <w:pStyle w:val="Header"/>
    </w:pPr>
    <w:r>
      <w:rPr>
        <w:noProof/>
      </w:rPr>
      <w:pict w14:anchorId="7BAF17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199330" o:spid="_x0000_s1027" type="#_x0000_t136" style="position:absolute;left:0;text-align:left;margin-left:0;margin-top:0;width:600.2pt;height:66.6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2D0F2" w14:textId="1937A1D9" w:rsidR="00553BFA" w:rsidRDefault="00553BFA">
    <w:pPr>
      <w:pStyle w:val="Header"/>
    </w:pPr>
    <w:r>
      <w:rPr>
        <w:noProof/>
      </w:rPr>
      <w:pict w14:anchorId="491DD9C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4199328" o:spid="_x0000_s1025" type="#_x0000_t136" style="position:absolute;left:0;text-align:left;margin-left:0;margin-top:0;width:600.2pt;height:66.6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A5722CD"/>
    <w:multiLevelType w:val="singleLevel"/>
    <w:tmpl w:val="EA5722CD"/>
    <w:lvl w:ilvl="0">
      <w:start w:val="1"/>
      <w:numFmt w:val="lowerRoman"/>
      <w:lvlText w:val="%1."/>
      <w:lvlJc w:val="left"/>
      <w:pPr>
        <w:tabs>
          <w:tab w:val="left" w:pos="425"/>
        </w:tabs>
        <w:ind w:left="425" w:hanging="425"/>
      </w:pPr>
      <w:rPr>
        <w:rFonts w:hint="default"/>
      </w:rPr>
    </w:lvl>
  </w:abstractNum>
  <w:abstractNum w:abstractNumId="1"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2"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3"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4"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5"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6"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num w:numId="1" w16cid:durableId="2047220082">
    <w:abstractNumId w:val="6"/>
  </w:num>
  <w:num w:numId="2" w16cid:durableId="529538515">
    <w:abstractNumId w:val="4"/>
  </w:num>
  <w:num w:numId="3" w16cid:durableId="774905508">
    <w:abstractNumId w:val="3"/>
  </w:num>
  <w:num w:numId="4" w16cid:durableId="1593049523">
    <w:abstractNumId w:val="5"/>
  </w:num>
  <w:num w:numId="5" w16cid:durableId="1759213017">
    <w:abstractNumId w:val="2"/>
  </w:num>
  <w:num w:numId="6" w16cid:durableId="1015158201">
    <w:abstractNumId w:val="1"/>
  </w:num>
  <w:num w:numId="7" w16cid:durableId="754979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defaultTabStop w:val="72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A6AB5"/>
    <w:rsid w:val="0015074B"/>
    <w:rsid w:val="0029639D"/>
    <w:rsid w:val="00326F90"/>
    <w:rsid w:val="00385636"/>
    <w:rsid w:val="004E2748"/>
    <w:rsid w:val="004F1C4F"/>
    <w:rsid w:val="00553BFA"/>
    <w:rsid w:val="00612FA0"/>
    <w:rsid w:val="00674A1E"/>
    <w:rsid w:val="008951F1"/>
    <w:rsid w:val="008B2E08"/>
    <w:rsid w:val="00983732"/>
    <w:rsid w:val="00AA1D8D"/>
    <w:rsid w:val="00B47730"/>
    <w:rsid w:val="00CB0664"/>
    <w:rsid w:val="00ED7E7D"/>
    <w:rsid w:val="00EE510F"/>
    <w:rsid w:val="00FC693F"/>
    <w:rsid w:val="00FE593F"/>
    <w:rsid w:val="11BB09C8"/>
    <w:rsid w:val="17B60F04"/>
    <w:rsid w:val="57DF5B38"/>
    <w:rsid w:val="67C307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59E165"/>
  <w14:defaultImageDpi w14:val="300"/>
  <w15:docId w15:val="{23988B57-E122-4E48-8E61-3784C973A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lsdException w:name="Medium Grid 3" w:uiPriority="69"/>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lsdException w:name="Medium Grid 3 Accent 1" w:uiPriority="69" w:qFormat="1"/>
    <w:lsdException w:name="Dark List Accent 1" w:uiPriority="70" w:qFormat="1"/>
    <w:lsdException w:name="Colorful Shading Accent 1" w:uiPriority="71" w:qFormat="1"/>
    <w:lsdException w:name="Colorful List Accent 1" w:uiPriority="72"/>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lsdException w:name="Medium Grid 3 Accent 3" w:uiPriority="69"/>
    <w:lsdException w:name="Dark List Accent 3" w:uiPriority="70"/>
    <w:lsdException w:name="Colorful Shading Accent 3" w:uiPriority="71" w:qFormat="1"/>
    <w:lsdException w:name="Colorful List Accent 3" w:uiPriority="72" w:qFormat="1"/>
    <w:lsdException w:name="Colorful Grid Accent 3" w:uiPriority="73" w:qFormat="1"/>
    <w:lsdException w:name="Light Shading Accent 4" w:uiPriority="60"/>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lsdException w:name="Medium Grid 2 Accent 4" w:uiPriority="68"/>
    <w:lsdException w:name="Medium Grid 3 Accent 4" w:uiPriority="69"/>
    <w:lsdException w:name="Dark List Accent 4" w:uiPriority="70" w:qFormat="1"/>
    <w:lsdException w:name="Colorful Shading Accent 4" w:uiPriority="71" w:qFormat="1"/>
    <w:lsdException w:name="Colorful List Accent 4" w:uiPriority="72"/>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lsdException w:name="Medium Grid 3 Accent 5" w:uiPriority="69" w:qFormat="1"/>
    <w:lsdException w:name="Dark List Accent 5" w:uiPriority="70" w:qFormat="1"/>
    <w:lsdException w:name="Colorful Shading Accent 5" w:uiPriority="71" w:qFormat="1"/>
    <w:lsdException w:name="Colorful List Accent 5" w:uiPriority="72"/>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jc w:val="both"/>
    </w:pPr>
    <w:rPr>
      <w:rFonts w:eastAsiaTheme="minorEastAsia" w:cstheme="minorBidi"/>
      <w:sz w:val="24"/>
      <w:szCs w:val="22"/>
      <w:lang w:val="en-US" w:eastAsia="en-US"/>
    </w:rPr>
  </w:style>
  <w:style w:type="paragraph" w:styleId="Heading1">
    <w:name w:val="heading 1"/>
    <w:basedOn w:val="Normal"/>
    <w:next w:val="Normal"/>
    <w:link w:val="Heading1Char"/>
    <w:uiPriority w:val="9"/>
    <w:qFormat/>
    <w:pPr>
      <w:keepNext/>
      <w:keepLines/>
      <w:spacing w:before="180" w:after="10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pPr>
      <w:keepNext/>
      <w:keepLines/>
      <w:spacing w:before="140"/>
      <w:outlineLvl w:val="1"/>
    </w:pPr>
    <w:rPr>
      <w:rFonts w:asciiTheme="majorHAnsi" w:eastAsiaTheme="majorEastAsia" w:hAnsiTheme="majorHAnsi" w:cstheme="majorBidi"/>
      <w:b/>
      <w:bCs/>
      <w:color w:val="000000"/>
      <w:szCs w:val="26"/>
    </w:rPr>
  </w:style>
  <w:style w:type="paragraph" w:styleId="Heading3">
    <w:name w:val="heading 3"/>
    <w:basedOn w:val="Normal"/>
    <w:next w:val="Normal"/>
    <w:link w:val="Heading3Char"/>
    <w:uiPriority w:val="9"/>
    <w:unhideWhenUsed/>
    <w:qFormat/>
    <w:pPr>
      <w:keepNext/>
      <w:keepLines/>
      <w:spacing w:before="120" w:after="60"/>
      <w:outlineLvl w:val="2"/>
    </w:pPr>
    <w:rPr>
      <w:rFonts w:asciiTheme="majorHAnsi" w:eastAsiaTheme="majorEastAsia" w:hAnsiTheme="majorHAnsi" w:cstheme="majorBidi"/>
      <w:b/>
      <w:bCs/>
      <w:color w:val="000000"/>
      <w:sz w:val="22"/>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qFormat/>
    <w:pPr>
      <w:spacing w:after="120"/>
    </w:pPr>
  </w:style>
  <w:style w:type="paragraph" w:styleId="BodyText2">
    <w:name w:val="Body Text 2"/>
    <w:basedOn w:val="Normal"/>
    <w:link w:val="BodyText2Char"/>
    <w:uiPriority w:val="99"/>
    <w:unhideWhenUsed/>
    <w:qFormat/>
    <w:pPr>
      <w:spacing w:after="120" w:line="480" w:lineRule="auto"/>
    </w:pPr>
  </w:style>
  <w:style w:type="paragraph" w:styleId="BodyText3">
    <w:name w:val="Body Text 3"/>
    <w:basedOn w:val="Normal"/>
    <w:link w:val="BodyText3Char"/>
    <w:uiPriority w:val="99"/>
    <w:unhideWhenUsed/>
    <w:qFormat/>
    <w:pPr>
      <w:spacing w:after="120"/>
    </w:pPr>
    <w:rPr>
      <w:sz w:val="16"/>
      <w:szCs w:val="16"/>
    </w:rPr>
  </w:style>
  <w:style w:type="paragraph" w:styleId="Caption">
    <w:name w:val="caption"/>
    <w:basedOn w:val="Normal"/>
    <w:next w:val="Normal"/>
    <w:uiPriority w:val="35"/>
    <w:semiHidden/>
    <w:unhideWhenUsed/>
    <w:qFormat/>
    <w:rPr>
      <w:b/>
      <w:bCs/>
      <w:color w:val="4F81BD" w:themeColor="accent1"/>
      <w:sz w:val="18"/>
      <w:szCs w:val="18"/>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680"/>
        <w:tab w:val="right" w:pos="9360"/>
      </w:tabs>
      <w:spacing w:after="0"/>
    </w:pPr>
  </w:style>
  <w:style w:type="paragraph" w:styleId="Header">
    <w:name w:val="header"/>
    <w:basedOn w:val="Normal"/>
    <w:link w:val="HeaderChar"/>
    <w:uiPriority w:val="99"/>
    <w:unhideWhenUsed/>
    <w:qFormat/>
    <w:pPr>
      <w:tabs>
        <w:tab w:val="center" w:pos="4680"/>
        <w:tab w:val="right" w:pos="9360"/>
      </w:tabs>
      <w:spacing w:after="0"/>
    </w:pPr>
  </w:style>
  <w:style w:type="character" w:styleId="Hyperlink">
    <w:name w:val="Hyperlink"/>
    <w:basedOn w:val="DefaultParagraphFont"/>
    <w:uiPriority w:val="99"/>
    <w:semiHidden/>
    <w:unhideWhenUsed/>
    <w:rPr>
      <w:color w:val="0000FF"/>
      <w:u w:val="single"/>
    </w:rPr>
  </w:style>
  <w:style w:type="paragraph" w:styleId="List">
    <w:name w:val="List"/>
    <w:basedOn w:val="Normal"/>
    <w:uiPriority w:val="99"/>
    <w:unhideWhenUsed/>
    <w:qFormat/>
    <w:pPr>
      <w:ind w:left="360" w:hanging="360"/>
      <w:contextualSpacing/>
    </w:pPr>
  </w:style>
  <w:style w:type="paragraph" w:styleId="List2">
    <w:name w:val="List 2"/>
    <w:basedOn w:val="Normal"/>
    <w:uiPriority w:val="99"/>
    <w:unhideWhenUsed/>
    <w:qFormat/>
    <w:pPr>
      <w:ind w:left="720" w:hanging="360"/>
      <w:contextualSpacing/>
    </w:pPr>
  </w:style>
  <w:style w:type="paragraph" w:styleId="List3">
    <w:name w:val="List 3"/>
    <w:basedOn w:val="Normal"/>
    <w:uiPriority w:val="99"/>
    <w:unhideWhenUsed/>
    <w:qFormat/>
    <w:pPr>
      <w:ind w:left="1080" w:hanging="360"/>
      <w:contextualSpacing/>
    </w:pPr>
  </w:style>
  <w:style w:type="paragraph" w:styleId="ListBullet">
    <w:name w:val="List Bullet"/>
    <w:basedOn w:val="Normal"/>
    <w:uiPriority w:val="99"/>
    <w:unhideWhenUsed/>
    <w:qFormat/>
    <w:pPr>
      <w:numPr>
        <w:numId w:val="1"/>
      </w:numPr>
      <w:contextualSpacing/>
    </w:pPr>
  </w:style>
  <w:style w:type="paragraph" w:styleId="ListBullet2">
    <w:name w:val="List Bullet 2"/>
    <w:basedOn w:val="Normal"/>
    <w:uiPriority w:val="99"/>
    <w:unhideWhenUsed/>
    <w:qFormat/>
    <w:pPr>
      <w:numPr>
        <w:numId w:val="2"/>
      </w:numPr>
      <w:contextualSpacing/>
    </w:pPr>
  </w:style>
  <w:style w:type="paragraph" w:styleId="ListBullet3">
    <w:name w:val="List Bullet 3"/>
    <w:basedOn w:val="Normal"/>
    <w:uiPriority w:val="99"/>
    <w:unhideWhenUsed/>
    <w:qFormat/>
    <w:pPr>
      <w:numPr>
        <w:numId w:val="3"/>
      </w:numPr>
      <w:contextualSpacing/>
    </w:pPr>
  </w:style>
  <w:style w:type="paragraph" w:styleId="ListContinue">
    <w:name w:val="List Continue"/>
    <w:basedOn w:val="Normal"/>
    <w:uiPriority w:val="99"/>
    <w:unhideWhenUsed/>
    <w:qFormat/>
    <w:pPr>
      <w:spacing w:after="120"/>
      <w:ind w:left="360"/>
      <w:contextualSpacing/>
    </w:pPr>
  </w:style>
  <w:style w:type="paragraph" w:styleId="ListContinue2">
    <w:name w:val="List Continue 2"/>
    <w:basedOn w:val="Normal"/>
    <w:uiPriority w:val="99"/>
    <w:unhideWhenUsed/>
    <w:qFormat/>
    <w:pPr>
      <w:spacing w:after="120"/>
      <w:ind w:left="720"/>
      <w:contextualSpacing/>
    </w:pPr>
  </w:style>
  <w:style w:type="paragraph" w:styleId="ListContinue3">
    <w:name w:val="List Continue 3"/>
    <w:basedOn w:val="Normal"/>
    <w:uiPriority w:val="99"/>
    <w:unhideWhenUsed/>
    <w:qFormat/>
    <w:pPr>
      <w:spacing w:after="120"/>
      <w:ind w:left="1080"/>
      <w:contextualSpacing/>
    </w:pPr>
  </w:style>
  <w:style w:type="paragraph" w:styleId="ListNumber">
    <w:name w:val="List Number"/>
    <w:basedOn w:val="Normal"/>
    <w:uiPriority w:val="99"/>
    <w:unhideWhenUsed/>
    <w:qFormat/>
    <w:pPr>
      <w:numPr>
        <w:numId w:val="4"/>
      </w:numPr>
      <w:contextualSpacing/>
    </w:pPr>
  </w:style>
  <w:style w:type="paragraph" w:styleId="ListNumber2">
    <w:name w:val="List Number 2"/>
    <w:basedOn w:val="Normal"/>
    <w:uiPriority w:val="99"/>
    <w:unhideWhenUsed/>
    <w:qFormat/>
    <w:pPr>
      <w:numPr>
        <w:numId w:val="5"/>
      </w:numPr>
      <w:contextualSpacing/>
    </w:pPr>
  </w:style>
  <w:style w:type="paragraph" w:styleId="ListNumber3">
    <w:name w:val="List Number 3"/>
    <w:basedOn w:val="Normal"/>
    <w:uiPriority w:val="99"/>
    <w:unhideWhenUsed/>
    <w:qFormat/>
    <w:pPr>
      <w:numPr>
        <w:numId w:val="6"/>
      </w:numPr>
      <w:contextualSpacing/>
    </w:pPr>
  </w:style>
  <w:style w:type="paragraph" w:styleId="MacroText">
    <w:name w:val="macro"/>
    <w:link w:val="MacroTextChar"/>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cstheme="minorBidi"/>
      <w:lang w:val="en-US" w:eastAsia="en-US"/>
    </w:rPr>
  </w:style>
  <w:style w:type="paragraph" w:styleId="NormalWeb">
    <w:name w:val="Normal (Web)"/>
    <w:uiPriority w:val="99"/>
    <w:semiHidden/>
    <w:unhideWhenUsed/>
    <w:qFormat/>
    <w:pPr>
      <w:spacing w:beforeAutospacing="1" w:afterAutospacing="1"/>
    </w:pPr>
    <w:rPr>
      <w:sz w:val="24"/>
      <w:szCs w:val="24"/>
      <w:lang w:val="en-US" w:eastAsia="zh-CN"/>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asciiTheme="majorHAnsi" w:eastAsiaTheme="majorEastAsia" w:hAnsiTheme="majorHAnsi" w:cstheme="majorBidi"/>
      <w:i/>
      <w:iCs/>
      <w:color w:val="4F81BD" w:themeColor="accent1"/>
      <w:spacing w:val="15"/>
      <w:szCs w:val="24"/>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table" w:styleId="LightShading">
    <w:name w:val="Light Shading"/>
    <w:basedOn w:val="TableNormal"/>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LightGrid-Accent1">
    <w:name w:val="Light Grid Accent 1"/>
    <w:basedOn w:val="TableNormal"/>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LightGrid-Accent2">
    <w:name w:val="Light Grid Accent 2"/>
    <w:basedOn w:val="TableNormal"/>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LightGrid-Accent3">
    <w:name w:val="Light Grid Accent 3"/>
    <w:basedOn w:val="TableNormal"/>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LightGrid-Accent4">
    <w:name w:val="Light Grid Accent 4"/>
    <w:basedOn w:val="TableNormal"/>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LightGrid-Accent5">
    <w:name w:val="Light Grid Accent 5"/>
    <w:basedOn w:val="TableNormal"/>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LightGrid-Accent6">
    <w:name w:val="Light Grid Accent 6"/>
    <w:basedOn w:val="TableNormal"/>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MediumShading1">
    <w:name w:val="Medium Shading 1"/>
    <w:basedOn w:val="TableNormal"/>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MediumGrid3-Accent1">
    <w:name w:val="Medium Grid 3 Accent 1"/>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MediumGrid3-Accent2">
    <w:name w:val="Medium Grid 3 Accent 2"/>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MediumGrid3-Accent3">
    <w:name w:val="Medium Grid 3 Accent 3"/>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MediumGrid3-Accent4">
    <w:name w:val="Medium Grid 3 Accent 4"/>
    <w:basedOn w:val="TableNormal"/>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MediumGrid3-Accent5">
    <w:name w:val="Medium Grid 3 Accent 5"/>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MediumGrid3-Accent6">
    <w:name w:val="Medium Grid 3 Accent 6"/>
    <w:basedOn w:val="TableNormal"/>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DarkList">
    <w:name w:val="Dark List"/>
    <w:basedOn w:val="TableNormal"/>
    <w:uiPriority w:val="70"/>
    <w:qFormat/>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qFormat/>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qFormat/>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qFormat/>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qFormat/>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qFormat/>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qFormat/>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qFormat/>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qFormat/>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styleId="NoSpacing">
    <w:name w:val="No Spacing"/>
    <w:uiPriority w:val="1"/>
    <w:qFormat/>
    <w:rPr>
      <w:rFonts w:asciiTheme="minorHAnsi" w:eastAsiaTheme="minorEastAsia" w:hAnsiTheme="minorHAnsi" w:cstheme="minorBidi"/>
      <w:sz w:val="22"/>
      <w:szCs w:val="22"/>
      <w:lang w:val="en-US" w:eastAsia="en-US"/>
    </w:rPr>
  </w:style>
  <w:style w:type="character" w:customStyle="1" w:styleId="Heading1Char">
    <w:name w:val="Heading 1 Char"/>
    <w:basedOn w:val="DefaultParagraphFont"/>
    <w:link w:val="Heading1"/>
    <w:uiPriority w:val="9"/>
    <w:qFormat/>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qFormat/>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qFormat/>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SubtitleChar">
    <w:name w:val="Subtitle Char"/>
    <w:basedOn w:val="DefaultParagraphFont"/>
    <w:link w:val="Subtitle"/>
    <w:uiPriority w:val="11"/>
    <w:qFormat/>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pPr>
      <w:ind w:left="720"/>
      <w:contextualSpacing/>
    </w:pPr>
  </w:style>
  <w:style w:type="character" w:customStyle="1" w:styleId="BodyTextChar">
    <w:name w:val="Body Text Char"/>
    <w:basedOn w:val="DefaultParagraphFont"/>
    <w:link w:val="BodyText"/>
    <w:uiPriority w:val="99"/>
    <w:qFormat/>
  </w:style>
  <w:style w:type="character" w:customStyle="1" w:styleId="BodyText2Char">
    <w:name w:val="Body Text 2 Char"/>
    <w:basedOn w:val="DefaultParagraphFont"/>
    <w:link w:val="BodyText2"/>
    <w:uiPriority w:val="99"/>
    <w:qFormat/>
  </w:style>
  <w:style w:type="character" w:customStyle="1" w:styleId="BodyText3Char">
    <w:name w:val="Body Text 3 Char"/>
    <w:basedOn w:val="DefaultParagraphFont"/>
    <w:link w:val="BodyText3"/>
    <w:uiPriority w:val="99"/>
    <w:qFormat/>
    <w:rPr>
      <w:sz w:val="16"/>
      <w:szCs w:val="16"/>
    </w:rPr>
  </w:style>
  <w:style w:type="character" w:customStyle="1" w:styleId="MacroTextChar">
    <w:name w:val="Macro Text Char"/>
    <w:basedOn w:val="DefaultParagraphFont"/>
    <w:link w:val="MacroText"/>
    <w:uiPriority w:val="99"/>
    <w:qFormat/>
    <w:rPr>
      <w:rFonts w:ascii="Courier" w:hAnsi="Courier"/>
      <w:sz w:val="20"/>
      <w:szCs w:val="20"/>
    </w:rPr>
  </w:style>
  <w:style w:type="paragraph" w:styleId="Quote">
    <w:name w:val="Quote"/>
    <w:basedOn w:val="Normal"/>
    <w:next w:val="Normal"/>
    <w:link w:val="QuoteChar"/>
    <w:uiPriority w:val="29"/>
    <w:qFormat/>
    <w:rPr>
      <w:i/>
      <w:iCs/>
      <w:color w:val="000000" w:themeColor="text1"/>
    </w:rPr>
  </w:style>
  <w:style w:type="character" w:customStyle="1" w:styleId="QuoteChar">
    <w:name w:val="Quote Char"/>
    <w:basedOn w:val="DefaultParagraphFont"/>
    <w:link w:val="Quote"/>
    <w:uiPriority w:val="29"/>
    <w:qFormat/>
    <w:rPr>
      <w:i/>
      <w:iCs/>
      <w:color w:val="000000" w:themeColor="text1"/>
    </w:rPr>
  </w:style>
  <w:style w:type="character" w:customStyle="1" w:styleId="Heading4Char">
    <w:name w:val="Heading 4 Char"/>
    <w:basedOn w:val="DefaultParagraphFont"/>
    <w:link w:val="Heading4"/>
    <w:uiPriority w:val="9"/>
    <w:semiHidden/>
    <w:qFormat/>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qFormat/>
    <w:rPr>
      <w:rFonts w:asciiTheme="majorHAnsi" w:eastAsiaTheme="majorEastAsia" w:hAnsiTheme="majorHAnsi" w:cstheme="majorBidi"/>
      <w:color w:val="244061" w:themeColor="accent1" w:themeShade="80"/>
    </w:rPr>
  </w:style>
  <w:style w:type="character" w:customStyle="1" w:styleId="Heading6Char">
    <w:name w:val="Heading 6 Char"/>
    <w:basedOn w:val="DefaultParagraphFont"/>
    <w:link w:val="Heading6"/>
    <w:uiPriority w:val="9"/>
    <w:semiHidden/>
    <w:qFormat/>
    <w:rPr>
      <w:rFonts w:asciiTheme="majorHAnsi" w:eastAsiaTheme="majorEastAsia" w:hAnsiTheme="majorHAnsi" w:cstheme="majorBidi"/>
      <w:i/>
      <w:iCs/>
      <w:color w:val="244061" w:themeColor="accent1" w:themeShade="80"/>
    </w:rPr>
  </w:style>
  <w:style w:type="character" w:customStyle="1" w:styleId="Heading7Char">
    <w:name w:val="Heading 7 Char"/>
    <w:basedOn w:val="DefaultParagraphFont"/>
    <w:link w:val="Heading7"/>
    <w:uiPriority w:val="9"/>
    <w:semiHidden/>
    <w:qFormat/>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qFormat/>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qFormat/>
    <w:rPr>
      <w:rFonts w:asciiTheme="majorHAnsi" w:eastAsiaTheme="majorEastAsia" w:hAnsiTheme="majorHAnsi" w:cstheme="majorBidi"/>
      <w:i/>
      <w:iCs/>
      <w:color w:val="404040" w:themeColor="text1" w:themeTint="BF"/>
      <w:sz w:val="20"/>
      <w:szCs w:val="20"/>
    </w:rPr>
  </w:style>
  <w:style w:type="paragraph" w:styleId="IntenseQuote">
    <w:name w:val="Intense Quote"/>
    <w:basedOn w:val="Normal"/>
    <w:next w:val="Normal"/>
    <w:link w:val="IntenseQuoteChar"/>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qFormat/>
    <w:rPr>
      <w:b/>
      <w:bCs/>
      <w:i/>
      <w:iCs/>
      <w:color w:val="4F81BD" w:themeColor="accent1"/>
    </w:rPr>
  </w:style>
  <w:style w:type="character" w:customStyle="1" w:styleId="SubtleEmphasis1">
    <w:name w:val="Subtle Emphasis1"/>
    <w:basedOn w:val="DefaultParagraphFont"/>
    <w:uiPriority w:val="19"/>
    <w:qFormat/>
    <w:rPr>
      <w:i/>
      <w:iCs/>
      <w:color w:val="7F7F7F" w:themeColor="text1" w:themeTint="80"/>
    </w:rPr>
  </w:style>
  <w:style w:type="character" w:customStyle="1" w:styleId="IntenseEmphasis1">
    <w:name w:val="Intense Emphasis1"/>
    <w:basedOn w:val="DefaultParagraphFont"/>
    <w:uiPriority w:val="21"/>
    <w:qFormat/>
    <w:rPr>
      <w:b/>
      <w:bCs/>
      <w:i/>
      <w:iCs/>
      <w:color w:val="4F81BD" w:themeColor="accent1"/>
    </w:rPr>
  </w:style>
  <w:style w:type="character" w:customStyle="1" w:styleId="SubtleReference1">
    <w:name w:val="Subtle Reference1"/>
    <w:basedOn w:val="DefaultParagraphFont"/>
    <w:uiPriority w:val="31"/>
    <w:qFormat/>
    <w:rPr>
      <w:smallCaps/>
      <w:color w:val="C0504D" w:themeColor="accent2"/>
      <w:u w:val="single"/>
    </w:rPr>
  </w:style>
  <w:style w:type="character" w:customStyle="1" w:styleId="IntenseReference1">
    <w:name w:val="Intense Reference1"/>
    <w:basedOn w:val="DefaultParagraphFont"/>
    <w:uiPriority w:val="32"/>
    <w:qFormat/>
    <w:rPr>
      <w:b/>
      <w:bCs/>
      <w:smallCaps/>
      <w:color w:val="C0504D" w:themeColor="accent2"/>
      <w:spacing w:val="5"/>
      <w:u w:val="single"/>
    </w:rPr>
  </w:style>
  <w:style w:type="character" w:customStyle="1" w:styleId="BookTitle1">
    <w:name w:val="Book Title1"/>
    <w:basedOn w:val="DefaultParagraphFont"/>
    <w:uiPriority w:val="33"/>
    <w:qFormat/>
    <w:rPr>
      <w:b/>
      <w:bCs/>
      <w:smallCaps/>
      <w:spacing w:val="5"/>
    </w:rPr>
  </w:style>
  <w:style w:type="paragraph" w:customStyle="1" w:styleId="TOCHeading1">
    <w:name w:val="TOC Heading1"/>
    <w:basedOn w:val="Heading1"/>
    <w:next w:val="Normal"/>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C89036-664D-4C12-8170-27A67A9F6D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14</Pages>
  <Words>8359</Words>
  <Characters>47650</Characters>
  <Application>Microsoft Office Word</Application>
  <DocSecurity>0</DocSecurity>
  <Lines>397</Lines>
  <Paragraphs>111</Paragraphs>
  <ScaleCrop>false</ScaleCrop>
  <Company/>
  <LinksUpToDate>false</LinksUpToDate>
  <CharactersWithSpaces>55898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Renewable-Energy Mobility Systems and Social Sustainability</dc:title>
  <dc:subject>Journal manuscript</dc:subject>
  <dc:creator>Akomolehin Francis Olugbenga; Ogunleye Wumi Akinyemi</dc:creator>
  <cp:keywords>renewable-energy mobility; mobility justice; social sustainability; Africa; Asia</cp:keywords>
  <dc:description>generated by python-docx</dc:description>
  <cp:lastModifiedBy>SDI 1084</cp:lastModifiedBy>
  <cp:revision>8</cp:revision>
  <dcterms:created xsi:type="dcterms:W3CDTF">2013-12-23T23:15:00Z</dcterms:created>
  <dcterms:modified xsi:type="dcterms:W3CDTF">2026-09-07T13:36:00Z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09310C3F14274C418DC23FBF173AA55D_13</vt:lpwstr>
  </property>
  <property fmtid="{D5CDD505-2E9C-101B-9397-08002B2CF9AE}" pid="4" name="KSOTemplateDocerSaveRecord">
    <vt:lpwstr>eyJoZGlkIjoiNDhlNjhkZTIyZjNmYWEyNzIwNGYwYWY2MTdiYTIyYTkiLCJ1c2VySWQiOiIyNzY2NTg2Mjk0ODQ0In0=</vt:lpwstr>
  </property>
</Properties>
</file>