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E29B8" w14:textId="77777777" w:rsidR="00D67712" w:rsidRPr="008B36EF" w:rsidRDefault="00D67712" w:rsidP="00D67712">
      <w:pPr>
        <w:jc w:val="center"/>
        <w:rPr>
          <w:rFonts w:ascii="Times New Roman" w:hAnsi="Times New Roman" w:cs="Times New Roman"/>
          <w:sz w:val="24"/>
          <w:szCs w:val="24"/>
        </w:rPr>
      </w:pPr>
      <w:r w:rsidRPr="008B36EF">
        <w:rPr>
          <w:rFonts w:ascii="Times New Roman" w:hAnsi="Times New Roman" w:cs="Times New Roman"/>
          <w:sz w:val="24"/>
          <w:szCs w:val="24"/>
        </w:rPr>
        <w:t>Asymmetric Causality between Economic Policy Uncertainty and Macroeconomic Performance in Nigeria: Evidence from a Nonlinear Causality Framework.</w:t>
      </w:r>
    </w:p>
    <w:p w14:paraId="5790DF02" w14:textId="77777777" w:rsidR="00DB657B" w:rsidRDefault="00DB657B" w:rsidP="00D67712">
      <w:pPr>
        <w:rPr>
          <w:rFonts w:ascii="Times New Roman" w:hAnsi="Times New Roman" w:cs="Times New Roman"/>
          <w:i/>
          <w:sz w:val="24"/>
          <w:szCs w:val="24"/>
        </w:rPr>
      </w:pPr>
    </w:p>
    <w:p w14:paraId="79232F04" w14:textId="77777777" w:rsidR="00DB657B" w:rsidRDefault="00DB657B" w:rsidP="00D67712">
      <w:pPr>
        <w:rPr>
          <w:rFonts w:ascii="Times New Roman" w:hAnsi="Times New Roman" w:cs="Times New Roman"/>
          <w:i/>
          <w:sz w:val="24"/>
          <w:szCs w:val="24"/>
        </w:rPr>
      </w:pPr>
    </w:p>
    <w:p w14:paraId="2975080F" w14:textId="6BC82AE9" w:rsidR="00D67712" w:rsidRPr="00D67712" w:rsidRDefault="00D67712" w:rsidP="00D67712">
      <w:pPr>
        <w:rPr>
          <w:rFonts w:ascii="Times New Roman" w:hAnsi="Times New Roman" w:cs="Times New Roman"/>
          <w:i/>
          <w:sz w:val="24"/>
          <w:szCs w:val="24"/>
        </w:rPr>
      </w:pPr>
      <w:r w:rsidRPr="00D67712">
        <w:rPr>
          <w:rFonts w:ascii="Times New Roman" w:hAnsi="Times New Roman" w:cs="Times New Roman"/>
          <w:i/>
          <w:sz w:val="24"/>
          <w:szCs w:val="24"/>
        </w:rPr>
        <w:t>Abstract</w:t>
      </w:r>
    </w:p>
    <w:p w14:paraId="09C2E2F2" w14:textId="77777777" w:rsidR="00D67712" w:rsidRDefault="00D67712" w:rsidP="00D67712">
      <w:pPr>
        <w:pStyle w:val="NormalWeb"/>
        <w:jc w:val="both"/>
        <w:rPr>
          <w:i/>
        </w:rPr>
      </w:pPr>
      <w:r w:rsidRPr="00D67712">
        <w:rPr>
          <w:i/>
        </w:rPr>
        <w:t>The relation between EPU and macro-performance may not be well-understood by classical causal models as positive and negative shocks can impact differently on the economy. This study investigate the asymmetries in causality relations between the EPU and Nigeria’s macro-performance to positive and negative shocks in economic growth, exchange rate, inflation, interest rate, and unemployment rate. We adopt Toda-Yamamoto causality test in addition to Hatemi-J asymmetric causality test with bootstrap inference using monthly data, along with Zivot-Andrews structural-break test and Diks-Panchenko nonlinear causality test to consider structural breaks and nonlinearities. The significance of distribution and asymmetry was demonstrated, and structural instabilities in EPU, with endogenous break found in EPU around February 2020. There exists significant unidirectional causal effect from economic growth downturn shocks to positive EPU shocks (Wald statistic=47.210; bootstrap p-value=0.002), but causality in the reverse direction is insignificant (Wald statistic=3.048; bootstrap p-value=0.356). Standard Toda-Yamamoto causality also supports the unidirectional causality effect from economic growth to EPU (Wald statistic=25.033; p&lt;0.001), whereas causality effect from EPU to economic growth is statistically insignificant (p=0.3560). No significant causality effect between EPU and exchange rate, inflation, interest rate and unemployment rate were found. Diks-Panchenko nonlinear causality test does not show any unconditional nonlinear causality. The results show that the EPU responded to poor economic performance than driven macroeconomic performance. Therefore, in Nigerian context policies should support steady economic growth, deepen fiscal-monetary policy coordination, increase the credibility, transparency and predictable and consistent policy environments over the time.</w:t>
      </w:r>
    </w:p>
    <w:p w14:paraId="148919EF" w14:textId="77777777" w:rsidR="00D67712" w:rsidRPr="00383BDA" w:rsidRDefault="00D67712" w:rsidP="00D67712">
      <w:pPr>
        <w:pStyle w:val="NormalWeb"/>
        <w:rPr>
          <w:i/>
        </w:rPr>
      </w:pPr>
      <w:r w:rsidRPr="00383BDA">
        <w:rPr>
          <w:rStyle w:val="Strong"/>
          <w:i/>
        </w:rPr>
        <w:t>Keywords:</w:t>
      </w:r>
      <w:r w:rsidRPr="00383BDA">
        <w:rPr>
          <w:i/>
        </w:rPr>
        <w:t xml:space="preserve"> Economic policy uncertainty; asymmetric causality; GDP growth; macroeconomic   </w:t>
      </w:r>
      <w:r w:rsidRPr="00383BDA">
        <w:rPr>
          <w:i/>
        </w:rPr>
        <w:tab/>
        <w:t>performance; Hatemi-J test</w:t>
      </w:r>
    </w:p>
    <w:p w14:paraId="6AB4AC41" w14:textId="77777777" w:rsidR="00D67712" w:rsidRDefault="00D67712" w:rsidP="00D67712">
      <w:pPr>
        <w:pStyle w:val="NormalWeb"/>
        <w:numPr>
          <w:ilvl w:val="0"/>
          <w:numId w:val="1"/>
        </w:numPr>
        <w:jc w:val="both"/>
      </w:pPr>
      <w:r>
        <w:t xml:space="preserve">Introduction </w:t>
      </w:r>
    </w:p>
    <w:p w14:paraId="30412FED" w14:textId="77777777" w:rsidR="00D67712" w:rsidRDefault="00D67712" w:rsidP="00D67712">
      <w:pPr>
        <w:pStyle w:val="NormalWeb"/>
        <w:jc w:val="both"/>
      </w:pPr>
      <w:r>
        <w:t xml:space="preserve">Research relevant to macroeconomics has examined uncertainty in policy, and in particular in the economy because policy has implications for government, household, firm, and investor actions and for policy Makers. According to Baker, Bloom and Davis (2016), high policy uncertainty affects investment, employment and output negatively. Fiscal, monetary, exchange rate, trade and regulation policy can determine a country’s economic performance such as Nigeria. An EPU index for Nigeria has previously constructed using daily newspapers data and found to be suitable for measuring policy uncertainty (Salisu et al. 2024). Very recently Nigeria’s economic performance has been poor and plagued by pressures from sustained inflation, exchange rate depreciation, slow output growth, high unemployment and slumped investment, and particularly this country is facing recent major economic policy reforms – subsidy removal, exchange rate reforms, introduction of a new monetary policy framework and the revenue mobilisation drive – with some short-run </w:t>
      </w:r>
      <w:r>
        <w:lastRenderedPageBreak/>
        <w:t>adjustment costs and costs of adjustments to prices, exchange rates, level of investment, and level of employment in Nigeria with reduction in household welfare (World Bank &amp; IMF, 2024). Some researches that linked economic policy uncertainty and its effect on Investment, employment, FDI, and economic growth of Nigeria exist. However, the estimated coefficients might change under positive and negative shocks, while variations of economy performance might also have asymmetric influences on economic policy uncertainty. Hence, this study titled, "Asymmetric Causality between Economic Policy Uncertainty and Macroeconomic Performance in Nigeria: Evidence from a Nonlinear Causality Framework," is designed to test whether positive and negative economic policy uncertainties have asymmetric causal impact on Nigeria’s economy and as whether variations in economic performance in Nigeria have asymmetric causal effect on economic policy uncertainty. This investigation and result have the potential to bring much information to policy Makers, Investors, and researchers as well as to the Nigerian economy and improve the credibility of fiscal, monetary and exchange rate policy.</w:t>
      </w:r>
    </w:p>
    <w:p w14:paraId="4FD869AB" w14:textId="77777777" w:rsidR="00DE6FD8" w:rsidRDefault="00DE6FD8" w:rsidP="00DE6FD8">
      <w:pPr>
        <w:pStyle w:val="NormalWeb"/>
        <w:numPr>
          <w:ilvl w:val="0"/>
          <w:numId w:val="1"/>
        </w:numPr>
        <w:jc w:val="both"/>
      </w:pPr>
      <w:r>
        <w:t>Literature review</w:t>
      </w:r>
    </w:p>
    <w:p w14:paraId="3C5AA568" w14:textId="77777777" w:rsidR="00DE6FD8" w:rsidRDefault="00DE6FD8" w:rsidP="00DE6FD8">
      <w:pPr>
        <w:pStyle w:val="NormalWeb"/>
        <w:jc w:val="both"/>
      </w:pPr>
      <w:r>
        <w:t xml:space="preserve">The impact of economic policy uncertainty on fundamental macroeconomic aggregates has been an area of concern in the literature of macroprediction as the policy uncertainty influences the decisions of individuals and agents (households, firms and investors) involved in economy. News-based indicator of EPU given by Baker et al. Has provided empirical evidence that it reduced the growth rate of investment and employment due to their impact on business postponement of decisions that are not reversible and that EPU has a substantial influence. Now the development of Nigerian country specific news-based index of EPU (Tumala et al.) enables to focus on the relationships between Nigeria EPU and the macroeconomic variables which is generally similar to earlier analyses in the past that EPU affects model depending on the formulation of the model, forecasting horizon and data frequency particularly with regards to the exchange rate, stock markets, inflation and economy outputs. The outcome of empirical researches carried out on Nigeria indicate that economic policy uncertainty is negative with regard to economic outputs, Zaria et al. Found negative and significant short run relationship with the exchange rate, inflation and the negative and significant long run relation with FDI and employment using ARDL model while with Bello, EPU has a negatively significant effect on the Nigerian output while in contrast Nigerian macroeconomic outcome influence positively policy uncertainty Zaria et al. The studies also found that economic policy uncertainty has a nonlinear effect because positive and negative policy have the same impact with differing signs of correlation of data; in a recent study, a study conducted by Aina has revealed a negatively significant policy uncertainty with evidence of nonlinear causality from EPU to output and further confirmed that monetary policy and other shock has an asymmetric impact. The theoretical explanation behind this asymmetric causality stems from the theory of hidden co-integration and it was extended with a procedure that test asymmetric causality by using difference among positive and negative innovations or changes in a variable; the purpose of nonlinear test is to address a structural break and non-linear causal relation that may exists among the variables. Thus it shows that nonlinear tests can give difference results compared to the linear estimation when there are shocks; this has been tested in international economy Gongo, et. al, who discovered that uncertainty causes are positive or negative and also the test shown that domestic policies have the asymmetric impacts in Nigeria. Although studies has not sufficiently focus on different aspect like how the relationships may perform in relation to directional effect (positive vs negative shocks) however the present study is </w:t>
      </w:r>
      <w:r>
        <w:lastRenderedPageBreak/>
        <w:t>thus trying to evaluate how to test for causal relationship between EPU and five major macroeconomic aggregate by the adoption of</w:t>
      </w:r>
      <w:r w:rsidR="00AB60C6">
        <w:t xml:space="preserve"> </w:t>
      </w:r>
      <w:r>
        <w:t>Hatemi-J test of asymmetrical causality of economic policy uncertainty.</w:t>
      </w:r>
    </w:p>
    <w:p w14:paraId="7C8849EA" w14:textId="77777777" w:rsidR="00BD3B55" w:rsidRPr="00ED61DF" w:rsidRDefault="00BD3B55" w:rsidP="00BD3B55">
      <w:pPr>
        <w:pStyle w:val="Heading2"/>
        <w:rPr>
          <w:b w:val="0"/>
          <w:sz w:val="24"/>
          <w:szCs w:val="24"/>
        </w:rPr>
      </w:pPr>
      <w:r w:rsidRPr="00ED61DF">
        <w:rPr>
          <w:b w:val="0"/>
          <w:sz w:val="24"/>
          <w:szCs w:val="24"/>
        </w:rPr>
        <w:t>3.0  Econometric Methodology</w:t>
      </w:r>
    </w:p>
    <w:p w14:paraId="13888C9F" w14:textId="77777777" w:rsidR="00BD3B55" w:rsidRPr="00ED61DF" w:rsidRDefault="00BD3B55" w:rsidP="00BD3B55">
      <w:pPr>
        <w:pStyle w:val="Heading3"/>
        <w:rPr>
          <w:b w:val="0"/>
          <w:sz w:val="24"/>
          <w:szCs w:val="24"/>
        </w:rPr>
      </w:pPr>
      <w:r w:rsidRPr="00ED61DF">
        <w:rPr>
          <w:b w:val="0"/>
          <w:sz w:val="24"/>
          <w:szCs w:val="24"/>
        </w:rPr>
        <w:t>3.1 General Model Specification</w:t>
      </w:r>
    </w:p>
    <w:p w14:paraId="788777EA" w14:textId="77777777" w:rsidR="00BD3B55" w:rsidRDefault="00BD3B55" w:rsidP="00BD3B55">
      <w:pPr>
        <w:pStyle w:val="NormalWeb"/>
        <w:jc w:val="both"/>
      </w:pPr>
      <w:r>
        <w:t>The study examines the causal relationship between Economic Policy Uncertainty (EPU) and macroeconomic performance in Nigeria. Let the vector of variables be defined as</w:t>
      </w:r>
    </w:p>
    <w:p w14:paraId="00104924" w14:textId="77777777" w:rsidR="00BD3B55" w:rsidRDefault="00BD3B55" w:rsidP="00BD3B55">
      <w:pPr>
        <w:pStyle w:val="NormalWeb"/>
      </w:pPr>
      <w:r>
        <w:tab/>
      </w:r>
      <w:r w:rsidRPr="00ED61DF">
        <w:rPr>
          <w:position w:val="-14"/>
        </w:rPr>
        <w:object w:dxaOrig="4080" w:dyaOrig="499" w14:anchorId="64EB5F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3pt;height:24.6pt" o:ole="">
            <v:imagedata r:id="rId7" o:title=""/>
          </v:shape>
          <o:OLEObject Type="Embed" ProgID="Equation.DSMT4" ShapeID="_x0000_i1025" DrawAspect="Content" ObjectID="_1849690785" r:id="rId8"/>
        </w:object>
      </w:r>
    </w:p>
    <w:p w14:paraId="0BD2AABF" w14:textId="77777777" w:rsidR="00BD3B55" w:rsidRDefault="00BD3B55" w:rsidP="00BD3B55">
      <w:pPr>
        <w:pStyle w:val="NormalWeb"/>
      </w:pPr>
      <w:r>
        <w:t>For each EPU–macro pair, the general bivariate system is expressed as</w:t>
      </w:r>
    </w:p>
    <w:p w14:paraId="2BED0B80" w14:textId="77777777" w:rsidR="00BD3B55" w:rsidRDefault="00BD3B55" w:rsidP="00BD3B55">
      <w:pPr>
        <w:pStyle w:val="NormalWeb"/>
      </w:pPr>
      <w:r>
        <w:tab/>
      </w:r>
      <w:r w:rsidRPr="00274F19">
        <w:rPr>
          <w:position w:val="-32"/>
        </w:rPr>
        <w:object w:dxaOrig="5140" w:dyaOrig="760" w14:anchorId="34BEE9C4">
          <v:shape id="_x0000_i1026" type="#_x0000_t75" style="width:257.25pt;height:38.15pt" o:ole="">
            <v:imagedata r:id="rId9" o:title=""/>
          </v:shape>
          <o:OLEObject Type="Embed" ProgID="Equation.DSMT4" ShapeID="_x0000_i1026" DrawAspect="Content" ObjectID="_1849690786" r:id="rId10"/>
        </w:object>
      </w:r>
    </w:p>
    <w:p w14:paraId="3FDEF1C7" w14:textId="77777777" w:rsidR="00BD3B55" w:rsidRDefault="00BD3B55" w:rsidP="00BD3B55">
      <w:pPr>
        <w:pStyle w:val="NormalWeb"/>
        <w:jc w:val="both"/>
      </w:pPr>
      <w:r>
        <w:t>With this pairwise specification, the direction of causality between EPU and each macroeconomic indicator can be tested independently.</w:t>
      </w:r>
    </w:p>
    <w:p w14:paraId="66EE4378" w14:textId="77777777" w:rsidR="00BD3B55" w:rsidRPr="00274F19" w:rsidRDefault="00BD3B55" w:rsidP="00BD3B55">
      <w:pPr>
        <w:pStyle w:val="Heading3"/>
        <w:rPr>
          <w:b w:val="0"/>
        </w:rPr>
      </w:pPr>
      <w:r w:rsidRPr="00274F19">
        <w:rPr>
          <w:b w:val="0"/>
        </w:rPr>
        <w:t>3.2 Lag-Length Selection</w:t>
      </w:r>
    </w:p>
    <w:p w14:paraId="5D9F4D2D" w14:textId="77777777" w:rsidR="00BD3B55" w:rsidRDefault="00BD3B55" w:rsidP="00BD3B55">
      <w:pPr>
        <w:pStyle w:val="NormalWeb"/>
      </w:pPr>
      <w:r>
        <w:t xml:space="preserve">The optimal lag length </w:t>
      </w:r>
      <w:r>
        <w:rPr>
          <w:rStyle w:val="mord"/>
        </w:rPr>
        <w:t>p</w:t>
      </w:r>
      <w:r>
        <w:t xml:space="preserve"> is selected using the Akaike Information Criterion (AIC), which is expressed as:</w:t>
      </w:r>
    </w:p>
    <w:p w14:paraId="4360977B" w14:textId="77777777" w:rsidR="00BD3B55" w:rsidRDefault="00BD3B55" w:rsidP="00BD3B55">
      <w:pPr>
        <w:pStyle w:val="NormalWeb"/>
      </w:pPr>
      <w:r>
        <w:tab/>
      </w:r>
      <w:r w:rsidRPr="00274F19">
        <w:rPr>
          <w:position w:val="-24"/>
        </w:rPr>
        <w:object w:dxaOrig="2540" w:dyaOrig="620" w14:anchorId="1B1AC9BD">
          <v:shape id="_x0000_i1027" type="#_x0000_t75" style="width:127.4pt;height:30.75pt" o:ole="">
            <v:imagedata r:id="rId11" o:title=""/>
          </v:shape>
          <o:OLEObject Type="Embed" ProgID="Equation.DSMT4" ShapeID="_x0000_i1027" DrawAspect="Content" ObjectID="_1849690787" r:id="rId12"/>
        </w:object>
      </w:r>
    </w:p>
    <w:p w14:paraId="6BA0253E" w14:textId="77777777" w:rsidR="00BD3B55" w:rsidRDefault="00BD3B55" w:rsidP="00BD3B55">
      <w:pPr>
        <w:pStyle w:val="Heading3"/>
      </w:pPr>
      <w:r>
        <w:t xml:space="preserve">3.3 </w:t>
      </w:r>
      <w:r w:rsidRPr="002559BA">
        <w:rPr>
          <w:b w:val="0"/>
        </w:rPr>
        <w:t>Unit-Root and Maximum Integration Order</w:t>
      </w:r>
    </w:p>
    <w:p w14:paraId="79C1BA60" w14:textId="77777777" w:rsidR="00BD3B55" w:rsidRDefault="00BD3B55" w:rsidP="00BD3B55">
      <w:pPr>
        <w:pStyle w:val="NormalWeb"/>
      </w:pPr>
      <w:r>
        <w:t>The order of integration is established using the ADF and KPSS tests. The ADF regression is specified as:</w:t>
      </w:r>
    </w:p>
    <w:p w14:paraId="1817E2A6" w14:textId="77777777" w:rsidR="00BD3B55" w:rsidRDefault="00BD3B55" w:rsidP="00BD3B55">
      <w:pPr>
        <w:pStyle w:val="NormalWeb"/>
      </w:pPr>
      <w:r>
        <w:tab/>
      </w:r>
      <w:r w:rsidRPr="00274F19">
        <w:rPr>
          <w:position w:val="-28"/>
        </w:rPr>
        <w:object w:dxaOrig="3180" w:dyaOrig="680" w14:anchorId="6DBA20B6">
          <v:shape id="_x0000_i1028" type="#_x0000_t75" style="width:158.75pt;height:33.85pt" o:ole="">
            <v:imagedata r:id="rId13" o:title=""/>
          </v:shape>
          <o:OLEObject Type="Embed" ProgID="Equation.DSMT4" ShapeID="_x0000_i1028" DrawAspect="Content" ObjectID="_1849690788" r:id="rId14"/>
        </w:object>
      </w:r>
    </w:p>
    <w:p w14:paraId="675EB1D3" w14:textId="77777777" w:rsidR="00BD3B55" w:rsidRPr="002559BA" w:rsidRDefault="00BD3B55" w:rsidP="00BD3B55">
      <w:pPr>
        <w:pStyle w:val="Heading3"/>
        <w:rPr>
          <w:b w:val="0"/>
        </w:rPr>
      </w:pPr>
      <w:r w:rsidRPr="002559BA">
        <w:rPr>
          <w:b w:val="0"/>
        </w:rPr>
        <w:t>3.4 Augmented VAR and Toda–Yamamoto Causality</w:t>
      </w:r>
    </w:p>
    <w:p w14:paraId="36D8DC58" w14:textId="77777777" w:rsidR="00BD3B55" w:rsidRDefault="00BD3B55" w:rsidP="00BD3B55">
      <w:pPr>
        <w:pStyle w:val="NormalWeb"/>
      </w:pPr>
      <w:r>
        <w:t xml:space="preserve">Following the determination of </w:t>
      </w:r>
      <w:r w:rsidRPr="002559BA">
        <w:rPr>
          <w:position w:val="-10"/>
        </w:rPr>
        <w:object w:dxaOrig="240" w:dyaOrig="260" w14:anchorId="1885EA25">
          <v:shape id="_x0000_i1029" type="#_x0000_t75" style="width:12.3pt;height:12.9pt" o:ole="">
            <v:imagedata r:id="rId15" o:title=""/>
          </v:shape>
          <o:OLEObject Type="Embed" ProgID="Equation.DSMT4" ShapeID="_x0000_i1029" DrawAspect="Content" ObjectID="_1849690789" r:id="rId16"/>
        </w:object>
      </w:r>
      <w:r>
        <w:rPr>
          <w:rStyle w:val="mord"/>
        </w:rPr>
        <w:t xml:space="preserve"> </w:t>
      </w:r>
      <w:r>
        <w:t xml:space="preserve">and </w:t>
      </w:r>
      <w:r w:rsidRPr="00EF1822">
        <w:rPr>
          <w:position w:val="-12"/>
        </w:rPr>
        <w:object w:dxaOrig="460" w:dyaOrig="360" w14:anchorId="64744303">
          <v:shape id="_x0000_i1030" type="#_x0000_t75" style="width:22.75pt;height:17.85pt" o:ole="">
            <v:imagedata r:id="rId17" o:title=""/>
          </v:shape>
          <o:OLEObject Type="Embed" ProgID="Equation.DSMT4" ShapeID="_x0000_i1030" DrawAspect="Content" ObjectID="_1849690790" r:id="rId18"/>
        </w:object>
      </w:r>
      <w:r>
        <w:t xml:space="preserve"> the VAR is augmented by </w:t>
      </w:r>
      <w:r w:rsidRPr="00EF1822">
        <w:rPr>
          <w:position w:val="-12"/>
        </w:rPr>
        <w:object w:dxaOrig="460" w:dyaOrig="360" w14:anchorId="5B3BC56C">
          <v:shape id="_x0000_i1031" type="#_x0000_t75" style="width:22.75pt;height:17.85pt" o:ole="">
            <v:imagedata r:id="rId19" o:title=""/>
          </v:shape>
          <o:OLEObject Type="Embed" ProgID="Equation.DSMT4" ShapeID="_x0000_i1031" DrawAspect="Content" ObjectID="_1849690791" r:id="rId20"/>
        </w:object>
      </w:r>
      <w:r>
        <w:rPr>
          <w:rStyle w:val="vlist-s"/>
        </w:rPr>
        <w:t>​</w:t>
      </w:r>
      <w:r>
        <w:t xml:space="preserve"> additional lags:</w:t>
      </w:r>
    </w:p>
    <w:p w14:paraId="3889FD00" w14:textId="77777777" w:rsidR="00BD3B55" w:rsidRDefault="00BD3B55" w:rsidP="00BD3B55">
      <w:pPr>
        <w:pStyle w:val="NormalWeb"/>
        <w:spacing w:before="0" w:beforeAutospacing="0" w:after="0" w:afterAutospacing="0"/>
      </w:pPr>
      <w:r>
        <w:tab/>
      </w:r>
      <w:r w:rsidRPr="002559BA">
        <w:rPr>
          <w:position w:val="-28"/>
        </w:rPr>
        <w:object w:dxaOrig="2299" w:dyaOrig="700" w14:anchorId="1F119954">
          <v:shape id="_x0000_i1032" type="#_x0000_t75" style="width:114.45pt;height:34.45pt" o:ole="">
            <v:imagedata r:id="rId21" o:title=""/>
          </v:shape>
          <o:OLEObject Type="Embed" ProgID="Equation.DSMT4" ShapeID="_x0000_i1032" DrawAspect="Content" ObjectID="_1849690792" r:id="rId22"/>
        </w:object>
      </w:r>
    </w:p>
    <w:p w14:paraId="20BBCB75" w14:textId="77777777" w:rsidR="00BD3B55" w:rsidRDefault="00BD3B55" w:rsidP="00BD3B55">
      <w:pPr>
        <w:pStyle w:val="NormalWeb"/>
        <w:spacing w:before="0" w:beforeAutospacing="0" w:after="0" w:afterAutospacing="0"/>
      </w:pPr>
      <w:r>
        <w:lastRenderedPageBreak/>
        <w:t xml:space="preserve">The Toda–Yamamoto approach tests causality through restrictions on the first </w:t>
      </w:r>
      <w:r w:rsidRPr="002559BA">
        <w:rPr>
          <w:position w:val="-10"/>
        </w:rPr>
        <w:object w:dxaOrig="240" w:dyaOrig="260" w14:anchorId="0133DDDF">
          <v:shape id="_x0000_i1033" type="#_x0000_t75" style="width:12.3pt;height:12.9pt" o:ole="">
            <v:imagedata r:id="rId15" o:title=""/>
          </v:shape>
          <o:OLEObject Type="Embed" ProgID="Equation.DSMT4" ShapeID="_x0000_i1033" DrawAspect="Content" ObjectID="_1849690793" r:id="rId23"/>
        </w:object>
      </w:r>
      <w:r>
        <w:t xml:space="preserve"> lags while retaining the additional </w:t>
      </w:r>
      <w:r w:rsidRPr="00EF1822">
        <w:rPr>
          <w:position w:val="-12"/>
        </w:rPr>
        <w:object w:dxaOrig="460" w:dyaOrig="360" w14:anchorId="3DD369E3">
          <v:shape id="_x0000_i1034" type="#_x0000_t75" style="width:22.75pt;height:17.85pt" o:ole="">
            <v:imagedata r:id="rId17" o:title=""/>
          </v:shape>
          <o:OLEObject Type="Embed" ProgID="Equation.DSMT4" ShapeID="_x0000_i1034" DrawAspect="Content" ObjectID="_1849690794" r:id="rId24"/>
        </w:object>
      </w:r>
      <w:r>
        <w:rPr>
          <w:rStyle w:val="vlist-s"/>
        </w:rPr>
        <w:t>​</w:t>
      </w:r>
      <w:r>
        <w:t xml:space="preserve"> lags in the system</w:t>
      </w:r>
    </w:p>
    <w:p w14:paraId="5F7914E7" w14:textId="77777777" w:rsidR="00BD3B55" w:rsidRPr="002559BA" w:rsidRDefault="00BD3B55" w:rsidP="00BD3B55">
      <w:pPr>
        <w:pStyle w:val="Heading3"/>
        <w:rPr>
          <w:b w:val="0"/>
        </w:rPr>
      </w:pPr>
      <w:r w:rsidRPr="002559BA">
        <w:rPr>
          <w:b w:val="0"/>
        </w:rPr>
        <w:t>3.5 Positive and Negative Shock Decomposition</w:t>
      </w:r>
    </w:p>
    <w:p w14:paraId="4323D41C" w14:textId="77777777" w:rsidR="00BD3B55" w:rsidRDefault="00BD3B55" w:rsidP="00BD3B55">
      <w:pPr>
        <w:pStyle w:val="NormalWeb"/>
        <w:spacing w:before="0" w:beforeAutospacing="0" w:after="0" w:afterAutospacing="0"/>
      </w:pPr>
      <w:r>
        <w:t xml:space="preserve">To investigate asymmetric causality, each variable is decomposed into positive and negative shocks. For variable </w:t>
      </w:r>
      <w:r w:rsidRPr="002559BA">
        <w:rPr>
          <w:position w:val="-12"/>
        </w:rPr>
        <w:object w:dxaOrig="320" w:dyaOrig="360" w14:anchorId="7291F3F1">
          <v:shape id="_x0000_i1035" type="#_x0000_t75" style="width:16pt;height:17.85pt" o:ole="">
            <v:imagedata r:id="rId25" o:title=""/>
          </v:shape>
          <o:OLEObject Type="Embed" ProgID="Equation.DSMT4" ShapeID="_x0000_i1035" DrawAspect="Content" ObjectID="_1849690795" r:id="rId26"/>
        </w:object>
      </w:r>
    </w:p>
    <w:p w14:paraId="508D091E" w14:textId="77777777" w:rsidR="00BD3B55" w:rsidRDefault="00BD3B55" w:rsidP="00BD3B55">
      <w:pPr>
        <w:pStyle w:val="NormalWeb"/>
        <w:spacing w:before="0" w:beforeAutospacing="0" w:after="0" w:afterAutospacing="0"/>
        <w:ind w:firstLine="720"/>
      </w:pPr>
      <w:r w:rsidRPr="002559BA">
        <w:rPr>
          <w:position w:val="-12"/>
        </w:rPr>
        <w:object w:dxaOrig="1600" w:dyaOrig="380" w14:anchorId="64485EFB">
          <v:shape id="_x0000_i1036" type="#_x0000_t75" style="width:80pt;height:19.1pt" o:ole="">
            <v:imagedata r:id="rId27" o:title=""/>
          </v:shape>
          <o:OLEObject Type="Embed" ProgID="Equation.DSMT4" ShapeID="_x0000_i1036" DrawAspect="Content" ObjectID="_1849690796" r:id="rId28"/>
        </w:object>
      </w:r>
    </w:p>
    <w:p w14:paraId="4DA3A0A9" w14:textId="77777777" w:rsidR="00BD3B55" w:rsidRDefault="00BD3B55" w:rsidP="00BD3B55">
      <w:pPr>
        <w:pStyle w:val="NormalWeb"/>
      </w:pPr>
      <w:r>
        <w:t>The positive and negative innovations are:</w:t>
      </w:r>
    </w:p>
    <w:p w14:paraId="1957484A" w14:textId="77777777" w:rsidR="00BD3B55" w:rsidRDefault="00BD3B55" w:rsidP="00BD3B55">
      <w:pPr>
        <w:pStyle w:val="NormalWeb"/>
      </w:pPr>
      <w:r>
        <w:tab/>
      </w:r>
      <w:r w:rsidRPr="00EF1822">
        <w:rPr>
          <w:position w:val="-14"/>
        </w:rPr>
        <w:object w:dxaOrig="1980" w:dyaOrig="400" w14:anchorId="4770BBE5">
          <v:shape id="_x0000_i1037" type="#_x0000_t75" style="width:99.1pt;height:19.7pt" o:ole="">
            <v:imagedata r:id="rId29" o:title=""/>
          </v:shape>
          <o:OLEObject Type="Embed" ProgID="Equation.DSMT4" ShapeID="_x0000_i1037" DrawAspect="Content" ObjectID="_1849690797" r:id="rId30"/>
        </w:object>
      </w:r>
      <w:r>
        <w:t xml:space="preserve"> and </w:t>
      </w:r>
      <w:r w:rsidRPr="00EF1822">
        <w:rPr>
          <w:position w:val="-14"/>
        </w:rPr>
        <w:object w:dxaOrig="1939" w:dyaOrig="400" w14:anchorId="4AE50B92">
          <v:shape id="_x0000_i1038" type="#_x0000_t75" style="width:96.6pt;height:19.7pt" o:ole="">
            <v:imagedata r:id="rId31" o:title=""/>
          </v:shape>
          <o:OLEObject Type="Embed" ProgID="Equation.DSMT4" ShapeID="_x0000_i1038" DrawAspect="Content" ObjectID="_1849690798" r:id="rId32"/>
        </w:object>
      </w:r>
    </w:p>
    <w:p w14:paraId="447D1101" w14:textId="77777777" w:rsidR="00BD3B55" w:rsidRDefault="00BD3B55" w:rsidP="00BD3B55">
      <w:pPr>
        <w:pStyle w:val="NormalWeb"/>
      </w:pPr>
      <w:r>
        <w:tab/>
        <w:t>Their cumulative components are</w:t>
      </w:r>
    </w:p>
    <w:p w14:paraId="0D023034" w14:textId="77777777" w:rsidR="00BD3B55" w:rsidRDefault="00BD3B55" w:rsidP="00BD3B55">
      <w:pPr>
        <w:pStyle w:val="NormalWeb"/>
      </w:pPr>
      <w:r w:rsidRPr="00AA4D8B">
        <w:rPr>
          <w:position w:val="-28"/>
        </w:rPr>
        <w:object w:dxaOrig="2860" w:dyaOrig="680" w14:anchorId="4FF9AF8A">
          <v:shape id="_x0000_i1039" type="#_x0000_t75" style="width:142.75pt;height:33.85pt" o:ole="">
            <v:imagedata r:id="rId33" o:title=""/>
          </v:shape>
          <o:OLEObject Type="Embed" ProgID="Equation.DSMT4" ShapeID="_x0000_i1039" DrawAspect="Content" ObjectID="_1849690799" r:id="rId34"/>
        </w:object>
      </w:r>
    </w:p>
    <w:p w14:paraId="27FFF064" w14:textId="77777777" w:rsidR="00BD3B55" w:rsidRDefault="00BD3B55" w:rsidP="00BD3B55">
      <w:pPr>
        <w:pStyle w:val="NormalWeb"/>
      </w:pPr>
      <w:r>
        <w:t xml:space="preserve">Hence </w:t>
      </w:r>
      <w:r w:rsidRPr="00AA4D8B">
        <w:rPr>
          <w:position w:val="-14"/>
        </w:rPr>
        <w:object w:dxaOrig="2079" w:dyaOrig="400" w14:anchorId="38D01042">
          <v:shape id="_x0000_i1040" type="#_x0000_t75" style="width:104pt;height:19.7pt" o:ole="">
            <v:imagedata r:id="rId35" o:title=""/>
          </v:shape>
          <o:OLEObject Type="Embed" ProgID="Equation.DSMT4" ShapeID="_x0000_i1040" DrawAspect="Content" ObjectID="_1849690800" r:id="rId36"/>
        </w:object>
      </w:r>
    </w:p>
    <w:p w14:paraId="20B5FA55" w14:textId="77777777" w:rsidR="00BD3B55" w:rsidRDefault="00BD3B55" w:rsidP="00BD3B55">
      <w:pPr>
        <w:pStyle w:val="NormalWeb"/>
      </w:pPr>
      <w:r>
        <w:t>This decomposition permits positive and negative movements in EPU and each macroeconomic variable to be examined separately.</w:t>
      </w:r>
    </w:p>
    <w:p w14:paraId="005145BB" w14:textId="77777777" w:rsidR="00BD3B55" w:rsidRPr="00BB206F" w:rsidRDefault="00BD3B55" w:rsidP="00BD3B55">
      <w:pPr>
        <w:pStyle w:val="Heading3"/>
        <w:rPr>
          <w:b w:val="0"/>
        </w:rPr>
      </w:pPr>
      <w:r w:rsidRPr="00BB206F">
        <w:rPr>
          <w:b w:val="0"/>
        </w:rPr>
        <w:t>3.6 Hatemi-J Asymmetric Causality Model</w:t>
      </w:r>
    </w:p>
    <w:p w14:paraId="48ECC8E9" w14:textId="77777777" w:rsidR="00BD3B55" w:rsidRDefault="00BD3B55" w:rsidP="00BD3B55">
      <w:pPr>
        <w:pStyle w:val="NormalWeb"/>
      </w:pPr>
      <w:r>
        <w:t>The asymmetric VAR is then specified as:</w:t>
      </w:r>
    </w:p>
    <w:p w14:paraId="3EE47268" w14:textId="77777777" w:rsidR="00BD3B55" w:rsidRDefault="00BD3B55" w:rsidP="00BD3B55">
      <w:pPr>
        <w:pStyle w:val="NormalWeb"/>
      </w:pPr>
      <w:r>
        <w:tab/>
      </w:r>
      <w:r w:rsidRPr="002559BA">
        <w:rPr>
          <w:position w:val="-28"/>
        </w:rPr>
        <w:object w:dxaOrig="2380" w:dyaOrig="680" w14:anchorId="210C86A0">
          <v:shape id="_x0000_i1041" type="#_x0000_t75" style="width:119.4pt;height:33.85pt" o:ole="">
            <v:imagedata r:id="rId37" o:title=""/>
          </v:shape>
          <o:OLEObject Type="Embed" ProgID="Equation.DSMT4" ShapeID="_x0000_i1041" DrawAspect="Content" ObjectID="_1849690801" r:id="rId38"/>
        </w:object>
      </w:r>
    </w:p>
    <w:p w14:paraId="5D05C6E3" w14:textId="77777777" w:rsidR="00BD3B55" w:rsidRDefault="00BD3B55" w:rsidP="00BD3B55">
      <w:pPr>
        <w:pStyle w:val="NormalWeb"/>
      </w:pPr>
      <w:r>
        <w:t xml:space="preserve">Where </w:t>
      </w:r>
      <w:r w:rsidRPr="000D33C6">
        <w:rPr>
          <w:position w:val="-34"/>
        </w:rPr>
        <w:object w:dxaOrig="1420" w:dyaOrig="800" w14:anchorId="78956903">
          <v:shape id="_x0000_i1042" type="#_x0000_t75" style="width:70.75pt;height:40.6pt" o:ole="">
            <v:imagedata r:id="rId39" o:title=""/>
          </v:shape>
          <o:OLEObject Type="Embed" ProgID="Equation.DSMT4" ShapeID="_x0000_i1042" DrawAspect="Content" ObjectID="_1849690802" r:id="rId40"/>
        </w:object>
      </w:r>
    </w:p>
    <w:p w14:paraId="41ABDAC4" w14:textId="77777777" w:rsidR="00BD3B55" w:rsidRDefault="00BD3B55" w:rsidP="00BD3B55">
      <w:pPr>
        <w:pStyle w:val="NormalWeb"/>
      </w:pPr>
      <w:r>
        <w:t>Four asymmetric causal channels are examined:</w:t>
      </w:r>
    </w:p>
    <w:p w14:paraId="78F4650B" w14:textId="77777777" w:rsidR="00BD3B55" w:rsidRDefault="00BD3B55" w:rsidP="00BD3B55">
      <w:pPr>
        <w:pStyle w:val="NormalWeb"/>
      </w:pPr>
      <w:r>
        <w:tab/>
      </w:r>
      <w:r w:rsidRPr="000D33C6">
        <w:rPr>
          <w:position w:val="-32"/>
        </w:rPr>
        <w:object w:dxaOrig="2760" w:dyaOrig="760" w14:anchorId="16EA7D78">
          <v:shape id="_x0000_i1043" type="#_x0000_t75" style="width:138.45pt;height:38.15pt" o:ole="">
            <v:imagedata r:id="rId41" o:title=""/>
          </v:shape>
          <o:OLEObject Type="Embed" ProgID="Equation.DSMT4" ShapeID="_x0000_i1043" DrawAspect="Content" ObjectID="_1849690803" r:id="rId42"/>
        </w:object>
      </w:r>
    </w:p>
    <w:p w14:paraId="52D56103" w14:textId="77777777" w:rsidR="00BD3B55" w:rsidRDefault="00BD3B55" w:rsidP="00BD3B55">
      <w:pPr>
        <w:pStyle w:val="NormalWeb"/>
        <w:jc w:val="both"/>
      </w:pPr>
      <w:r>
        <w:t>The reverse directions are similarly tested. For example, the hypothesis examines whether adverse economic growth shocks cause increases in policy uncertainty.</w:t>
      </w:r>
    </w:p>
    <w:p w14:paraId="5EF7A068" w14:textId="77777777" w:rsidR="00BD3B55" w:rsidRDefault="00BD3B55" w:rsidP="00BD3B55">
      <w:pPr>
        <w:pStyle w:val="NormalWeb"/>
      </w:pPr>
      <w:r>
        <w:lastRenderedPageBreak/>
        <w:tab/>
      </w:r>
      <w:r w:rsidRPr="00BA4940">
        <w:rPr>
          <w:position w:val="-14"/>
        </w:rPr>
        <w:object w:dxaOrig="1620" w:dyaOrig="400" w14:anchorId="3CDC354B">
          <v:shape id="_x0000_i1044" type="#_x0000_t75" style="width:80.6pt;height:19.7pt" o:ole="">
            <v:imagedata r:id="rId43" o:title=""/>
          </v:shape>
          <o:OLEObject Type="Embed" ProgID="Equation.DSMT4" ShapeID="_x0000_i1044" DrawAspect="Content" ObjectID="_1849690804" r:id="rId44"/>
        </w:object>
      </w:r>
    </w:p>
    <w:p w14:paraId="5CD19A55" w14:textId="77777777" w:rsidR="00BD3B55" w:rsidRPr="00BA4940" w:rsidRDefault="00BD3B55" w:rsidP="00BD3B55">
      <w:pPr>
        <w:pStyle w:val="Heading3"/>
        <w:rPr>
          <w:b w:val="0"/>
        </w:rPr>
      </w:pPr>
      <w:r w:rsidRPr="00BA4940">
        <w:rPr>
          <w:b w:val="0"/>
        </w:rPr>
        <w:t>3.7 Bootstrap Modified Wald Test</w:t>
      </w:r>
    </w:p>
    <w:p w14:paraId="701AA5F0" w14:textId="77777777" w:rsidR="00BD3B55" w:rsidRDefault="00BD3B55" w:rsidP="00BD3B55">
      <w:pPr>
        <w:pStyle w:val="NormalWeb"/>
        <w:jc w:val="both"/>
      </w:pPr>
      <w:r w:rsidRPr="00BA4940">
        <w:t>Because the finite-sample distribution of the asymmetric Wald statistic may</w:t>
      </w:r>
      <w:r>
        <w:t xml:space="preserve"> not conform to its asymptotic distribution, bootstrap inference is employed. The bootstrap p-value is:</w:t>
      </w:r>
    </w:p>
    <w:p w14:paraId="495CDA14" w14:textId="77777777" w:rsidR="00BD3B55" w:rsidRDefault="00BD3B55" w:rsidP="00BD3B55">
      <w:pPr>
        <w:pStyle w:val="NormalWeb"/>
        <w:jc w:val="both"/>
      </w:pPr>
      <w:r>
        <w:tab/>
      </w:r>
      <w:r w:rsidRPr="00BA4940">
        <w:rPr>
          <w:position w:val="-30"/>
        </w:rPr>
        <w:object w:dxaOrig="3080" w:dyaOrig="720" w14:anchorId="66F549C6">
          <v:shape id="_x0000_i1045" type="#_x0000_t75" style="width:153.85pt;height:36.3pt" o:ole="">
            <v:imagedata r:id="rId45" o:title=""/>
          </v:shape>
          <o:OLEObject Type="Embed" ProgID="Equation.DSMT4" ShapeID="_x0000_i1045" DrawAspect="Content" ObjectID="_1849690805" r:id="rId46"/>
        </w:object>
      </w:r>
    </w:p>
    <w:p w14:paraId="0A270EB4" w14:textId="77777777" w:rsidR="00BD3B55" w:rsidRDefault="00BD3B55" w:rsidP="00BD3B55">
      <w:pPr>
        <w:pStyle w:val="NormalWeb"/>
        <w:jc w:val="both"/>
      </w:pPr>
      <w:r>
        <w:t xml:space="preserve">where </w:t>
      </w:r>
      <w:r w:rsidRPr="00EF1822">
        <w:rPr>
          <w:position w:val="-4"/>
        </w:rPr>
        <w:object w:dxaOrig="240" w:dyaOrig="260" w14:anchorId="6B1C0E5D">
          <v:shape id="_x0000_i1046" type="#_x0000_t75" style="width:12.3pt;height:12.9pt" o:ole="">
            <v:imagedata r:id="rId47" o:title=""/>
          </v:shape>
          <o:OLEObject Type="Embed" ProgID="Equation.DSMT4" ShapeID="_x0000_i1046" DrawAspect="Content" ObjectID="_1849690806" r:id="rId48"/>
        </w:object>
      </w:r>
      <w:r>
        <w:t xml:space="preserve"> is the number of bootstrap replications. The null hypothesis is rejected when </w:t>
      </w:r>
      <w:r w:rsidRPr="00EF1822">
        <w:rPr>
          <w:position w:val="-4"/>
        </w:rPr>
        <w:object w:dxaOrig="800" w:dyaOrig="260" w14:anchorId="2E5FF308">
          <v:shape id="_x0000_i1047" type="#_x0000_t75" style="width:40.6pt;height:12.9pt" o:ole="">
            <v:imagedata r:id="rId49" o:title=""/>
          </v:shape>
          <o:OLEObject Type="Embed" ProgID="Equation.DSMT4" ShapeID="_x0000_i1047" DrawAspect="Content" ObjectID="_1849690807" r:id="rId50"/>
        </w:object>
      </w:r>
    </w:p>
    <w:p w14:paraId="176BD647" w14:textId="77777777" w:rsidR="00BD3B55" w:rsidRPr="00BA4940" w:rsidRDefault="00BD3B55" w:rsidP="00BD3B55">
      <w:pPr>
        <w:pStyle w:val="Heading3"/>
        <w:rPr>
          <w:b w:val="0"/>
        </w:rPr>
      </w:pPr>
      <w:r w:rsidRPr="00BA4940">
        <w:rPr>
          <w:b w:val="0"/>
        </w:rPr>
        <w:t>3.8 Diks–Panchenko Nonlinear Causality</w:t>
      </w:r>
    </w:p>
    <w:p w14:paraId="1F080ED4" w14:textId="77777777" w:rsidR="00BD3B55" w:rsidRDefault="00BD3B55" w:rsidP="00BD3B55">
      <w:pPr>
        <w:pStyle w:val="NormalWeb"/>
      </w:pPr>
      <w:r>
        <w:t>The Diks–Panchenko test is employed as a nonlinear robustness check. Its hypotheses are:</w:t>
      </w:r>
    </w:p>
    <w:p w14:paraId="132D94DD" w14:textId="77777777" w:rsidR="00BD3B55" w:rsidRDefault="00BD3B55" w:rsidP="00BD3B55">
      <w:pPr>
        <w:pStyle w:val="NormalWeb"/>
      </w:pPr>
      <w:r>
        <w:tab/>
      </w:r>
      <w:r w:rsidRPr="009A4D05">
        <w:rPr>
          <w:position w:val="-12"/>
        </w:rPr>
        <w:object w:dxaOrig="1880" w:dyaOrig="360" w14:anchorId="31FB4D74">
          <v:shape id="_x0000_i1048" type="#_x0000_t75" style="width:94.15pt;height:17.85pt" o:ole="">
            <v:imagedata r:id="rId51" o:title=""/>
          </v:shape>
          <o:OLEObject Type="Embed" ProgID="Equation.DSMT4" ShapeID="_x0000_i1048" DrawAspect="Content" ObjectID="_1849690808" r:id="rId52"/>
        </w:object>
      </w:r>
    </w:p>
    <w:p w14:paraId="56B49E74" w14:textId="77777777" w:rsidR="00BD3B55" w:rsidRDefault="00BD3B55" w:rsidP="00BD3B55">
      <w:pPr>
        <w:pStyle w:val="NormalWeb"/>
      </w:pPr>
      <w:r>
        <w:tab/>
      </w:r>
      <w:r>
        <w:tab/>
      </w:r>
      <w:r w:rsidRPr="00EF1822">
        <w:rPr>
          <w:position w:val="-12"/>
        </w:rPr>
        <w:object w:dxaOrig="1060" w:dyaOrig="360" w14:anchorId="10D722ED">
          <v:shape id="_x0000_i1049" type="#_x0000_t75" style="width:52.9pt;height:17.85pt" o:ole="">
            <v:imagedata r:id="rId53" o:title=""/>
          </v:shape>
          <o:OLEObject Type="Embed" ProgID="Equation.DSMT4" ShapeID="_x0000_i1049" DrawAspect="Content" ObjectID="_1849690809" r:id="rId54"/>
        </w:object>
      </w:r>
    </w:p>
    <w:p w14:paraId="6A2F9C82" w14:textId="77777777" w:rsidR="00BD3B55" w:rsidRDefault="00BD3B55" w:rsidP="00BD3B55">
      <w:pPr>
        <w:pStyle w:val="NormalWeb"/>
      </w:pPr>
      <w:r>
        <w:t>The standardized statistic is:</w:t>
      </w:r>
    </w:p>
    <w:p w14:paraId="3F94154C" w14:textId="77777777" w:rsidR="00BD3B55" w:rsidRDefault="00BD3B55" w:rsidP="00BD3B55">
      <w:pPr>
        <w:pStyle w:val="NormalWeb"/>
      </w:pPr>
      <w:r>
        <w:tab/>
      </w:r>
      <w:r>
        <w:tab/>
      </w:r>
      <w:r w:rsidRPr="00EF1822">
        <w:rPr>
          <w:position w:val="-32"/>
        </w:rPr>
        <w:object w:dxaOrig="1420" w:dyaOrig="760" w14:anchorId="28639206">
          <v:shape id="_x0000_i1050" type="#_x0000_t75" style="width:70.75pt;height:38.15pt" o:ole="">
            <v:imagedata r:id="rId55" o:title=""/>
          </v:shape>
          <o:OLEObject Type="Embed" ProgID="Equation.DSMT4" ShapeID="_x0000_i1050" DrawAspect="Content" ObjectID="_1849690810" r:id="rId56"/>
        </w:object>
      </w:r>
    </w:p>
    <w:p w14:paraId="2F01D7EE" w14:textId="77777777" w:rsidR="00BD3B55" w:rsidRDefault="00BD3B55" w:rsidP="00BD3B5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Data analysis and interpretation of results</w:t>
      </w:r>
    </w:p>
    <w:p w14:paraId="74C59EB3" w14:textId="77777777" w:rsidR="00BD3B55" w:rsidRDefault="00BD3B55" w:rsidP="00BD3B55">
      <w:pPr>
        <w:pStyle w:val="NormalWeb"/>
      </w:pPr>
      <w:r>
        <w:t>4.1 Descriptive statistics and graphical analysis.</w:t>
      </w:r>
    </w:p>
    <w:p w14:paraId="5C661FAD" w14:textId="77777777" w:rsidR="00BD3B55" w:rsidRPr="00F031D3" w:rsidRDefault="00BD3B55" w:rsidP="00BD3B55">
      <w:pPr>
        <w:pStyle w:val="NormalWeb"/>
        <w:jc w:val="center"/>
        <w:rPr>
          <w:sz w:val="20"/>
          <w:szCs w:val="20"/>
        </w:rPr>
      </w:pPr>
      <w:r w:rsidRPr="00F031D3">
        <w:rPr>
          <w:sz w:val="20"/>
          <w:szCs w:val="20"/>
        </w:rPr>
        <w:t>Table 1 Descriptive statistics and graphical analysis.</w:t>
      </w:r>
    </w:p>
    <w:tbl>
      <w:tblPr>
        <w:tblStyle w:val="TableGrid"/>
        <w:tblW w:w="9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
        <w:gridCol w:w="1007"/>
        <w:gridCol w:w="1008"/>
        <w:gridCol w:w="1041"/>
        <w:gridCol w:w="1113"/>
        <w:gridCol w:w="1034"/>
        <w:gridCol w:w="896"/>
        <w:gridCol w:w="1262"/>
        <w:gridCol w:w="1260"/>
      </w:tblGrid>
      <w:tr w:rsidR="00BD3B55" w14:paraId="09D66F60" w14:textId="77777777" w:rsidTr="00B43039">
        <w:tc>
          <w:tcPr>
            <w:tcW w:w="914" w:type="dxa"/>
          </w:tcPr>
          <w:p w14:paraId="54DA2A5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Variable</w:t>
            </w:r>
          </w:p>
        </w:tc>
        <w:tc>
          <w:tcPr>
            <w:tcW w:w="1007" w:type="dxa"/>
          </w:tcPr>
          <w:p w14:paraId="5097BE3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Mean</w:t>
            </w:r>
          </w:p>
        </w:tc>
        <w:tc>
          <w:tcPr>
            <w:tcW w:w="1008" w:type="dxa"/>
          </w:tcPr>
          <w:p w14:paraId="6869706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Std. Dev.</w:t>
            </w:r>
          </w:p>
        </w:tc>
        <w:tc>
          <w:tcPr>
            <w:tcW w:w="1041" w:type="dxa"/>
          </w:tcPr>
          <w:p w14:paraId="3009847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Minimum</w:t>
            </w:r>
          </w:p>
        </w:tc>
        <w:tc>
          <w:tcPr>
            <w:tcW w:w="1113" w:type="dxa"/>
          </w:tcPr>
          <w:p w14:paraId="782AD444"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Maximum</w:t>
            </w:r>
          </w:p>
        </w:tc>
        <w:tc>
          <w:tcPr>
            <w:tcW w:w="1034" w:type="dxa"/>
          </w:tcPr>
          <w:p w14:paraId="1E1E202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Skewness</w:t>
            </w:r>
          </w:p>
        </w:tc>
        <w:tc>
          <w:tcPr>
            <w:tcW w:w="896" w:type="dxa"/>
          </w:tcPr>
          <w:p w14:paraId="04C43DE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Kurtosis</w:t>
            </w:r>
          </w:p>
        </w:tc>
        <w:tc>
          <w:tcPr>
            <w:tcW w:w="1262" w:type="dxa"/>
          </w:tcPr>
          <w:p w14:paraId="77888B0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Jarque-Bera</w:t>
            </w:r>
          </w:p>
        </w:tc>
        <w:tc>
          <w:tcPr>
            <w:tcW w:w="1260" w:type="dxa"/>
          </w:tcPr>
          <w:p w14:paraId="4C4B8FB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JB p-value</w:t>
            </w:r>
          </w:p>
        </w:tc>
      </w:tr>
      <w:tr w:rsidR="00BD3B55" w14:paraId="21F20C96" w14:textId="77777777" w:rsidTr="00B43039">
        <w:tc>
          <w:tcPr>
            <w:tcW w:w="914" w:type="dxa"/>
          </w:tcPr>
          <w:p w14:paraId="027B795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007" w:type="dxa"/>
          </w:tcPr>
          <w:p w14:paraId="55E9B7D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94.8344</w:t>
            </w:r>
          </w:p>
        </w:tc>
        <w:tc>
          <w:tcPr>
            <w:tcW w:w="1008" w:type="dxa"/>
          </w:tcPr>
          <w:p w14:paraId="023DD14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28.1379</w:t>
            </w:r>
          </w:p>
        </w:tc>
        <w:tc>
          <w:tcPr>
            <w:tcW w:w="1041" w:type="dxa"/>
          </w:tcPr>
          <w:p w14:paraId="18916C8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51.448</w:t>
            </w:r>
          </w:p>
        </w:tc>
        <w:tc>
          <w:tcPr>
            <w:tcW w:w="1113" w:type="dxa"/>
          </w:tcPr>
          <w:p w14:paraId="1DFE311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200.1801</w:t>
            </w:r>
          </w:p>
        </w:tc>
        <w:tc>
          <w:tcPr>
            <w:tcW w:w="1034" w:type="dxa"/>
          </w:tcPr>
          <w:p w14:paraId="3BAD53D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1.2112</w:t>
            </w:r>
          </w:p>
        </w:tc>
        <w:tc>
          <w:tcPr>
            <w:tcW w:w="896" w:type="dxa"/>
          </w:tcPr>
          <w:p w14:paraId="0375F97C"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4.8145</w:t>
            </w:r>
          </w:p>
        </w:tc>
        <w:tc>
          <w:tcPr>
            <w:tcW w:w="1262" w:type="dxa"/>
          </w:tcPr>
          <w:p w14:paraId="5FF0BB2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40.0785</w:t>
            </w:r>
          </w:p>
        </w:tc>
        <w:tc>
          <w:tcPr>
            <w:tcW w:w="1260" w:type="dxa"/>
          </w:tcPr>
          <w:p w14:paraId="3147937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5273F3AA" w14:textId="77777777" w:rsidTr="00B43039">
        <w:tc>
          <w:tcPr>
            <w:tcW w:w="914" w:type="dxa"/>
          </w:tcPr>
          <w:p w14:paraId="5DD998B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GDPgr</w:t>
            </w:r>
          </w:p>
        </w:tc>
        <w:tc>
          <w:tcPr>
            <w:tcW w:w="1007" w:type="dxa"/>
          </w:tcPr>
          <w:p w14:paraId="7FC5074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1.1968</w:t>
            </w:r>
          </w:p>
        </w:tc>
        <w:tc>
          <w:tcPr>
            <w:tcW w:w="1008" w:type="dxa"/>
          </w:tcPr>
          <w:p w14:paraId="44B5750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3.2413</w:t>
            </w:r>
          </w:p>
        </w:tc>
        <w:tc>
          <w:tcPr>
            <w:tcW w:w="1041" w:type="dxa"/>
          </w:tcPr>
          <w:p w14:paraId="0058658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-7.0421</w:t>
            </w:r>
          </w:p>
        </w:tc>
        <w:tc>
          <w:tcPr>
            <w:tcW w:w="1113" w:type="dxa"/>
          </w:tcPr>
          <w:p w14:paraId="5A3C359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4.905</w:t>
            </w:r>
          </w:p>
        </w:tc>
        <w:tc>
          <w:tcPr>
            <w:tcW w:w="1034" w:type="dxa"/>
          </w:tcPr>
          <w:p w14:paraId="52E11FF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-1.3089</w:t>
            </w:r>
          </w:p>
        </w:tc>
        <w:tc>
          <w:tcPr>
            <w:tcW w:w="896" w:type="dxa"/>
          </w:tcPr>
          <w:p w14:paraId="21938EB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3.8614</w:t>
            </w:r>
          </w:p>
        </w:tc>
        <w:tc>
          <w:tcPr>
            <w:tcW w:w="1262" w:type="dxa"/>
          </w:tcPr>
          <w:p w14:paraId="34D5AE8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33.2287</w:t>
            </w:r>
          </w:p>
        </w:tc>
        <w:tc>
          <w:tcPr>
            <w:tcW w:w="1260" w:type="dxa"/>
          </w:tcPr>
          <w:p w14:paraId="04949064"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683FB03D" w14:textId="77777777" w:rsidTr="00B43039">
        <w:tc>
          <w:tcPr>
            <w:tcW w:w="914" w:type="dxa"/>
          </w:tcPr>
          <w:p w14:paraId="4557A87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007" w:type="dxa"/>
          </w:tcPr>
          <w:p w14:paraId="4EE67954"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4.5565</w:t>
            </w:r>
          </w:p>
        </w:tc>
        <w:tc>
          <w:tcPr>
            <w:tcW w:w="1008" w:type="dxa"/>
          </w:tcPr>
          <w:p w14:paraId="7AC969C6"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0.9373</w:t>
            </w:r>
          </w:p>
        </w:tc>
        <w:tc>
          <w:tcPr>
            <w:tcW w:w="1041" w:type="dxa"/>
          </w:tcPr>
          <w:p w14:paraId="1BEBBE1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2.938</w:t>
            </w:r>
          </w:p>
        </w:tc>
        <w:tc>
          <w:tcPr>
            <w:tcW w:w="1113" w:type="dxa"/>
          </w:tcPr>
          <w:p w14:paraId="3DE8B7F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5.756</w:t>
            </w:r>
          </w:p>
        </w:tc>
        <w:tc>
          <w:tcPr>
            <w:tcW w:w="1034" w:type="dxa"/>
          </w:tcPr>
          <w:p w14:paraId="23E5AA3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-0.5637</w:t>
            </w:r>
          </w:p>
        </w:tc>
        <w:tc>
          <w:tcPr>
            <w:tcW w:w="896" w:type="dxa"/>
          </w:tcPr>
          <w:p w14:paraId="3CBFB7A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1.9682</w:t>
            </w:r>
          </w:p>
        </w:tc>
        <w:tc>
          <w:tcPr>
            <w:tcW w:w="1262" w:type="dxa"/>
          </w:tcPr>
          <w:p w14:paraId="21F559F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10.2176</w:t>
            </w:r>
          </w:p>
        </w:tc>
        <w:tc>
          <w:tcPr>
            <w:tcW w:w="1260" w:type="dxa"/>
          </w:tcPr>
          <w:p w14:paraId="5C87FE9D"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0.006</w:t>
            </w:r>
          </w:p>
        </w:tc>
      </w:tr>
      <w:tr w:rsidR="00BD3B55" w14:paraId="79572C53" w14:textId="77777777" w:rsidTr="00B43039">
        <w:tc>
          <w:tcPr>
            <w:tcW w:w="914" w:type="dxa"/>
          </w:tcPr>
          <w:p w14:paraId="6E5900E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007" w:type="dxa"/>
          </w:tcPr>
          <w:p w14:paraId="6783A714"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18.18</w:t>
            </w:r>
          </w:p>
        </w:tc>
        <w:tc>
          <w:tcPr>
            <w:tcW w:w="1008" w:type="dxa"/>
          </w:tcPr>
          <w:p w14:paraId="40ADA77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6.7959</w:t>
            </w:r>
          </w:p>
        </w:tc>
        <w:tc>
          <w:tcPr>
            <w:tcW w:w="1041" w:type="dxa"/>
          </w:tcPr>
          <w:p w14:paraId="60FE947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11.1611</w:t>
            </w:r>
          </w:p>
        </w:tc>
        <w:tc>
          <w:tcPr>
            <w:tcW w:w="1113" w:type="dxa"/>
          </w:tcPr>
          <w:p w14:paraId="2191717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37.987</w:t>
            </w:r>
          </w:p>
        </w:tc>
        <w:tc>
          <w:tcPr>
            <w:tcW w:w="1034" w:type="dxa"/>
          </w:tcPr>
          <w:p w14:paraId="63BAC7D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1.2763</w:t>
            </w:r>
          </w:p>
        </w:tc>
        <w:tc>
          <w:tcPr>
            <w:tcW w:w="896" w:type="dxa"/>
          </w:tcPr>
          <w:p w14:paraId="0F911BE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3.8336</w:t>
            </w:r>
          </w:p>
        </w:tc>
        <w:tc>
          <w:tcPr>
            <w:tcW w:w="1262" w:type="dxa"/>
          </w:tcPr>
          <w:p w14:paraId="4CE871D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31.547</w:t>
            </w:r>
          </w:p>
        </w:tc>
        <w:tc>
          <w:tcPr>
            <w:tcW w:w="1260" w:type="dxa"/>
          </w:tcPr>
          <w:p w14:paraId="0C6427C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4D120390" w14:textId="77777777" w:rsidTr="00B43039">
        <w:tc>
          <w:tcPr>
            <w:tcW w:w="914" w:type="dxa"/>
          </w:tcPr>
          <w:p w14:paraId="204C51F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007" w:type="dxa"/>
          </w:tcPr>
          <w:p w14:paraId="2AF1DE54"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457.2425</w:t>
            </w:r>
          </w:p>
        </w:tc>
        <w:tc>
          <w:tcPr>
            <w:tcW w:w="1008" w:type="dxa"/>
          </w:tcPr>
          <w:p w14:paraId="1BEB15A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302.9296</w:t>
            </w:r>
          </w:p>
        </w:tc>
        <w:tc>
          <w:tcPr>
            <w:tcW w:w="1041" w:type="dxa"/>
          </w:tcPr>
          <w:p w14:paraId="24AB93E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214.294</w:t>
            </w:r>
          </w:p>
        </w:tc>
        <w:tc>
          <w:tcPr>
            <w:tcW w:w="1113" w:type="dxa"/>
          </w:tcPr>
          <w:p w14:paraId="6555904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1704.5919</w:t>
            </w:r>
          </w:p>
        </w:tc>
        <w:tc>
          <w:tcPr>
            <w:tcW w:w="1034" w:type="dxa"/>
          </w:tcPr>
          <w:p w14:paraId="1E8DF18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2.5182</w:t>
            </w:r>
          </w:p>
        </w:tc>
        <w:tc>
          <w:tcPr>
            <w:tcW w:w="896" w:type="dxa"/>
          </w:tcPr>
          <w:p w14:paraId="467899A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8.7887</w:t>
            </w:r>
          </w:p>
        </w:tc>
        <w:tc>
          <w:tcPr>
            <w:tcW w:w="1262" w:type="dxa"/>
          </w:tcPr>
          <w:p w14:paraId="1BAC211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257.5734</w:t>
            </w:r>
          </w:p>
        </w:tc>
        <w:tc>
          <w:tcPr>
            <w:tcW w:w="1260" w:type="dxa"/>
          </w:tcPr>
          <w:p w14:paraId="357E65B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3C1C4375" w14:textId="77777777" w:rsidTr="00B43039">
        <w:tc>
          <w:tcPr>
            <w:tcW w:w="914" w:type="dxa"/>
          </w:tcPr>
          <w:p w14:paraId="471F877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007" w:type="dxa"/>
          </w:tcPr>
          <w:p w14:paraId="1F9D16D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7.3573</w:t>
            </w:r>
          </w:p>
        </w:tc>
        <w:tc>
          <w:tcPr>
            <w:tcW w:w="1008" w:type="dxa"/>
          </w:tcPr>
          <w:p w14:paraId="6881B61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1.1942</w:t>
            </w:r>
          </w:p>
        </w:tc>
        <w:tc>
          <w:tcPr>
            <w:tcW w:w="1041" w:type="dxa"/>
          </w:tcPr>
          <w:p w14:paraId="533403A6"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5.958</w:t>
            </w:r>
          </w:p>
        </w:tc>
        <w:tc>
          <w:tcPr>
            <w:tcW w:w="1113" w:type="dxa"/>
          </w:tcPr>
          <w:p w14:paraId="0D7CC8F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10.172</w:t>
            </w:r>
          </w:p>
        </w:tc>
        <w:tc>
          <w:tcPr>
            <w:tcW w:w="1034" w:type="dxa"/>
          </w:tcPr>
          <w:p w14:paraId="0736F83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0.6236</w:t>
            </w:r>
          </w:p>
        </w:tc>
        <w:tc>
          <w:tcPr>
            <w:tcW w:w="896" w:type="dxa"/>
          </w:tcPr>
          <w:p w14:paraId="62DCFDD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2.119</w:t>
            </w:r>
          </w:p>
        </w:tc>
        <w:tc>
          <w:tcPr>
            <w:tcW w:w="1262" w:type="dxa"/>
          </w:tcPr>
          <w:p w14:paraId="5303133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10.2012</w:t>
            </w:r>
          </w:p>
        </w:tc>
        <w:tc>
          <w:tcPr>
            <w:tcW w:w="1260" w:type="dxa"/>
          </w:tcPr>
          <w:p w14:paraId="38053DA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0.0061</w:t>
            </w:r>
          </w:p>
        </w:tc>
      </w:tr>
    </w:tbl>
    <w:p w14:paraId="2354B406" w14:textId="77777777" w:rsidR="00BD3B55" w:rsidRPr="007A50C1" w:rsidRDefault="00BD3B55" w:rsidP="00BD3B55">
      <w:pPr>
        <w:spacing w:after="100" w:afterAutospacing="1" w:line="240" w:lineRule="auto"/>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38B1FD4" w14:textId="77777777" w:rsidR="00A13E6D" w:rsidRDefault="00A13E6D" w:rsidP="00A13E6D">
      <w:pPr>
        <w:pStyle w:val="pdq2pgselectionanchorcontainer"/>
        <w:jc w:val="both"/>
      </w:pPr>
      <w:r>
        <w:t xml:space="preserve">The descriptive statistics provide evidence of significant heterogeneity and non-normality in the distributions of the variables. EPU, inflation, and the exchange rate are right-skewed, whereas GDP growth and unemployment are left-skewed. The presence of extreme observations is most pronounced for the exchange rate, for which both the skewness and kurtosis values are markedly high. The high Jarque–Bera statistics for all six variables indicate that the assumption of normality </w:t>
      </w:r>
      <w:r>
        <w:lastRenderedPageBreak/>
        <w:t>can be rejected. This suggests that the presence of asymmetry, extreme fluctuations, and nonlinear dynamics in Nigeria’s macroeconomic environment warrants the use of nonlinear and asymmetric causality tests rather than relying solely on tests based on the assumption of symmetric causality.</w:t>
      </w:r>
    </w:p>
    <w:p w14:paraId="0B50ACBC" w14:textId="77777777" w:rsidR="00A13E6D" w:rsidRDefault="00A13E6D" w:rsidP="00A13E6D">
      <w:pPr>
        <w:pStyle w:val="NormalWeb"/>
      </w:pPr>
      <w:r w:rsidRPr="00F031D3">
        <w:rPr>
          <w:rStyle w:val="Strong"/>
        </w:rPr>
        <w:t xml:space="preserve">4.2 </w:t>
      </w:r>
      <w:r w:rsidRPr="00F031D3">
        <w:t xml:space="preserve">Test </w:t>
      </w:r>
      <w:r>
        <w:t xml:space="preserve">for stationarity using ADF </w:t>
      </w:r>
      <w:r w:rsidRPr="00F031D3">
        <w:t>and KPSS.</w:t>
      </w:r>
    </w:p>
    <w:p w14:paraId="30FF5BEC" w14:textId="77777777" w:rsidR="00A13E6D" w:rsidRDefault="00A13E6D" w:rsidP="00A13E6D">
      <w:pPr>
        <w:pStyle w:val="NormalWeb"/>
        <w:jc w:val="center"/>
        <w:rPr>
          <w:sz w:val="20"/>
          <w:szCs w:val="20"/>
        </w:rPr>
      </w:pPr>
      <w:r w:rsidRPr="00F031D3">
        <w:rPr>
          <w:sz w:val="20"/>
          <w:szCs w:val="20"/>
        </w:rPr>
        <w:t xml:space="preserve">Table </w:t>
      </w:r>
      <w:r w:rsidRPr="00F031D3">
        <w:rPr>
          <w:rStyle w:val="Strong"/>
          <w:sz w:val="20"/>
          <w:szCs w:val="20"/>
        </w:rPr>
        <w:t xml:space="preserve">2 </w:t>
      </w:r>
      <w:r w:rsidRPr="00F031D3">
        <w:rPr>
          <w:sz w:val="20"/>
          <w:szCs w:val="20"/>
        </w:rPr>
        <w:t>Test for stationarity using ADF, PP, and KPSS.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461"/>
        <w:gridCol w:w="1440"/>
        <w:gridCol w:w="1440"/>
        <w:gridCol w:w="1440"/>
        <w:gridCol w:w="1440"/>
      </w:tblGrid>
      <w:tr w:rsidR="00A13E6D" w14:paraId="5B542891" w14:textId="77777777" w:rsidTr="00B43039">
        <w:tc>
          <w:tcPr>
            <w:tcW w:w="1440" w:type="dxa"/>
          </w:tcPr>
          <w:p w14:paraId="4F764C5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Variable</w:t>
            </w:r>
          </w:p>
        </w:tc>
        <w:tc>
          <w:tcPr>
            <w:tcW w:w="1461" w:type="dxa"/>
          </w:tcPr>
          <w:p w14:paraId="085B9D1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Transformation</w:t>
            </w:r>
          </w:p>
        </w:tc>
        <w:tc>
          <w:tcPr>
            <w:tcW w:w="1440" w:type="dxa"/>
          </w:tcPr>
          <w:p w14:paraId="3DA756E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ADF Statistic</w:t>
            </w:r>
          </w:p>
        </w:tc>
        <w:tc>
          <w:tcPr>
            <w:tcW w:w="1440" w:type="dxa"/>
          </w:tcPr>
          <w:p w14:paraId="57BC941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ADF p-value</w:t>
            </w:r>
          </w:p>
        </w:tc>
        <w:tc>
          <w:tcPr>
            <w:tcW w:w="1440" w:type="dxa"/>
          </w:tcPr>
          <w:p w14:paraId="7889D91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KPSS Statistic</w:t>
            </w:r>
          </w:p>
        </w:tc>
        <w:tc>
          <w:tcPr>
            <w:tcW w:w="1440" w:type="dxa"/>
          </w:tcPr>
          <w:p w14:paraId="5B5B5EE4"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KPSS p-value</w:t>
            </w:r>
          </w:p>
        </w:tc>
      </w:tr>
      <w:tr w:rsidR="00A13E6D" w14:paraId="53CB8896" w14:textId="77777777" w:rsidTr="00B43039">
        <w:tc>
          <w:tcPr>
            <w:tcW w:w="1440" w:type="dxa"/>
          </w:tcPr>
          <w:p w14:paraId="46A5376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461" w:type="dxa"/>
          </w:tcPr>
          <w:p w14:paraId="4B4BB73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32BFE34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-4.6877</w:t>
            </w:r>
          </w:p>
        </w:tc>
        <w:tc>
          <w:tcPr>
            <w:tcW w:w="1440" w:type="dxa"/>
          </w:tcPr>
          <w:p w14:paraId="067E62F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0.0001</w:t>
            </w:r>
          </w:p>
        </w:tc>
        <w:tc>
          <w:tcPr>
            <w:tcW w:w="1440" w:type="dxa"/>
          </w:tcPr>
          <w:p w14:paraId="39A7B7E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0.3973</w:t>
            </w:r>
          </w:p>
        </w:tc>
        <w:tc>
          <w:tcPr>
            <w:tcW w:w="1440" w:type="dxa"/>
          </w:tcPr>
          <w:p w14:paraId="72481E9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0.0783</w:t>
            </w:r>
          </w:p>
        </w:tc>
      </w:tr>
      <w:tr w:rsidR="00A13E6D" w14:paraId="692F8357" w14:textId="77777777" w:rsidTr="00B43039">
        <w:tc>
          <w:tcPr>
            <w:tcW w:w="1440" w:type="dxa"/>
          </w:tcPr>
          <w:p w14:paraId="4243BFA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461" w:type="dxa"/>
          </w:tcPr>
          <w:p w14:paraId="3C1B54D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7F935FC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-10.2422</w:t>
            </w:r>
          </w:p>
        </w:tc>
        <w:tc>
          <w:tcPr>
            <w:tcW w:w="1440" w:type="dxa"/>
          </w:tcPr>
          <w:p w14:paraId="53CF1A2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w:t>
            </w:r>
          </w:p>
        </w:tc>
        <w:tc>
          <w:tcPr>
            <w:tcW w:w="1440" w:type="dxa"/>
          </w:tcPr>
          <w:p w14:paraId="4B2C4754"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c>
          <w:tcPr>
            <w:tcW w:w="1440" w:type="dxa"/>
          </w:tcPr>
          <w:p w14:paraId="7CB93B9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r w:rsidR="00A13E6D" w14:paraId="146C5235" w14:textId="77777777" w:rsidTr="00B43039">
        <w:tc>
          <w:tcPr>
            <w:tcW w:w="1440" w:type="dxa"/>
          </w:tcPr>
          <w:p w14:paraId="5ECE941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GDPgr</w:t>
            </w:r>
          </w:p>
        </w:tc>
        <w:tc>
          <w:tcPr>
            <w:tcW w:w="1461" w:type="dxa"/>
          </w:tcPr>
          <w:p w14:paraId="36134CD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1D7850F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-1.2633</w:t>
            </w:r>
          </w:p>
        </w:tc>
        <w:tc>
          <w:tcPr>
            <w:tcW w:w="1440" w:type="dxa"/>
          </w:tcPr>
          <w:p w14:paraId="2BC7D52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0.6458</w:t>
            </w:r>
          </w:p>
        </w:tc>
        <w:tc>
          <w:tcPr>
            <w:tcW w:w="1440" w:type="dxa"/>
          </w:tcPr>
          <w:p w14:paraId="2C49DBF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0.4105</w:t>
            </w:r>
          </w:p>
        </w:tc>
        <w:tc>
          <w:tcPr>
            <w:tcW w:w="1440" w:type="dxa"/>
          </w:tcPr>
          <w:p w14:paraId="28886A8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0.0726</w:t>
            </w:r>
          </w:p>
        </w:tc>
      </w:tr>
      <w:tr w:rsidR="00A13E6D" w14:paraId="50AE6998" w14:textId="77777777" w:rsidTr="00B43039">
        <w:tc>
          <w:tcPr>
            <w:tcW w:w="1440" w:type="dxa"/>
          </w:tcPr>
          <w:p w14:paraId="1A9A6A7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GDPgr</w:t>
            </w:r>
          </w:p>
        </w:tc>
        <w:tc>
          <w:tcPr>
            <w:tcW w:w="1461" w:type="dxa"/>
          </w:tcPr>
          <w:p w14:paraId="30F2F4F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73ACF8E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-3.554</w:t>
            </w:r>
          </w:p>
        </w:tc>
        <w:tc>
          <w:tcPr>
            <w:tcW w:w="1440" w:type="dxa"/>
          </w:tcPr>
          <w:p w14:paraId="4DD6A1B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0.0067</w:t>
            </w:r>
          </w:p>
        </w:tc>
        <w:tc>
          <w:tcPr>
            <w:tcW w:w="1440" w:type="dxa"/>
          </w:tcPr>
          <w:p w14:paraId="3E05FE6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0.0866</w:t>
            </w:r>
          </w:p>
        </w:tc>
        <w:tc>
          <w:tcPr>
            <w:tcW w:w="1440" w:type="dxa"/>
          </w:tcPr>
          <w:p w14:paraId="06FDC65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r w:rsidR="00A13E6D" w14:paraId="030B5257" w14:textId="77777777" w:rsidTr="00B43039">
        <w:tc>
          <w:tcPr>
            <w:tcW w:w="1440" w:type="dxa"/>
          </w:tcPr>
          <w:p w14:paraId="4E15C75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461" w:type="dxa"/>
          </w:tcPr>
          <w:p w14:paraId="348CDCE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1B0429C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-1.6956</w:t>
            </w:r>
          </w:p>
        </w:tc>
        <w:tc>
          <w:tcPr>
            <w:tcW w:w="1440" w:type="dxa"/>
          </w:tcPr>
          <w:p w14:paraId="09C4255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0.4334</w:t>
            </w:r>
          </w:p>
        </w:tc>
        <w:tc>
          <w:tcPr>
            <w:tcW w:w="1440" w:type="dxa"/>
          </w:tcPr>
          <w:p w14:paraId="44D9573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0.7709</w:t>
            </w:r>
          </w:p>
        </w:tc>
        <w:tc>
          <w:tcPr>
            <w:tcW w:w="1440" w:type="dxa"/>
          </w:tcPr>
          <w:p w14:paraId="60F3C64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53E26C61" w14:textId="77777777" w:rsidTr="00B43039">
        <w:tc>
          <w:tcPr>
            <w:tcW w:w="1440" w:type="dxa"/>
          </w:tcPr>
          <w:p w14:paraId="64628954"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461" w:type="dxa"/>
          </w:tcPr>
          <w:p w14:paraId="333B3E6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02D69D1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-2.1821</w:t>
            </w:r>
          </w:p>
        </w:tc>
        <w:tc>
          <w:tcPr>
            <w:tcW w:w="1440" w:type="dxa"/>
          </w:tcPr>
          <w:p w14:paraId="7E55256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0.2128</w:t>
            </w:r>
          </w:p>
        </w:tc>
        <w:tc>
          <w:tcPr>
            <w:tcW w:w="1440" w:type="dxa"/>
          </w:tcPr>
          <w:p w14:paraId="2388435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0.638</w:t>
            </w:r>
          </w:p>
        </w:tc>
        <w:tc>
          <w:tcPr>
            <w:tcW w:w="1440" w:type="dxa"/>
          </w:tcPr>
          <w:p w14:paraId="3D8C8BF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0.0192</w:t>
            </w:r>
          </w:p>
        </w:tc>
      </w:tr>
      <w:tr w:rsidR="00A13E6D" w14:paraId="1EFE5A29" w14:textId="77777777" w:rsidTr="00B43039">
        <w:tc>
          <w:tcPr>
            <w:tcW w:w="1440" w:type="dxa"/>
          </w:tcPr>
          <w:p w14:paraId="3064A36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461" w:type="dxa"/>
          </w:tcPr>
          <w:p w14:paraId="1FDE4C7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2E27353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1.3964</w:t>
            </w:r>
          </w:p>
        </w:tc>
        <w:tc>
          <w:tcPr>
            <w:tcW w:w="1440" w:type="dxa"/>
          </w:tcPr>
          <w:p w14:paraId="313222C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0.9971</w:t>
            </w:r>
          </w:p>
        </w:tc>
        <w:tc>
          <w:tcPr>
            <w:tcW w:w="1440" w:type="dxa"/>
          </w:tcPr>
          <w:p w14:paraId="6B6C056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1.0776</w:t>
            </w:r>
          </w:p>
        </w:tc>
        <w:tc>
          <w:tcPr>
            <w:tcW w:w="1440" w:type="dxa"/>
          </w:tcPr>
          <w:p w14:paraId="2A19131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27DF0AF5" w14:textId="77777777" w:rsidTr="00B43039">
        <w:tc>
          <w:tcPr>
            <w:tcW w:w="1440" w:type="dxa"/>
          </w:tcPr>
          <w:p w14:paraId="1ED5939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461" w:type="dxa"/>
          </w:tcPr>
          <w:p w14:paraId="028BC04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465C3504"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-0.8047</w:t>
            </w:r>
          </w:p>
        </w:tc>
        <w:tc>
          <w:tcPr>
            <w:tcW w:w="1440" w:type="dxa"/>
          </w:tcPr>
          <w:p w14:paraId="5A6AB06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0.8177</w:t>
            </w:r>
          </w:p>
        </w:tc>
        <w:tc>
          <w:tcPr>
            <w:tcW w:w="1440" w:type="dxa"/>
          </w:tcPr>
          <w:p w14:paraId="49FE10A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1.2396</w:t>
            </w:r>
          </w:p>
        </w:tc>
        <w:tc>
          <w:tcPr>
            <w:tcW w:w="1440" w:type="dxa"/>
          </w:tcPr>
          <w:p w14:paraId="32D170B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5D80FA1E" w14:textId="77777777" w:rsidTr="00B43039">
        <w:tc>
          <w:tcPr>
            <w:tcW w:w="1440" w:type="dxa"/>
          </w:tcPr>
          <w:p w14:paraId="32B41BF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461" w:type="dxa"/>
          </w:tcPr>
          <w:p w14:paraId="42A2A19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741DC7D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3.6026</w:t>
            </w:r>
          </w:p>
        </w:tc>
        <w:tc>
          <w:tcPr>
            <w:tcW w:w="1440" w:type="dxa"/>
          </w:tcPr>
          <w:p w14:paraId="35876BF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w:t>
            </w:r>
          </w:p>
        </w:tc>
        <w:tc>
          <w:tcPr>
            <w:tcW w:w="1440" w:type="dxa"/>
          </w:tcPr>
          <w:p w14:paraId="2746219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1.1065</w:t>
            </w:r>
          </w:p>
        </w:tc>
        <w:tc>
          <w:tcPr>
            <w:tcW w:w="1440" w:type="dxa"/>
          </w:tcPr>
          <w:p w14:paraId="4882D06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1E48C8D2" w14:textId="77777777" w:rsidTr="00B43039">
        <w:tc>
          <w:tcPr>
            <w:tcW w:w="1440" w:type="dxa"/>
          </w:tcPr>
          <w:p w14:paraId="38084BC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461" w:type="dxa"/>
          </w:tcPr>
          <w:p w14:paraId="31500D4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671B0E0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2.1989</w:t>
            </w:r>
          </w:p>
        </w:tc>
        <w:tc>
          <w:tcPr>
            <w:tcW w:w="1440" w:type="dxa"/>
          </w:tcPr>
          <w:p w14:paraId="13F6E2B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0.9989</w:t>
            </w:r>
          </w:p>
        </w:tc>
        <w:tc>
          <w:tcPr>
            <w:tcW w:w="1440" w:type="dxa"/>
          </w:tcPr>
          <w:p w14:paraId="01643FB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0.9189</w:t>
            </w:r>
          </w:p>
        </w:tc>
        <w:tc>
          <w:tcPr>
            <w:tcW w:w="1440" w:type="dxa"/>
          </w:tcPr>
          <w:p w14:paraId="7DED93B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345731B3" w14:textId="77777777" w:rsidTr="00B43039">
        <w:tc>
          <w:tcPr>
            <w:tcW w:w="1440" w:type="dxa"/>
          </w:tcPr>
          <w:p w14:paraId="694CF08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461" w:type="dxa"/>
          </w:tcPr>
          <w:p w14:paraId="47B4A63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78595BC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-1.5734</w:t>
            </w:r>
          </w:p>
        </w:tc>
        <w:tc>
          <w:tcPr>
            <w:tcW w:w="1440" w:type="dxa"/>
          </w:tcPr>
          <w:p w14:paraId="1722CC4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0.4969</w:t>
            </w:r>
          </w:p>
        </w:tc>
        <w:tc>
          <w:tcPr>
            <w:tcW w:w="1440" w:type="dxa"/>
          </w:tcPr>
          <w:p w14:paraId="2D041B6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0.9552</w:t>
            </w:r>
          </w:p>
        </w:tc>
        <w:tc>
          <w:tcPr>
            <w:tcW w:w="1440" w:type="dxa"/>
          </w:tcPr>
          <w:p w14:paraId="119C4D8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4CA1F030" w14:textId="77777777" w:rsidTr="00B43039">
        <w:tc>
          <w:tcPr>
            <w:tcW w:w="1440" w:type="dxa"/>
          </w:tcPr>
          <w:p w14:paraId="101A6AF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461" w:type="dxa"/>
          </w:tcPr>
          <w:p w14:paraId="6086050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107CD1F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-2.8245</w:t>
            </w:r>
          </w:p>
        </w:tc>
        <w:tc>
          <w:tcPr>
            <w:tcW w:w="1440" w:type="dxa"/>
          </w:tcPr>
          <w:p w14:paraId="1F8EB49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0.0549</w:t>
            </w:r>
          </w:p>
        </w:tc>
        <w:tc>
          <w:tcPr>
            <w:tcW w:w="1440" w:type="dxa"/>
          </w:tcPr>
          <w:p w14:paraId="40B2B48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0.1545</w:t>
            </w:r>
          </w:p>
        </w:tc>
        <w:tc>
          <w:tcPr>
            <w:tcW w:w="1440" w:type="dxa"/>
          </w:tcPr>
          <w:p w14:paraId="22C3CD2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bl>
    <w:p w14:paraId="7B8842EA" w14:textId="77777777" w:rsidR="00A13E6D" w:rsidRPr="007A50C1" w:rsidRDefault="00A13E6D" w:rsidP="00A13E6D">
      <w:pPr>
        <w:spacing w:after="100" w:afterAutospacing="1" w:line="240" w:lineRule="auto"/>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357C1746" w14:textId="77777777" w:rsidR="00A13E6D" w:rsidRPr="00DC5D4B" w:rsidRDefault="00A13E6D" w:rsidP="00A13E6D">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DC5D4B">
        <w:rPr>
          <w:rFonts w:ascii="Times New Roman" w:eastAsia="Times New Roman" w:hAnsi="Times New Roman" w:cs="Times New Roman"/>
          <w:sz w:val="24"/>
          <w:szCs w:val="24"/>
        </w:rPr>
        <w:t>he ADF and KPSS tests, the results regarding the stationarity of the variables are mixed. For both tests, EPU is stationary at level, I(0), as the ADF test rejects the null hypothesis of a unit root (4.6877; p-value = 0.0001), while the KPSS test does not reject the null hypothesis of stationarity (0.3973; p-value = 0.0783). GDP growth (GDPgr) is I(1), as confirmed by the ADF test, which does not reject the presence of a unit root at level (p-value = 0.6458) but rejects it after first differencing (p-value = 0.0067), consistent with the KPSS results.</w:t>
      </w:r>
      <w:r>
        <w:rPr>
          <w:rFonts w:ascii="Times New Roman" w:eastAsia="Times New Roman" w:hAnsi="Times New Roman" w:cs="Times New Roman"/>
          <w:sz w:val="24"/>
          <w:szCs w:val="24"/>
        </w:rPr>
        <w:t xml:space="preserve"> </w:t>
      </w:r>
      <w:r w:rsidRPr="00DC5D4B">
        <w:rPr>
          <w:rFonts w:ascii="Times New Roman" w:eastAsia="Times New Roman" w:hAnsi="Times New Roman" w:cs="Times New Roman"/>
          <w:sz w:val="24"/>
          <w:szCs w:val="24"/>
        </w:rPr>
        <w:t>On the other hand, UEMR, INFR, and EXR are non-stationary at level and do not yield reliable evidence of stationarity after first differencing. This may be attributable to the potential presence of structural breaks or nonlinear persistence.</w:t>
      </w:r>
      <w:r>
        <w:rPr>
          <w:rFonts w:ascii="Times New Roman" w:eastAsia="Times New Roman" w:hAnsi="Times New Roman" w:cs="Times New Roman"/>
          <w:sz w:val="24"/>
          <w:szCs w:val="24"/>
        </w:rPr>
        <w:t xml:space="preserve"> </w:t>
      </w:r>
      <w:r w:rsidRPr="00DC5D4B">
        <w:rPr>
          <w:rFonts w:ascii="Times New Roman" w:eastAsia="Times New Roman" w:hAnsi="Times New Roman" w:cs="Times New Roman"/>
          <w:sz w:val="24"/>
          <w:szCs w:val="24"/>
        </w:rPr>
        <w:t>Moreover, INTR is non-stationary at level but becomes stationary after first differencing, although the ADF test provides relatively weak evidence of stationarity at the 10% significance level (p-value = 0.0549). Overall, the variables exhibit different orders of integration: EPU is I(0), GDPgr and presumably INTR are I(1), whereas UEMR, INFR, and EXR require further examination. Therefore, it is advisable to account for structural breaks and apply additional unit-root tests before conducting the Hatemi-J asymmetric causality tests.</w:t>
      </w:r>
    </w:p>
    <w:p w14:paraId="7495B377" w14:textId="77777777" w:rsidR="00A13E6D" w:rsidRPr="007A50C1" w:rsidRDefault="00A13E6D" w:rsidP="00A13E6D">
      <w:pPr>
        <w:spacing w:before="100" w:beforeAutospacing="1" w:after="100" w:afterAutospacing="1" w:line="240" w:lineRule="auto"/>
        <w:outlineLvl w:val="2"/>
        <w:rPr>
          <w:rFonts w:ascii="Times New Roman" w:eastAsia="Times New Roman" w:hAnsi="Times New Roman" w:cs="Times New Roman"/>
          <w:bCs/>
          <w:sz w:val="24"/>
          <w:szCs w:val="24"/>
        </w:rPr>
      </w:pPr>
      <w:r>
        <w:rPr>
          <w:rStyle w:val="Strong"/>
        </w:rPr>
        <w:t>4.3</w:t>
      </w:r>
      <w:r>
        <w:t xml:space="preserve">. </w:t>
      </w:r>
      <w:r w:rsidRPr="009E1123">
        <w:rPr>
          <w:rFonts w:ascii="Times New Roman" w:eastAsia="Times New Roman" w:hAnsi="Times New Roman" w:cs="Times New Roman"/>
          <w:bCs/>
          <w:sz w:val="24"/>
          <w:szCs w:val="24"/>
        </w:rPr>
        <w:t>Table 3: Zivot–Andrews Structural-Break Unit-Root Test</w:t>
      </w:r>
    </w:p>
    <w:tbl>
      <w:tblPr>
        <w:tblStyle w:val="TableGrid"/>
        <w:tblW w:w="7920" w:type="dxa"/>
        <w:tblInd w:w="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019"/>
        <w:gridCol w:w="927"/>
        <w:gridCol w:w="1073"/>
        <w:gridCol w:w="1073"/>
        <w:gridCol w:w="1192"/>
        <w:gridCol w:w="1011"/>
      </w:tblGrid>
      <w:tr w:rsidR="00A13E6D" w14:paraId="62DB4718" w14:textId="77777777" w:rsidTr="00B43039">
        <w:tc>
          <w:tcPr>
            <w:tcW w:w="961" w:type="dxa"/>
            <w:vAlign w:val="center"/>
          </w:tcPr>
          <w:p w14:paraId="2E12D0AC" w14:textId="77777777" w:rsidR="00A13E6D" w:rsidRPr="009E1123" w:rsidRDefault="00A13E6D" w:rsidP="00B43039">
            <w:pPr>
              <w:jc w:val="center"/>
              <w:rPr>
                <w:rFonts w:ascii="Times New Roman" w:eastAsia="Times New Roman" w:hAnsi="Times New Roman" w:cs="Times New Roman"/>
                <w:bCs/>
                <w:sz w:val="20"/>
                <w:szCs w:val="20"/>
              </w:rPr>
            </w:pPr>
            <w:r>
              <w:rPr>
                <w:rFonts w:ascii="Times New Roman" w:eastAsia="Times New Roman" w:hAnsi="Times New Roman" w:cs="Times New Roman"/>
                <w:b/>
                <w:bCs/>
                <w:sz w:val="27"/>
                <w:szCs w:val="27"/>
              </w:rPr>
              <w:tab/>
            </w:r>
            <w:r w:rsidRPr="009E1123">
              <w:rPr>
                <w:rFonts w:ascii="Times New Roman" w:eastAsia="Times New Roman" w:hAnsi="Times New Roman" w:cs="Times New Roman"/>
                <w:bCs/>
                <w:sz w:val="20"/>
                <w:szCs w:val="20"/>
              </w:rPr>
              <w:t>Variable</w:t>
            </w:r>
          </w:p>
        </w:tc>
        <w:tc>
          <w:tcPr>
            <w:tcW w:w="1090" w:type="dxa"/>
            <w:vAlign w:val="center"/>
          </w:tcPr>
          <w:p w14:paraId="22DC1474"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ZA statistic</w:t>
            </w:r>
          </w:p>
        </w:tc>
        <w:tc>
          <w:tcPr>
            <w:tcW w:w="1009" w:type="dxa"/>
            <w:vAlign w:val="center"/>
          </w:tcPr>
          <w:p w14:paraId="700961EE"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p-value</w:t>
            </w:r>
          </w:p>
        </w:tc>
        <w:tc>
          <w:tcPr>
            <w:tcW w:w="1170" w:type="dxa"/>
            <w:vAlign w:val="center"/>
          </w:tcPr>
          <w:p w14:paraId="32FEE5B7"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1% critical value</w:t>
            </w:r>
          </w:p>
        </w:tc>
        <w:tc>
          <w:tcPr>
            <w:tcW w:w="1170" w:type="dxa"/>
            <w:vAlign w:val="center"/>
          </w:tcPr>
          <w:p w14:paraId="77BF79DD"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5% critical value</w:t>
            </w:r>
          </w:p>
        </w:tc>
        <w:tc>
          <w:tcPr>
            <w:tcW w:w="1350" w:type="dxa"/>
            <w:vAlign w:val="center"/>
          </w:tcPr>
          <w:p w14:paraId="07B31211"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10% critical value</w:t>
            </w:r>
          </w:p>
        </w:tc>
        <w:tc>
          <w:tcPr>
            <w:tcW w:w="1170" w:type="dxa"/>
            <w:vAlign w:val="center"/>
          </w:tcPr>
          <w:p w14:paraId="7BC8D689"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Break date</w:t>
            </w:r>
          </w:p>
        </w:tc>
      </w:tr>
      <w:tr w:rsidR="00A13E6D" w14:paraId="1B236E94" w14:textId="77777777" w:rsidTr="00B43039">
        <w:tc>
          <w:tcPr>
            <w:tcW w:w="961" w:type="dxa"/>
            <w:vAlign w:val="center"/>
          </w:tcPr>
          <w:p w14:paraId="1143515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w:t>
            </w:r>
          </w:p>
        </w:tc>
        <w:tc>
          <w:tcPr>
            <w:tcW w:w="1090" w:type="dxa"/>
            <w:vAlign w:val="center"/>
          </w:tcPr>
          <w:p w14:paraId="5E94467A"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−6.5522</w:t>
            </w:r>
          </w:p>
        </w:tc>
        <w:tc>
          <w:tcPr>
            <w:tcW w:w="1009" w:type="dxa"/>
            <w:vAlign w:val="center"/>
          </w:tcPr>
          <w:p w14:paraId="7960A848"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0.0010</w:t>
            </w:r>
          </w:p>
        </w:tc>
        <w:tc>
          <w:tcPr>
            <w:tcW w:w="1170" w:type="dxa"/>
            <w:vAlign w:val="center"/>
          </w:tcPr>
          <w:p w14:paraId="0C24DCE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7D3C32D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0977F5B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5A196423"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2020-02</w:t>
            </w:r>
          </w:p>
        </w:tc>
      </w:tr>
      <w:tr w:rsidR="00A13E6D" w14:paraId="64141645" w14:textId="77777777" w:rsidTr="00B43039">
        <w:tc>
          <w:tcPr>
            <w:tcW w:w="961" w:type="dxa"/>
            <w:vAlign w:val="center"/>
          </w:tcPr>
          <w:p w14:paraId="3955F1C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GDPgr</w:t>
            </w:r>
          </w:p>
        </w:tc>
        <w:tc>
          <w:tcPr>
            <w:tcW w:w="1090" w:type="dxa"/>
            <w:vAlign w:val="center"/>
          </w:tcPr>
          <w:p w14:paraId="3128C96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−3.8257</w:t>
            </w:r>
          </w:p>
        </w:tc>
        <w:tc>
          <w:tcPr>
            <w:tcW w:w="1009" w:type="dxa"/>
            <w:vAlign w:val="center"/>
          </w:tcPr>
          <w:p w14:paraId="04C3BFD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0.6193</w:t>
            </w:r>
          </w:p>
        </w:tc>
        <w:tc>
          <w:tcPr>
            <w:tcW w:w="1170" w:type="dxa"/>
            <w:vAlign w:val="center"/>
          </w:tcPr>
          <w:p w14:paraId="64A3C79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7A2CCAF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2372464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71FF23F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2021-12</w:t>
            </w:r>
          </w:p>
        </w:tc>
      </w:tr>
      <w:tr w:rsidR="00A13E6D" w14:paraId="1B8A17F3" w14:textId="77777777" w:rsidTr="00B43039">
        <w:tc>
          <w:tcPr>
            <w:tcW w:w="961" w:type="dxa"/>
            <w:vAlign w:val="center"/>
          </w:tcPr>
          <w:p w14:paraId="71A736F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UEMR</w:t>
            </w:r>
          </w:p>
        </w:tc>
        <w:tc>
          <w:tcPr>
            <w:tcW w:w="1090" w:type="dxa"/>
            <w:vAlign w:val="center"/>
          </w:tcPr>
          <w:p w14:paraId="36F5BDF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−3.3500</w:t>
            </w:r>
          </w:p>
        </w:tc>
        <w:tc>
          <w:tcPr>
            <w:tcW w:w="1009" w:type="dxa"/>
            <w:vAlign w:val="center"/>
          </w:tcPr>
          <w:p w14:paraId="0C86556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0.8754</w:t>
            </w:r>
          </w:p>
        </w:tc>
        <w:tc>
          <w:tcPr>
            <w:tcW w:w="1170" w:type="dxa"/>
            <w:vAlign w:val="center"/>
          </w:tcPr>
          <w:p w14:paraId="1885FBC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6718A1B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37019C1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53CDDC5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2019-04</w:t>
            </w:r>
          </w:p>
        </w:tc>
      </w:tr>
      <w:tr w:rsidR="00A13E6D" w14:paraId="2CB4604F" w14:textId="77777777" w:rsidTr="00B43039">
        <w:tc>
          <w:tcPr>
            <w:tcW w:w="961" w:type="dxa"/>
            <w:vAlign w:val="center"/>
          </w:tcPr>
          <w:p w14:paraId="1BC576C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INFR</w:t>
            </w:r>
          </w:p>
        </w:tc>
        <w:tc>
          <w:tcPr>
            <w:tcW w:w="1090" w:type="dxa"/>
            <w:vAlign w:val="center"/>
          </w:tcPr>
          <w:p w14:paraId="016B992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−1.4407</w:t>
            </w:r>
          </w:p>
        </w:tc>
        <w:tc>
          <w:tcPr>
            <w:tcW w:w="1009" w:type="dxa"/>
            <w:vAlign w:val="center"/>
          </w:tcPr>
          <w:p w14:paraId="17DF184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0.9990</w:t>
            </w:r>
          </w:p>
        </w:tc>
        <w:tc>
          <w:tcPr>
            <w:tcW w:w="1170" w:type="dxa"/>
            <w:vAlign w:val="center"/>
          </w:tcPr>
          <w:p w14:paraId="64B23A1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246BB72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535EEC4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7B9C0D3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2022-01</w:t>
            </w:r>
          </w:p>
        </w:tc>
      </w:tr>
      <w:tr w:rsidR="00A13E6D" w14:paraId="25FF788E" w14:textId="77777777" w:rsidTr="00B43039">
        <w:tc>
          <w:tcPr>
            <w:tcW w:w="961" w:type="dxa"/>
            <w:vAlign w:val="center"/>
          </w:tcPr>
          <w:p w14:paraId="1EDF827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EXR</w:t>
            </w:r>
          </w:p>
        </w:tc>
        <w:tc>
          <w:tcPr>
            <w:tcW w:w="1090" w:type="dxa"/>
            <w:vAlign w:val="center"/>
          </w:tcPr>
          <w:p w14:paraId="7F9C681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−4.2901</w:t>
            </w:r>
          </w:p>
        </w:tc>
        <w:tc>
          <w:tcPr>
            <w:tcW w:w="1009" w:type="dxa"/>
            <w:vAlign w:val="center"/>
          </w:tcPr>
          <w:p w14:paraId="2E5327C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0.3202</w:t>
            </w:r>
          </w:p>
        </w:tc>
        <w:tc>
          <w:tcPr>
            <w:tcW w:w="1170" w:type="dxa"/>
            <w:vAlign w:val="center"/>
          </w:tcPr>
          <w:p w14:paraId="4729F84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30258BD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2B73643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04D978E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2023-03</w:t>
            </w:r>
          </w:p>
        </w:tc>
      </w:tr>
      <w:tr w:rsidR="00A13E6D" w14:paraId="37556BEF" w14:textId="77777777" w:rsidTr="00B43039">
        <w:tc>
          <w:tcPr>
            <w:tcW w:w="961" w:type="dxa"/>
            <w:vAlign w:val="center"/>
          </w:tcPr>
          <w:p w14:paraId="54C09C2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INTR</w:t>
            </w:r>
          </w:p>
        </w:tc>
        <w:tc>
          <w:tcPr>
            <w:tcW w:w="1090" w:type="dxa"/>
            <w:vAlign w:val="center"/>
          </w:tcPr>
          <w:p w14:paraId="7C326ED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−3.6979</w:t>
            </w:r>
          </w:p>
        </w:tc>
        <w:tc>
          <w:tcPr>
            <w:tcW w:w="1009" w:type="dxa"/>
            <w:vAlign w:val="center"/>
          </w:tcPr>
          <w:p w14:paraId="35D2E13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0.7000</w:t>
            </w:r>
          </w:p>
        </w:tc>
        <w:tc>
          <w:tcPr>
            <w:tcW w:w="1170" w:type="dxa"/>
            <w:vAlign w:val="center"/>
          </w:tcPr>
          <w:p w14:paraId="7616839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58C35A2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59664E6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44DB97A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2020-01</w:t>
            </w:r>
          </w:p>
        </w:tc>
      </w:tr>
    </w:tbl>
    <w:p w14:paraId="631A853E"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B767810" w14:textId="77777777" w:rsidR="00A13E6D" w:rsidRDefault="00A13E6D" w:rsidP="00A13E6D">
      <w:pPr>
        <w:pStyle w:val="NormalWeb"/>
        <w:jc w:val="both"/>
      </w:pPr>
      <w:r>
        <w:lastRenderedPageBreak/>
        <w:t>The Zivot–Andrews results provide evidence of major structural instability in the Nigerian macroeconomic time series. First, even after accounting for an endogenous structural break, EPU is found to be stationary in levels, with a ZA statistic of −6.5522, a p-value of 0.0010, and an estimated break occurring in February 2020, closely coinciding with the emergence of the COVID-19 shock and the associated rise in economic policy uncertainty. Second, we find no evidence against the unit-root hypothesis for unemployment, inflation, the exchange rate, or the interest rate, even after controlling for endogenous breaks, as their ZA statistics in levels are less negative than the respective critical values at the 5% level. The identified break dates are December 2021 for GDP growth, April 2019 for unemployment, January 2022 for inflation, March 2023 for the exchange rate, and January 2020 for the interest rate.it could be concluded that allowing for endogenous structural breaks does not eliminate the evidence of non-stationarity in most of the Nigerian macroeconomic variables. These findings support the use of causality methodologies that do not require all series to have the same order of integration. Specifically, the Toda–Yamamoto and Hatemi-J methodologies allow causality to be examined in levels without imposing strong prior assumptions about the integration order of each time series</w:t>
      </w:r>
    </w:p>
    <w:p w14:paraId="5AE8BDCD" w14:textId="77777777" w:rsidR="00A13E6D" w:rsidRDefault="00A13E6D" w:rsidP="00A13E6D">
      <w:pPr>
        <w:pStyle w:val="NormalWeb"/>
      </w:pPr>
      <w:r>
        <w:t>4.4 Positive and negative partial-sum decomposition.</w:t>
      </w:r>
    </w:p>
    <w:p w14:paraId="2DC63FF5" w14:textId="77777777" w:rsidR="00A13E6D" w:rsidRDefault="00A13E6D" w:rsidP="00A13E6D">
      <w:pPr>
        <w:spacing w:after="120"/>
        <w:jc w:val="both"/>
        <w:rPr>
          <w:rFonts w:ascii="Times New Roman" w:hAnsi="Times New Roman" w:cs="Times New Roman"/>
          <w:sz w:val="24"/>
          <w:szCs w:val="24"/>
        </w:rPr>
      </w:pPr>
      <w:r w:rsidRPr="0099393D">
        <w:rPr>
          <w:rFonts w:ascii="Times New Roman" w:hAnsi="Times New Roman" w:cs="Times New Roman"/>
          <w:sz w:val="24"/>
          <w:szCs w:val="24"/>
        </w:rPr>
        <w:t xml:space="preserve">Following Hatemi-J (2012), each monthly series is decomposed into positive and negative innovations. For a variable Y, the innovation is </w:t>
      </w:r>
      <w:r w:rsidRPr="0099393D">
        <w:rPr>
          <w:rFonts w:ascii="Times New Roman" w:hAnsi="Times New Roman" w:cs="Times New Roman"/>
          <w:position w:val="-12"/>
          <w:sz w:val="24"/>
          <w:szCs w:val="24"/>
        </w:rPr>
        <w:object w:dxaOrig="1320" w:dyaOrig="360" w14:anchorId="0EE5C54D">
          <v:shape id="_x0000_i1051" type="#_x0000_t75" style="width:66.45pt;height:17.85pt" o:ole="">
            <v:imagedata r:id="rId57" o:title=""/>
          </v:shape>
          <o:OLEObject Type="Embed" ProgID="Equation.DSMT4" ShapeID="_x0000_i1051" DrawAspect="Content" ObjectID="_1849690811" r:id="rId58"/>
        </w:object>
      </w:r>
      <w:r w:rsidRPr="0099393D">
        <w:rPr>
          <w:rFonts w:ascii="Times New Roman" w:hAnsi="Times New Roman" w:cs="Times New Roman"/>
          <w:sz w:val="24"/>
          <w:szCs w:val="24"/>
        </w:rPr>
        <w:t xml:space="preserve">, while the positive and negative components are </w:t>
      </w:r>
      <w:r w:rsidRPr="0099393D">
        <w:rPr>
          <w:rFonts w:ascii="Times New Roman" w:hAnsi="Times New Roman" w:cs="Times New Roman"/>
          <w:position w:val="-14"/>
          <w:sz w:val="24"/>
          <w:szCs w:val="24"/>
        </w:rPr>
        <w:object w:dxaOrig="1920" w:dyaOrig="400" w14:anchorId="1FCEDBA3">
          <v:shape id="_x0000_i1052" type="#_x0000_t75" style="width:95.4pt;height:19.7pt" o:ole="">
            <v:imagedata r:id="rId59" o:title=""/>
          </v:shape>
          <o:OLEObject Type="Embed" ProgID="Equation.DSMT4" ShapeID="_x0000_i1052" DrawAspect="Content" ObjectID="_1849690812" r:id="rId60"/>
        </w:object>
      </w:r>
      <w:r w:rsidRPr="0099393D">
        <w:rPr>
          <w:rFonts w:ascii="Times New Roman" w:hAnsi="Times New Roman" w:cs="Times New Roman"/>
          <w:sz w:val="24"/>
          <w:szCs w:val="24"/>
        </w:rPr>
        <w:t xml:space="preserve"> and </w:t>
      </w:r>
      <w:r w:rsidRPr="0099393D">
        <w:rPr>
          <w:rFonts w:ascii="Times New Roman" w:hAnsi="Times New Roman" w:cs="Times New Roman"/>
          <w:position w:val="-14"/>
          <w:sz w:val="24"/>
          <w:szCs w:val="24"/>
        </w:rPr>
        <w:object w:dxaOrig="1880" w:dyaOrig="400" w14:anchorId="5DCCCCB0">
          <v:shape id="_x0000_i1053" type="#_x0000_t75" style="width:94.15pt;height:19.7pt" o:ole="">
            <v:imagedata r:id="rId61" o:title=""/>
          </v:shape>
          <o:OLEObject Type="Embed" ProgID="Equation.DSMT4" ShapeID="_x0000_i1053" DrawAspect="Content" ObjectID="_1849690813" r:id="rId62"/>
        </w:object>
      </w:r>
      <w:r w:rsidRPr="0099393D">
        <w:rPr>
          <w:rFonts w:ascii="Times New Roman" w:hAnsi="Times New Roman" w:cs="Times New Roman"/>
          <w:sz w:val="24"/>
          <w:szCs w:val="24"/>
        </w:rPr>
        <w:t xml:space="preserve">. The cumulative partial sums are </w:t>
      </w:r>
      <w:r w:rsidRPr="0099393D">
        <w:rPr>
          <w:rFonts w:ascii="Times New Roman" w:hAnsi="Times New Roman" w:cs="Times New Roman"/>
          <w:position w:val="-14"/>
          <w:sz w:val="24"/>
          <w:szCs w:val="24"/>
        </w:rPr>
        <w:object w:dxaOrig="1400" w:dyaOrig="400" w14:anchorId="14D558ED">
          <v:shape id="_x0000_i1054" type="#_x0000_t75" style="width:70.15pt;height:19.7pt" o:ole="">
            <v:imagedata r:id="rId63" o:title=""/>
          </v:shape>
          <o:OLEObject Type="Embed" ProgID="Equation.DSMT4" ShapeID="_x0000_i1054" DrawAspect="Content" ObjectID="_1849690814" r:id="rId64"/>
        </w:object>
      </w:r>
      <w:r w:rsidRPr="0099393D">
        <w:rPr>
          <w:rFonts w:ascii="Times New Roman" w:hAnsi="Times New Roman" w:cs="Times New Roman"/>
          <w:sz w:val="24"/>
          <w:szCs w:val="24"/>
        </w:rPr>
        <w:t xml:space="preserve">and </w:t>
      </w:r>
      <w:r w:rsidRPr="0099393D">
        <w:rPr>
          <w:rFonts w:ascii="Times New Roman" w:hAnsi="Times New Roman" w:cs="Times New Roman"/>
          <w:position w:val="-14"/>
          <w:sz w:val="24"/>
          <w:szCs w:val="24"/>
        </w:rPr>
        <w:object w:dxaOrig="1400" w:dyaOrig="400" w14:anchorId="57C13F88">
          <v:shape id="_x0000_i1055" type="#_x0000_t75" style="width:70.15pt;height:19.7pt" o:ole="">
            <v:imagedata r:id="rId65" o:title=""/>
          </v:shape>
          <o:OLEObject Type="Embed" ProgID="Equation.DSMT4" ShapeID="_x0000_i1055" DrawAspect="Content" ObjectID="_1849690815" r:id="rId66"/>
        </w:object>
      </w:r>
      <w:r w:rsidRPr="0099393D">
        <w:rPr>
          <w:rFonts w:ascii="Times New Roman" w:hAnsi="Times New Roman" w:cs="Times New Roman"/>
          <w:sz w:val="24"/>
          <w:szCs w:val="24"/>
        </w:rPr>
        <w:t>. The resulting components allow positive-to-positive, negative-to-negative and cross-sign causal transmission to be tested separately.</w:t>
      </w:r>
    </w:p>
    <w:p w14:paraId="299075B8" w14:textId="77777777" w:rsidR="00A13E6D" w:rsidRDefault="00A13E6D" w:rsidP="00A13E6D">
      <w:pPr>
        <w:pStyle w:val="ListBullet"/>
        <w:numPr>
          <w:ilvl w:val="0"/>
          <w:numId w:val="0"/>
        </w:numPr>
        <w:jc w:val="center"/>
      </w:pPr>
      <w:r w:rsidRPr="008F3BD7">
        <w:rPr>
          <w:sz w:val="20"/>
          <w:szCs w:val="20"/>
        </w:rPr>
        <w:t>Table 4: 4 Positive and negative partial-sum decomposition</w:t>
      </w:r>
      <w: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1440"/>
        <w:gridCol w:w="1440"/>
        <w:gridCol w:w="1515"/>
        <w:gridCol w:w="1365"/>
        <w:gridCol w:w="1440"/>
      </w:tblGrid>
      <w:tr w:rsidR="00A13E6D" w14:paraId="2F141913" w14:textId="77777777" w:rsidTr="00B43039">
        <w:trPr>
          <w:jc w:val="center"/>
        </w:trPr>
        <w:tc>
          <w:tcPr>
            <w:tcW w:w="910" w:type="dxa"/>
            <w:vAlign w:val="center"/>
          </w:tcPr>
          <w:p w14:paraId="2600D3E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Variable</w:t>
            </w:r>
          </w:p>
        </w:tc>
        <w:tc>
          <w:tcPr>
            <w:tcW w:w="1440" w:type="dxa"/>
            <w:vAlign w:val="center"/>
          </w:tcPr>
          <w:p w14:paraId="08CE50B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Final positive partial sum</w:t>
            </w:r>
          </w:p>
        </w:tc>
        <w:tc>
          <w:tcPr>
            <w:tcW w:w="1440" w:type="dxa"/>
            <w:vAlign w:val="center"/>
          </w:tcPr>
          <w:p w14:paraId="6DFC13E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Final negative partial sum</w:t>
            </w:r>
          </w:p>
        </w:tc>
        <w:tc>
          <w:tcPr>
            <w:tcW w:w="1515" w:type="dxa"/>
            <w:vAlign w:val="center"/>
          </w:tcPr>
          <w:p w14:paraId="7A93D24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Net cumulative change</w:t>
            </w:r>
          </w:p>
        </w:tc>
        <w:tc>
          <w:tcPr>
            <w:tcW w:w="1365" w:type="dxa"/>
            <w:vAlign w:val="center"/>
          </w:tcPr>
          <w:p w14:paraId="13F65CA3" w14:textId="77777777" w:rsidR="00A13E6D" w:rsidRPr="00C04CED" w:rsidRDefault="00A13E6D" w:rsidP="00B43039">
            <w:pPr>
              <w:rPr>
                <w:rFonts w:ascii="Times New Roman" w:hAnsi="Times New Roman" w:cs="Times New Roman"/>
                <w:sz w:val="20"/>
                <w:szCs w:val="20"/>
              </w:rPr>
            </w:pPr>
            <w:r>
              <w:rPr>
                <w:rFonts w:ascii="Times New Roman" w:hAnsi="Times New Roman" w:cs="Times New Roman"/>
                <w:sz w:val="20"/>
                <w:szCs w:val="20"/>
              </w:rPr>
              <w:t>Maximu</w:t>
            </w:r>
            <w:r w:rsidRPr="00C04CED">
              <w:rPr>
                <w:rFonts w:ascii="Times New Roman" w:eastAsiaTheme="minorHAnsi" w:hAnsi="Times New Roman" w:cs="Times New Roman"/>
                <w:position w:val="-12"/>
                <w:sz w:val="20"/>
                <w:szCs w:val="20"/>
              </w:rPr>
              <w:object w:dxaOrig="320" w:dyaOrig="380" w14:anchorId="2BAF3088">
                <v:shape id="_x0000_i1056" type="#_x0000_t75" style="width:16pt;height:19.1pt" o:ole="">
                  <v:imagedata r:id="rId67" o:title=""/>
                </v:shape>
                <o:OLEObject Type="Embed" ProgID="Equation.DSMT4" ShapeID="_x0000_i1056" DrawAspect="Content" ObjectID="_1849690816" r:id="rId68"/>
              </w:object>
            </w:r>
            <w:r w:rsidRPr="00C04CED">
              <w:rPr>
                <w:rFonts w:ascii="Times New Roman" w:hAnsi="Times New Roman" w:cs="Times New Roman"/>
                <w:sz w:val="20"/>
                <w:szCs w:val="20"/>
              </w:rPr>
              <w:t xml:space="preserve"> </w:t>
            </w:r>
          </w:p>
        </w:tc>
        <w:tc>
          <w:tcPr>
            <w:tcW w:w="1440" w:type="dxa"/>
            <w:vAlign w:val="center"/>
          </w:tcPr>
          <w:p w14:paraId="6D4C9C4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 xml:space="preserve">Minimum </w:t>
            </w:r>
            <w:r w:rsidRPr="00C04CED">
              <w:rPr>
                <w:rFonts w:ascii="Times New Roman" w:eastAsiaTheme="minorHAnsi" w:hAnsi="Times New Roman" w:cs="Times New Roman"/>
                <w:position w:val="-12"/>
                <w:sz w:val="20"/>
                <w:szCs w:val="20"/>
              </w:rPr>
              <w:object w:dxaOrig="320" w:dyaOrig="380" w14:anchorId="7AE58900">
                <v:shape id="_x0000_i1057" type="#_x0000_t75" style="width:16pt;height:19.1pt" o:ole="">
                  <v:imagedata r:id="rId69" o:title=""/>
                </v:shape>
                <o:OLEObject Type="Embed" ProgID="Equation.DSMT4" ShapeID="_x0000_i1057" DrawAspect="Content" ObjectID="_1849690817" r:id="rId70"/>
              </w:object>
            </w:r>
          </w:p>
        </w:tc>
      </w:tr>
      <w:tr w:rsidR="00A13E6D" w14:paraId="5C11CDFF" w14:textId="77777777" w:rsidTr="00B43039">
        <w:trPr>
          <w:jc w:val="center"/>
        </w:trPr>
        <w:tc>
          <w:tcPr>
            <w:tcW w:w="910" w:type="dxa"/>
            <w:vAlign w:val="center"/>
          </w:tcPr>
          <w:p w14:paraId="3112BA41"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EPU</w:t>
            </w:r>
          </w:p>
        </w:tc>
        <w:tc>
          <w:tcPr>
            <w:tcW w:w="1440" w:type="dxa"/>
            <w:vAlign w:val="center"/>
          </w:tcPr>
          <w:p w14:paraId="36802CFA"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834.737</w:t>
            </w:r>
          </w:p>
        </w:tc>
        <w:tc>
          <w:tcPr>
            <w:tcW w:w="1440" w:type="dxa"/>
            <w:vAlign w:val="center"/>
          </w:tcPr>
          <w:p w14:paraId="6E4A32BB"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-910.078</w:t>
            </w:r>
          </w:p>
        </w:tc>
        <w:tc>
          <w:tcPr>
            <w:tcW w:w="1515" w:type="dxa"/>
            <w:vAlign w:val="center"/>
          </w:tcPr>
          <w:p w14:paraId="2F892DD0"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-75.341</w:t>
            </w:r>
          </w:p>
        </w:tc>
        <w:tc>
          <w:tcPr>
            <w:tcW w:w="1365" w:type="dxa"/>
            <w:vAlign w:val="center"/>
          </w:tcPr>
          <w:p w14:paraId="3CAF6465"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834.737</w:t>
            </w:r>
          </w:p>
        </w:tc>
        <w:tc>
          <w:tcPr>
            <w:tcW w:w="1440" w:type="dxa"/>
            <w:vAlign w:val="center"/>
          </w:tcPr>
          <w:p w14:paraId="2FAB5CB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-910.078</w:t>
            </w:r>
          </w:p>
        </w:tc>
      </w:tr>
      <w:tr w:rsidR="00A13E6D" w14:paraId="75C21B67" w14:textId="77777777" w:rsidTr="00B43039">
        <w:trPr>
          <w:jc w:val="center"/>
        </w:trPr>
        <w:tc>
          <w:tcPr>
            <w:tcW w:w="910" w:type="dxa"/>
            <w:vAlign w:val="center"/>
          </w:tcPr>
          <w:p w14:paraId="32189BD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GDPgr</w:t>
            </w:r>
          </w:p>
        </w:tc>
        <w:tc>
          <w:tcPr>
            <w:tcW w:w="1440" w:type="dxa"/>
            <w:vAlign w:val="center"/>
          </w:tcPr>
          <w:p w14:paraId="751F1F4E"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19.108</w:t>
            </w:r>
          </w:p>
        </w:tc>
        <w:tc>
          <w:tcPr>
            <w:tcW w:w="1440" w:type="dxa"/>
            <w:vAlign w:val="center"/>
          </w:tcPr>
          <w:p w14:paraId="4600E6E0"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-11.971</w:t>
            </w:r>
          </w:p>
        </w:tc>
        <w:tc>
          <w:tcPr>
            <w:tcW w:w="1515" w:type="dxa"/>
            <w:vAlign w:val="center"/>
          </w:tcPr>
          <w:p w14:paraId="2BA5FCD0"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7.137</w:t>
            </w:r>
          </w:p>
        </w:tc>
        <w:tc>
          <w:tcPr>
            <w:tcW w:w="1365" w:type="dxa"/>
            <w:vAlign w:val="center"/>
          </w:tcPr>
          <w:p w14:paraId="19E07E7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19.108</w:t>
            </w:r>
          </w:p>
        </w:tc>
        <w:tc>
          <w:tcPr>
            <w:tcW w:w="1440" w:type="dxa"/>
            <w:vAlign w:val="center"/>
          </w:tcPr>
          <w:p w14:paraId="545FAEC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-11.971</w:t>
            </w:r>
          </w:p>
        </w:tc>
      </w:tr>
      <w:tr w:rsidR="00A13E6D" w14:paraId="3AF4AA99" w14:textId="77777777" w:rsidTr="00B43039">
        <w:trPr>
          <w:jc w:val="center"/>
        </w:trPr>
        <w:tc>
          <w:tcPr>
            <w:tcW w:w="910" w:type="dxa"/>
            <w:vAlign w:val="center"/>
          </w:tcPr>
          <w:p w14:paraId="32A24750"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EXR</w:t>
            </w:r>
          </w:p>
        </w:tc>
        <w:tc>
          <w:tcPr>
            <w:tcW w:w="1440" w:type="dxa"/>
            <w:vAlign w:val="center"/>
          </w:tcPr>
          <w:p w14:paraId="16969C82"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1591.537</w:t>
            </w:r>
          </w:p>
        </w:tc>
        <w:tc>
          <w:tcPr>
            <w:tcW w:w="1440" w:type="dxa"/>
            <w:vAlign w:val="center"/>
          </w:tcPr>
          <w:p w14:paraId="2AFEF5E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-101.239</w:t>
            </w:r>
          </w:p>
        </w:tc>
        <w:tc>
          <w:tcPr>
            <w:tcW w:w="1515" w:type="dxa"/>
            <w:vAlign w:val="center"/>
          </w:tcPr>
          <w:p w14:paraId="122C6E1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1490.298</w:t>
            </w:r>
          </w:p>
        </w:tc>
        <w:tc>
          <w:tcPr>
            <w:tcW w:w="1365" w:type="dxa"/>
            <w:vAlign w:val="center"/>
          </w:tcPr>
          <w:p w14:paraId="4D894E8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1591.537</w:t>
            </w:r>
          </w:p>
        </w:tc>
        <w:tc>
          <w:tcPr>
            <w:tcW w:w="1440" w:type="dxa"/>
            <w:vAlign w:val="center"/>
          </w:tcPr>
          <w:p w14:paraId="2795DAB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-101.239</w:t>
            </w:r>
          </w:p>
        </w:tc>
      </w:tr>
      <w:tr w:rsidR="00A13E6D" w14:paraId="2A359989" w14:textId="77777777" w:rsidTr="00B43039">
        <w:trPr>
          <w:jc w:val="center"/>
        </w:trPr>
        <w:tc>
          <w:tcPr>
            <w:tcW w:w="910" w:type="dxa"/>
            <w:vAlign w:val="center"/>
          </w:tcPr>
          <w:p w14:paraId="57417CA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INFR</w:t>
            </w:r>
          </w:p>
        </w:tc>
        <w:tc>
          <w:tcPr>
            <w:tcW w:w="1440" w:type="dxa"/>
            <w:vAlign w:val="center"/>
          </w:tcPr>
          <w:p w14:paraId="06591BE5"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29.624</w:t>
            </w:r>
          </w:p>
        </w:tc>
        <w:tc>
          <w:tcPr>
            <w:tcW w:w="1440" w:type="dxa"/>
            <w:vAlign w:val="center"/>
          </w:tcPr>
          <w:p w14:paraId="238FDD4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-6.726</w:t>
            </w:r>
          </w:p>
        </w:tc>
        <w:tc>
          <w:tcPr>
            <w:tcW w:w="1515" w:type="dxa"/>
            <w:vAlign w:val="center"/>
          </w:tcPr>
          <w:p w14:paraId="6128083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22.898</w:t>
            </w:r>
          </w:p>
        </w:tc>
        <w:tc>
          <w:tcPr>
            <w:tcW w:w="1365" w:type="dxa"/>
            <w:vAlign w:val="center"/>
          </w:tcPr>
          <w:p w14:paraId="57D0EF24"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29.624</w:t>
            </w:r>
          </w:p>
        </w:tc>
        <w:tc>
          <w:tcPr>
            <w:tcW w:w="1440" w:type="dxa"/>
            <w:vAlign w:val="center"/>
          </w:tcPr>
          <w:p w14:paraId="05730FE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-6.726</w:t>
            </w:r>
          </w:p>
        </w:tc>
      </w:tr>
      <w:tr w:rsidR="00A13E6D" w14:paraId="106E14AE" w14:textId="77777777" w:rsidTr="00B43039">
        <w:trPr>
          <w:jc w:val="center"/>
        </w:trPr>
        <w:tc>
          <w:tcPr>
            <w:tcW w:w="910" w:type="dxa"/>
            <w:vAlign w:val="center"/>
          </w:tcPr>
          <w:p w14:paraId="654FF25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INTR</w:t>
            </w:r>
          </w:p>
        </w:tc>
        <w:tc>
          <w:tcPr>
            <w:tcW w:w="1440" w:type="dxa"/>
            <w:vAlign w:val="center"/>
          </w:tcPr>
          <w:p w14:paraId="4710B7B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3.086</w:t>
            </w:r>
          </w:p>
        </w:tc>
        <w:tc>
          <w:tcPr>
            <w:tcW w:w="1440" w:type="dxa"/>
            <w:vAlign w:val="center"/>
          </w:tcPr>
          <w:p w14:paraId="6764C59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-7.300</w:t>
            </w:r>
          </w:p>
        </w:tc>
        <w:tc>
          <w:tcPr>
            <w:tcW w:w="1515" w:type="dxa"/>
            <w:vAlign w:val="center"/>
          </w:tcPr>
          <w:p w14:paraId="1FFD111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-4.214</w:t>
            </w:r>
          </w:p>
        </w:tc>
        <w:tc>
          <w:tcPr>
            <w:tcW w:w="1365" w:type="dxa"/>
            <w:vAlign w:val="center"/>
          </w:tcPr>
          <w:p w14:paraId="4A85740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3.086</w:t>
            </w:r>
          </w:p>
        </w:tc>
        <w:tc>
          <w:tcPr>
            <w:tcW w:w="1440" w:type="dxa"/>
            <w:vAlign w:val="center"/>
          </w:tcPr>
          <w:p w14:paraId="7CC0EDC2"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-7.300</w:t>
            </w:r>
          </w:p>
        </w:tc>
      </w:tr>
    </w:tbl>
    <w:p w14:paraId="6A1C0B95"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50F5520F" w14:textId="77777777" w:rsidR="00A13E6D" w:rsidRDefault="00A13E6D" w:rsidP="00A13E6D">
      <w:pPr>
        <w:pStyle w:val="pdq2pgselectionanchorcontainer"/>
        <w:jc w:val="both"/>
      </w:pPr>
      <w:r>
        <w:t xml:space="preserve">As proposed by Hatemi-J (2012), the evidence derived from the positive and negative partial sums clearly indicates structural asymmetry in the transmission of the cumulative effects of positive and negative shocks across Nigeria’s macroeconomic indicators. For EPU, the cumulative negative shocks (910.078) exceeded the cumulative positive shocks (834.737), resulting in a net decrease of 75.341. In contrast, GDP growth recorded a net positive effect of 7.137, as the cumulative positive shocks (19.108) outweighed the negative shocks (11.971).The disparity is most pronounced in the exchange rate, where cumulative positive innovations (1,591.537) substantially exceeded cumulative negative shocks (101.239), implying a dominant net positive effect of 1,490.298. Similarly, inflation recorded cumulative positive shocks of 29.624 compared with cumulative negative shocks of 6.726, resulting in a net positive effect of 22.898.Conversely, the interest rate recorded a net negative effect of −4.214, with cumulative positive shocks of 3.086 compared with cumulative negative shocks of 7.300. These substantial directional differences </w:t>
      </w:r>
      <w:r>
        <w:lastRenderedPageBreak/>
        <w:t>provide clear evidence of asymmetric behaviour among Nigeria’s macroeconomic indicators, thereby supporting the application of Hatemi-J’s nonlinear causality test</w:t>
      </w:r>
    </w:p>
    <w:p w14:paraId="6E59D7BF" w14:textId="77777777" w:rsidR="00A13E6D" w:rsidRDefault="00A13E6D" w:rsidP="00A13E6D">
      <w:pPr>
        <w:pStyle w:val="ListBullet"/>
        <w:numPr>
          <w:ilvl w:val="1"/>
          <w:numId w:val="4"/>
        </w:numPr>
      </w:pPr>
      <w:r>
        <w:t>Lag-order and augmented VAR specification.</w:t>
      </w:r>
    </w:p>
    <w:p w14:paraId="07B6B379" w14:textId="77777777" w:rsidR="00A13E6D" w:rsidRPr="005C12C3" w:rsidRDefault="00A13E6D" w:rsidP="00A13E6D">
      <w:pPr>
        <w:spacing w:after="120"/>
        <w:jc w:val="center"/>
        <w:rPr>
          <w:rFonts w:ascii="Times New Roman" w:hAnsi="Times New Roman" w:cs="Times New Roman"/>
          <w:sz w:val="20"/>
          <w:szCs w:val="20"/>
        </w:rPr>
      </w:pPr>
      <w:r w:rsidRPr="005C12C3">
        <w:rPr>
          <w:rFonts w:ascii="Times New Roman" w:hAnsi="Times New Roman" w:cs="Times New Roman"/>
          <w:sz w:val="20"/>
          <w:szCs w:val="20"/>
        </w:rPr>
        <w:t>Table 5: Lag-order and augmented VAR specification.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1610"/>
        <w:gridCol w:w="2700"/>
      </w:tblGrid>
      <w:tr w:rsidR="00A13E6D" w14:paraId="424578EC" w14:textId="77777777" w:rsidTr="00B43039">
        <w:trPr>
          <w:jc w:val="center"/>
        </w:trPr>
        <w:tc>
          <w:tcPr>
            <w:tcW w:w="1805" w:type="dxa"/>
            <w:vAlign w:val="center"/>
          </w:tcPr>
          <w:p w14:paraId="070FF0D1"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EPU–macro pair</w:t>
            </w:r>
          </w:p>
        </w:tc>
        <w:tc>
          <w:tcPr>
            <w:tcW w:w="1610" w:type="dxa"/>
            <w:vAlign w:val="center"/>
          </w:tcPr>
          <w:p w14:paraId="09963CD3"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 xml:space="preserve">AIC-selected </w:t>
            </w:r>
            <w:r w:rsidRPr="00022A15">
              <w:rPr>
                <w:rFonts w:ascii="Times New Roman" w:eastAsiaTheme="minorHAnsi" w:hAnsi="Times New Roman" w:cs="Times New Roman"/>
                <w:position w:val="-10"/>
                <w:sz w:val="20"/>
                <w:szCs w:val="20"/>
              </w:rPr>
              <w:object w:dxaOrig="240" w:dyaOrig="260" w14:anchorId="52C5BCA9">
                <v:shape id="_x0000_i1058" type="#_x0000_t75" style="width:12.3pt;height:12.9pt" o:ole="">
                  <v:imagedata r:id="rId71" o:title=""/>
                </v:shape>
                <o:OLEObject Type="Embed" ProgID="Equation.DSMT4" ShapeID="_x0000_i1058" DrawAspect="Content" ObjectID="_1849690818" r:id="rId72"/>
              </w:object>
            </w:r>
          </w:p>
        </w:tc>
        <w:tc>
          <w:tcPr>
            <w:tcW w:w="2700" w:type="dxa"/>
            <w:vAlign w:val="center"/>
          </w:tcPr>
          <w:p w14:paraId="63A81549"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 xml:space="preserve">Augmented VAR </w:t>
            </w:r>
            <w:r w:rsidRPr="00022A15">
              <w:rPr>
                <w:rFonts w:eastAsiaTheme="minorHAnsi"/>
                <w:position w:val="-10"/>
              </w:rPr>
              <w:object w:dxaOrig="400" w:dyaOrig="279" w14:anchorId="06E37C62">
                <v:shape id="_x0000_i1059" type="#_x0000_t75" style="width:19.7pt;height:13.55pt" o:ole="">
                  <v:imagedata r:id="rId73" o:title=""/>
                </v:shape>
                <o:OLEObject Type="Embed" ProgID="Equation.DSMT4" ShapeID="_x0000_i1059" DrawAspect="Content" ObjectID="_1849690819" r:id="rId74"/>
              </w:object>
            </w:r>
            <w:r w:rsidRPr="00022A15">
              <w:rPr>
                <w:rFonts w:ascii="Times New Roman" w:hAnsi="Times New Roman" w:cs="Times New Roman"/>
                <w:sz w:val="20"/>
                <w:szCs w:val="20"/>
              </w:rPr>
              <w:t>dmax</w:t>
            </w:r>
          </w:p>
        </w:tc>
      </w:tr>
      <w:tr w:rsidR="00A13E6D" w14:paraId="1270FE6A" w14:textId="77777777" w:rsidTr="00B43039">
        <w:trPr>
          <w:jc w:val="center"/>
        </w:trPr>
        <w:tc>
          <w:tcPr>
            <w:tcW w:w="1805" w:type="dxa"/>
            <w:vAlign w:val="center"/>
          </w:tcPr>
          <w:p w14:paraId="7E3CC2AF"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GDPgr</w:t>
            </w:r>
          </w:p>
        </w:tc>
        <w:tc>
          <w:tcPr>
            <w:tcW w:w="1610" w:type="dxa"/>
            <w:vAlign w:val="center"/>
          </w:tcPr>
          <w:p w14:paraId="7C05A251"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7F30E93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r w:rsidR="00A13E6D" w14:paraId="79AD1012" w14:textId="77777777" w:rsidTr="00B43039">
        <w:trPr>
          <w:jc w:val="center"/>
        </w:trPr>
        <w:tc>
          <w:tcPr>
            <w:tcW w:w="1805" w:type="dxa"/>
            <w:vAlign w:val="center"/>
          </w:tcPr>
          <w:p w14:paraId="13DCEAF9"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EXR</w:t>
            </w:r>
          </w:p>
        </w:tc>
        <w:tc>
          <w:tcPr>
            <w:tcW w:w="1610" w:type="dxa"/>
            <w:vAlign w:val="center"/>
          </w:tcPr>
          <w:p w14:paraId="1D2F0A5B"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2</w:t>
            </w:r>
          </w:p>
        </w:tc>
        <w:tc>
          <w:tcPr>
            <w:tcW w:w="2700" w:type="dxa"/>
            <w:vAlign w:val="center"/>
          </w:tcPr>
          <w:p w14:paraId="30AD0BD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3</w:t>
            </w:r>
          </w:p>
        </w:tc>
      </w:tr>
      <w:tr w:rsidR="00A13E6D" w14:paraId="0F795F77" w14:textId="77777777" w:rsidTr="00B43039">
        <w:trPr>
          <w:jc w:val="center"/>
        </w:trPr>
        <w:tc>
          <w:tcPr>
            <w:tcW w:w="1805" w:type="dxa"/>
            <w:vAlign w:val="center"/>
          </w:tcPr>
          <w:p w14:paraId="7F4E8D3A"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INFR</w:t>
            </w:r>
          </w:p>
        </w:tc>
        <w:tc>
          <w:tcPr>
            <w:tcW w:w="1610" w:type="dxa"/>
            <w:vAlign w:val="center"/>
          </w:tcPr>
          <w:p w14:paraId="038CF2AB"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3</w:t>
            </w:r>
          </w:p>
        </w:tc>
        <w:tc>
          <w:tcPr>
            <w:tcW w:w="2700" w:type="dxa"/>
            <w:vAlign w:val="center"/>
          </w:tcPr>
          <w:p w14:paraId="514642B1"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r>
      <w:tr w:rsidR="00A13E6D" w14:paraId="22C71D4A" w14:textId="77777777" w:rsidTr="00B43039">
        <w:trPr>
          <w:jc w:val="center"/>
        </w:trPr>
        <w:tc>
          <w:tcPr>
            <w:tcW w:w="1805" w:type="dxa"/>
            <w:vAlign w:val="center"/>
          </w:tcPr>
          <w:p w14:paraId="3E4FFF91"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INTR</w:t>
            </w:r>
          </w:p>
        </w:tc>
        <w:tc>
          <w:tcPr>
            <w:tcW w:w="1610" w:type="dxa"/>
            <w:vAlign w:val="center"/>
          </w:tcPr>
          <w:p w14:paraId="1E0C4561"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57CE5CB3"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r w:rsidR="00A13E6D" w14:paraId="01B290CA" w14:textId="77777777" w:rsidTr="00B43039">
        <w:trPr>
          <w:jc w:val="center"/>
        </w:trPr>
        <w:tc>
          <w:tcPr>
            <w:tcW w:w="1805" w:type="dxa"/>
            <w:vAlign w:val="center"/>
          </w:tcPr>
          <w:p w14:paraId="4BBB66B1"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UEMR</w:t>
            </w:r>
          </w:p>
        </w:tc>
        <w:tc>
          <w:tcPr>
            <w:tcW w:w="1610" w:type="dxa"/>
            <w:vAlign w:val="center"/>
          </w:tcPr>
          <w:p w14:paraId="6F5F60BA"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390EA3E6"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bl>
    <w:p w14:paraId="3A694DE1"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74DD88EE" w14:textId="77777777" w:rsidR="00A13E6D" w:rsidRDefault="00A13E6D" w:rsidP="00A13E6D">
      <w:pPr>
        <w:pStyle w:val="pdq2pgselectionanchorcontainer"/>
      </w:pPr>
      <w:r>
        <w:t xml:space="preserve">The lag-order selection in the modified VAR differs across each EPU–macroeconomic variable pair. Four lags are selected for GDPgr, INTR, and UEMR, while two and three lags are selected for EXR and INFR, respectively. According to the Toda–Yamamoto approach, an additional lag corresponding to the maximum order of integration, </w:t>
      </w:r>
      <w:r>
        <w:rPr>
          <w:rStyle w:val="mord"/>
        </w:rPr>
        <w:t>d</w:t>
      </w:r>
      <w:r>
        <w:rPr>
          <w:rStyle w:val="mtight"/>
        </w:rPr>
        <w:t>max</w:t>
      </w:r>
      <w:r>
        <w:rPr>
          <w:rStyle w:val="vlist-s"/>
        </w:rPr>
        <w:t>​</w:t>
      </w:r>
      <w:r>
        <w:rPr>
          <w:rStyle w:val="mrel"/>
        </w:rPr>
        <w:t>=</w:t>
      </w:r>
      <w:r>
        <w:rPr>
          <w:rStyle w:val="mord"/>
        </w:rPr>
        <w:t>1</w:t>
      </w:r>
      <w:r>
        <w:t xml:space="preserve">, is added to each selected lag order. Accordingly, the modified VAR model orders are five lags for EPU–GDPgr, three lags for EPU–EXR, four lags for EPU–INFR, five lags for EPU–INTR, and five lags for EPU–UEMR. These lag orders are based on the specification that additional lags help to avoid omitted-variable bias. Thus, the VAR models are estimated with a maximum lag order equal to the sum of the selected lag length and the maximum order of integration, </w:t>
      </w:r>
      <w:r>
        <w:rPr>
          <w:rStyle w:val="mopen"/>
        </w:rPr>
        <w:t>(</w:t>
      </w:r>
      <w:r>
        <w:rPr>
          <w:rStyle w:val="mord"/>
        </w:rPr>
        <w:t>d</w:t>
      </w:r>
      <w:r>
        <w:rPr>
          <w:rStyle w:val="mtight"/>
        </w:rPr>
        <w:t>max</w:t>
      </w:r>
      <w:r>
        <w:rPr>
          <w:rStyle w:val="vlist-s"/>
        </w:rPr>
        <w:t>​</w:t>
      </w:r>
      <w:r>
        <w:rPr>
          <w:rStyle w:val="mbin"/>
        </w:rPr>
        <w:t>+</w:t>
      </w:r>
      <w:r>
        <w:rPr>
          <w:rStyle w:val="mord"/>
        </w:rPr>
        <w:t>k</w:t>
      </w:r>
      <w:r>
        <w:rPr>
          <w:rStyle w:val="mclose"/>
        </w:rPr>
        <w:t>)</w:t>
      </w:r>
      <w:r>
        <w:t>.</w:t>
      </w:r>
    </w:p>
    <w:p w14:paraId="71DAFB48" w14:textId="77777777" w:rsidR="00A13E6D" w:rsidRPr="00670A98" w:rsidRDefault="00A13E6D" w:rsidP="00A13E6D">
      <w:pPr>
        <w:pStyle w:val="ListBullet"/>
        <w:numPr>
          <w:ilvl w:val="1"/>
          <w:numId w:val="4"/>
        </w:numPr>
        <w:rPr>
          <w:sz w:val="24"/>
          <w:szCs w:val="24"/>
        </w:rPr>
      </w:pPr>
      <w:r w:rsidRPr="00670A98">
        <w:rPr>
          <w:sz w:val="24"/>
          <w:szCs w:val="24"/>
        </w:rPr>
        <w:t xml:space="preserve"> Modified Wald Asymmetric Causality Tests and Bootstrap Inference</w:t>
      </w:r>
    </w:p>
    <w:p w14:paraId="78E6FDDA" w14:textId="77777777" w:rsidR="00A13E6D" w:rsidRDefault="00A13E6D" w:rsidP="00A13E6D">
      <w:pPr>
        <w:pStyle w:val="NormalWeb"/>
        <w:jc w:val="both"/>
      </w:pPr>
      <w:r>
        <w:t>The adjusted Wald statistic is applied to test the hypothesis that the coefficients on the first p lags of the causal partial-sum variable are jointly zero. Small month samples and non-normality means that the asymptotic chi-square approximation of the test is subject to potential bias so statistical inference is based on residual bootstrap p-values. The null is rejected at the 5% level if the bootstrap p-value is 5% or lower.</w:t>
      </w:r>
    </w:p>
    <w:p w14:paraId="50A58869" w14:textId="77777777" w:rsidR="00A13E6D" w:rsidRPr="00670A98" w:rsidRDefault="00A13E6D" w:rsidP="00A13E6D">
      <w:pPr>
        <w:pStyle w:val="ListBullet"/>
        <w:numPr>
          <w:ilvl w:val="1"/>
          <w:numId w:val="5"/>
        </w:numPr>
        <w:rPr>
          <w:sz w:val="24"/>
          <w:szCs w:val="24"/>
        </w:rPr>
      </w:pPr>
      <w:r>
        <w:t xml:space="preserve">Table </w:t>
      </w:r>
      <w:r w:rsidRPr="00670A98">
        <w:rPr>
          <w:sz w:val="24"/>
          <w:szCs w:val="24"/>
        </w:rPr>
        <w:t>Modified Wald Asymmetric Causality Tests and Bootstrap Inference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1231"/>
        <w:gridCol w:w="1233"/>
        <w:gridCol w:w="1233"/>
        <w:gridCol w:w="1233"/>
        <w:gridCol w:w="1233"/>
      </w:tblGrid>
      <w:tr w:rsidR="00A13E6D" w14:paraId="37DB2EF8" w14:textId="77777777" w:rsidTr="00B43039">
        <w:trPr>
          <w:jc w:val="center"/>
        </w:trPr>
        <w:tc>
          <w:tcPr>
            <w:tcW w:w="1234" w:type="dxa"/>
            <w:vAlign w:val="center"/>
          </w:tcPr>
          <w:p w14:paraId="796EF3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Variable</w:t>
            </w:r>
          </w:p>
        </w:tc>
        <w:tc>
          <w:tcPr>
            <w:tcW w:w="1231" w:type="dxa"/>
            <w:vAlign w:val="center"/>
          </w:tcPr>
          <w:p w14:paraId="3080105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p</w:t>
            </w:r>
          </w:p>
        </w:tc>
        <w:tc>
          <w:tcPr>
            <w:tcW w:w="1233" w:type="dxa"/>
            <w:vAlign w:val="center"/>
          </w:tcPr>
          <w:p w14:paraId="3BFF1B3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Cause component</w:t>
            </w:r>
          </w:p>
        </w:tc>
        <w:tc>
          <w:tcPr>
            <w:tcW w:w="1233" w:type="dxa"/>
            <w:vAlign w:val="center"/>
          </w:tcPr>
          <w:p w14:paraId="44C2F4E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Effect component</w:t>
            </w:r>
          </w:p>
        </w:tc>
        <w:tc>
          <w:tcPr>
            <w:tcW w:w="1233" w:type="dxa"/>
            <w:vAlign w:val="center"/>
          </w:tcPr>
          <w:p w14:paraId="0639198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Modified Wald</w:t>
            </w:r>
          </w:p>
        </w:tc>
        <w:tc>
          <w:tcPr>
            <w:tcW w:w="1233" w:type="dxa"/>
            <w:vAlign w:val="center"/>
          </w:tcPr>
          <w:p w14:paraId="579630C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Bootstrap p-value</w:t>
            </w:r>
          </w:p>
        </w:tc>
      </w:tr>
      <w:tr w:rsidR="00A13E6D" w14:paraId="43BD7B82" w14:textId="77777777" w:rsidTr="00B43039">
        <w:trPr>
          <w:jc w:val="center"/>
        </w:trPr>
        <w:tc>
          <w:tcPr>
            <w:tcW w:w="1234" w:type="dxa"/>
            <w:vAlign w:val="center"/>
          </w:tcPr>
          <w:p w14:paraId="6EA5BBA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671CF4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5CDD801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887A9C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478A073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1.027</w:t>
            </w:r>
          </w:p>
        </w:tc>
        <w:tc>
          <w:tcPr>
            <w:tcW w:w="1233" w:type="dxa"/>
            <w:vAlign w:val="center"/>
          </w:tcPr>
          <w:p w14:paraId="1542EE5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0.846</w:t>
            </w:r>
          </w:p>
        </w:tc>
      </w:tr>
      <w:tr w:rsidR="00A13E6D" w14:paraId="25C8EB9A" w14:textId="77777777" w:rsidTr="00B43039">
        <w:trPr>
          <w:jc w:val="center"/>
        </w:trPr>
        <w:tc>
          <w:tcPr>
            <w:tcW w:w="1234" w:type="dxa"/>
            <w:vAlign w:val="center"/>
          </w:tcPr>
          <w:p w14:paraId="5737FB2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19AAC13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6C4123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6AFC4FC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C8E5AA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0.670</w:t>
            </w:r>
          </w:p>
        </w:tc>
        <w:tc>
          <w:tcPr>
            <w:tcW w:w="1233" w:type="dxa"/>
            <w:vAlign w:val="center"/>
          </w:tcPr>
          <w:p w14:paraId="2C391AE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0.870</w:t>
            </w:r>
          </w:p>
        </w:tc>
      </w:tr>
      <w:tr w:rsidR="00A13E6D" w14:paraId="25EFFD3B" w14:textId="77777777" w:rsidTr="00B43039">
        <w:trPr>
          <w:jc w:val="center"/>
        </w:trPr>
        <w:tc>
          <w:tcPr>
            <w:tcW w:w="1234" w:type="dxa"/>
            <w:vAlign w:val="center"/>
          </w:tcPr>
          <w:p w14:paraId="28033FD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1FB4431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17DAC9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D53907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79D952F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6.317</w:t>
            </w:r>
          </w:p>
        </w:tc>
        <w:tc>
          <w:tcPr>
            <w:tcW w:w="1233" w:type="dxa"/>
            <w:vAlign w:val="center"/>
          </w:tcPr>
          <w:p w14:paraId="2150704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0.206</w:t>
            </w:r>
          </w:p>
        </w:tc>
      </w:tr>
      <w:tr w:rsidR="00A13E6D" w14:paraId="62AEBB9E" w14:textId="77777777" w:rsidTr="00B43039">
        <w:trPr>
          <w:jc w:val="center"/>
        </w:trPr>
        <w:tc>
          <w:tcPr>
            <w:tcW w:w="1234" w:type="dxa"/>
            <w:vAlign w:val="center"/>
          </w:tcPr>
          <w:p w14:paraId="02D2851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6147C5B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9784CC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37265C9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5BACEB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4.064</w:t>
            </w:r>
          </w:p>
        </w:tc>
        <w:tc>
          <w:tcPr>
            <w:tcW w:w="1233" w:type="dxa"/>
            <w:vAlign w:val="center"/>
          </w:tcPr>
          <w:p w14:paraId="7A9935B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0.365</w:t>
            </w:r>
          </w:p>
        </w:tc>
      </w:tr>
      <w:tr w:rsidR="00A13E6D" w14:paraId="3CD5D19D" w14:textId="77777777" w:rsidTr="00B43039">
        <w:trPr>
          <w:jc w:val="center"/>
        </w:trPr>
        <w:tc>
          <w:tcPr>
            <w:tcW w:w="1234" w:type="dxa"/>
            <w:vAlign w:val="center"/>
          </w:tcPr>
          <w:p w14:paraId="64608C4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66F1EDC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A3D07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25A4E6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1D7EB7F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4.081</w:t>
            </w:r>
          </w:p>
        </w:tc>
        <w:tc>
          <w:tcPr>
            <w:tcW w:w="1233" w:type="dxa"/>
            <w:vAlign w:val="center"/>
          </w:tcPr>
          <w:p w14:paraId="21650DF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0.244</w:t>
            </w:r>
          </w:p>
        </w:tc>
      </w:tr>
      <w:tr w:rsidR="00A13E6D" w14:paraId="70634E1E" w14:textId="77777777" w:rsidTr="00B43039">
        <w:trPr>
          <w:jc w:val="center"/>
        </w:trPr>
        <w:tc>
          <w:tcPr>
            <w:tcW w:w="1234" w:type="dxa"/>
            <w:vAlign w:val="center"/>
          </w:tcPr>
          <w:p w14:paraId="71D74AC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6B5D815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7D381C4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6CA2C89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BF6CE4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47.210</w:t>
            </w:r>
          </w:p>
        </w:tc>
        <w:tc>
          <w:tcPr>
            <w:tcW w:w="1233" w:type="dxa"/>
            <w:vAlign w:val="center"/>
          </w:tcPr>
          <w:p w14:paraId="0654704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0.002</w:t>
            </w:r>
          </w:p>
        </w:tc>
      </w:tr>
      <w:tr w:rsidR="00A13E6D" w14:paraId="63FB36FB" w14:textId="77777777" w:rsidTr="00B43039">
        <w:trPr>
          <w:jc w:val="center"/>
        </w:trPr>
        <w:tc>
          <w:tcPr>
            <w:tcW w:w="1234" w:type="dxa"/>
            <w:vAlign w:val="center"/>
          </w:tcPr>
          <w:p w14:paraId="2CB8D34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498F1B4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21702C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7D29A2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056FDE4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2.278</w:t>
            </w:r>
          </w:p>
        </w:tc>
        <w:tc>
          <w:tcPr>
            <w:tcW w:w="1233" w:type="dxa"/>
            <w:vAlign w:val="center"/>
          </w:tcPr>
          <w:p w14:paraId="2FAEE7B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0.685</w:t>
            </w:r>
          </w:p>
        </w:tc>
      </w:tr>
      <w:tr w:rsidR="00A13E6D" w14:paraId="1044BF0C" w14:textId="77777777" w:rsidTr="00B43039">
        <w:trPr>
          <w:jc w:val="center"/>
        </w:trPr>
        <w:tc>
          <w:tcPr>
            <w:tcW w:w="1234" w:type="dxa"/>
            <w:vAlign w:val="center"/>
          </w:tcPr>
          <w:p w14:paraId="3779388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1" w:type="dxa"/>
            <w:vAlign w:val="center"/>
          </w:tcPr>
          <w:p w14:paraId="407ADB8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4458CC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GDPgr+</w:t>
            </w:r>
          </w:p>
        </w:tc>
        <w:tc>
          <w:tcPr>
            <w:tcW w:w="1233" w:type="dxa"/>
            <w:vAlign w:val="center"/>
          </w:tcPr>
          <w:p w14:paraId="3B35D4D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B32A78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8.529</w:t>
            </w:r>
          </w:p>
        </w:tc>
        <w:tc>
          <w:tcPr>
            <w:tcW w:w="1233" w:type="dxa"/>
            <w:vAlign w:val="center"/>
          </w:tcPr>
          <w:p w14:paraId="0150B53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0.144</w:t>
            </w:r>
          </w:p>
        </w:tc>
      </w:tr>
      <w:tr w:rsidR="00A13E6D" w14:paraId="090FF0E9" w14:textId="77777777" w:rsidTr="00B43039">
        <w:trPr>
          <w:jc w:val="center"/>
        </w:trPr>
        <w:tc>
          <w:tcPr>
            <w:tcW w:w="1234" w:type="dxa"/>
            <w:vAlign w:val="center"/>
          </w:tcPr>
          <w:p w14:paraId="3861EE7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200594D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112CFE2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61E575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550A4BA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0.762</w:t>
            </w:r>
          </w:p>
        </w:tc>
        <w:tc>
          <w:tcPr>
            <w:tcW w:w="1233" w:type="dxa"/>
            <w:vAlign w:val="center"/>
          </w:tcPr>
          <w:p w14:paraId="0705EAD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0.645</w:t>
            </w:r>
          </w:p>
        </w:tc>
      </w:tr>
      <w:tr w:rsidR="00A13E6D" w14:paraId="451FFAAB" w14:textId="77777777" w:rsidTr="00B43039">
        <w:trPr>
          <w:jc w:val="center"/>
        </w:trPr>
        <w:tc>
          <w:tcPr>
            <w:tcW w:w="1234" w:type="dxa"/>
            <w:vAlign w:val="center"/>
          </w:tcPr>
          <w:p w14:paraId="4399DF3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0114AF7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119B954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18BAE87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573EAA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0.221</w:t>
            </w:r>
          </w:p>
        </w:tc>
        <w:tc>
          <w:tcPr>
            <w:tcW w:w="1233" w:type="dxa"/>
            <w:vAlign w:val="center"/>
          </w:tcPr>
          <w:p w14:paraId="5AFD5E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0.854</w:t>
            </w:r>
          </w:p>
        </w:tc>
      </w:tr>
      <w:tr w:rsidR="00A13E6D" w14:paraId="2FD3B0A1" w14:textId="77777777" w:rsidTr="00B43039">
        <w:trPr>
          <w:jc w:val="center"/>
        </w:trPr>
        <w:tc>
          <w:tcPr>
            <w:tcW w:w="1234" w:type="dxa"/>
            <w:vAlign w:val="center"/>
          </w:tcPr>
          <w:p w14:paraId="76E0509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1681260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739C743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42453F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10B6759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4.239</w:t>
            </w:r>
          </w:p>
        </w:tc>
        <w:tc>
          <w:tcPr>
            <w:tcW w:w="1233" w:type="dxa"/>
            <w:vAlign w:val="center"/>
          </w:tcPr>
          <w:p w14:paraId="42C8E3B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0.126</w:t>
            </w:r>
          </w:p>
        </w:tc>
      </w:tr>
      <w:tr w:rsidR="00A13E6D" w14:paraId="463BBCE2" w14:textId="77777777" w:rsidTr="00B43039">
        <w:trPr>
          <w:jc w:val="center"/>
        </w:trPr>
        <w:tc>
          <w:tcPr>
            <w:tcW w:w="1234" w:type="dxa"/>
            <w:vAlign w:val="center"/>
          </w:tcPr>
          <w:p w14:paraId="672BD43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1779705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28D7871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6F66036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79E3B6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1.725</w:t>
            </w:r>
          </w:p>
        </w:tc>
        <w:tc>
          <w:tcPr>
            <w:tcW w:w="1233" w:type="dxa"/>
            <w:vAlign w:val="center"/>
          </w:tcPr>
          <w:p w14:paraId="4C5A7B5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0.403</w:t>
            </w:r>
          </w:p>
        </w:tc>
      </w:tr>
      <w:tr w:rsidR="00A13E6D" w14:paraId="071F1FAF" w14:textId="77777777" w:rsidTr="00B43039">
        <w:trPr>
          <w:jc w:val="center"/>
        </w:trPr>
        <w:tc>
          <w:tcPr>
            <w:tcW w:w="1234" w:type="dxa"/>
            <w:vAlign w:val="center"/>
          </w:tcPr>
          <w:p w14:paraId="7CCA0DF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6E8734E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5404FF7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EC8928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4FAB18C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0.354</w:t>
            </w:r>
          </w:p>
        </w:tc>
        <w:tc>
          <w:tcPr>
            <w:tcW w:w="1233" w:type="dxa"/>
            <w:vAlign w:val="center"/>
          </w:tcPr>
          <w:p w14:paraId="71E2067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0.764</w:t>
            </w:r>
          </w:p>
        </w:tc>
      </w:tr>
      <w:tr w:rsidR="00A13E6D" w14:paraId="0D6CAEBA" w14:textId="77777777" w:rsidTr="00B43039">
        <w:trPr>
          <w:jc w:val="center"/>
        </w:trPr>
        <w:tc>
          <w:tcPr>
            <w:tcW w:w="1234" w:type="dxa"/>
            <w:vAlign w:val="center"/>
          </w:tcPr>
          <w:p w14:paraId="500F3A3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733A22C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1856213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3B44EF8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EA50E5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0.524</w:t>
            </w:r>
          </w:p>
        </w:tc>
        <w:tc>
          <w:tcPr>
            <w:tcW w:w="1233" w:type="dxa"/>
            <w:vAlign w:val="center"/>
          </w:tcPr>
          <w:p w14:paraId="7D24F23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0.629</w:t>
            </w:r>
          </w:p>
        </w:tc>
      </w:tr>
      <w:tr w:rsidR="00A13E6D" w14:paraId="6DB28638" w14:textId="77777777" w:rsidTr="00B43039">
        <w:trPr>
          <w:jc w:val="center"/>
        </w:trPr>
        <w:tc>
          <w:tcPr>
            <w:tcW w:w="1234" w:type="dxa"/>
            <w:vAlign w:val="center"/>
          </w:tcPr>
          <w:p w14:paraId="1D77D68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lastRenderedPageBreak/>
              <w:t>EXR</w:t>
            </w:r>
          </w:p>
        </w:tc>
        <w:tc>
          <w:tcPr>
            <w:tcW w:w="1231" w:type="dxa"/>
            <w:vAlign w:val="center"/>
          </w:tcPr>
          <w:p w14:paraId="196E0BC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2DC5B79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521ED5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519AB3E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1.445</w:t>
            </w:r>
          </w:p>
        </w:tc>
        <w:tc>
          <w:tcPr>
            <w:tcW w:w="1233" w:type="dxa"/>
            <w:vAlign w:val="center"/>
          </w:tcPr>
          <w:p w14:paraId="36F4F04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0.481</w:t>
            </w:r>
          </w:p>
        </w:tc>
      </w:tr>
      <w:tr w:rsidR="00A13E6D" w14:paraId="42BF1F91" w14:textId="77777777" w:rsidTr="00B43039">
        <w:trPr>
          <w:jc w:val="center"/>
        </w:trPr>
        <w:tc>
          <w:tcPr>
            <w:tcW w:w="1234" w:type="dxa"/>
            <w:vAlign w:val="center"/>
          </w:tcPr>
          <w:p w14:paraId="74D3F58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027FE89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000A653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29D899B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58EB41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1.071</w:t>
            </w:r>
          </w:p>
        </w:tc>
        <w:tc>
          <w:tcPr>
            <w:tcW w:w="1233" w:type="dxa"/>
            <w:vAlign w:val="center"/>
          </w:tcPr>
          <w:p w14:paraId="7E9F5CF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0.585</w:t>
            </w:r>
          </w:p>
        </w:tc>
      </w:tr>
      <w:tr w:rsidR="00A13E6D" w14:paraId="1CA8A938" w14:textId="77777777" w:rsidTr="00B43039">
        <w:trPr>
          <w:jc w:val="center"/>
        </w:trPr>
        <w:tc>
          <w:tcPr>
            <w:tcW w:w="1234" w:type="dxa"/>
            <w:vAlign w:val="center"/>
          </w:tcPr>
          <w:p w14:paraId="392AC66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390B521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0259E87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E3722F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34448D5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1.453</w:t>
            </w:r>
          </w:p>
        </w:tc>
        <w:tc>
          <w:tcPr>
            <w:tcW w:w="1233" w:type="dxa"/>
            <w:vAlign w:val="center"/>
          </w:tcPr>
          <w:p w14:paraId="44EEEA8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0.579</w:t>
            </w:r>
          </w:p>
        </w:tc>
      </w:tr>
      <w:tr w:rsidR="00A13E6D" w14:paraId="586002C4" w14:textId="77777777" w:rsidTr="00B43039">
        <w:trPr>
          <w:jc w:val="center"/>
        </w:trPr>
        <w:tc>
          <w:tcPr>
            <w:tcW w:w="1234" w:type="dxa"/>
            <w:vAlign w:val="center"/>
          </w:tcPr>
          <w:p w14:paraId="0D70913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327F32C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54CC1A0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350EF2D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987888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0.699</w:t>
            </w:r>
          </w:p>
        </w:tc>
        <w:tc>
          <w:tcPr>
            <w:tcW w:w="1233" w:type="dxa"/>
            <w:vAlign w:val="center"/>
          </w:tcPr>
          <w:p w14:paraId="7F8CD1F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0.794</w:t>
            </w:r>
          </w:p>
        </w:tc>
      </w:tr>
      <w:tr w:rsidR="00A13E6D" w14:paraId="1F657F23" w14:textId="77777777" w:rsidTr="00B43039">
        <w:trPr>
          <w:jc w:val="center"/>
        </w:trPr>
        <w:tc>
          <w:tcPr>
            <w:tcW w:w="1234" w:type="dxa"/>
            <w:vAlign w:val="center"/>
          </w:tcPr>
          <w:p w14:paraId="7656F3C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00D37D6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4C7DA26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ACCB4D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6A429CD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2.770</w:t>
            </w:r>
          </w:p>
        </w:tc>
        <w:tc>
          <w:tcPr>
            <w:tcW w:w="1233" w:type="dxa"/>
            <w:vAlign w:val="center"/>
          </w:tcPr>
          <w:p w14:paraId="1887737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0.447</w:t>
            </w:r>
          </w:p>
        </w:tc>
      </w:tr>
      <w:tr w:rsidR="00A13E6D" w14:paraId="13ADE0AD" w14:textId="77777777" w:rsidTr="00B43039">
        <w:trPr>
          <w:jc w:val="center"/>
        </w:trPr>
        <w:tc>
          <w:tcPr>
            <w:tcW w:w="1234" w:type="dxa"/>
            <w:vAlign w:val="center"/>
          </w:tcPr>
          <w:p w14:paraId="13CB329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755F97C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6F4E827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31F0BD1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B93FB4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6.520</w:t>
            </w:r>
          </w:p>
        </w:tc>
        <w:tc>
          <w:tcPr>
            <w:tcW w:w="1233" w:type="dxa"/>
            <w:vAlign w:val="center"/>
          </w:tcPr>
          <w:p w14:paraId="771C4C7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0.126</w:t>
            </w:r>
          </w:p>
        </w:tc>
      </w:tr>
      <w:tr w:rsidR="00A13E6D" w14:paraId="4B88753B" w14:textId="77777777" w:rsidTr="00B43039">
        <w:trPr>
          <w:jc w:val="center"/>
        </w:trPr>
        <w:tc>
          <w:tcPr>
            <w:tcW w:w="1234" w:type="dxa"/>
            <w:vAlign w:val="center"/>
          </w:tcPr>
          <w:p w14:paraId="1090FAE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24F74B2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3E0A4CE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C3586A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1C7A64E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1.527</w:t>
            </w:r>
          </w:p>
        </w:tc>
        <w:tc>
          <w:tcPr>
            <w:tcW w:w="1233" w:type="dxa"/>
            <w:vAlign w:val="center"/>
          </w:tcPr>
          <w:p w14:paraId="1E7D649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0.569</w:t>
            </w:r>
          </w:p>
        </w:tc>
      </w:tr>
      <w:tr w:rsidR="00A13E6D" w14:paraId="202A8762" w14:textId="77777777" w:rsidTr="00B43039">
        <w:trPr>
          <w:jc w:val="center"/>
        </w:trPr>
        <w:tc>
          <w:tcPr>
            <w:tcW w:w="1234" w:type="dxa"/>
            <w:vAlign w:val="center"/>
          </w:tcPr>
          <w:p w14:paraId="4D062EC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013C5F2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041C42F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4B422D7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4D6050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1.875</w:t>
            </w:r>
          </w:p>
        </w:tc>
        <w:tc>
          <w:tcPr>
            <w:tcW w:w="1233" w:type="dxa"/>
            <w:vAlign w:val="center"/>
          </w:tcPr>
          <w:p w14:paraId="618AAD6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0.479</w:t>
            </w:r>
          </w:p>
        </w:tc>
      </w:tr>
      <w:tr w:rsidR="00A13E6D" w14:paraId="707B22C3" w14:textId="77777777" w:rsidTr="00B43039">
        <w:trPr>
          <w:jc w:val="center"/>
        </w:trPr>
        <w:tc>
          <w:tcPr>
            <w:tcW w:w="1234" w:type="dxa"/>
            <w:vAlign w:val="center"/>
          </w:tcPr>
          <w:p w14:paraId="1A987AF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66B230B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5D02E3C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2E8E4D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4BA0EC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3.179</w:t>
            </w:r>
          </w:p>
        </w:tc>
        <w:tc>
          <w:tcPr>
            <w:tcW w:w="1233" w:type="dxa"/>
            <w:vAlign w:val="center"/>
          </w:tcPr>
          <w:p w14:paraId="779D816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0.383</w:t>
            </w:r>
          </w:p>
        </w:tc>
      </w:tr>
      <w:tr w:rsidR="00A13E6D" w14:paraId="46DF7AA1" w14:textId="77777777" w:rsidTr="00B43039">
        <w:trPr>
          <w:jc w:val="center"/>
        </w:trPr>
        <w:tc>
          <w:tcPr>
            <w:tcW w:w="1234" w:type="dxa"/>
            <w:vAlign w:val="center"/>
          </w:tcPr>
          <w:p w14:paraId="3EF18FE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542A242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6FBA9FF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6597F43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17FC27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6.689</w:t>
            </w:r>
          </w:p>
        </w:tc>
        <w:tc>
          <w:tcPr>
            <w:tcW w:w="1233" w:type="dxa"/>
            <w:vAlign w:val="center"/>
          </w:tcPr>
          <w:p w14:paraId="6D53E75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0.090</w:t>
            </w:r>
          </w:p>
        </w:tc>
      </w:tr>
      <w:tr w:rsidR="00A13E6D" w14:paraId="2CB74C34" w14:textId="77777777" w:rsidTr="00B43039">
        <w:trPr>
          <w:jc w:val="center"/>
        </w:trPr>
        <w:tc>
          <w:tcPr>
            <w:tcW w:w="1234" w:type="dxa"/>
            <w:vAlign w:val="center"/>
          </w:tcPr>
          <w:p w14:paraId="067053F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1E52370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5314AFA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BA44DE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494E3AE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6.650</w:t>
            </w:r>
          </w:p>
        </w:tc>
        <w:tc>
          <w:tcPr>
            <w:tcW w:w="1233" w:type="dxa"/>
            <w:vAlign w:val="center"/>
          </w:tcPr>
          <w:p w14:paraId="5936F73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0.160</w:t>
            </w:r>
          </w:p>
        </w:tc>
      </w:tr>
      <w:tr w:rsidR="00A13E6D" w14:paraId="7A308E0E" w14:textId="77777777" w:rsidTr="00B43039">
        <w:trPr>
          <w:jc w:val="center"/>
        </w:trPr>
        <w:tc>
          <w:tcPr>
            <w:tcW w:w="1234" w:type="dxa"/>
            <w:vAlign w:val="center"/>
          </w:tcPr>
          <w:p w14:paraId="0EF3427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254934A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474F23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157BCBE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94ABDD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0.717</w:t>
            </w:r>
          </w:p>
        </w:tc>
        <w:tc>
          <w:tcPr>
            <w:tcW w:w="1233" w:type="dxa"/>
            <w:vAlign w:val="center"/>
          </w:tcPr>
          <w:p w14:paraId="536238F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0.820</w:t>
            </w:r>
          </w:p>
        </w:tc>
      </w:tr>
      <w:tr w:rsidR="00A13E6D" w14:paraId="7B23A178" w14:textId="77777777" w:rsidTr="00B43039">
        <w:trPr>
          <w:jc w:val="center"/>
        </w:trPr>
        <w:tc>
          <w:tcPr>
            <w:tcW w:w="1234" w:type="dxa"/>
            <w:vAlign w:val="center"/>
          </w:tcPr>
          <w:p w14:paraId="33C6BAF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69FFE77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95F36C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4C5C19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619FBDE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7.848</w:t>
            </w:r>
          </w:p>
        </w:tc>
        <w:tc>
          <w:tcPr>
            <w:tcW w:w="1233" w:type="dxa"/>
            <w:vAlign w:val="center"/>
          </w:tcPr>
          <w:p w14:paraId="4844314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0.134</w:t>
            </w:r>
          </w:p>
        </w:tc>
      </w:tr>
      <w:tr w:rsidR="00A13E6D" w14:paraId="373B6F8E" w14:textId="77777777" w:rsidTr="00B43039">
        <w:trPr>
          <w:jc w:val="center"/>
        </w:trPr>
        <w:tc>
          <w:tcPr>
            <w:tcW w:w="1234" w:type="dxa"/>
            <w:vAlign w:val="center"/>
          </w:tcPr>
          <w:p w14:paraId="20F684A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2C4B276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5A343BA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20E0E18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E383DB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0.546</w:t>
            </w:r>
          </w:p>
        </w:tc>
        <w:tc>
          <w:tcPr>
            <w:tcW w:w="1233" w:type="dxa"/>
            <w:vAlign w:val="center"/>
          </w:tcPr>
          <w:p w14:paraId="7EA5BC7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0.962</w:t>
            </w:r>
          </w:p>
        </w:tc>
      </w:tr>
      <w:tr w:rsidR="00A13E6D" w14:paraId="32F42900" w14:textId="77777777" w:rsidTr="00B43039">
        <w:trPr>
          <w:jc w:val="center"/>
        </w:trPr>
        <w:tc>
          <w:tcPr>
            <w:tcW w:w="1234" w:type="dxa"/>
            <w:vAlign w:val="center"/>
          </w:tcPr>
          <w:p w14:paraId="7E33641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1493A77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7F8C434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2FE5D8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3356D06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0.563</w:t>
            </w:r>
          </w:p>
        </w:tc>
        <w:tc>
          <w:tcPr>
            <w:tcW w:w="1233" w:type="dxa"/>
            <w:vAlign w:val="center"/>
          </w:tcPr>
          <w:p w14:paraId="2485900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0.950</w:t>
            </w:r>
          </w:p>
        </w:tc>
      </w:tr>
      <w:tr w:rsidR="00A13E6D" w14:paraId="4F378058" w14:textId="77777777" w:rsidTr="00B43039">
        <w:trPr>
          <w:jc w:val="center"/>
        </w:trPr>
        <w:tc>
          <w:tcPr>
            <w:tcW w:w="1234" w:type="dxa"/>
            <w:vAlign w:val="center"/>
          </w:tcPr>
          <w:p w14:paraId="5BD5BC8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31ADF3C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796E4C1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1769378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A8388D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0.529</w:t>
            </w:r>
          </w:p>
        </w:tc>
        <w:tc>
          <w:tcPr>
            <w:tcW w:w="1233" w:type="dxa"/>
            <w:vAlign w:val="center"/>
          </w:tcPr>
          <w:p w14:paraId="63264BD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0.946</w:t>
            </w:r>
          </w:p>
        </w:tc>
      </w:tr>
      <w:tr w:rsidR="00A13E6D" w14:paraId="2B10F557" w14:textId="77777777" w:rsidTr="00B43039">
        <w:trPr>
          <w:jc w:val="center"/>
        </w:trPr>
        <w:tc>
          <w:tcPr>
            <w:tcW w:w="1234" w:type="dxa"/>
            <w:vAlign w:val="center"/>
          </w:tcPr>
          <w:p w14:paraId="1F438DA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7D9D354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311ABD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7F99EF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2E55018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0.912</w:t>
            </w:r>
          </w:p>
        </w:tc>
        <w:tc>
          <w:tcPr>
            <w:tcW w:w="1233" w:type="dxa"/>
            <w:vAlign w:val="center"/>
          </w:tcPr>
          <w:p w14:paraId="0E27E1E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0.870</w:t>
            </w:r>
          </w:p>
        </w:tc>
      </w:tr>
      <w:tr w:rsidR="00A13E6D" w14:paraId="01ADCC22" w14:textId="77777777" w:rsidTr="00B43039">
        <w:trPr>
          <w:jc w:val="center"/>
        </w:trPr>
        <w:tc>
          <w:tcPr>
            <w:tcW w:w="1234" w:type="dxa"/>
            <w:vAlign w:val="center"/>
          </w:tcPr>
          <w:p w14:paraId="44A0CF7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6843DF4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EDA430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6649090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AED1E7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10.764</w:t>
            </w:r>
          </w:p>
        </w:tc>
        <w:tc>
          <w:tcPr>
            <w:tcW w:w="1233" w:type="dxa"/>
            <w:vAlign w:val="center"/>
          </w:tcPr>
          <w:p w14:paraId="15B5FCB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0.080</w:t>
            </w:r>
          </w:p>
        </w:tc>
      </w:tr>
      <w:tr w:rsidR="00A13E6D" w14:paraId="4F48B2BF" w14:textId="77777777" w:rsidTr="00B43039">
        <w:trPr>
          <w:jc w:val="center"/>
        </w:trPr>
        <w:tc>
          <w:tcPr>
            <w:tcW w:w="1234" w:type="dxa"/>
            <w:vAlign w:val="center"/>
          </w:tcPr>
          <w:p w14:paraId="037CF64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6C0148B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850023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071F63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F00381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7.083</w:t>
            </w:r>
          </w:p>
        </w:tc>
        <w:tc>
          <w:tcPr>
            <w:tcW w:w="1233" w:type="dxa"/>
            <w:vAlign w:val="center"/>
          </w:tcPr>
          <w:p w14:paraId="36755B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0.134</w:t>
            </w:r>
          </w:p>
        </w:tc>
      </w:tr>
      <w:tr w:rsidR="00A13E6D" w14:paraId="38037893" w14:textId="77777777" w:rsidTr="00B43039">
        <w:trPr>
          <w:jc w:val="center"/>
        </w:trPr>
        <w:tc>
          <w:tcPr>
            <w:tcW w:w="1234" w:type="dxa"/>
            <w:vAlign w:val="center"/>
          </w:tcPr>
          <w:p w14:paraId="32FE329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5CE77F3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808D30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4593754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507DDB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0.384</w:t>
            </w:r>
          </w:p>
        </w:tc>
        <w:tc>
          <w:tcPr>
            <w:tcW w:w="1233" w:type="dxa"/>
            <w:vAlign w:val="center"/>
          </w:tcPr>
          <w:p w14:paraId="59D0BD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0.926</w:t>
            </w:r>
          </w:p>
        </w:tc>
      </w:tr>
      <w:tr w:rsidR="00A13E6D" w14:paraId="0533AD14" w14:textId="77777777" w:rsidTr="00B43039">
        <w:trPr>
          <w:jc w:val="center"/>
        </w:trPr>
        <w:tc>
          <w:tcPr>
            <w:tcW w:w="1234" w:type="dxa"/>
            <w:vAlign w:val="center"/>
          </w:tcPr>
          <w:p w14:paraId="7835706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3525E07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920B57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6DE11E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5060F6C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0.528</w:t>
            </w:r>
          </w:p>
        </w:tc>
        <w:tc>
          <w:tcPr>
            <w:tcW w:w="1233" w:type="dxa"/>
            <w:vAlign w:val="center"/>
          </w:tcPr>
          <w:p w14:paraId="32E7E47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0.936</w:t>
            </w:r>
          </w:p>
        </w:tc>
      </w:tr>
      <w:tr w:rsidR="00A13E6D" w14:paraId="7FD04F7F" w14:textId="77777777" w:rsidTr="00B43039">
        <w:trPr>
          <w:jc w:val="center"/>
        </w:trPr>
        <w:tc>
          <w:tcPr>
            <w:tcW w:w="1234" w:type="dxa"/>
            <w:vAlign w:val="center"/>
          </w:tcPr>
          <w:p w14:paraId="2A838C9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13B4684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B1117D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9CCD88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29C17E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11.206</w:t>
            </w:r>
          </w:p>
        </w:tc>
        <w:tc>
          <w:tcPr>
            <w:tcW w:w="1233" w:type="dxa"/>
            <w:vAlign w:val="center"/>
          </w:tcPr>
          <w:p w14:paraId="294CBBE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0.058</w:t>
            </w:r>
          </w:p>
        </w:tc>
      </w:tr>
      <w:tr w:rsidR="00A13E6D" w14:paraId="6DA40F30" w14:textId="77777777" w:rsidTr="00B43039">
        <w:trPr>
          <w:jc w:val="center"/>
        </w:trPr>
        <w:tc>
          <w:tcPr>
            <w:tcW w:w="1234" w:type="dxa"/>
            <w:vAlign w:val="center"/>
          </w:tcPr>
          <w:p w14:paraId="7586B42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4BB9D6C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37109A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28B129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7C55386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1.264</w:t>
            </w:r>
          </w:p>
        </w:tc>
        <w:tc>
          <w:tcPr>
            <w:tcW w:w="1233" w:type="dxa"/>
            <w:vAlign w:val="center"/>
          </w:tcPr>
          <w:p w14:paraId="6C61591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0.770</w:t>
            </w:r>
          </w:p>
        </w:tc>
      </w:tr>
      <w:tr w:rsidR="00A13E6D" w14:paraId="237972C3" w14:textId="77777777" w:rsidTr="00B43039">
        <w:trPr>
          <w:jc w:val="center"/>
        </w:trPr>
        <w:tc>
          <w:tcPr>
            <w:tcW w:w="1234" w:type="dxa"/>
            <w:vAlign w:val="center"/>
          </w:tcPr>
          <w:p w14:paraId="49E78F0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53681E9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5C69A4F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5BEBC24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E89BA8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14.747</w:t>
            </w:r>
          </w:p>
        </w:tc>
        <w:tc>
          <w:tcPr>
            <w:tcW w:w="1233" w:type="dxa"/>
            <w:vAlign w:val="center"/>
          </w:tcPr>
          <w:p w14:paraId="04C5632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0.062</w:t>
            </w:r>
          </w:p>
        </w:tc>
      </w:tr>
      <w:tr w:rsidR="00A13E6D" w14:paraId="58BD9C3E" w14:textId="77777777" w:rsidTr="00B43039">
        <w:trPr>
          <w:jc w:val="center"/>
        </w:trPr>
        <w:tc>
          <w:tcPr>
            <w:tcW w:w="1234" w:type="dxa"/>
            <w:vAlign w:val="center"/>
          </w:tcPr>
          <w:p w14:paraId="0534610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457B409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246A45D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C06002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D41AB9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1.518</w:t>
            </w:r>
          </w:p>
        </w:tc>
        <w:tc>
          <w:tcPr>
            <w:tcW w:w="1233" w:type="dxa"/>
            <w:vAlign w:val="center"/>
          </w:tcPr>
          <w:p w14:paraId="4B60B99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0.806</w:t>
            </w:r>
          </w:p>
        </w:tc>
      </w:tr>
      <w:tr w:rsidR="00A13E6D" w14:paraId="6C33B1FB" w14:textId="77777777" w:rsidTr="00B43039">
        <w:trPr>
          <w:jc w:val="center"/>
        </w:trPr>
        <w:tc>
          <w:tcPr>
            <w:tcW w:w="1234" w:type="dxa"/>
            <w:vAlign w:val="center"/>
          </w:tcPr>
          <w:p w14:paraId="7D1FD90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49D6C27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EEECA5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39D60CA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3B1403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5.741</w:t>
            </w:r>
          </w:p>
        </w:tc>
        <w:tc>
          <w:tcPr>
            <w:tcW w:w="1233" w:type="dxa"/>
            <w:vAlign w:val="center"/>
          </w:tcPr>
          <w:p w14:paraId="21F918A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0.250</w:t>
            </w:r>
          </w:p>
        </w:tc>
      </w:tr>
    </w:tbl>
    <w:p w14:paraId="163FD8EE"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2A71E7EC" w14:textId="77777777" w:rsidR="00A13E6D" w:rsidRPr="00670A98" w:rsidRDefault="00A13E6D" w:rsidP="00A13E6D">
      <w:pPr>
        <w:spacing w:before="100" w:beforeAutospacing="1" w:after="100" w:afterAutospacing="1" w:line="240" w:lineRule="auto"/>
        <w:jc w:val="both"/>
        <w:rPr>
          <w:rFonts w:ascii="Times New Roman" w:eastAsia="Times New Roman" w:hAnsi="Times New Roman" w:cs="Times New Roman"/>
          <w:sz w:val="24"/>
          <w:szCs w:val="24"/>
        </w:rPr>
      </w:pPr>
      <w:r w:rsidRPr="00670A98">
        <w:rPr>
          <w:rFonts w:ascii="Times New Roman" w:eastAsia="Times New Roman" w:hAnsi="Times New Roman" w:cs="Times New Roman"/>
          <w:sz w:val="24"/>
          <w:szCs w:val="24"/>
        </w:rPr>
        <w:t xml:space="preserve">The modified Wald asymmetric causality results show </w:t>
      </w:r>
      <w:r>
        <w:rPr>
          <w:rFonts w:ascii="Times New Roman" w:eastAsia="Times New Roman" w:hAnsi="Times New Roman" w:cs="Times New Roman"/>
          <w:sz w:val="24"/>
          <w:szCs w:val="24"/>
        </w:rPr>
        <w:t xml:space="preserve">a very small </w:t>
      </w:r>
      <w:r w:rsidRPr="005A29D6">
        <w:rPr>
          <w:rFonts w:ascii="Times New Roman" w:eastAsia="Times New Roman" w:hAnsi="Times New Roman" w:cs="Times New Roman"/>
          <w:bCs/>
          <w:sz w:val="24"/>
          <w:szCs w:val="24"/>
        </w:rPr>
        <w:t>evidence of causal relationships</w:t>
      </w:r>
      <w:r w:rsidRPr="00670A98">
        <w:rPr>
          <w:rFonts w:ascii="Times New Roman" w:eastAsia="Times New Roman" w:hAnsi="Times New Roman" w:cs="Times New Roman"/>
          <w:sz w:val="24"/>
          <w:szCs w:val="24"/>
        </w:rPr>
        <w:t xml:space="preserve"> between EPU and the macroeconomic variables when bootstrap p-valu</w:t>
      </w:r>
      <w:r>
        <w:rPr>
          <w:rFonts w:ascii="Times New Roman" w:eastAsia="Times New Roman" w:hAnsi="Times New Roman" w:cs="Times New Roman"/>
          <w:sz w:val="24"/>
          <w:szCs w:val="24"/>
        </w:rPr>
        <w:t xml:space="preserve">es are used. </w:t>
      </w:r>
      <w:r w:rsidRPr="00670A98">
        <w:rPr>
          <w:rFonts w:ascii="Times New Roman" w:eastAsia="Times New Roman" w:hAnsi="Times New Roman" w:cs="Times New Roman"/>
          <w:position w:val="-14"/>
          <w:sz w:val="24"/>
          <w:szCs w:val="24"/>
        </w:rPr>
        <w:object w:dxaOrig="1620" w:dyaOrig="400" w14:anchorId="60277F09">
          <v:shape id="_x0000_i1060" type="#_x0000_t75" style="width:80.6pt;height:19.7pt" o:ole="">
            <v:imagedata r:id="rId75" o:title=""/>
          </v:shape>
          <o:OLEObject Type="Embed" ProgID="Equation.DSMT4" ShapeID="_x0000_i1060" DrawAspect="Content" ObjectID="_1849690820" r:id="rId76"/>
        </w:object>
      </w:r>
      <w:r w:rsidRPr="00670A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is the only significant relationship </w:t>
      </w:r>
      <w:r w:rsidRPr="00670A98">
        <w:rPr>
          <w:rFonts w:ascii="Times New Roman" w:eastAsia="Times New Roman" w:hAnsi="Times New Roman" w:cs="Times New Roman"/>
          <w:sz w:val="24"/>
          <w:szCs w:val="24"/>
        </w:rPr>
        <w:t xml:space="preserve"> with a Wald statistic of </w:t>
      </w:r>
      <w:r w:rsidRPr="00670A98">
        <w:rPr>
          <w:rFonts w:ascii="Times New Roman" w:eastAsia="Times New Roman" w:hAnsi="Times New Roman" w:cs="Times New Roman"/>
          <w:b/>
          <w:bCs/>
          <w:sz w:val="24"/>
          <w:szCs w:val="24"/>
        </w:rPr>
        <w:t>47.210</w:t>
      </w:r>
      <w:r w:rsidRPr="00670A98">
        <w:rPr>
          <w:rFonts w:ascii="Times New Roman" w:eastAsia="Times New Roman" w:hAnsi="Times New Roman" w:cs="Times New Roman"/>
          <w:sz w:val="24"/>
          <w:szCs w:val="24"/>
        </w:rPr>
        <w:t xml:space="preserve"> and bootstrap </w:t>
      </w:r>
      <w:r w:rsidRPr="005A29D6">
        <w:rPr>
          <w:rFonts w:ascii="Times New Roman" w:eastAsia="Times New Roman" w:hAnsi="Times New Roman" w:cs="Times New Roman"/>
          <w:position w:val="-10"/>
          <w:sz w:val="24"/>
          <w:szCs w:val="24"/>
        </w:rPr>
        <w:object w:dxaOrig="960" w:dyaOrig="320" w14:anchorId="66416864">
          <v:shape id="_x0000_i1061" type="#_x0000_t75" style="width:48.6pt;height:16pt" o:ole="">
            <v:imagedata r:id="rId77" o:title=""/>
          </v:shape>
          <o:OLEObject Type="Embed" ProgID="Equation.DSMT4" ShapeID="_x0000_i1061" DrawAspect="Content" ObjectID="_1849690821" r:id="rId78"/>
        </w:object>
      </w:r>
      <w:r w:rsidRPr="00670A98">
        <w:rPr>
          <w:rFonts w:ascii="Times New Roman" w:eastAsia="Times New Roman" w:hAnsi="Times New Roman" w:cs="Times New Roman"/>
          <w:sz w:val="24"/>
          <w:szCs w:val="24"/>
        </w:rPr>
        <w:t xml:space="preserve"> of </w:t>
      </w:r>
      <w:r w:rsidRPr="00670A98">
        <w:rPr>
          <w:rFonts w:ascii="Times New Roman" w:eastAsia="Times New Roman" w:hAnsi="Times New Roman" w:cs="Times New Roman"/>
          <w:b/>
          <w:bCs/>
          <w:sz w:val="24"/>
          <w:szCs w:val="24"/>
        </w:rPr>
        <w:t>0.002</w:t>
      </w:r>
      <w:r w:rsidRPr="00670A98">
        <w:rPr>
          <w:rFonts w:ascii="Times New Roman" w:eastAsia="Times New Roman" w:hAnsi="Times New Roman" w:cs="Times New Roman"/>
          <w:sz w:val="24"/>
          <w:szCs w:val="24"/>
        </w:rPr>
        <w:t xml:space="preserve">, indicating that negative GDP growth shocks significantly cause positive EPU shocks. </w:t>
      </w:r>
      <w:r>
        <w:rPr>
          <w:rFonts w:ascii="Times New Roman" w:eastAsia="Times New Roman" w:hAnsi="Times New Roman" w:cs="Times New Roman"/>
          <w:sz w:val="24"/>
          <w:szCs w:val="24"/>
        </w:rPr>
        <w:t xml:space="preserve">There is also weak evidence for </w:t>
      </w:r>
      <w:r w:rsidRPr="00670A98">
        <w:rPr>
          <w:rFonts w:ascii="Times New Roman" w:eastAsia="Times New Roman" w:hAnsi="Times New Roman" w:cs="Times New Roman"/>
          <w:position w:val="-14"/>
          <w:sz w:val="24"/>
          <w:szCs w:val="24"/>
        </w:rPr>
        <w:object w:dxaOrig="2700" w:dyaOrig="400" w14:anchorId="764EA249">
          <v:shape id="_x0000_i1062" type="#_x0000_t75" style="width:134.75pt;height:19.7pt" o:ole="">
            <v:imagedata r:id="rId79" o:title=""/>
          </v:shape>
          <o:OLEObject Type="Embed" ProgID="Equation.DSMT4" ShapeID="_x0000_i1062" DrawAspect="Content" ObjectID="_1849690822" r:id="rId80"/>
        </w:object>
      </w:r>
      <w:r w:rsidRPr="00670A98">
        <w:rPr>
          <w:rFonts w:ascii="Times New Roman" w:eastAsia="Times New Roman" w:hAnsi="Times New Roman" w:cs="Times New Roman"/>
          <w:sz w:val="24"/>
          <w:szCs w:val="24"/>
        </w:rPr>
        <w:t xml:space="preserve">, while </w:t>
      </w:r>
      <w:r w:rsidRPr="00EF1822">
        <w:rPr>
          <w:position w:val="-14"/>
        </w:rPr>
        <w:object w:dxaOrig="2700" w:dyaOrig="400" w14:anchorId="41B4C22E">
          <v:shape id="_x0000_i1063" type="#_x0000_t75" style="width:134.75pt;height:19.7pt" o:ole="">
            <v:imagedata r:id="rId81" o:title=""/>
          </v:shape>
          <o:OLEObject Type="Embed" ProgID="Equation.DSMT4" ShapeID="_x0000_i1063" DrawAspect="Content" ObjectID="_1849690823" r:id="rId82"/>
        </w:object>
      </w:r>
      <w:r w:rsidRPr="00670A98">
        <w:rPr>
          <w:rFonts w:ascii="Times New Roman" w:eastAsia="Times New Roman" w:hAnsi="Times New Roman" w:cs="Times New Roman"/>
          <w:sz w:val="24"/>
          <w:szCs w:val="24"/>
        </w:rPr>
        <w:t xml:space="preserve"> and </w:t>
      </w:r>
      <w:r w:rsidRPr="00EF1822">
        <w:rPr>
          <w:position w:val="-14"/>
        </w:rPr>
        <w:object w:dxaOrig="2940" w:dyaOrig="400" w14:anchorId="4E8A3BB2">
          <v:shape id="_x0000_i1064" type="#_x0000_t75" style="width:147.1pt;height:19.7pt" o:ole="">
            <v:imagedata r:id="rId83" o:title=""/>
          </v:shape>
          <o:OLEObject Type="Embed" ProgID="Equation.DSMT4" ShapeID="_x0000_i1064" DrawAspect="Content" ObjectID="_1849690824" r:id="rId84"/>
        </w:object>
      </w:r>
      <w:r w:rsidRPr="00670A98">
        <w:rPr>
          <w:rFonts w:ascii="Times New Roman" w:eastAsia="Times New Roman" w:hAnsi="Times New Roman" w:cs="Times New Roman"/>
          <w:sz w:val="24"/>
          <w:szCs w:val="24"/>
        </w:rPr>
        <w:t xml:space="preserve"> are marginal at the 10% level.</w:t>
      </w:r>
      <w:r>
        <w:rPr>
          <w:rFonts w:ascii="Times New Roman" w:eastAsia="Times New Roman" w:hAnsi="Times New Roman" w:cs="Times New Roman"/>
          <w:sz w:val="24"/>
          <w:szCs w:val="24"/>
        </w:rPr>
        <w:t xml:space="preserve"> In general, all</w:t>
      </w:r>
      <w:r w:rsidRPr="00670A98">
        <w:rPr>
          <w:rFonts w:ascii="Times New Roman" w:eastAsia="Times New Roman" w:hAnsi="Times New Roman" w:cs="Times New Roman"/>
          <w:sz w:val="24"/>
          <w:szCs w:val="24"/>
        </w:rPr>
        <w:t xml:space="preserve"> other positive, negative, and cross-sign shock combinations have bootstrap p-values above 0.10 and are therefore stat</w:t>
      </w:r>
      <w:r>
        <w:rPr>
          <w:rFonts w:ascii="Times New Roman" w:eastAsia="Times New Roman" w:hAnsi="Times New Roman" w:cs="Times New Roman"/>
          <w:sz w:val="24"/>
          <w:szCs w:val="24"/>
        </w:rPr>
        <w:t>istically insignificant. broadly</w:t>
      </w:r>
      <w:r w:rsidRPr="00670A98">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results</w:t>
      </w:r>
      <w:r w:rsidRPr="00670A98">
        <w:rPr>
          <w:rFonts w:ascii="Times New Roman" w:eastAsia="Times New Roman" w:hAnsi="Times New Roman" w:cs="Times New Roman"/>
          <w:sz w:val="24"/>
          <w:szCs w:val="24"/>
        </w:rPr>
        <w:t xml:space="preserve"> suggest that </w:t>
      </w:r>
      <w:r w:rsidRPr="005A29D6">
        <w:rPr>
          <w:rFonts w:ascii="Times New Roman" w:eastAsia="Times New Roman" w:hAnsi="Times New Roman" w:cs="Times New Roman"/>
          <w:bCs/>
          <w:sz w:val="24"/>
          <w:szCs w:val="24"/>
        </w:rPr>
        <w:t>asymmetric causality is concentrated mainly in the transmission from adverse GDP growth shocks to increased economic policy uncertainty</w:t>
      </w:r>
      <w:r w:rsidRPr="00670A98">
        <w:rPr>
          <w:rFonts w:ascii="Times New Roman" w:eastAsia="Times New Roman" w:hAnsi="Times New Roman" w:cs="Times New Roman"/>
          <w:sz w:val="24"/>
          <w:szCs w:val="24"/>
        </w:rPr>
        <w:t>, with limited evidence from inflation, interest rates, and unemployment.</w:t>
      </w:r>
    </w:p>
    <w:p w14:paraId="6EDB0AD2" w14:textId="77777777" w:rsidR="00A13E6D" w:rsidRDefault="00A13E6D" w:rsidP="00A13E6D">
      <w:pPr>
        <w:pStyle w:val="NormalWeb"/>
        <w:jc w:val="both"/>
        <w:rPr>
          <w:sz w:val="20"/>
          <w:szCs w:val="20"/>
        </w:rPr>
      </w:pPr>
      <w:r>
        <w:t>4.7 Robustness comparison with symmetric and nonlinear causality tests</w:t>
      </w:r>
    </w:p>
    <w:p w14:paraId="643AFC12" w14:textId="77777777" w:rsidR="00A13E6D" w:rsidRPr="00DE2B4E" w:rsidRDefault="00A13E6D" w:rsidP="00A13E6D">
      <w:pPr>
        <w:pStyle w:val="NormalWeb"/>
        <w:jc w:val="both"/>
      </w:pPr>
      <w:r w:rsidRPr="000C3E21">
        <w:t>The comparison below clearly shows how imposing linearity can obscure the directionality of the single bootstrap-supported nonlinear relationship</w:t>
      </w:r>
      <w:r>
        <w:t>.</w:t>
      </w:r>
    </w:p>
    <w:p w14:paraId="45E51A07" w14:textId="77777777" w:rsidR="00A13E6D" w:rsidRPr="000C3E21" w:rsidRDefault="00A13E6D" w:rsidP="00A13E6D">
      <w:pPr>
        <w:pStyle w:val="NormalWeb"/>
        <w:jc w:val="both"/>
        <w:rPr>
          <w:sz w:val="20"/>
          <w:szCs w:val="20"/>
        </w:rPr>
      </w:pPr>
      <w:r>
        <w:rPr>
          <w:sz w:val="20"/>
          <w:szCs w:val="20"/>
        </w:rPr>
        <w:tab/>
      </w:r>
      <w:r w:rsidRPr="000C3E21">
        <w:rPr>
          <w:sz w:val="20"/>
          <w:szCs w:val="20"/>
        </w:rPr>
        <w:t>Table 7 Robustness comparison with symmetric and nonlinear causality tests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20"/>
        <w:gridCol w:w="1620"/>
        <w:gridCol w:w="900"/>
        <w:gridCol w:w="1255"/>
      </w:tblGrid>
      <w:tr w:rsidR="00A13E6D" w14:paraId="15440664" w14:textId="77777777" w:rsidTr="00B43039">
        <w:trPr>
          <w:jc w:val="center"/>
        </w:trPr>
        <w:tc>
          <w:tcPr>
            <w:tcW w:w="1260" w:type="dxa"/>
            <w:vAlign w:val="center"/>
          </w:tcPr>
          <w:p w14:paraId="0124501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Pair</w:t>
            </w:r>
          </w:p>
        </w:tc>
        <w:tc>
          <w:tcPr>
            <w:tcW w:w="720" w:type="dxa"/>
            <w:vAlign w:val="center"/>
          </w:tcPr>
          <w:p w14:paraId="692067A0"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p</w:t>
            </w:r>
          </w:p>
        </w:tc>
        <w:tc>
          <w:tcPr>
            <w:tcW w:w="1620" w:type="dxa"/>
            <w:vAlign w:val="center"/>
          </w:tcPr>
          <w:p w14:paraId="1B3461F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Direction</w:t>
            </w:r>
          </w:p>
        </w:tc>
        <w:tc>
          <w:tcPr>
            <w:tcW w:w="900" w:type="dxa"/>
            <w:vAlign w:val="center"/>
          </w:tcPr>
          <w:p w14:paraId="439ECA79" w14:textId="77777777" w:rsidR="00A13E6D" w:rsidRPr="000C3E21" w:rsidRDefault="00A13E6D" w:rsidP="00B43039">
            <w:pPr>
              <w:rPr>
                <w:rFonts w:ascii="Times New Roman" w:hAnsi="Times New Roman" w:cs="Times New Roman"/>
                <w:sz w:val="20"/>
                <w:szCs w:val="20"/>
              </w:rPr>
            </w:pPr>
            <w:r w:rsidRPr="00EF1822">
              <w:rPr>
                <w:rFonts w:eastAsiaTheme="minorHAnsi"/>
                <w:position w:val="-6"/>
              </w:rPr>
              <w:object w:dxaOrig="580" w:dyaOrig="279" w14:anchorId="28210577">
                <v:shape id="_x0000_i1065" type="#_x0000_t75" style="width:28.9pt;height:13.55pt" o:ole="">
                  <v:imagedata r:id="rId85" o:title=""/>
                </v:shape>
                <o:OLEObject Type="Embed" ProgID="Equation.DSMT4" ShapeID="_x0000_i1065" DrawAspect="Content" ObjectID="_1849690825" r:id="rId86"/>
              </w:object>
            </w:r>
          </w:p>
        </w:tc>
        <w:tc>
          <w:tcPr>
            <w:tcW w:w="1255" w:type="dxa"/>
            <w:vAlign w:val="center"/>
          </w:tcPr>
          <w:p w14:paraId="3DCA4EF6" w14:textId="77777777" w:rsidR="00A13E6D" w:rsidRPr="000C3E21" w:rsidRDefault="00A13E6D" w:rsidP="00B43039">
            <w:pPr>
              <w:rPr>
                <w:rFonts w:ascii="Times New Roman" w:hAnsi="Times New Roman" w:cs="Times New Roman"/>
                <w:sz w:val="20"/>
                <w:szCs w:val="20"/>
              </w:rPr>
            </w:pPr>
            <w:r w:rsidRPr="000C3E21">
              <w:rPr>
                <w:rFonts w:ascii="Times New Roman" w:eastAsia="Times New Roman" w:hAnsi="Times New Roman" w:cs="Times New Roman"/>
                <w:position w:val="-10"/>
                <w:sz w:val="24"/>
                <w:szCs w:val="24"/>
              </w:rPr>
              <w:object w:dxaOrig="960" w:dyaOrig="320" w14:anchorId="15DB6BFE">
                <v:shape id="_x0000_i1066" type="#_x0000_t75" style="width:48.6pt;height:16pt" o:ole="">
                  <v:imagedata r:id="rId87" o:title=""/>
                </v:shape>
                <o:OLEObject Type="Embed" ProgID="Equation.DSMT4" ShapeID="_x0000_i1066" DrawAspect="Content" ObjectID="_1849690826" r:id="rId88"/>
              </w:object>
            </w:r>
          </w:p>
        </w:tc>
      </w:tr>
      <w:tr w:rsidR="00A13E6D" w14:paraId="573B1EA9" w14:textId="77777777" w:rsidTr="00B43039">
        <w:trPr>
          <w:jc w:val="center"/>
        </w:trPr>
        <w:tc>
          <w:tcPr>
            <w:tcW w:w="1260" w:type="dxa"/>
            <w:vAlign w:val="center"/>
          </w:tcPr>
          <w:p w14:paraId="6DB5E7B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GDPgr</w:t>
            </w:r>
          </w:p>
        </w:tc>
        <w:tc>
          <w:tcPr>
            <w:tcW w:w="720" w:type="dxa"/>
            <w:vAlign w:val="center"/>
          </w:tcPr>
          <w:p w14:paraId="7686686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1D61635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GDPgr</w:t>
            </w:r>
          </w:p>
        </w:tc>
        <w:tc>
          <w:tcPr>
            <w:tcW w:w="900" w:type="dxa"/>
            <w:vAlign w:val="center"/>
          </w:tcPr>
          <w:p w14:paraId="3C2C9B3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4.386</w:t>
            </w:r>
          </w:p>
        </w:tc>
        <w:tc>
          <w:tcPr>
            <w:tcW w:w="1255" w:type="dxa"/>
            <w:vAlign w:val="center"/>
          </w:tcPr>
          <w:p w14:paraId="164B063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0.356</w:t>
            </w:r>
          </w:p>
        </w:tc>
      </w:tr>
      <w:tr w:rsidR="00A13E6D" w14:paraId="0BECB8C1" w14:textId="77777777" w:rsidTr="00B43039">
        <w:trPr>
          <w:jc w:val="center"/>
        </w:trPr>
        <w:tc>
          <w:tcPr>
            <w:tcW w:w="1260" w:type="dxa"/>
            <w:vAlign w:val="center"/>
          </w:tcPr>
          <w:p w14:paraId="121424B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GDPgr</w:t>
            </w:r>
          </w:p>
        </w:tc>
        <w:tc>
          <w:tcPr>
            <w:tcW w:w="720" w:type="dxa"/>
            <w:vAlign w:val="center"/>
          </w:tcPr>
          <w:p w14:paraId="29D0785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3DA5538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GDPgr → EPU</w:t>
            </w:r>
          </w:p>
        </w:tc>
        <w:tc>
          <w:tcPr>
            <w:tcW w:w="900" w:type="dxa"/>
            <w:vAlign w:val="center"/>
          </w:tcPr>
          <w:p w14:paraId="0A817B0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25.033</w:t>
            </w:r>
          </w:p>
        </w:tc>
        <w:tc>
          <w:tcPr>
            <w:tcW w:w="1255" w:type="dxa"/>
            <w:vAlign w:val="center"/>
          </w:tcPr>
          <w:p w14:paraId="24592BA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0.000</w:t>
            </w:r>
          </w:p>
        </w:tc>
      </w:tr>
      <w:tr w:rsidR="00A13E6D" w14:paraId="25FC91F3" w14:textId="77777777" w:rsidTr="00B43039">
        <w:trPr>
          <w:jc w:val="center"/>
        </w:trPr>
        <w:tc>
          <w:tcPr>
            <w:tcW w:w="1260" w:type="dxa"/>
            <w:vAlign w:val="center"/>
          </w:tcPr>
          <w:p w14:paraId="13788D1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lastRenderedPageBreak/>
              <w:t>EXR</w:t>
            </w:r>
          </w:p>
        </w:tc>
        <w:tc>
          <w:tcPr>
            <w:tcW w:w="720" w:type="dxa"/>
            <w:vAlign w:val="center"/>
          </w:tcPr>
          <w:p w14:paraId="12C9A86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w:t>
            </w:r>
          </w:p>
        </w:tc>
        <w:tc>
          <w:tcPr>
            <w:tcW w:w="1620" w:type="dxa"/>
            <w:vAlign w:val="center"/>
          </w:tcPr>
          <w:p w14:paraId="5D4EA40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EXR</w:t>
            </w:r>
          </w:p>
        </w:tc>
        <w:tc>
          <w:tcPr>
            <w:tcW w:w="900" w:type="dxa"/>
            <w:vAlign w:val="center"/>
          </w:tcPr>
          <w:p w14:paraId="2CF873B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0.834</w:t>
            </w:r>
          </w:p>
        </w:tc>
        <w:tc>
          <w:tcPr>
            <w:tcW w:w="1255" w:type="dxa"/>
            <w:vAlign w:val="center"/>
          </w:tcPr>
          <w:p w14:paraId="527D24E0"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0.659</w:t>
            </w:r>
          </w:p>
        </w:tc>
      </w:tr>
      <w:tr w:rsidR="00A13E6D" w14:paraId="26B1AB1A" w14:textId="77777777" w:rsidTr="00B43039">
        <w:trPr>
          <w:jc w:val="center"/>
        </w:trPr>
        <w:tc>
          <w:tcPr>
            <w:tcW w:w="1260" w:type="dxa"/>
            <w:vAlign w:val="center"/>
          </w:tcPr>
          <w:p w14:paraId="6577D25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w:t>
            </w:r>
          </w:p>
        </w:tc>
        <w:tc>
          <w:tcPr>
            <w:tcW w:w="720" w:type="dxa"/>
            <w:vAlign w:val="center"/>
          </w:tcPr>
          <w:p w14:paraId="40CC72B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w:t>
            </w:r>
          </w:p>
        </w:tc>
        <w:tc>
          <w:tcPr>
            <w:tcW w:w="1620" w:type="dxa"/>
            <w:vAlign w:val="center"/>
          </w:tcPr>
          <w:p w14:paraId="7E5A025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 → EPU</w:t>
            </w:r>
          </w:p>
        </w:tc>
        <w:tc>
          <w:tcPr>
            <w:tcW w:w="900" w:type="dxa"/>
            <w:vAlign w:val="center"/>
          </w:tcPr>
          <w:p w14:paraId="5E199DD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0.523</w:t>
            </w:r>
          </w:p>
        </w:tc>
        <w:tc>
          <w:tcPr>
            <w:tcW w:w="1255" w:type="dxa"/>
            <w:vAlign w:val="center"/>
          </w:tcPr>
          <w:p w14:paraId="17C9759C"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0.770</w:t>
            </w:r>
          </w:p>
        </w:tc>
      </w:tr>
      <w:tr w:rsidR="00A13E6D" w14:paraId="5FD76636" w14:textId="77777777" w:rsidTr="00B43039">
        <w:trPr>
          <w:jc w:val="center"/>
        </w:trPr>
        <w:tc>
          <w:tcPr>
            <w:tcW w:w="1260" w:type="dxa"/>
            <w:vAlign w:val="center"/>
          </w:tcPr>
          <w:p w14:paraId="08FDDE9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w:t>
            </w:r>
          </w:p>
        </w:tc>
        <w:tc>
          <w:tcPr>
            <w:tcW w:w="720" w:type="dxa"/>
            <w:vAlign w:val="center"/>
          </w:tcPr>
          <w:p w14:paraId="0E50E7A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w:t>
            </w:r>
          </w:p>
        </w:tc>
        <w:tc>
          <w:tcPr>
            <w:tcW w:w="1620" w:type="dxa"/>
            <w:vAlign w:val="center"/>
          </w:tcPr>
          <w:p w14:paraId="50D4A0C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INFR</w:t>
            </w:r>
          </w:p>
        </w:tc>
        <w:tc>
          <w:tcPr>
            <w:tcW w:w="900" w:type="dxa"/>
            <w:vAlign w:val="center"/>
          </w:tcPr>
          <w:p w14:paraId="0827DBD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3.823</w:t>
            </w:r>
          </w:p>
        </w:tc>
        <w:tc>
          <w:tcPr>
            <w:tcW w:w="1255" w:type="dxa"/>
            <w:vAlign w:val="center"/>
          </w:tcPr>
          <w:p w14:paraId="7C2984C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0.281</w:t>
            </w:r>
          </w:p>
        </w:tc>
      </w:tr>
      <w:tr w:rsidR="00A13E6D" w14:paraId="5D1203DF" w14:textId="77777777" w:rsidTr="00B43039">
        <w:trPr>
          <w:jc w:val="center"/>
        </w:trPr>
        <w:tc>
          <w:tcPr>
            <w:tcW w:w="1260" w:type="dxa"/>
            <w:vAlign w:val="center"/>
          </w:tcPr>
          <w:p w14:paraId="65790E24"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w:t>
            </w:r>
          </w:p>
        </w:tc>
        <w:tc>
          <w:tcPr>
            <w:tcW w:w="720" w:type="dxa"/>
            <w:vAlign w:val="center"/>
          </w:tcPr>
          <w:p w14:paraId="702063D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w:t>
            </w:r>
          </w:p>
        </w:tc>
        <w:tc>
          <w:tcPr>
            <w:tcW w:w="1620" w:type="dxa"/>
            <w:vAlign w:val="center"/>
          </w:tcPr>
          <w:p w14:paraId="25A2934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 → EPU</w:t>
            </w:r>
          </w:p>
        </w:tc>
        <w:tc>
          <w:tcPr>
            <w:tcW w:w="900" w:type="dxa"/>
            <w:vAlign w:val="center"/>
          </w:tcPr>
          <w:p w14:paraId="68FA08B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5.329</w:t>
            </w:r>
          </w:p>
        </w:tc>
        <w:tc>
          <w:tcPr>
            <w:tcW w:w="1255" w:type="dxa"/>
            <w:vAlign w:val="center"/>
          </w:tcPr>
          <w:p w14:paraId="5B2CB46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0.149</w:t>
            </w:r>
          </w:p>
        </w:tc>
      </w:tr>
      <w:tr w:rsidR="00A13E6D" w14:paraId="0450463F" w14:textId="77777777" w:rsidTr="00B43039">
        <w:trPr>
          <w:jc w:val="center"/>
        </w:trPr>
        <w:tc>
          <w:tcPr>
            <w:tcW w:w="1260" w:type="dxa"/>
            <w:vAlign w:val="center"/>
          </w:tcPr>
          <w:p w14:paraId="172B792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w:t>
            </w:r>
          </w:p>
        </w:tc>
        <w:tc>
          <w:tcPr>
            <w:tcW w:w="720" w:type="dxa"/>
            <w:vAlign w:val="center"/>
          </w:tcPr>
          <w:p w14:paraId="79D3794C"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40E1584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INTR</w:t>
            </w:r>
          </w:p>
        </w:tc>
        <w:tc>
          <w:tcPr>
            <w:tcW w:w="900" w:type="dxa"/>
            <w:vAlign w:val="center"/>
          </w:tcPr>
          <w:p w14:paraId="2004D624"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7.207</w:t>
            </w:r>
          </w:p>
        </w:tc>
        <w:tc>
          <w:tcPr>
            <w:tcW w:w="1255" w:type="dxa"/>
            <w:vAlign w:val="center"/>
          </w:tcPr>
          <w:p w14:paraId="7497F2F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0.125</w:t>
            </w:r>
          </w:p>
        </w:tc>
      </w:tr>
      <w:tr w:rsidR="00A13E6D" w14:paraId="3335DDD1" w14:textId="77777777" w:rsidTr="00B43039">
        <w:trPr>
          <w:jc w:val="center"/>
        </w:trPr>
        <w:tc>
          <w:tcPr>
            <w:tcW w:w="1260" w:type="dxa"/>
            <w:vAlign w:val="center"/>
          </w:tcPr>
          <w:p w14:paraId="16A39D0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w:t>
            </w:r>
          </w:p>
        </w:tc>
        <w:tc>
          <w:tcPr>
            <w:tcW w:w="720" w:type="dxa"/>
            <w:vAlign w:val="center"/>
          </w:tcPr>
          <w:p w14:paraId="1DCAF918"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0EC2DD5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 → EPU</w:t>
            </w:r>
          </w:p>
        </w:tc>
        <w:tc>
          <w:tcPr>
            <w:tcW w:w="900" w:type="dxa"/>
            <w:vAlign w:val="center"/>
          </w:tcPr>
          <w:p w14:paraId="64B33C3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4.397</w:t>
            </w:r>
          </w:p>
        </w:tc>
        <w:tc>
          <w:tcPr>
            <w:tcW w:w="1255" w:type="dxa"/>
            <w:vAlign w:val="center"/>
          </w:tcPr>
          <w:p w14:paraId="4B19AE0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0.355</w:t>
            </w:r>
          </w:p>
        </w:tc>
      </w:tr>
      <w:tr w:rsidR="00A13E6D" w14:paraId="0566ACD9" w14:textId="77777777" w:rsidTr="00B43039">
        <w:trPr>
          <w:jc w:val="center"/>
        </w:trPr>
        <w:tc>
          <w:tcPr>
            <w:tcW w:w="1260" w:type="dxa"/>
            <w:vAlign w:val="center"/>
          </w:tcPr>
          <w:p w14:paraId="348B794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w:t>
            </w:r>
          </w:p>
        </w:tc>
        <w:tc>
          <w:tcPr>
            <w:tcW w:w="720" w:type="dxa"/>
            <w:vAlign w:val="center"/>
          </w:tcPr>
          <w:p w14:paraId="65B7CD1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5744C034"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UEMR</w:t>
            </w:r>
          </w:p>
        </w:tc>
        <w:tc>
          <w:tcPr>
            <w:tcW w:w="900" w:type="dxa"/>
            <w:vAlign w:val="center"/>
          </w:tcPr>
          <w:p w14:paraId="038E6F9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0.558</w:t>
            </w:r>
          </w:p>
        </w:tc>
        <w:tc>
          <w:tcPr>
            <w:tcW w:w="1255" w:type="dxa"/>
            <w:vAlign w:val="center"/>
          </w:tcPr>
          <w:p w14:paraId="0A5BF8D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0.968</w:t>
            </w:r>
          </w:p>
        </w:tc>
      </w:tr>
      <w:tr w:rsidR="00A13E6D" w14:paraId="46370EB7" w14:textId="77777777" w:rsidTr="00B43039">
        <w:trPr>
          <w:jc w:val="center"/>
        </w:trPr>
        <w:tc>
          <w:tcPr>
            <w:tcW w:w="1260" w:type="dxa"/>
            <w:vAlign w:val="center"/>
          </w:tcPr>
          <w:p w14:paraId="4F01B8A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w:t>
            </w:r>
          </w:p>
        </w:tc>
        <w:tc>
          <w:tcPr>
            <w:tcW w:w="720" w:type="dxa"/>
            <w:vAlign w:val="center"/>
          </w:tcPr>
          <w:p w14:paraId="1015C4E0"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2E2E6F90"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 → EPU</w:t>
            </w:r>
          </w:p>
        </w:tc>
        <w:tc>
          <w:tcPr>
            <w:tcW w:w="900" w:type="dxa"/>
            <w:vAlign w:val="center"/>
          </w:tcPr>
          <w:p w14:paraId="467AA4E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8.498</w:t>
            </w:r>
          </w:p>
        </w:tc>
        <w:tc>
          <w:tcPr>
            <w:tcW w:w="1255" w:type="dxa"/>
            <w:vAlign w:val="center"/>
          </w:tcPr>
          <w:p w14:paraId="6A151798"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0.075</w:t>
            </w:r>
          </w:p>
        </w:tc>
      </w:tr>
    </w:tbl>
    <w:p w14:paraId="493C5CEB" w14:textId="77777777" w:rsidR="00A13E6D" w:rsidRPr="007A50C1" w:rsidRDefault="00A13E6D" w:rsidP="00A13E6D">
      <w:pPr>
        <w:spacing w:after="100" w:afterAutospacing="1" w:line="240" w:lineRule="auto"/>
        <w:ind w:left="720"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2BC5866E" w14:textId="77777777" w:rsidR="00A13E6D" w:rsidRDefault="00A13E6D" w:rsidP="00A13E6D">
      <w:pPr>
        <w:pStyle w:val="pdq2pgselectionanchorcontainer"/>
        <w:jc w:val="both"/>
      </w:pPr>
      <w:r>
        <w:t>The causality results show that EPU depends substantially on GDPgr (Wald statistic = 25.033; p-value &lt; 0.001), implying that changes in GDP growth have significant explanatory power for predicting economic policy uncertainty. In the opposite direction, EPU → GDPgr yields no statistically significant result (p = 0.356). Thus, there appears to be a unidirectional causal relationship from GDPgr to EPU.For the remaining macroeconomic variables, no statistically significant causal relationship with EPU is found at the 5% level of significance.First, regarding causality from EPU to the macroeconomic variables, no significant causality is found from EPU to EXR, INFR, INTR, or UEMR, except for EPU → UEMR (p = 0.075), which is significant at the 10% level. Second, in the opposite direction, the relationships from EXR → EPU, INFR → EPU, INTR → EPU, and UEMR → EPU also show no statistically significant results at the 5% level</w:t>
      </w:r>
    </w:p>
    <w:p w14:paraId="53C2E262" w14:textId="77777777" w:rsidR="00A13E6D" w:rsidRDefault="00A13E6D" w:rsidP="00A13E6D">
      <w:pPr>
        <w:pStyle w:val="NormalWeb"/>
      </w:pPr>
      <w:r>
        <w:t>4.8 Compare the results with conventional Toda-Yamamoto causality and, where necessary, Diks-Panchenko nonlinear causality</w:t>
      </w:r>
    </w:p>
    <w:tbl>
      <w:tblPr>
        <w:tblStyle w:val="TableGrid"/>
        <w:tblW w:w="9180" w:type="dxa"/>
        <w:tblInd w:w="3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620"/>
        <w:gridCol w:w="1890"/>
        <w:gridCol w:w="900"/>
        <w:gridCol w:w="1800"/>
        <w:gridCol w:w="1260"/>
      </w:tblGrid>
      <w:tr w:rsidR="00A13E6D" w14:paraId="63ED53E3" w14:textId="77777777" w:rsidTr="00B43039">
        <w:tc>
          <w:tcPr>
            <w:tcW w:w="1710" w:type="dxa"/>
            <w:vAlign w:val="center"/>
          </w:tcPr>
          <w:p w14:paraId="76739AD2"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EPU–Macro Pair</w:t>
            </w:r>
          </w:p>
        </w:tc>
        <w:tc>
          <w:tcPr>
            <w:tcW w:w="1620" w:type="dxa"/>
            <w:vAlign w:val="center"/>
          </w:tcPr>
          <w:p w14:paraId="4C076698" w14:textId="77777777" w:rsidR="00A13E6D" w:rsidRPr="004B522D" w:rsidRDefault="00A13E6D" w:rsidP="00B43039">
            <w:pP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Direction</w:t>
            </w:r>
          </w:p>
        </w:tc>
        <w:tc>
          <w:tcPr>
            <w:tcW w:w="1890" w:type="dxa"/>
            <w:vAlign w:val="center"/>
          </w:tcPr>
          <w:p w14:paraId="52F7BC3F"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Toda–Yamamoto Wald</w:t>
            </w:r>
          </w:p>
        </w:tc>
        <w:tc>
          <w:tcPr>
            <w:tcW w:w="900" w:type="dxa"/>
            <w:vAlign w:val="center"/>
          </w:tcPr>
          <w:p w14:paraId="04FD8D5D"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TY p-value</w:t>
            </w:r>
          </w:p>
        </w:tc>
        <w:tc>
          <w:tcPr>
            <w:tcW w:w="1800" w:type="dxa"/>
            <w:vAlign w:val="center"/>
          </w:tcPr>
          <w:p w14:paraId="0E24DF69"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Hatemi-J Modified Wald</w:t>
            </w:r>
          </w:p>
        </w:tc>
        <w:tc>
          <w:tcPr>
            <w:tcW w:w="1260" w:type="dxa"/>
            <w:vAlign w:val="center"/>
          </w:tcPr>
          <w:p w14:paraId="379B8295"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Bootstrap p-value</w:t>
            </w:r>
          </w:p>
        </w:tc>
      </w:tr>
      <w:tr w:rsidR="00A13E6D" w14:paraId="6F16355B" w14:textId="77777777" w:rsidTr="00B43039">
        <w:tc>
          <w:tcPr>
            <w:tcW w:w="1710" w:type="dxa"/>
            <w:vAlign w:val="center"/>
          </w:tcPr>
          <w:p w14:paraId="22B8096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EPU–GDPgr</w:t>
            </w:r>
          </w:p>
        </w:tc>
        <w:tc>
          <w:tcPr>
            <w:tcW w:w="1620" w:type="dxa"/>
            <w:vAlign w:val="center"/>
          </w:tcPr>
          <w:p w14:paraId="094E6BE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GDPgr</w:t>
            </w:r>
          </w:p>
        </w:tc>
        <w:tc>
          <w:tcPr>
            <w:tcW w:w="1890" w:type="dxa"/>
            <w:vAlign w:val="center"/>
          </w:tcPr>
          <w:p w14:paraId="208E0D1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4.386</w:t>
            </w:r>
          </w:p>
        </w:tc>
        <w:tc>
          <w:tcPr>
            <w:tcW w:w="900" w:type="dxa"/>
            <w:vAlign w:val="center"/>
          </w:tcPr>
          <w:p w14:paraId="0499814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0.356</w:t>
            </w:r>
          </w:p>
        </w:tc>
        <w:tc>
          <w:tcPr>
            <w:tcW w:w="1800" w:type="dxa"/>
            <w:vAlign w:val="center"/>
          </w:tcPr>
          <w:p w14:paraId="10014AA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1C9A8613"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2F92E76C" w14:textId="77777777" w:rsidTr="00B43039">
        <w:tc>
          <w:tcPr>
            <w:tcW w:w="1710" w:type="dxa"/>
            <w:vAlign w:val="center"/>
          </w:tcPr>
          <w:p w14:paraId="4209D593"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EPU–GDPgr</w:t>
            </w:r>
          </w:p>
        </w:tc>
        <w:tc>
          <w:tcPr>
            <w:tcW w:w="1620" w:type="dxa"/>
            <w:vAlign w:val="center"/>
          </w:tcPr>
          <w:p w14:paraId="0E534970"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GDPgr → EPU</w:t>
            </w:r>
          </w:p>
        </w:tc>
        <w:tc>
          <w:tcPr>
            <w:tcW w:w="1890" w:type="dxa"/>
            <w:vAlign w:val="center"/>
          </w:tcPr>
          <w:p w14:paraId="2C3509C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25.033</w:t>
            </w:r>
          </w:p>
        </w:tc>
        <w:tc>
          <w:tcPr>
            <w:tcW w:w="900" w:type="dxa"/>
            <w:vAlign w:val="center"/>
          </w:tcPr>
          <w:p w14:paraId="09C50B10"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0.000</w:t>
            </w:r>
          </w:p>
        </w:tc>
        <w:tc>
          <w:tcPr>
            <w:tcW w:w="1800" w:type="dxa"/>
            <w:vAlign w:val="center"/>
          </w:tcPr>
          <w:p w14:paraId="67460A4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47.210</w:t>
            </w:r>
          </w:p>
        </w:tc>
        <w:tc>
          <w:tcPr>
            <w:tcW w:w="1260" w:type="dxa"/>
            <w:vAlign w:val="center"/>
          </w:tcPr>
          <w:p w14:paraId="050518BE"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0.002</w:t>
            </w:r>
          </w:p>
        </w:tc>
      </w:tr>
      <w:tr w:rsidR="00A13E6D" w14:paraId="4830141C" w14:textId="77777777" w:rsidTr="00B43039">
        <w:tc>
          <w:tcPr>
            <w:tcW w:w="1710" w:type="dxa"/>
            <w:vAlign w:val="center"/>
          </w:tcPr>
          <w:p w14:paraId="31C4EF2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EPU–EXR</w:t>
            </w:r>
          </w:p>
        </w:tc>
        <w:tc>
          <w:tcPr>
            <w:tcW w:w="1620" w:type="dxa"/>
            <w:vAlign w:val="center"/>
          </w:tcPr>
          <w:p w14:paraId="6B16971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EXR</w:t>
            </w:r>
          </w:p>
        </w:tc>
        <w:tc>
          <w:tcPr>
            <w:tcW w:w="1890" w:type="dxa"/>
            <w:vAlign w:val="center"/>
          </w:tcPr>
          <w:p w14:paraId="5CAFEA0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0.834</w:t>
            </w:r>
          </w:p>
        </w:tc>
        <w:tc>
          <w:tcPr>
            <w:tcW w:w="900" w:type="dxa"/>
            <w:vAlign w:val="center"/>
          </w:tcPr>
          <w:p w14:paraId="63B12AA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0.659</w:t>
            </w:r>
          </w:p>
        </w:tc>
        <w:tc>
          <w:tcPr>
            <w:tcW w:w="1800" w:type="dxa"/>
            <w:vAlign w:val="center"/>
          </w:tcPr>
          <w:p w14:paraId="1EBE90B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0FC308A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5A52D000" w14:textId="77777777" w:rsidTr="00B43039">
        <w:tc>
          <w:tcPr>
            <w:tcW w:w="1710" w:type="dxa"/>
            <w:vAlign w:val="center"/>
          </w:tcPr>
          <w:p w14:paraId="7780526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EPU–EXR</w:t>
            </w:r>
          </w:p>
        </w:tc>
        <w:tc>
          <w:tcPr>
            <w:tcW w:w="1620" w:type="dxa"/>
            <w:vAlign w:val="center"/>
          </w:tcPr>
          <w:p w14:paraId="10E650A0"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EXR → EPU</w:t>
            </w:r>
          </w:p>
        </w:tc>
        <w:tc>
          <w:tcPr>
            <w:tcW w:w="1890" w:type="dxa"/>
            <w:vAlign w:val="center"/>
          </w:tcPr>
          <w:p w14:paraId="6EAFD2E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0.523</w:t>
            </w:r>
          </w:p>
        </w:tc>
        <w:tc>
          <w:tcPr>
            <w:tcW w:w="900" w:type="dxa"/>
            <w:vAlign w:val="center"/>
          </w:tcPr>
          <w:p w14:paraId="6A39E9E3"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0.770</w:t>
            </w:r>
          </w:p>
        </w:tc>
        <w:tc>
          <w:tcPr>
            <w:tcW w:w="1800" w:type="dxa"/>
            <w:vAlign w:val="center"/>
          </w:tcPr>
          <w:p w14:paraId="4ACE95E3"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7258F8E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07C797D2" w14:textId="77777777" w:rsidTr="00B43039">
        <w:tc>
          <w:tcPr>
            <w:tcW w:w="1710" w:type="dxa"/>
            <w:vAlign w:val="center"/>
          </w:tcPr>
          <w:p w14:paraId="36026E7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EPU–INFR</w:t>
            </w:r>
          </w:p>
        </w:tc>
        <w:tc>
          <w:tcPr>
            <w:tcW w:w="1620" w:type="dxa"/>
            <w:vAlign w:val="center"/>
          </w:tcPr>
          <w:p w14:paraId="165566C3"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INFR</w:t>
            </w:r>
          </w:p>
        </w:tc>
        <w:tc>
          <w:tcPr>
            <w:tcW w:w="1890" w:type="dxa"/>
            <w:vAlign w:val="center"/>
          </w:tcPr>
          <w:p w14:paraId="655406E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3.823</w:t>
            </w:r>
          </w:p>
        </w:tc>
        <w:tc>
          <w:tcPr>
            <w:tcW w:w="900" w:type="dxa"/>
            <w:vAlign w:val="center"/>
          </w:tcPr>
          <w:p w14:paraId="6399B15E"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0.281</w:t>
            </w:r>
          </w:p>
        </w:tc>
        <w:tc>
          <w:tcPr>
            <w:tcW w:w="1800" w:type="dxa"/>
            <w:vAlign w:val="center"/>
          </w:tcPr>
          <w:p w14:paraId="1A36611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3338093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528CBB40" w14:textId="77777777" w:rsidTr="00B43039">
        <w:tc>
          <w:tcPr>
            <w:tcW w:w="1710" w:type="dxa"/>
            <w:vAlign w:val="center"/>
          </w:tcPr>
          <w:p w14:paraId="0F18164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EPU–INFR</w:t>
            </w:r>
          </w:p>
        </w:tc>
        <w:tc>
          <w:tcPr>
            <w:tcW w:w="1620" w:type="dxa"/>
            <w:vAlign w:val="center"/>
          </w:tcPr>
          <w:p w14:paraId="2A1B641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INFR → EPU</w:t>
            </w:r>
          </w:p>
        </w:tc>
        <w:tc>
          <w:tcPr>
            <w:tcW w:w="1890" w:type="dxa"/>
            <w:vAlign w:val="center"/>
          </w:tcPr>
          <w:p w14:paraId="77DC302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5.329</w:t>
            </w:r>
          </w:p>
        </w:tc>
        <w:tc>
          <w:tcPr>
            <w:tcW w:w="900" w:type="dxa"/>
            <w:vAlign w:val="center"/>
          </w:tcPr>
          <w:p w14:paraId="552F576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0.149</w:t>
            </w:r>
          </w:p>
        </w:tc>
        <w:tc>
          <w:tcPr>
            <w:tcW w:w="1800" w:type="dxa"/>
            <w:vAlign w:val="center"/>
          </w:tcPr>
          <w:p w14:paraId="1438D62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637D21F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0.090</w:t>
            </w:r>
            <w:r w:rsidRPr="004B522D">
              <w:rPr>
                <w:rFonts w:ascii="Times New Roman" w:eastAsia="Times New Roman" w:hAnsi="Times New Roman" w:cs="Times New Roman"/>
                <w:sz w:val="20"/>
                <w:szCs w:val="20"/>
              </w:rPr>
              <w:t>*</w:t>
            </w:r>
          </w:p>
        </w:tc>
      </w:tr>
      <w:tr w:rsidR="00A13E6D" w14:paraId="776AA353" w14:textId="77777777" w:rsidTr="00B43039">
        <w:tc>
          <w:tcPr>
            <w:tcW w:w="1710" w:type="dxa"/>
            <w:vAlign w:val="center"/>
          </w:tcPr>
          <w:p w14:paraId="7BF85AC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EPU–INTR</w:t>
            </w:r>
          </w:p>
        </w:tc>
        <w:tc>
          <w:tcPr>
            <w:tcW w:w="1620" w:type="dxa"/>
            <w:vAlign w:val="center"/>
          </w:tcPr>
          <w:p w14:paraId="01BF0D3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INTR</w:t>
            </w:r>
          </w:p>
        </w:tc>
        <w:tc>
          <w:tcPr>
            <w:tcW w:w="1890" w:type="dxa"/>
            <w:vAlign w:val="center"/>
          </w:tcPr>
          <w:p w14:paraId="196A9BC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7.207</w:t>
            </w:r>
          </w:p>
        </w:tc>
        <w:tc>
          <w:tcPr>
            <w:tcW w:w="900" w:type="dxa"/>
            <w:vAlign w:val="center"/>
          </w:tcPr>
          <w:p w14:paraId="29E6B58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0.125</w:t>
            </w:r>
          </w:p>
        </w:tc>
        <w:tc>
          <w:tcPr>
            <w:tcW w:w="1800" w:type="dxa"/>
            <w:vAlign w:val="center"/>
          </w:tcPr>
          <w:p w14:paraId="12CEC82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21E2087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3E980BEF" w14:textId="77777777" w:rsidTr="00B43039">
        <w:tc>
          <w:tcPr>
            <w:tcW w:w="1710" w:type="dxa"/>
            <w:vAlign w:val="center"/>
          </w:tcPr>
          <w:p w14:paraId="5108A3E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EPU–INTR</w:t>
            </w:r>
          </w:p>
        </w:tc>
        <w:tc>
          <w:tcPr>
            <w:tcW w:w="1620" w:type="dxa"/>
            <w:vAlign w:val="center"/>
          </w:tcPr>
          <w:p w14:paraId="5384E5C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INTR → EPU</w:t>
            </w:r>
          </w:p>
        </w:tc>
        <w:tc>
          <w:tcPr>
            <w:tcW w:w="1890" w:type="dxa"/>
            <w:vAlign w:val="center"/>
          </w:tcPr>
          <w:p w14:paraId="2C6EFB3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4.397</w:t>
            </w:r>
          </w:p>
        </w:tc>
        <w:tc>
          <w:tcPr>
            <w:tcW w:w="900" w:type="dxa"/>
            <w:vAlign w:val="center"/>
          </w:tcPr>
          <w:p w14:paraId="38A898F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0.355</w:t>
            </w:r>
          </w:p>
        </w:tc>
        <w:tc>
          <w:tcPr>
            <w:tcW w:w="1800" w:type="dxa"/>
            <w:vAlign w:val="center"/>
          </w:tcPr>
          <w:p w14:paraId="37002A3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1C6089E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0.080</w:t>
            </w:r>
            <w:r w:rsidRPr="004B522D">
              <w:rPr>
                <w:rFonts w:ascii="Times New Roman" w:eastAsia="Times New Roman" w:hAnsi="Times New Roman" w:cs="Times New Roman"/>
                <w:sz w:val="20"/>
                <w:szCs w:val="20"/>
              </w:rPr>
              <w:t>*</w:t>
            </w:r>
          </w:p>
        </w:tc>
      </w:tr>
      <w:tr w:rsidR="00A13E6D" w14:paraId="56D933FF" w14:textId="77777777" w:rsidTr="00B43039">
        <w:tc>
          <w:tcPr>
            <w:tcW w:w="1710" w:type="dxa"/>
            <w:vAlign w:val="center"/>
          </w:tcPr>
          <w:p w14:paraId="6A0EAA8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EPU–UEMR</w:t>
            </w:r>
          </w:p>
        </w:tc>
        <w:tc>
          <w:tcPr>
            <w:tcW w:w="1620" w:type="dxa"/>
            <w:vAlign w:val="center"/>
          </w:tcPr>
          <w:p w14:paraId="4FB22EE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UEMR</w:t>
            </w:r>
          </w:p>
        </w:tc>
        <w:tc>
          <w:tcPr>
            <w:tcW w:w="1890" w:type="dxa"/>
            <w:vAlign w:val="center"/>
          </w:tcPr>
          <w:p w14:paraId="01BD3C0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0.558</w:t>
            </w:r>
          </w:p>
        </w:tc>
        <w:tc>
          <w:tcPr>
            <w:tcW w:w="900" w:type="dxa"/>
            <w:vAlign w:val="center"/>
          </w:tcPr>
          <w:p w14:paraId="53B51E5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0.968</w:t>
            </w:r>
          </w:p>
        </w:tc>
        <w:tc>
          <w:tcPr>
            <w:tcW w:w="1800" w:type="dxa"/>
            <w:vAlign w:val="center"/>
          </w:tcPr>
          <w:p w14:paraId="665A50E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31DF1945"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0EB310D2" w14:textId="77777777" w:rsidTr="00B43039">
        <w:tc>
          <w:tcPr>
            <w:tcW w:w="1710" w:type="dxa"/>
            <w:vAlign w:val="center"/>
          </w:tcPr>
          <w:p w14:paraId="65ACA5DC" w14:textId="77777777" w:rsidR="00A13E6D" w:rsidRPr="004B522D" w:rsidRDefault="00A13E6D" w:rsidP="00B43039">
            <w:pPr>
              <w:rPr>
                <w:rFonts w:ascii="Times New Roman" w:eastAsia="Times New Roman" w:hAnsi="Times New Roman" w:cs="Times New Roman"/>
                <w:sz w:val="20"/>
                <w:szCs w:val="20"/>
              </w:rPr>
            </w:pPr>
            <w:r w:rsidRPr="00DE2B4E">
              <w:rPr>
                <w:rFonts w:ascii="Times New Roman" w:eastAsia="Times New Roman" w:hAnsi="Times New Roman" w:cs="Times New Roman"/>
                <w:bCs/>
                <w:sz w:val="20"/>
                <w:szCs w:val="20"/>
              </w:rPr>
              <w:t>EPU–UEMR</w:t>
            </w:r>
          </w:p>
        </w:tc>
        <w:tc>
          <w:tcPr>
            <w:tcW w:w="1620" w:type="dxa"/>
            <w:vAlign w:val="center"/>
          </w:tcPr>
          <w:p w14:paraId="2B63DC2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UEMR → EPU</w:t>
            </w:r>
          </w:p>
        </w:tc>
        <w:tc>
          <w:tcPr>
            <w:tcW w:w="1890" w:type="dxa"/>
            <w:vAlign w:val="center"/>
          </w:tcPr>
          <w:p w14:paraId="3101F8A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8.498</w:t>
            </w:r>
          </w:p>
        </w:tc>
        <w:tc>
          <w:tcPr>
            <w:tcW w:w="900" w:type="dxa"/>
            <w:vAlign w:val="center"/>
          </w:tcPr>
          <w:p w14:paraId="33ADA7E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0.075</w:t>
            </w:r>
          </w:p>
        </w:tc>
        <w:tc>
          <w:tcPr>
            <w:tcW w:w="1800" w:type="dxa"/>
            <w:vAlign w:val="center"/>
          </w:tcPr>
          <w:p w14:paraId="280F962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78FFF6F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0.058</w:t>
            </w:r>
            <w:r w:rsidRPr="004B522D">
              <w:rPr>
                <w:rFonts w:ascii="Times New Roman" w:eastAsia="Times New Roman" w:hAnsi="Times New Roman" w:cs="Times New Roman"/>
                <w:sz w:val="20"/>
                <w:szCs w:val="20"/>
              </w:rPr>
              <w:t>*</w:t>
            </w:r>
          </w:p>
        </w:tc>
      </w:tr>
    </w:tbl>
    <w:p w14:paraId="0698F1BA" w14:textId="77777777" w:rsidR="00A13E6D" w:rsidRPr="007A50C1" w:rsidRDefault="00A13E6D" w:rsidP="00A13E6D">
      <w:pPr>
        <w:spacing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347E3135" w14:textId="77777777" w:rsidR="00A13E6D" w:rsidRDefault="00A13E6D" w:rsidP="00A13E6D">
      <w:pPr>
        <w:pStyle w:val="pdq2pgselectionanchorcontainer"/>
        <w:jc w:val="both"/>
      </w:pPr>
      <w:r>
        <w:t xml:space="preserve">The findings suggest that the only variable with a strong causal impact on EPU is GDP growth. The Toda–Yamamoto test demonstrates causality from GDPgr → EPU (Wald = 25.033, p &lt; 0.001), but not in the opposite direction (p = 0.356), providing direct evidence of unidirectional causation. This is supported by the findings of the Hatemi-J test, where causality from GDPgr⁻ → EPU⁺ is significant (Wald = 47.210, bootstrap p = 0.002), indicating that negative shocks to growth play a stronger role in generating heightened policy uncertainty. For the other variables (EXR, INFR, and INTR), the Toda–Yamamoto results do not indicate any statistically significant causal relationships. Nonetheless, there is weak evidence of asymmetry for INFR⁺ → EPU (p = 0.090) and INTR⁺ → EPU (p = 0.080), while UEMR → EPU emerges as marginally significant (p = 0.058) under the asymmetric specification. We conclude that the causality results are broadly consistent across the two methods, particularly for GDP growth. Overall, conventional Granger </w:t>
      </w:r>
      <w:r>
        <w:lastRenderedPageBreak/>
        <w:t>causality results capture the main linear relationships fairly accurately, whereas the asymmetric tests reveal specific relationships arising from positive and negative shocks, particularly when negative growth shocks are involved.</w:t>
      </w:r>
    </w:p>
    <w:p w14:paraId="6832806A" w14:textId="77777777" w:rsidR="00A13E6D" w:rsidRDefault="00A13E6D" w:rsidP="00A13E6D">
      <w:pPr>
        <w:spacing w:before="100" w:beforeAutospacing="1" w:after="100" w:afterAutospacing="1" w:line="240" w:lineRule="auto"/>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r>
        <w:rPr>
          <w:rFonts w:ascii="Times New Roman" w:eastAsia="Times New Roman" w:hAnsi="Times New Roman" w:cs="Times New Roman"/>
          <w:b/>
          <w:bCs/>
          <w:sz w:val="27"/>
          <w:szCs w:val="27"/>
        </w:rPr>
        <w:t xml:space="preserve"> </w:t>
      </w:r>
      <w:r w:rsidRPr="009E1123">
        <w:rPr>
          <w:rFonts w:ascii="Times New Roman" w:eastAsia="Times New Roman" w:hAnsi="Times New Roman" w:cs="Times New Roman"/>
          <w:bCs/>
          <w:sz w:val="24"/>
          <w:szCs w:val="24"/>
        </w:rPr>
        <w:t>Diks–Panchenko Nonlinear Causality Test</w:t>
      </w:r>
    </w:p>
    <w:p w14:paraId="74754B41" w14:textId="77777777" w:rsidR="00A13E6D" w:rsidRPr="00160F57" w:rsidRDefault="00A13E6D" w:rsidP="00A13E6D">
      <w:pPr>
        <w:spacing w:before="100" w:beforeAutospacing="1" w:after="100" w:afterAutospacing="1" w:line="240" w:lineRule="auto"/>
        <w:outlineLvl w:val="2"/>
        <w:rPr>
          <w:rFonts w:ascii="Times New Roman" w:eastAsia="Times New Roman" w:hAnsi="Times New Roman" w:cs="Times New Roman"/>
          <w:bCs/>
          <w:sz w:val="20"/>
          <w:szCs w:val="20"/>
        </w:rPr>
      </w:pPr>
      <w:r>
        <w:rPr>
          <w:rFonts w:ascii="Times New Roman" w:eastAsia="Times New Roman" w:hAnsi="Times New Roman" w:cs="Times New Roman"/>
          <w:bCs/>
          <w:sz w:val="24"/>
          <w:szCs w:val="24"/>
        </w:rPr>
        <w:tab/>
      </w:r>
      <w:r w:rsidRPr="00160F57">
        <w:rPr>
          <w:rFonts w:ascii="Times New Roman" w:eastAsia="Times New Roman" w:hAnsi="Times New Roman" w:cs="Times New Roman"/>
          <w:bCs/>
          <w:sz w:val="20"/>
          <w:szCs w:val="20"/>
        </w:rPr>
        <w:t>Table 9: Diks–Panchenko Nonlinear Causality Test</w:t>
      </w:r>
    </w:p>
    <w:tbl>
      <w:tblPr>
        <w:tblStyle w:val="TableGrid"/>
        <w:tblW w:w="0" w:type="auto"/>
        <w:tblInd w:w="6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710"/>
        <w:gridCol w:w="1170"/>
        <w:gridCol w:w="1260"/>
      </w:tblGrid>
      <w:tr w:rsidR="00A13E6D" w14:paraId="2E7E81FC" w14:textId="77777777" w:rsidTr="00B43039">
        <w:tc>
          <w:tcPr>
            <w:tcW w:w="1710" w:type="dxa"/>
            <w:vAlign w:val="center"/>
          </w:tcPr>
          <w:p w14:paraId="52D4FA44"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EPU–Macro pair</w:t>
            </w:r>
          </w:p>
        </w:tc>
        <w:tc>
          <w:tcPr>
            <w:tcW w:w="1710" w:type="dxa"/>
            <w:vAlign w:val="center"/>
          </w:tcPr>
          <w:p w14:paraId="4F91F412"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Direction</w:t>
            </w:r>
          </w:p>
        </w:tc>
        <w:tc>
          <w:tcPr>
            <w:tcW w:w="1170" w:type="dxa"/>
            <w:vAlign w:val="center"/>
          </w:tcPr>
          <w:p w14:paraId="2D4D2990"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DP statistic</w:t>
            </w:r>
          </w:p>
        </w:tc>
        <w:tc>
          <w:tcPr>
            <w:tcW w:w="1260" w:type="dxa"/>
            <w:vAlign w:val="center"/>
          </w:tcPr>
          <w:p w14:paraId="044036AF" w14:textId="77777777" w:rsidR="00A13E6D" w:rsidRPr="009E1123" w:rsidRDefault="00A13E6D" w:rsidP="00B43039">
            <w:pPr>
              <w:rPr>
                <w:rFonts w:ascii="Times New Roman" w:eastAsia="Times New Roman" w:hAnsi="Times New Roman" w:cs="Times New Roman"/>
                <w:bCs/>
                <w:sz w:val="20"/>
                <w:szCs w:val="20"/>
              </w:rPr>
            </w:pPr>
            <w:r w:rsidRPr="00E14D6E">
              <w:rPr>
                <w:rFonts w:ascii="Times New Roman" w:eastAsia="Times New Roman" w:hAnsi="Times New Roman" w:cs="Times New Roman"/>
                <w:bCs/>
                <w:position w:val="-10"/>
                <w:sz w:val="20"/>
                <w:szCs w:val="20"/>
              </w:rPr>
              <w:object w:dxaOrig="960" w:dyaOrig="320" w14:anchorId="1DCAA6DF">
                <v:shape id="_x0000_i1067" type="#_x0000_t75" style="width:48.6pt;height:16pt" o:ole="">
                  <v:imagedata r:id="rId89" o:title=""/>
                </v:shape>
                <o:OLEObject Type="Embed" ProgID="Equation.DSMT4" ShapeID="_x0000_i1067" DrawAspect="Content" ObjectID="_1849690827" r:id="rId90"/>
              </w:object>
            </w:r>
          </w:p>
        </w:tc>
      </w:tr>
      <w:tr w:rsidR="00A13E6D" w14:paraId="6E209C5C" w14:textId="77777777" w:rsidTr="00B43039">
        <w:tc>
          <w:tcPr>
            <w:tcW w:w="1710" w:type="dxa"/>
            <w:vAlign w:val="center"/>
          </w:tcPr>
          <w:p w14:paraId="464D730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EPU–GDPgr</w:t>
            </w:r>
          </w:p>
        </w:tc>
        <w:tc>
          <w:tcPr>
            <w:tcW w:w="1710" w:type="dxa"/>
            <w:vAlign w:val="center"/>
          </w:tcPr>
          <w:p w14:paraId="2443465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GDPgr</w:t>
            </w:r>
          </w:p>
        </w:tc>
        <w:tc>
          <w:tcPr>
            <w:tcW w:w="1170" w:type="dxa"/>
            <w:vAlign w:val="center"/>
          </w:tcPr>
          <w:p w14:paraId="43ED325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0.9251</w:t>
            </w:r>
          </w:p>
        </w:tc>
        <w:tc>
          <w:tcPr>
            <w:tcW w:w="1260" w:type="dxa"/>
            <w:vAlign w:val="center"/>
          </w:tcPr>
          <w:p w14:paraId="7DB043A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0.1774</w:t>
            </w:r>
          </w:p>
        </w:tc>
      </w:tr>
      <w:tr w:rsidR="00A13E6D" w14:paraId="582E29E3" w14:textId="77777777" w:rsidTr="00B43039">
        <w:tc>
          <w:tcPr>
            <w:tcW w:w="1710" w:type="dxa"/>
            <w:vAlign w:val="center"/>
          </w:tcPr>
          <w:p w14:paraId="741B59E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EPU–GDPgr</w:t>
            </w:r>
          </w:p>
        </w:tc>
        <w:tc>
          <w:tcPr>
            <w:tcW w:w="1710" w:type="dxa"/>
            <w:vAlign w:val="center"/>
          </w:tcPr>
          <w:p w14:paraId="5854BCB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GDPgr → EPU</w:t>
            </w:r>
          </w:p>
        </w:tc>
        <w:tc>
          <w:tcPr>
            <w:tcW w:w="1170" w:type="dxa"/>
            <w:vAlign w:val="center"/>
          </w:tcPr>
          <w:p w14:paraId="45D8DBE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0.8462</w:t>
            </w:r>
          </w:p>
        </w:tc>
        <w:tc>
          <w:tcPr>
            <w:tcW w:w="1260" w:type="dxa"/>
            <w:vAlign w:val="center"/>
          </w:tcPr>
          <w:p w14:paraId="2B78E67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0.1987</w:t>
            </w:r>
          </w:p>
        </w:tc>
      </w:tr>
      <w:tr w:rsidR="00A13E6D" w14:paraId="11433884" w14:textId="77777777" w:rsidTr="00B43039">
        <w:tc>
          <w:tcPr>
            <w:tcW w:w="1710" w:type="dxa"/>
            <w:vAlign w:val="center"/>
          </w:tcPr>
          <w:p w14:paraId="7E09CE5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EPU–EXR</w:t>
            </w:r>
          </w:p>
        </w:tc>
        <w:tc>
          <w:tcPr>
            <w:tcW w:w="1710" w:type="dxa"/>
            <w:vAlign w:val="center"/>
          </w:tcPr>
          <w:p w14:paraId="593CE5F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EXR</w:t>
            </w:r>
          </w:p>
        </w:tc>
        <w:tc>
          <w:tcPr>
            <w:tcW w:w="1170" w:type="dxa"/>
            <w:vAlign w:val="center"/>
          </w:tcPr>
          <w:p w14:paraId="1050491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−0.6694</w:t>
            </w:r>
          </w:p>
        </w:tc>
        <w:tc>
          <w:tcPr>
            <w:tcW w:w="1260" w:type="dxa"/>
            <w:vAlign w:val="center"/>
          </w:tcPr>
          <w:p w14:paraId="7311E9C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0.7484</w:t>
            </w:r>
          </w:p>
        </w:tc>
      </w:tr>
      <w:tr w:rsidR="00A13E6D" w14:paraId="2A99EFF1" w14:textId="77777777" w:rsidTr="00B43039">
        <w:tc>
          <w:tcPr>
            <w:tcW w:w="1710" w:type="dxa"/>
            <w:vAlign w:val="center"/>
          </w:tcPr>
          <w:p w14:paraId="5ADBC7B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EPU–EXR</w:t>
            </w:r>
          </w:p>
        </w:tc>
        <w:tc>
          <w:tcPr>
            <w:tcW w:w="1710" w:type="dxa"/>
            <w:vAlign w:val="center"/>
          </w:tcPr>
          <w:p w14:paraId="3C8A88C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EXR → EPU</w:t>
            </w:r>
          </w:p>
        </w:tc>
        <w:tc>
          <w:tcPr>
            <w:tcW w:w="1170" w:type="dxa"/>
            <w:vAlign w:val="center"/>
          </w:tcPr>
          <w:p w14:paraId="29AF3D4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−1.4308</w:t>
            </w:r>
          </w:p>
        </w:tc>
        <w:tc>
          <w:tcPr>
            <w:tcW w:w="1260" w:type="dxa"/>
            <w:vAlign w:val="center"/>
          </w:tcPr>
          <w:p w14:paraId="42CF6D1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0.9238</w:t>
            </w:r>
          </w:p>
        </w:tc>
      </w:tr>
      <w:tr w:rsidR="00A13E6D" w14:paraId="4B8DB11D" w14:textId="77777777" w:rsidTr="00B43039">
        <w:tc>
          <w:tcPr>
            <w:tcW w:w="1710" w:type="dxa"/>
            <w:vAlign w:val="center"/>
          </w:tcPr>
          <w:p w14:paraId="6E96B46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EPU–INFR</w:t>
            </w:r>
          </w:p>
        </w:tc>
        <w:tc>
          <w:tcPr>
            <w:tcW w:w="1710" w:type="dxa"/>
            <w:vAlign w:val="center"/>
          </w:tcPr>
          <w:p w14:paraId="2694F5E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INFR</w:t>
            </w:r>
          </w:p>
        </w:tc>
        <w:tc>
          <w:tcPr>
            <w:tcW w:w="1170" w:type="dxa"/>
            <w:vAlign w:val="center"/>
          </w:tcPr>
          <w:p w14:paraId="3BAA178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0.3807</w:t>
            </w:r>
          </w:p>
        </w:tc>
        <w:tc>
          <w:tcPr>
            <w:tcW w:w="1260" w:type="dxa"/>
            <w:vAlign w:val="center"/>
          </w:tcPr>
          <w:p w14:paraId="0754640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0.3517</w:t>
            </w:r>
          </w:p>
        </w:tc>
      </w:tr>
      <w:tr w:rsidR="00A13E6D" w14:paraId="37B52D22" w14:textId="77777777" w:rsidTr="00B43039">
        <w:tc>
          <w:tcPr>
            <w:tcW w:w="1710" w:type="dxa"/>
            <w:vAlign w:val="center"/>
          </w:tcPr>
          <w:p w14:paraId="15D0803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EPU–INFR</w:t>
            </w:r>
          </w:p>
        </w:tc>
        <w:tc>
          <w:tcPr>
            <w:tcW w:w="1710" w:type="dxa"/>
            <w:vAlign w:val="center"/>
          </w:tcPr>
          <w:p w14:paraId="7AD2F61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INFR → EPU</w:t>
            </w:r>
          </w:p>
        </w:tc>
        <w:tc>
          <w:tcPr>
            <w:tcW w:w="1170" w:type="dxa"/>
            <w:vAlign w:val="center"/>
          </w:tcPr>
          <w:p w14:paraId="0A38FC0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−0.2262</w:t>
            </w:r>
          </w:p>
        </w:tc>
        <w:tc>
          <w:tcPr>
            <w:tcW w:w="1260" w:type="dxa"/>
            <w:vAlign w:val="center"/>
          </w:tcPr>
          <w:p w14:paraId="472A2AB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0.5895</w:t>
            </w:r>
          </w:p>
        </w:tc>
      </w:tr>
      <w:tr w:rsidR="00A13E6D" w14:paraId="0C1F4FC9" w14:textId="77777777" w:rsidTr="00B43039">
        <w:tc>
          <w:tcPr>
            <w:tcW w:w="1710" w:type="dxa"/>
            <w:vAlign w:val="center"/>
          </w:tcPr>
          <w:p w14:paraId="3C9140D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EPU–INTR</w:t>
            </w:r>
          </w:p>
        </w:tc>
        <w:tc>
          <w:tcPr>
            <w:tcW w:w="1710" w:type="dxa"/>
            <w:vAlign w:val="center"/>
          </w:tcPr>
          <w:p w14:paraId="2B71BA5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INTR</w:t>
            </w:r>
          </w:p>
        </w:tc>
        <w:tc>
          <w:tcPr>
            <w:tcW w:w="1170" w:type="dxa"/>
            <w:vAlign w:val="center"/>
          </w:tcPr>
          <w:p w14:paraId="4505AE6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1.2465</w:t>
            </w:r>
          </w:p>
        </w:tc>
        <w:tc>
          <w:tcPr>
            <w:tcW w:w="1260" w:type="dxa"/>
            <w:vAlign w:val="center"/>
          </w:tcPr>
          <w:p w14:paraId="0601BF9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0.1063</w:t>
            </w:r>
          </w:p>
        </w:tc>
      </w:tr>
      <w:tr w:rsidR="00A13E6D" w14:paraId="3A13E9FF" w14:textId="77777777" w:rsidTr="00B43039">
        <w:tc>
          <w:tcPr>
            <w:tcW w:w="1710" w:type="dxa"/>
            <w:vAlign w:val="center"/>
          </w:tcPr>
          <w:p w14:paraId="28447C4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EPU–INTR</w:t>
            </w:r>
          </w:p>
        </w:tc>
        <w:tc>
          <w:tcPr>
            <w:tcW w:w="1710" w:type="dxa"/>
            <w:vAlign w:val="center"/>
          </w:tcPr>
          <w:p w14:paraId="66609AB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INTR → EPU</w:t>
            </w:r>
          </w:p>
        </w:tc>
        <w:tc>
          <w:tcPr>
            <w:tcW w:w="1170" w:type="dxa"/>
            <w:vAlign w:val="center"/>
          </w:tcPr>
          <w:p w14:paraId="231C400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−0.0298</w:t>
            </w:r>
          </w:p>
        </w:tc>
        <w:tc>
          <w:tcPr>
            <w:tcW w:w="1260" w:type="dxa"/>
            <w:vAlign w:val="center"/>
          </w:tcPr>
          <w:p w14:paraId="0DD1862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0.5119</w:t>
            </w:r>
          </w:p>
        </w:tc>
      </w:tr>
      <w:tr w:rsidR="00A13E6D" w14:paraId="6EF0AD36" w14:textId="77777777" w:rsidTr="00B43039">
        <w:tc>
          <w:tcPr>
            <w:tcW w:w="1710" w:type="dxa"/>
            <w:vAlign w:val="center"/>
          </w:tcPr>
          <w:p w14:paraId="2904AA1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EPU–UEMR</w:t>
            </w:r>
          </w:p>
        </w:tc>
        <w:tc>
          <w:tcPr>
            <w:tcW w:w="1710" w:type="dxa"/>
            <w:vAlign w:val="center"/>
          </w:tcPr>
          <w:p w14:paraId="32FDEEA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UEMR</w:t>
            </w:r>
          </w:p>
        </w:tc>
        <w:tc>
          <w:tcPr>
            <w:tcW w:w="1170" w:type="dxa"/>
            <w:vAlign w:val="center"/>
          </w:tcPr>
          <w:p w14:paraId="52B93C4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1.1420</w:t>
            </w:r>
          </w:p>
        </w:tc>
        <w:tc>
          <w:tcPr>
            <w:tcW w:w="1260" w:type="dxa"/>
            <w:vAlign w:val="center"/>
          </w:tcPr>
          <w:p w14:paraId="274A782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0.1267</w:t>
            </w:r>
          </w:p>
        </w:tc>
      </w:tr>
      <w:tr w:rsidR="00A13E6D" w14:paraId="4F065921" w14:textId="77777777" w:rsidTr="00B43039">
        <w:tc>
          <w:tcPr>
            <w:tcW w:w="1710" w:type="dxa"/>
            <w:vAlign w:val="center"/>
          </w:tcPr>
          <w:p w14:paraId="2231D52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EPU–UEMR</w:t>
            </w:r>
          </w:p>
        </w:tc>
        <w:tc>
          <w:tcPr>
            <w:tcW w:w="1710" w:type="dxa"/>
            <w:vAlign w:val="center"/>
          </w:tcPr>
          <w:p w14:paraId="6CCBC9D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UEMR → EPU</w:t>
            </w:r>
          </w:p>
        </w:tc>
        <w:tc>
          <w:tcPr>
            <w:tcW w:w="1170" w:type="dxa"/>
            <w:vAlign w:val="center"/>
          </w:tcPr>
          <w:p w14:paraId="610AC9D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−1.5991</w:t>
            </w:r>
          </w:p>
        </w:tc>
        <w:tc>
          <w:tcPr>
            <w:tcW w:w="1260" w:type="dxa"/>
            <w:vAlign w:val="center"/>
          </w:tcPr>
          <w:p w14:paraId="75EE38C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0.9451</w:t>
            </w:r>
          </w:p>
        </w:tc>
      </w:tr>
    </w:tbl>
    <w:p w14:paraId="4196319D"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39FA19B8" w14:textId="77777777" w:rsidR="00A13E6D" w:rsidRPr="001E5D64" w:rsidRDefault="00A13E6D" w:rsidP="00A13E6D">
      <w:pPr>
        <w:pStyle w:val="pdq2pgselectionanchorcontainer"/>
        <w:jc w:val="both"/>
      </w:pPr>
      <w:r>
        <w:t>The non-parametric Diks and Panchenko (2006) test statistics for pairwise causality are presented in Table 8. Summarily, no significant nonlinear causal relationships are found between EPU and GDP growth, the exchange rate, inflation, interest rate, or unemployment. None of the test statistics for the paired vectors is statistically significant at the 5% level, as the corresponding p-values in both directions exceed 0.05. Accordingly, the null hypothesis of nonlinear independence cannot be rejected for any of the causal links examined. Therefore, neither EPU nor the selected macroeconomic variables exhibits significant nonlinear predictive ability for the other within the estimation period. This finding also provides a basis for applying an asymmetric framework, such as the Hatemi-J causality test. The Diks–Panchenko test does not distinguish between positive and negative shocks; consequently, opposing innovations may offset one another and mask directional effects. Such effects may remain undetected when positive and negative shocks are pooled into a single measure. In contrast, the asymmetric approach decomposes variables into positive and negative components of their cumulative partial sums, thereby enabling potentially hidden directional effects to be identified.</w:t>
      </w:r>
    </w:p>
    <w:p w14:paraId="4AB97ED6" w14:textId="77777777" w:rsidR="00A13E6D" w:rsidRPr="00390620" w:rsidRDefault="00A13E6D" w:rsidP="00A13E6D">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5.0 Summary of Major findings, Conclusions and Policy Recommendations</w:t>
      </w:r>
    </w:p>
    <w:p w14:paraId="4943AD29" w14:textId="77777777" w:rsidR="00A13E6D" w:rsidRDefault="00A13E6D" w:rsidP="00A13E6D">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5.1 Summary of Major findings,</w:t>
      </w:r>
    </w:p>
    <w:p w14:paraId="4456DA6E" w14:textId="77777777" w:rsidR="00A13E6D" w:rsidRDefault="00A13E6D" w:rsidP="00A13E6D">
      <w:pPr>
        <w:pStyle w:val="NormalWeb"/>
        <w:jc w:val="both"/>
      </w:pPr>
      <w:r>
        <w:t xml:space="preserve">This paper addresses the relationship between Economic Policy Uncertainty (EPU) and five Nigerian macroeconomic variables, including GDP growth, exchange rate, inflation, interest rate, and unemployment, using symmetric and asymmetric causality framework. Descriptive statistics reveals substantial hetereroskedacity, asymmetry, excess kurtosis and non-normal distribution in EPU, inflation and exchange rates, with a great deal of distributional asymmetry in the indices. The order of integration of estimated variables is varied while Zivot-Andrews test identifies endogenous break points: February 2020 in Nigerian EPU which is attributed toCOVID-19 crisis and breakpoints of 2019 to 2023 in other variables. Both positive and negative sum decomposition </w:t>
      </w:r>
      <w:r>
        <w:lastRenderedPageBreak/>
        <w:t>coefficients are substantially asymmetric, showing that negative EPU shocks lead to cumulative innovation of-75.341 whereas exchange rate has a large cumulative positive innovation of 1,490.298, in addition to small positive cumulative innovations in GDP and inflation, interest rate has negative cumulative innovations of-4.214.  There is evidence of asymmetries, not necessarily asymmetric causations. Hatemi-J causality test suggests a significant negative GDP growth shock causes positive EPU shocks (Wald statistic= 47.210, bootstrap p-value= 0.002), while reverse causes relationship not significant; for other variables without a strong causality at 10% significance level. By using Toda-Yamamoto framework, unidirecaional causes is shown from GDP growth to EPU (Wald statistic= 25.033, p-value&lt;0.001), from EPU to GDP growth without significant cause from EPU to GDP (p-value= 0.356); using Diks-Panchenko test does not indicate nonlinear relationship between Nigerian EPU and five macroeconomic variables. Overall, the findings indicate that the macroeconomic shocks especially those are negatively correlated affect more policy uncertainty, rather thanEPUaffect more macro-economic performance in Nigeria. The negative GDP shocks causes policy uncertainty more than EPU causes performance.</w:t>
      </w:r>
    </w:p>
    <w:p w14:paraId="53069450"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5.2 Conclusions</w:t>
      </w:r>
    </w:p>
    <w:p w14:paraId="3E749F8C" w14:textId="77777777" w:rsidR="00B43039" w:rsidRDefault="00B43039" w:rsidP="00B43039">
      <w:pPr>
        <w:pStyle w:val="NormalWeb"/>
        <w:jc w:val="both"/>
      </w:pPr>
      <w:r>
        <w:t>The study concludes that the relationship between EPU and economic performance in Nigeria is unidirectional and asymmetric instead of being bi-directional. Our evidence shows that bad output shocks leads to high positive EPU shocks on a continuous basis from both causality approaches. Using the Hatemi-J (2012) approach, this can lead to the creation of more policy uncertainties in times of economic recession or stagnation because growth slow down might intensify policy responses by government through fiscal, monetary, regulation and exchange-rate levers, leading to more uncertainty for various stakeholders. While these outcomes are in sync with earlier Nigerian studies like Zaria and Tuyon (2022) and Aina (2025) for the influence of EPU on economic outcomes, and Bello (2025) regarding causality running from EPU to output performance, this study finds no significant evidence of causal link between EPU and output at 5% significant level; rather the reverse relationship holds more strongly. Differences in study period, frequency, methodology employed, methodology addressing structural breaks and application of symmetric Granger causality versus asymmetric one, could explain such different conclusions of these scholars. Generally, the findings hint at possibility of aggregate growth shocks oversimplifying the direction of growth related shocks that hit policy uncertainties which as, demonstrated by Hatemi-J (2012), causal relationships among variables could be sign-dependent; although asymmetric feature is isolated within the impact of economic growth shock on EPU alone and not other factors. The Diks-Panchenko outcomes found no unconditional non-linear causality between EPU and identified macro-economic indicators while the significant Hatemi-J result revealed that causal asymmetry is directionally specific even in case that there may not be any conditional non-linear causation.</w:t>
      </w:r>
    </w:p>
    <w:p w14:paraId="1B199993"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5.3 Policy Recommendations</w:t>
      </w:r>
    </w:p>
    <w:p w14:paraId="40255C77" w14:textId="77777777" w:rsidR="00B43039" w:rsidRDefault="00B43039" w:rsidP="00B43039">
      <w:pPr>
        <w:pStyle w:val="NormalWeb"/>
        <w:jc w:val="both"/>
      </w:pPr>
      <w:r>
        <w:t xml:space="preserve">Results obtained highlight several policies which could strengthen predictability and stability, improve  macroeconomic stability and buffer negative impacts on economic downturns, which includes strong correlation between negative growth shock and EPU, the credibility of policies must accompany them, stability, as well as policy cooperation to boost growth. Consequently, effective monetary, fiscal and exchange rate policies and their structural support ought to be </w:t>
      </w:r>
      <w:r>
        <w:lastRenderedPageBreak/>
        <w:t>coordinated well under medium-term stable fiscal frameworks with transparent policies pronouncements to boost growth, growth momentum ought to be sustained by public investment in infrastructure, supply and delivery of energy services, increasing agricultural and industry productivity, broadening finance access. Furthermore, credibility of monetary and fiscal policies ought to be attained with the help of consistent fiscal frameworks, transparent reforms and transparent policy announcements regarding movement of inflation, interest rate, liquidity and exchange rates. So also, the conduct exchange-rate and structural policies with transparent procedures with adequate safeguards available for affected individuals through well designed social safety nets, unemployment benefits and food-security support. Conclusively, to have more institutional transparency with the timely and precise statistics on economic conditions. The EPU index of Nigeria can be built into a macroeconomic forecasting tool which may give an early-warning of the increasing-instability as well as unfavorable economic environment.</w:t>
      </w:r>
    </w:p>
    <w:p w14:paraId="745926AE"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5.4</w:t>
      </w:r>
      <w:r>
        <w:rPr>
          <w:rFonts w:ascii="Times New Roman" w:eastAsia="Times New Roman" w:hAnsi="Times New Roman" w:cs="Times New Roman"/>
          <w:bCs/>
          <w:sz w:val="27"/>
          <w:szCs w:val="27"/>
        </w:rPr>
        <w:t xml:space="preserve"> </w:t>
      </w:r>
      <w:r w:rsidRPr="00390620">
        <w:rPr>
          <w:rFonts w:ascii="Times New Roman" w:eastAsia="Times New Roman" w:hAnsi="Times New Roman" w:cs="Times New Roman"/>
          <w:bCs/>
          <w:sz w:val="27"/>
          <w:szCs w:val="27"/>
        </w:rPr>
        <w:t xml:space="preserve">limitations </w:t>
      </w:r>
    </w:p>
    <w:p w14:paraId="1B2DDF2B" w14:textId="77777777" w:rsidR="00B43039" w:rsidRDefault="00B43039" w:rsidP="00B43039">
      <w:pPr>
        <w:pStyle w:val="NormalWeb"/>
        <w:jc w:val="both"/>
      </w:pPr>
      <w:r>
        <w:t>There are several limitations one must be mindful of when reading the findings of this paper. Firstly, the scope of data and variables is restricted to monthly aggregate data and just five macroeconomic variables. Short-run causal relationships could possibly be masked, and there exist other omitted variables (e.g. Public debt, Oil prices, Fiscal deficits, Private net capital flows, Public External Reserves) that could be related and are thus left out. Secondly, the Zivot-Andrews structural-break test is restricted to one endogenous structural break, yet, Nigeria could have experienced one or more economic and policy shocks (some with simultaneous or overlapping effects) which could have result in several or ongoing structural changes. (E.g., Hansen's multiple-break test or gradually ongoing structural-break models). Thirdly, neither the Hatemi-J asymmetry test nor the Diks-Panchenko test adequately account for regime changes, threshold effects, or ongoing (time-varying) causality. Nor should the size of cumulative partial sums be considered to determine an asymmetric causal process. Fourth, the paper may not have adequately elucidated the channels and transmission mechanisms whereby negative output shocks result in uncertainty in economic policy. Factors, such as institutional quality, political dynamics, external shocks, international economic and financial environment, public debt, etc, may also be important contributors to this mechanism.</w:t>
      </w:r>
    </w:p>
    <w:p w14:paraId="49D73522"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5.5 Needs for Further Studies</w:t>
      </w:r>
    </w:p>
    <w:p w14:paraId="601E4240" w14:textId="77777777" w:rsidR="00425CA8" w:rsidRDefault="00425CA8" w:rsidP="00425CA8">
      <w:pPr>
        <w:pStyle w:val="NormalWeb"/>
        <w:jc w:val="both"/>
      </w:pPr>
      <w:r>
        <w:t xml:space="preserve">Future work should examine whether this growth-EPU nexus is different during expansionary and recessional periods, episodes of high inflation and exchange rate crises, and in periods of major policy change, using estimation techniques such as MS-VAR, threshold VAR, STVAR, and regime dependent TVP-VAR models; also examine whether negative growth shock impacts on policy uncertainty is more sensitive during normal economic periods than in crisis periods like the COVID-19 crisis and after the 2023 reform period. It would be interesting also to test whether these relationships can hold when adding other aggregate macroeconomic and external variables such as oil prices, fiscal policy, public debt, reserves, investment by foreign nationals, equity market, and financial International financing variables into the analysis. Finally, high-frequency EPU and financial data can be explored to track transmission mechanisms via exchange rates, interest rates, equity prices and sovereign spreads. Comparative African evidence may also be useful to evaluate if Nigeria's stronger responsiveness of EPU to negative growth rate shock is a </w:t>
      </w:r>
      <w:r>
        <w:lastRenderedPageBreak/>
        <w:t>feature unique to it or a characteristic of developing, developing country and resource rich country phenomena in general.</w:t>
      </w:r>
    </w:p>
    <w:p w14:paraId="03E0767B" w14:textId="77777777" w:rsidR="00B43039" w:rsidRPr="00682ABD" w:rsidRDefault="00B43039" w:rsidP="00B43039">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6.0 </w:t>
      </w:r>
      <w:r w:rsidRPr="00682ABD">
        <w:rPr>
          <w:rFonts w:ascii="Times New Roman" w:eastAsia="Times New Roman" w:hAnsi="Times New Roman" w:cs="Times New Roman"/>
          <w:b/>
          <w:bCs/>
          <w:sz w:val="27"/>
          <w:szCs w:val="27"/>
        </w:rPr>
        <w:t>References</w:t>
      </w:r>
    </w:p>
    <w:p w14:paraId="552E0F5E"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Aina, A. L. (2025). </w:t>
      </w:r>
      <w:r w:rsidRPr="00682ABD">
        <w:rPr>
          <w:rFonts w:ascii="Times New Roman" w:eastAsia="Times New Roman" w:hAnsi="Times New Roman" w:cs="Times New Roman"/>
          <w:i/>
          <w:iCs/>
          <w:sz w:val="24"/>
          <w:szCs w:val="24"/>
        </w:rPr>
        <w:t>Asymmetry impact of economic policy uncertainty on economic growth in Nigeria</w:t>
      </w:r>
      <w:r w:rsidRPr="00682ABD">
        <w:rPr>
          <w:rFonts w:ascii="Times New Roman" w:eastAsia="Times New Roman" w:hAnsi="Times New Roman" w:cs="Times New Roman"/>
          <w:sz w:val="24"/>
          <w:szCs w:val="24"/>
        </w:rPr>
        <w:t>. International Journal of Research and Innovation in Social Science, 9(4), 1175–1189.</w:t>
      </w:r>
    </w:p>
    <w:p w14:paraId="63107C50"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Akintunde, M. O., &amp; Joseph, A. I. (2026). </w:t>
      </w:r>
      <w:r w:rsidRPr="00682ABD">
        <w:rPr>
          <w:rFonts w:ascii="Times New Roman" w:eastAsia="Times New Roman" w:hAnsi="Times New Roman" w:cs="Times New Roman"/>
          <w:i/>
          <w:iCs/>
          <w:sz w:val="24"/>
          <w:szCs w:val="24"/>
        </w:rPr>
        <w:t>Dynamic connectedness between economic policy uncertainty and macroeconomic performance in Nigeria: Evidence from a TVP-VAR approach</w:t>
      </w:r>
      <w:r w:rsidRPr="00682ABD">
        <w:rPr>
          <w:rFonts w:ascii="Times New Roman" w:eastAsia="Times New Roman" w:hAnsi="Times New Roman" w:cs="Times New Roman"/>
          <w:sz w:val="24"/>
          <w:szCs w:val="24"/>
        </w:rPr>
        <w:t>. Asian Journal of Economics, Business and Accounting, 26(9), 1–14.</w:t>
      </w:r>
    </w:p>
    <w:p w14:paraId="0A7DE9E0"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Baker, S. R., Bloom, N., &amp; Davis, S. J. (2016). Measuring economic policy uncertainty. </w:t>
      </w:r>
      <w:r w:rsidRPr="00682ABD">
        <w:rPr>
          <w:rFonts w:ascii="Times New Roman" w:eastAsia="Times New Roman" w:hAnsi="Times New Roman" w:cs="Times New Roman"/>
          <w:i/>
          <w:iCs/>
          <w:sz w:val="24"/>
          <w:szCs w:val="24"/>
        </w:rPr>
        <w:t>The Quarterly Journal of Economics, 131</w:t>
      </w:r>
      <w:r w:rsidRPr="00682ABD">
        <w:rPr>
          <w:rFonts w:ascii="Times New Roman" w:eastAsia="Times New Roman" w:hAnsi="Times New Roman" w:cs="Times New Roman"/>
          <w:sz w:val="24"/>
          <w:szCs w:val="24"/>
        </w:rPr>
        <w:t>(4), 1593–1636.</w:t>
      </w:r>
    </w:p>
    <w:p w14:paraId="1B81DD91"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Bekiros, S., Gupta, R., &amp; Kyei, C. K. (2016). On economic uncertainty, stock market predictability and nonlinear spillover effects. </w:t>
      </w:r>
      <w:r w:rsidRPr="00682ABD">
        <w:rPr>
          <w:rFonts w:ascii="Times New Roman" w:eastAsia="Times New Roman" w:hAnsi="Times New Roman" w:cs="Times New Roman"/>
          <w:i/>
          <w:iCs/>
          <w:sz w:val="24"/>
          <w:szCs w:val="24"/>
        </w:rPr>
        <w:t>North American Journal of Economics and Finance, 36</w:t>
      </w:r>
      <w:r w:rsidRPr="00682ABD">
        <w:rPr>
          <w:rFonts w:ascii="Times New Roman" w:eastAsia="Times New Roman" w:hAnsi="Times New Roman" w:cs="Times New Roman"/>
          <w:sz w:val="24"/>
          <w:szCs w:val="24"/>
        </w:rPr>
        <w:t>, 184–191.</w:t>
      </w:r>
    </w:p>
    <w:p w14:paraId="601DB713"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Bello, D. (2025). </w:t>
      </w:r>
      <w:r w:rsidRPr="00682ABD">
        <w:rPr>
          <w:rFonts w:ascii="Times New Roman" w:eastAsia="Times New Roman" w:hAnsi="Times New Roman" w:cs="Times New Roman"/>
          <w:i/>
          <w:iCs/>
          <w:sz w:val="24"/>
          <w:szCs w:val="24"/>
        </w:rPr>
        <w:t>Navigating economic and climate uncertainties on output: A case study of Nigeria</w:t>
      </w:r>
      <w:r w:rsidRPr="00682ABD">
        <w:rPr>
          <w:rFonts w:ascii="Times New Roman" w:eastAsia="Times New Roman" w:hAnsi="Times New Roman" w:cs="Times New Roman"/>
          <w:sz w:val="24"/>
          <w:szCs w:val="24"/>
        </w:rPr>
        <w:t>. Climate Economics and Finance, 3(1).</w:t>
      </w:r>
    </w:p>
    <w:p w14:paraId="6F0544F7"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Goshit, G. G., Jelilov, G., Iorember, P. T., Celik, B., &amp; Davd-Wayas, O. M. (2022). Asymmetric effects of monetary policy shocks on output growth in Nigeria: Evidence from nonlinear ARDL and Hatemi-J causality tests. </w:t>
      </w:r>
      <w:r w:rsidRPr="00682ABD">
        <w:rPr>
          <w:rFonts w:ascii="Times New Roman" w:eastAsia="Times New Roman" w:hAnsi="Times New Roman" w:cs="Times New Roman"/>
          <w:i/>
          <w:iCs/>
          <w:sz w:val="24"/>
          <w:szCs w:val="24"/>
        </w:rPr>
        <w:t>Journal of Public Affairs, 22</w:t>
      </w:r>
      <w:r w:rsidRPr="00682ABD">
        <w:rPr>
          <w:rFonts w:ascii="Times New Roman" w:eastAsia="Times New Roman" w:hAnsi="Times New Roman" w:cs="Times New Roman"/>
          <w:sz w:val="24"/>
          <w:szCs w:val="24"/>
        </w:rPr>
        <w:t>, e2449.</w:t>
      </w:r>
    </w:p>
    <w:p w14:paraId="3833BB9B"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Gong, M., You, Z., Wang, L., &amp; Ruan, D. (2024). Research of the non-linear dynamic relationship between global economic policy uncertainty and crude oil prices. </w:t>
      </w:r>
      <w:r w:rsidRPr="00682ABD">
        <w:rPr>
          <w:rFonts w:ascii="Times New Roman" w:eastAsia="Times New Roman" w:hAnsi="Times New Roman" w:cs="Times New Roman"/>
          <w:i/>
          <w:iCs/>
          <w:sz w:val="24"/>
          <w:szCs w:val="24"/>
        </w:rPr>
        <w:t>Journal of Asian Economics, 90</w:t>
      </w:r>
      <w:r w:rsidRPr="00682ABD">
        <w:rPr>
          <w:rFonts w:ascii="Times New Roman" w:eastAsia="Times New Roman" w:hAnsi="Times New Roman" w:cs="Times New Roman"/>
          <w:sz w:val="24"/>
          <w:szCs w:val="24"/>
        </w:rPr>
        <w:t>, 101673.</w:t>
      </w:r>
    </w:p>
    <w:p w14:paraId="33B0F729"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Hatemi-J, A. (2012). Asymmetric causality tests with an application. </w:t>
      </w:r>
      <w:r w:rsidRPr="00682ABD">
        <w:rPr>
          <w:rFonts w:ascii="Times New Roman" w:eastAsia="Times New Roman" w:hAnsi="Times New Roman" w:cs="Times New Roman"/>
          <w:i/>
          <w:iCs/>
          <w:sz w:val="24"/>
          <w:szCs w:val="24"/>
        </w:rPr>
        <w:t>Empirical Economics, 43</w:t>
      </w:r>
      <w:r w:rsidRPr="00682ABD">
        <w:rPr>
          <w:rFonts w:ascii="Times New Roman" w:eastAsia="Times New Roman" w:hAnsi="Times New Roman" w:cs="Times New Roman"/>
          <w:sz w:val="24"/>
          <w:szCs w:val="24"/>
        </w:rPr>
        <w:t>(1), 447–456.</w:t>
      </w:r>
    </w:p>
    <w:p w14:paraId="2706AF2C"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Hong, Y., Zhang, R., &amp; Zhang, F. (2024). Time-varying causality impact of economic policy uncertainty on stock market returns: Global evidence from developed and emerging countries. </w:t>
      </w:r>
      <w:r w:rsidRPr="00682ABD">
        <w:rPr>
          <w:rFonts w:ascii="Times New Roman" w:eastAsia="Times New Roman" w:hAnsi="Times New Roman" w:cs="Times New Roman"/>
          <w:i/>
          <w:iCs/>
          <w:sz w:val="24"/>
          <w:szCs w:val="24"/>
        </w:rPr>
        <w:t>International Review of Financial Analysis, 91</w:t>
      </w:r>
      <w:r w:rsidRPr="00682ABD">
        <w:rPr>
          <w:rFonts w:ascii="Times New Roman" w:eastAsia="Times New Roman" w:hAnsi="Times New Roman" w:cs="Times New Roman"/>
          <w:sz w:val="24"/>
          <w:szCs w:val="24"/>
        </w:rPr>
        <w:t>, 102991.</w:t>
      </w:r>
    </w:p>
    <w:p w14:paraId="467AE534"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Nishiyama, Y., Hitomi, K., Kawasaki, Y., &amp; Jeong, K. (2011). A consistent nonparametric test for nonlinear causality—Specification in time series regression. </w:t>
      </w:r>
      <w:r w:rsidRPr="00682ABD">
        <w:rPr>
          <w:rFonts w:ascii="Times New Roman" w:eastAsia="Times New Roman" w:hAnsi="Times New Roman" w:cs="Times New Roman"/>
          <w:i/>
          <w:iCs/>
          <w:sz w:val="24"/>
          <w:szCs w:val="24"/>
        </w:rPr>
        <w:t>Econometric Theory, 27</w:t>
      </w:r>
      <w:r w:rsidRPr="00682ABD">
        <w:rPr>
          <w:rFonts w:ascii="Times New Roman" w:eastAsia="Times New Roman" w:hAnsi="Times New Roman" w:cs="Times New Roman"/>
          <w:sz w:val="24"/>
          <w:szCs w:val="24"/>
        </w:rPr>
        <w:t>, 1–23.</w:t>
      </w:r>
    </w:p>
    <w:p w14:paraId="73B7DAE6"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2ABD">
        <w:rPr>
          <w:rFonts w:ascii="Times New Roman" w:eastAsia="Times New Roman" w:hAnsi="Times New Roman" w:cs="Times New Roman"/>
          <w:sz w:val="24"/>
          <w:szCs w:val="24"/>
        </w:rPr>
        <w:t xml:space="preserve">Zaria, Y. B., &amp; Tuyon, J. (2022). Relationship between unemployment and policy uncertainty in Nigeria: ARDL evidence from 1990 to 2020. </w:t>
      </w:r>
      <w:r w:rsidRPr="00682ABD">
        <w:rPr>
          <w:rFonts w:ascii="Times New Roman" w:eastAsia="Times New Roman" w:hAnsi="Times New Roman" w:cs="Times New Roman"/>
          <w:i/>
          <w:iCs/>
          <w:sz w:val="24"/>
          <w:szCs w:val="24"/>
        </w:rPr>
        <w:t>International Journal of Social Economics</w:t>
      </w:r>
      <w:r w:rsidRPr="00682ABD">
        <w:rPr>
          <w:rFonts w:ascii="Times New Roman" w:eastAsia="Times New Roman" w:hAnsi="Times New Roman" w:cs="Times New Roman"/>
          <w:sz w:val="24"/>
          <w:szCs w:val="24"/>
        </w:rPr>
        <w:t>.</w:t>
      </w:r>
    </w:p>
    <w:p w14:paraId="6F558FAE" w14:textId="77777777" w:rsidR="00B43039" w:rsidRPr="00A80457" w:rsidRDefault="00B43039" w:rsidP="00B43039">
      <w:pPr>
        <w:rPr>
          <w:rFonts w:ascii="Times New Roman" w:hAnsi="Times New Roman" w:cs="Times New Roman"/>
          <w:sz w:val="24"/>
          <w:szCs w:val="24"/>
        </w:rPr>
      </w:pPr>
    </w:p>
    <w:p w14:paraId="4075F63B" w14:textId="77777777" w:rsidR="00DE6FD8" w:rsidRPr="00D67712" w:rsidRDefault="00DE6FD8" w:rsidP="00DE6FD8">
      <w:pPr>
        <w:pStyle w:val="NormalWeb"/>
        <w:jc w:val="both"/>
      </w:pPr>
    </w:p>
    <w:p w14:paraId="0873FE31" w14:textId="77777777" w:rsidR="00951BE1" w:rsidRDefault="00951BE1"/>
    <w:sectPr w:rsidR="00951BE1">
      <w:headerReference w:type="even" r:id="rId91"/>
      <w:headerReference w:type="default" r:id="rId92"/>
      <w:footerReference w:type="even" r:id="rId93"/>
      <w:footerReference w:type="default" r:id="rId94"/>
      <w:headerReference w:type="first" r:id="rId95"/>
      <w:footerReference w:type="first" r:id="rI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06315" w14:textId="77777777" w:rsidR="002D2912" w:rsidRDefault="002D2912" w:rsidP="00DE6FD8">
      <w:pPr>
        <w:spacing w:after="0" w:line="240" w:lineRule="auto"/>
      </w:pPr>
      <w:r>
        <w:separator/>
      </w:r>
    </w:p>
  </w:endnote>
  <w:endnote w:type="continuationSeparator" w:id="0">
    <w:p w14:paraId="6D483AAB" w14:textId="77777777" w:rsidR="002D2912" w:rsidRDefault="002D2912" w:rsidP="00DE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4DE32" w14:textId="77777777" w:rsidR="0088266F" w:rsidRDefault="00882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539533"/>
      <w:docPartObj>
        <w:docPartGallery w:val="Page Numbers (Bottom of Page)"/>
        <w:docPartUnique/>
      </w:docPartObj>
    </w:sdtPr>
    <w:sdtEndPr>
      <w:rPr>
        <w:noProof/>
      </w:rPr>
    </w:sdtEndPr>
    <w:sdtContent>
      <w:p w14:paraId="31B3AE20" w14:textId="77777777" w:rsidR="00B43039" w:rsidRDefault="00B43039">
        <w:pPr>
          <w:pStyle w:val="Footer"/>
          <w:jc w:val="center"/>
        </w:pPr>
        <w:r>
          <w:fldChar w:fldCharType="begin"/>
        </w:r>
        <w:r>
          <w:instrText xml:space="preserve"> PAGE   \* MERGEFORMAT </w:instrText>
        </w:r>
        <w:r>
          <w:fldChar w:fldCharType="separate"/>
        </w:r>
        <w:r w:rsidR="00425CA8">
          <w:rPr>
            <w:noProof/>
          </w:rPr>
          <w:t>15</w:t>
        </w:r>
        <w:r>
          <w:rPr>
            <w:noProof/>
          </w:rPr>
          <w:fldChar w:fldCharType="end"/>
        </w:r>
      </w:p>
    </w:sdtContent>
  </w:sdt>
  <w:p w14:paraId="552BD159" w14:textId="77777777" w:rsidR="00B43039" w:rsidRDefault="00B43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C9EF" w14:textId="77777777" w:rsidR="0088266F" w:rsidRDefault="00882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F1F91" w14:textId="77777777" w:rsidR="002D2912" w:rsidRDefault="002D2912" w:rsidP="00DE6FD8">
      <w:pPr>
        <w:spacing w:after="0" w:line="240" w:lineRule="auto"/>
      </w:pPr>
      <w:r>
        <w:separator/>
      </w:r>
    </w:p>
  </w:footnote>
  <w:footnote w:type="continuationSeparator" w:id="0">
    <w:p w14:paraId="17B0EA99" w14:textId="77777777" w:rsidR="002D2912" w:rsidRDefault="002D2912" w:rsidP="00DE6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614F" w14:textId="77777777" w:rsidR="0088266F" w:rsidRDefault="00882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33385"/>
      <w:docPartObj>
        <w:docPartGallery w:val="Watermarks"/>
        <w:docPartUnique/>
      </w:docPartObj>
    </w:sdtPr>
    <w:sdtContent>
      <w:p w14:paraId="7CE028BA" w14:textId="10151BFD" w:rsidR="0088266F" w:rsidRDefault="00000000">
        <w:pPr>
          <w:pStyle w:val="Header"/>
        </w:pPr>
        <w:r>
          <w:rPr>
            <w:noProof/>
          </w:rPr>
          <w:pict w14:anchorId="32B1BC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66861" o:spid="_x0000_s1025" type="#_x0000_t136" style="position:absolute;margin-left:0;margin-top:0;width:555.6pt;height:104.15pt;rotation:315;z-index:-25165875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A09C" w14:textId="77777777" w:rsidR="0088266F" w:rsidRDefault="00882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1E32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D8559F"/>
    <w:multiLevelType w:val="multilevel"/>
    <w:tmpl w:val="E9E6D116"/>
    <w:lvl w:ilvl="0">
      <w:start w:val="4"/>
      <w:numFmt w:val="decimal"/>
      <w:lvlText w:val="%1"/>
      <w:lvlJc w:val="left"/>
      <w:pPr>
        <w:ind w:left="360" w:hanging="360"/>
      </w:pPr>
      <w:rPr>
        <w:rFonts w:hint="default"/>
        <w:sz w:val="22"/>
      </w:rPr>
    </w:lvl>
    <w:lvl w:ilvl="1">
      <w:start w:val="6"/>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15:restartNumberingAfterBreak="0">
    <w:nsid w:val="49EA6842"/>
    <w:multiLevelType w:val="multilevel"/>
    <w:tmpl w:val="1458F130"/>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B2D290B"/>
    <w:multiLevelType w:val="multilevel"/>
    <w:tmpl w:val="6EFACF8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1D7451E"/>
    <w:multiLevelType w:val="multilevel"/>
    <w:tmpl w:val="96B40C4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B0566A6"/>
    <w:multiLevelType w:val="multilevel"/>
    <w:tmpl w:val="8008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3188682">
    <w:abstractNumId w:val="3"/>
  </w:num>
  <w:num w:numId="2" w16cid:durableId="51582632">
    <w:abstractNumId w:val="2"/>
  </w:num>
  <w:num w:numId="3" w16cid:durableId="1240216140">
    <w:abstractNumId w:val="0"/>
  </w:num>
  <w:num w:numId="4" w16cid:durableId="568149282">
    <w:abstractNumId w:val="4"/>
  </w:num>
  <w:num w:numId="5" w16cid:durableId="731662869">
    <w:abstractNumId w:val="1"/>
  </w:num>
  <w:num w:numId="6" w16cid:durableId="1148598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712"/>
    <w:rsid w:val="001F5E34"/>
    <w:rsid w:val="002D2912"/>
    <w:rsid w:val="00425CA8"/>
    <w:rsid w:val="0056079B"/>
    <w:rsid w:val="00856B87"/>
    <w:rsid w:val="0088266F"/>
    <w:rsid w:val="00951BE1"/>
    <w:rsid w:val="00A13E6D"/>
    <w:rsid w:val="00AB60C6"/>
    <w:rsid w:val="00B43039"/>
    <w:rsid w:val="00BD3B55"/>
    <w:rsid w:val="00D60789"/>
    <w:rsid w:val="00D67712"/>
    <w:rsid w:val="00DB657B"/>
    <w:rsid w:val="00DE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71BC6"/>
  <w15:chartTrackingRefBased/>
  <w15:docId w15:val="{272D2EEC-FCB4-42AA-815D-D698E4785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712"/>
  </w:style>
  <w:style w:type="paragraph" w:styleId="Heading1">
    <w:name w:val="heading 1"/>
    <w:basedOn w:val="Normal"/>
    <w:next w:val="Normal"/>
    <w:link w:val="Heading1Char"/>
    <w:uiPriority w:val="9"/>
    <w:qFormat/>
    <w:rsid w:val="00A13E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D3B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3B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77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7712"/>
    <w:rPr>
      <w:b/>
      <w:bCs/>
    </w:rPr>
  </w:style>
  <w:style w:type="paragraph" w:styleId="Header">
    <w:name w:val="header"/>
    <w:basedOn w:val="Normal"/>
    <w:link w:val="HeaderChar"/>
    <w:uiPriority w:val="99"/>
    <w:unhideWhenUsed/>
    <w:rsid w:val="00DE6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FD8"/>
  </w:style>
  <w:style w:type="paragraph" w:styleId="Footer">
    <w:name w:val="footer"/>
    <w:basedOn w:val="Normal"/>
    <w:link w:val="FooterChar"/>
    <w:uiPriority w:val="99"/>
    <w:unhideWhenUsed/>
    <w:rsid w:val="00DE6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FD8"/>
  </w:style>
  <w:style w:type="character" w:customStyle="1" w:styleId="Heading2Char">
    <w:name w:val="Heading 2 Char"/>
    <w:basedOn w:val="DefaultParagraphFont"/>
    <w:link w:val="Heading2"/>
    <w:uiPriority w:val="9"/>
    <w:rsid w:val="00BD3B5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3B55"/>
    <w:rPr>
      <w:rFonts w:ascii="Times New Roman" w:eastAsia="Times New Roman" w:hAnsi="Times New Roman" w:cs="Times New Roman"/>
      <w:b/>
      <w:bCs/>
      <w:sz w:val="27"/>
      <w:szCs w:val="27"/>
    </w:rPr>
  </w:style>
  <w:style w:type="character" w:customStyle="1" w:styleId="mord">
    <w:name w:val="mord"/>
    <w:basedOn w:val="DefaultParagraphFont"/>
    <w:rsid w:val="00BD3B55"/>
  </w:style>
  <w:style w:type="character" w:customStyle="1" w:styleId="vlist-s">
    <w:name w:val="vlist-s"/>
    <w:basedOn w:val="DefaultParagraphFont"/>
    <w:rsid w:val="00BD3B55"/>
  </w:style>
  <w:style w:type="table" w:styleId="TableGrid">
    <w:name w:val="Table Grid"/>
    <w:basedOn w:val="TableNormal"/>
    <w:uiPriority w:val="39"/>
    <w:rsid w:val="00BD3B5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3E6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13E6D"/>
    <w:pPr>
      <w:ind w:left="720"/>
      <w:contextualSpacing/>
    </w:pPr>
  </w:style>
  <w:style w:type="paragraph" w:customStyle="1" w:styleId="pdq2pgselectionanchorcontainer">
    <w:name w:val="pdq2pg_selectionanchorcontainer"/>
    <w:basedOn w:val="Normal"/>
    <w:rsid w:val="00A13E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A13E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13E6D"/>
    <w:rPr>
      <w:i/>
      <w:iCs/>
    </w:rPr>
  </w:style>
  <w:style w:type="character" w:customStyle="1" w:styleId="mtight">
    <w:name w:val="mtight"/>
    <w:basedOn w:val="DefaultParagraphFont"/>
    <w:rsid w:val="00A13E6D"/>
  </w:style>
  <w:style w:type="paragraph" w:styleId="ListBullet">
    <w:name w:val="List Bullet"/>
    <w:basedOn w:val="Normal"/>
    <w:uiPriority w:val="99"/>
    <w:unhideWhenUsed/>
    <w:rsid w:val="00A13E6D"/>
    <w:pPr>
      <w:numPr>
        <w:numId w:val="3"/>
      </w:numPr>
      <w:spacing w:after="200" w:line="276" w:lineRule="auto"/>
      <w:contextualSpacing/>
    </w:pPr>
    <w:rPr>
      <w:rFonts w:ascii="Times New Roman" w:eastAsiaTheme="minorEastAsia" w:hAnsi="Times New Roman"/>
    </w:rPr>
  </w:style>
  <w:style w:type="character" w:customStyle="1" w:styleId="mrel">
    <w:name w:val="mrel"/>
    <w:basedOn w:val="DefaultParagraphFont"/>
    <w:rsid w:val="00A13E6D"/>
  </w:style>
  <w:style w:type="character" w:customStyle="1" w:styleId="mopen">
    <w:name w:val="mopen"/>
    <w:basedOn w:val="DefaultParagraphFont"/>
    <w:rsid w:val="00A13E6D"/>
  </w:style>
  <w:style w:type="character" w:customStyle="1" w:styleId="mbin">
    <w:name w:val="mbin"/>
    <w:basedOn w:val="DefaultParagraphFont"/>
    <w:rsid w:val="00A13E6D"/>
  </w:style>
  <w:style w:type="character" w:customStyle="1" w:styleId="mclose">
    <w:name w:val="mclose"/>
    <w:basedOn w:val="DefaultParagraphFont"/>
    <w:rsid w:val="00A1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7138">
      <w:bodyDiv w:val="1"/>
      <w:marLeft w:val="0"/>
      <w:marRight w:val="0"/>
      <w:marTop w:val="0"/>
      <w:marBottom w:val="0"/>
      <w:divBdr>
        <w:top w:val="none" w:sz="0" w:space="0" w:color="auto"/>
        <w:left w:val="none" w:sz="0" w:space="0" w:color="auto"/>
        <w:bottom w:val="none" w:sz="0" w:space="0" w:color="auto"/>
        <w:right w:val="none" w:sz="0" w:space="0" w:color="auto"/>
      </w:divBdr>
    </w:div>
    <w:div w:id="366219269">
      <w:bodyDiv w:val="1"/>
      <w:marLeft w:val="0"/>
      <w:marRight w:val="0"/>
      <w:marTop w:val="0"/>
      <w:marBottom w:val="0"/>
      <w:divBdr>
        <w:top w:val="none" w:sz="0" w:space="0" w:color="auto"/>
        <w:left w:val="none" w:sz="0" w:space="0" w:color="auto"/>
        <w:bottom w:val="none" w:sz="0" w:space="0" w:color="auto"/>
        <w:right w:val="none" w:sz="0" w:space="0" w:color="auto"/>
      </w:divBdr>
    </w:div>
    <w:div w:id="545871579">
      <w:bodyDiv w:val="1"/>
      <w:marLeft w:val="0"/>
      <w:marRight w:val="0"/>
      <w:marTop w:val="0"/>
      <w:marBottom w:val="0"/>
      <w:divBdr>
        <w:top w:val="none" w:sz="0" w:space="0" w:color="auto"/>
        <w:left w:val="none" w:sz="0" w:space="0" w:color="auto"/>
        <w:bottom w:val="none" w:sz="0" w:space="0" w:color="auto"/>
        <w:right w:val="none" w:sz="0" w:space="0" w:color="auto"/>
      </w:divBdr>
    </w:div>
    <w:div w:id="626006703">
      <w:bodyDiv w:val="1"/>
      <w:marLeft w:val="0"/>
      <w:marRight w:val="0"/>
      <w:marTop w:val="0"/>
      <w:marBottom w:val="0"/>
      <w:divBdr>
        <w:top w:val="none" w:sz="0" w:space="0" w:color="auto"/>
        <w:left w:val="none" w:sz="0" w:space="0" w:color="auto"/>
        <w:bottom w:val="none" w:sz="0" w:space="0" w:color="auto"/>
        <w:right w:val="none" w:sz="0" w:space="0" w:color="auto"/>
      </w:divBdr>
    </w:div>
    <w:div w:id="923413186">
      <w:bodyDiv w:val="1"/>
      <w:marLeft w:val="0"/>
      <w:marRight w:val="0"/>
      <w:marTop w:val="0"/>
      <w:marBottom w:val="0"/>
      <w:divBdr>
        <w:top w:val="none" w:sz="0" w:space="0" w:color="auto"/>
        <w:left w:val="none" w:sz="0" w:space="0" w:color="auto"/>
        <w:bottom w:val="none" w:sz="0" w:space="0" w:color="auto"/>
        <w:right w:val="none" w:sz="0" w:space="0" w:color="auto"/>
      </w:divBdr>
    </w:div>
    <w:div w:id="1109081418">
      <w:bodyDiv w:val="1"/>
      <w:marLeft w:val="0"/>
      <w:marRight w:val="0"/>
      <w:marTop w:val="0"/>
      <w:marBottom w:val="0"/>
      <w:divBdr>
        <w:top w:val="none" w:sz="0" w:space="0" w:color="auto"/>
        <w:left w:val="none" w:sz="0" w:space="0" w:color="auto"/>
        <w:bottom w:val="none" w:sz="0" w:space="0" w:color="auto"/>
        <w:right w:val="none" w:sz="0" w:space="0" w:color="auto"/>
      </w:divBdr>
    </w:div>
    <w:div w:id="1563180091">
      <w:bodyDiv w:val="1"/>
      <w:marLeft w:val="0"/>
      <w:marRight w:val="0"/>
      <w:marTop w:val="0"/>
      <w:marBottom w:val="0"/>
      <w:divBdr>
        <w:top w:val="none" w:sz="0" w:space="0" w:color="auto"/>
        <w:left w:val="none" w:sz="0" w:space="0" w:color="auto"/>
        <w:bottom w:val="none" w:sz="0" w:space="0" w:color="auto"/>
        <w:right w:val="none" w:sz="0" w:space="0" w:color="auto"/>
      </w:divBdr>
    </w:div>
    <w:div w:id="1633250113">
      <w:bodyDiv w:val="1"/>
      <w:marLeft w:val="0"/>
      <w:marRight w:val="0"/>
      <w:marTop w:val="0"/>
      <w:marBottom w:val="0"/>
      <w:divBdr>
        <w:top w:val="none" w:sz="0" w:space="0" w:color="auto"/>
        <w:left w:val="none" w:sz="0" w:space="0" w:color="auto"/>
        <w:bottom w:val="none" w:sz="0" w:space="0" w:color="auto"/>
        <w:right w:val="none" w:sz="0" w:space="0" w:color="auto"/>
      </w:divBdr>
    </w:div>
    <w:div w:id="202316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8.wmf"/><Relationship Id="rId42" Type="http://schemas.openxmlformats.org/officeDocument/2006/relationships/oleObject" Target="embeddings/oleObject19.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image" Target="media/image41.wmf"/><Relationship Id="rId16" Type="http://schemas.openxmlformats.org/officeDocument/2006/relationships/oleObject" Target="embeddings/oleObject5.bin"/><Relationship Id="rId11" Type="http://schemas.openxmlformats.org/officeDocument/2006/relationships/image" Target="media/image3.wmf"/><Relationship Id="rId32" Type="http://schemas.openxmlformats.org/officeDocument/2006/relationships/oleObject" Target="embeddings/oleObject14.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7.bin"/><Relationship Id="rId74" Type="http://schemas.openxmlformats.org/officeDocument/2006/relationships/oleObject" Target="embeddings/oleObject35.bin"/><Relationship Id="rId79" Type="http://schemas.openxmlformats.org/officeDocument/2006/relationships/image" Target="media/image36.wmf"/><Relationship Id="rId5" Type="http://schemas.openxmlformats.org/officeDocument/2006/relationships/footnotes" Target="footnotes.xml"/><Relationship Id="rId90" Type="http://schemas.openxmlformats.org/officeDocument/2006/relationships/oleObject" Target="embeddings/oleObject43.bin"/><Relationship Id="rId95" Type="http://schemas.openxmlformats.org/officeDocument/2006/relationships/header" Target="header3.xml"/><Relationship Id="rId22" Type="http://schemas.openxmlformats.org/officeDocument/2006/relationships/oleObject" Target="embeddings/oleObject8.bin"/><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oleObject" Target="embeddings/oleObject22.bin"/><Relationship Id="rId64" Type="http://schemas.openxmlformats.org/officeDocument/2006/relationships/oleObject" Target="embeddings/oleObject30.bin"/><Relationship Id="rId69" Type="http://schemas.openxmlformats.org/officeDocument/2006/relationships/image" Target="media/image31.wmf"/><Relationship Id="rId80" Type="http://schemas.openxmlformats.org/officeDocument/2006/relationships/oleObject" Target="embeddings/oleObject38.bin"/><Relationship Id="rId85" Type="http://schemas.openxmlformats.org/officeDocument/2006/relationships/image" Target="media/image39.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7.bin"/><Relationship Id="rId46" Type="http://schemas.openxmlformats.org/officeDocument/2006/relationships/oleObject" Target="embeddings/oleObject21.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7.bin"/><Relationship Id="rId41" Type="http://schemas.openxmlformats.org/officeDocument/2006/relationships/image" Target="media/image17.wmf"/><Relationship Id="rId54" Type="http://schemas.openxmlformats.org/officeDocument/2006/relationships/oleObject" Target="embeddings/oleObject25.bin"/><Relationship Id="rId62" Type="http://schemas.openxmlformats.org/officeDocument/2006/relationships/oleObject" Target="embeddings/oleObject29.bin"/><Relationship Id="rId70" Type="http://schemas.openxmlformats.org/officeDocument/2006/relationships/oleObject" Target="embeddings/oleObject33.bin"/><Relationship Id="rId75" Type="http://schemas.openxmlformats.org/officeDocument/2006/relationships/image" Target="media/image34.wmf"/><Relationship Id="rId83" Type="http://schemas.openxmlformats.org/officeDocument/2006/relationships/image" Target="media/image38.wmf"/><Relationship Id="rId88" Type="http://schemas.openxmlformats.org/officeDocument/2006/relationships/oleObject" Target="embeddings/oleObject42.bin"/><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oleObject" Target="embeddings/oleObject2.bin"/><Relationship Id="rId31" Type="http://schemas.openxmlformats.org/officeDocument/2006/relationships/image" Target="media/image12.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7.bin"/><Relationship Id="rId81" Type="http://schemas.openxmlformats.org/officeDocument/2006/relationships/image" Target="media/image37.wmf"/><Relationship Id="rId86" Type="http://schemas.openxmlformats.org/officeDocument/2006/relationships/oleObject" Target="embeddings/oleObject41.bin"/><Relationship Id="rId9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6.wmf"/><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4.wmf"/><Relationship Id="rId76" Type="http://schemas.openxmlformats.org/officeDocument/2006/relationships/oleObject" Target="embeddings/oleObject36.bin"/><Relationship Id="rId97"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image" Target="media/image32.wmf"/><Relationship Id="rId92" Type="http://schemas.openxmlformats.org/officeDocument/2006/relationships/header" Target="header2.xml"/><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19.wmf"/><Relationship Id="rId66" Type="http://schemas.openxmlformats.org/officeDocument/2006/relationships/oleObject" Target="embeddings/oleObject31.bin"/><Relationship Id="rId87" Type="http://schemas.openxmlformats.org/officeDocument/2006/relationships/image" Target="media/image40.wmf"/><Relationship Id="rId61" Type="http://schemas.openxmlformats.org/officeDocument/2006/relationships/image" Target="media/image27.wmf"/><Relationship Id="rId82" Type="http://schemas.openxmlformats.org/officeDocument/2006/relationships/oleObject" Target="embeddings/oleObject39.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image" Target="media/image14.wmf"/><Relationship Id="rId56" Type="http://schemas.openxmlformats.org/officeDocument/2006/relationships/oleObject" Target="embeddings/oleObject26.bin"/><Relationship Id="rId77" Type="http://schemas.openxmlformats.org/officeDocument/2006/relationships/image" Target="media/image35.wmf"/><Relationship Id="rId8" Type="http://schemas.openxmlformats.org/officeDocument/2006/relationships/oleObject" Target="embeddings/oleObject1.bin"/><Relationship Id="rId51" Type="http://schemas.openxmlformats.org/officeDocument/2006/relationships/image" Target="media/image22.wmf"/><Relationship Id="rId72" Type="http://schemas.openxmlformats.org/officeDocument/2006/relationships/oleObject" Target="embeddings/oleObject34.bin"/><Relationship Id="rId93" Type="http://schemas.openxmlformats.org/officeDocument/2006/relationships/footer" Target="footer1.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15</Pages>
  <Words>5682</Words>
  <Characters>32389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1067</cp:lastModifiedBy>
  <cp:revision>8</cp:revision>
  <dcterms:created xsi:type="dcterms:W3CDTF">2026-08-28T11:44:00Z</dcterms:created>
  <dcterms:modified xsi:type="dcterms:W3CDTF">2026-08-31T08:41:00Z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b4b16fde-4317-4d2a-9257-2cf2ab2928ad</vt:lpwstr>
  </property>
</Properties>
</file>