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217B" w14:textId="77777777" w:rsidR="008A79E7" w:rsidRPr="00D62EF3" w:rsidRDefault="008E4374">
      <w:pPr>
        <w:pStyle w:val="Title"/>
        <w:spacing w:after="320"/>
        <w:jc w:val="center"/>
        <w:rPr>
          <w:color w:val="auto"/>
        </w:rPr>
      </w:pPr>
      <w:r w:rsidRPr="00D62EF3">
        <w:rPr>
          <w:color w:val="auto"/>
        </w:rPr>
        <w:t>Chatbots and AI Assistants in E-Marketing Customer Experience: A Critical Narrative Review of Evidence from Jordan</w:t>
      </w:r>
    </w:p>
    <w:p w14:paraId="28DA4D2B" w14:textId="77777777" w:rsidR="008A79E7" w:rsidRPr="00D62EF3" w:rsidRDefault="008E4374">
      <w:pPr>
        <w:keepNext/>
      </w:pPr>
      <w:r w:rsidRPr="00D62EF3">
        <w:rPr>
          <w:b/>
          <w:sz w:val="24"/>
        </w:rPr>
        <w:t>Abstract</w:t>
      </w:r>
    </w:p>
    <w:p w14:paraId="59CF2A3C" w14:textId="77777777" w:rsidR="008A79E7" w:rsidRPr="00D62EF3" w:rsidRDefault="008E4374">
      <w:pPr>
        <w:spacing w:after="180"/>
      </w:pPr>
      <w:r w:rsidRPr="00D62EF3">
        <w:t>Artificial intelligence (AI)-enabled chatbots and conversational assistants have become prominent customer-facing interfaces in e-marketing, yet their contribution to customer experience depends on more than automation speed. This critical narrative review evaluates what is known about the effects of chatbots and AI assistants on customer experience, with Jordan as the focal context and international evidence used to interpret mechanisms and boundary conditions. Literature published from 2016 to 29 June 2026 was considered, with earlier foundational material included where conceptually necessary. The synthesis integrates Jordanian studies of banking, social-media marketing, manufacturing, small and medium-sized enterprises, consumer industries and digital public services with experimental and survey evidence on service quality, anthropomorphism, trust, privacy, disclosure, service failure and continuance. The evidence indicates that conversational AI can improve convenience, information access, perceived control, personalisation and satisfaction when systems are reliable, useful and capable of resolving routine tasks. Jordanian banking research particularly supports reliability, personalisation and customer empowerment as proximal determinants of satisfaction. However, responsiveness alone is not consistently sufficient, and human-like design is conditional rather than universally beneficial. Anthropomorphic cues may strengthen social presence and warmth in low-friction encounters, but can raise expectations and worsen evaluations when the system misunderstands an angry or high-stakes customer. Trust, privacy risk, transparency regarding machine identity, linguistic fit, escalation to human agents and integration with wider digital service quality therefore shape whether automation enhances or degrades the journey. The Jordanian evidence base remains dominated by cross-sectional self-report surveys, convenience sampling and partial least-squares modelling, with limited behavioural, longitudinal, experimental and Arabic-language interaction research. The review concludes that the strongest case for conversational AI in Jordanian e-marketing is a hybrid, task-contingent model that automates predictable interactions while preserving credible human escalation, transparent data practices and context-sensitive personalisation. Future work should prioritise field experiments, behavioural outcomes, Arabic dialect performance, vulnerable and less digitally confident consumers, and cross-sector longitudinal evaluation.</w:t>
      </w:r>
    </w:p>
    <w:p w14:paraId="7B9421CD" w14:textId="77777777" w:rsidR="008A79E7" w:rsidRPr="00D62EF3" w:rsidRDefault="008E4374">
      <w:pPr>
        <w:spacing w:after="240"/>
      </w:pPr>
      <w:r w:rsidRPr="00D62EF3">
        <w:rPr>
          <w:b/>
        </w:rPr>
        <w:t xml:space="preserve">Keywords: </w:t>
      </w:r>
      <w:r w:rsidRPr="00D62EF3">
        <w:t>Artificial intelligence; chatbots; conversational AI; customer experience; e-marketing; customer satisfaction; Jordan; digital service quality</w:t>
      </w:r>
    </w:p>
    <w:p w14:paraId="7CE1A5C9" w14:textId="77777777" w:rsidR="008A79E7" w:rsidRPr="00D62EF3" w:rsidRDefault="008E4374">
      <w:pPr>
        <w:pStyle w:val="Heading1"/>
        <w:rPr>
          <w:color w:val="auto"/>
        </w:rPr>
      </w:pPr>
      <w:r w:rsidRPr="00D62EF3">
        <w:rPr>
          <w:color w:val="auto"/>
        </w:rPr>
        <w:t>1. Introduction</w:t>
      </w:r>
    </w:p>
    <w:p w14:paraId="77A21B02" w14:textId="77777777" w:rsidR="008A79E7" w:rsidRPr="00D62EF3" w:rsidRDefault="008E4374">
      <w:pPr>
        <w:jc w:val="both"/>
      </w:pPr>
      <w:r w:rsidRPr="00D62EF3">
        <w:t xml:space="preserve">Customer experience in e-marketing is increasingly formed through interfaces that do not merely display information but converse, recommend, recover service failures and guide decisions in real time. Chatbots and broader AI assistants occupy this interface layer between organisations and customers. Their commercial appeal is straightforward: they can operate continuously, handle high volumes of routine enquiries and connect service conversations to customer data, product information and marketing automation. Yet the customer-experience question is more demanding than the operational-efficiency question. An interaction that is fast but inaccurate, personalised but intrusive, human-like but incapable of understanding context, or always available but unable to escalate a complex problem can reduce rather than improve perceived service quality. Contemporary marketing frameworks therefore treat AI not simply as an automation technology but </w:t>
      </w:r>
      <w:r w:rsidRPr="00D62EF3">
        <w:lastRenderedPageBreak/>
        <w:t>as a family of capabilities that may standardise repetitive tasks, support analytical decision-making and, more cautiously, simulate relational or affective functions (Davenport et al., 2020; Huang &amp; Rust, 2021).</w:t>
      </w:r>
    </w:p>
    <w:p w14:paraId="20F319D5" w14:textId="77777777" w:rsidR="008A79E7" w:rsidRPr="00D62EF3" w:rsidRDefault="008E4374">
      <w:pPr>
        <w:jc w:val="both"/>
      </w:pPr>
      <w:r w:rsidRPr="00D62EF3">
        <w:t>The distinction between a chatbot and an AI assistant is also consequential. A chatbot is typically a conversational software interface that uses natural language or predefined dialogue structures to respond to user inputs. An AI assistant may include a wider set of capabilities: retrieval and synthesis of product information, personalised recommendations, generative dialogue, transaction support, cross-channel memory and orchestration with back-office systems. In practice, the labels overlap. What matters for customer experience is the bundle of capabilities visible to the user: whether the system understands the request, provides relevant and trustworthy information, preserves conversational continuity, respects privacy, communicates with an appropriate degree of social presence and solves the task or transfers it effectively. Research on customer-service chatbots shows that information quality, service quality, perceived usefulness, ease of use and enjoyment contribute to satisfaction and continuance, while the desire for human interaction remains an important moderator (Ashfaq et al., 2020; Hsu &amp; Lin, 2023).</w:t>
      </w:r>
    </w:p>
    <w:p w14:paraId="2932CED5" w14:textId="77777777" w:rsidR="008A79E7" w:rsidRPr="00D62EF3" w:rsidRDefault="008E4374">
      <w:pPr>
        <w:jc w:val="both"/>
      </w:pPr>
      <w:r w:rsidRPr="00D62EF3">
        <w:t>International evidence has moved beyond simple acceptance models to show that conversational design can create both benefits and liabilities. Human-like language, naming and other anthropomorphic cues can strengthen perceptions of social presence or humanness (Araujo, 2018; Go &amp; Sundar, 2019). Empathy and interaction quality can help translate perceived human-likeness into acceptance (Pelau et al., 2021). At the same time, anthropomorphism is not intrinsically positive. When customers are already angry, a more human-like chatbot can heighten expectations of competence and produce stronger disappointment if those expectations are violated (Crolic et al., 2022). Likewise, disclosure that the agent is a bot can alter trust and purchase or retention responses, with effects that depend on timing, service criticality, prior experience and whether the service encounter succeeds or fails (Luo et al., 2019; Mozafari et al., 2022). These findings undermine a technologically deterministic assumption that greater human resemblance or greater automation necessarily produces a superior customer experience.</w:t>
      </w:r>
    </w:p>
    <w:p w14:paraId="1D357BAD" w14:textId="77777777" w:rsidR="008A79E7" w:rsidRPr="00D62EF3" w:rsidRDefault="008E4374">
      <w:pPr>
        <w:jc w:val="both"/>
      </w:pPr>
      <w:r w:rsidRPr="00D62EF3">
        <w:t>Jordan provides a particularly useful setting in which to examine these tensions. Digital banking, social-media commerce and broader digital transformation have expanded customer exposure to AI-mediated services, while the country's Arabic-speaking market, service-sector structure and varying levels of digital confidence create context-specific design and trust requirements. Before the recent diffusion of chatbots, research on Jordanian digital banking already showed that service, system and information quality were closely associated with satisfaction, and that accessibility, ease of use, performance, cost and security were salient in financial-technology service evaluations (Alkhazaleh &amp; Haddad, 2021; Maraqa et al., 2018). These antecedents remain relevant because a chatbot is experienced not as an isolated novelty but as part of the organisation's wider digital service system.</w:t>
      </w:r>
    </w:p>
    <w:p w14:paraId="27D65B77" w14:textId="77777777" w:rsidR="008A79E7" w:rsidRPr="00D62EF3" w:rsidRDefault="008E4374">
      <w:pPr>
        <w:jc w:val="both"/>
      </w:pPr>
      <w:r w:rsidRPr="00D62EF3">
        <w:t xml:space="preserve">Recent Jordan-focused studies offer more direct evidence. In commercial banking, Alshibly et al. (2024) found that reliability and personalisation were significant predictors of customer satisfaction both directly and through customer empowerment, whereas ease of use operated indirectly through empowerment and responsiveness was not consistently significant. A qualitative study of a voice-based banking chatbot reported perceived benefits in customer satisfaction, growth and competitive positioning alongside challenges involving security, compliance, infrastructure and integration (Anaya et al., 2024). In social-media marketing, Omeish et al. (2024) examined chatbots alongside augmented reality and virtual influencers among Jordanian Millennials, locating conversational AI within a broader AI-enhanced social-media journey rather than a stand-alone service channel. Studies of marketing managers and medium-sized enterprises similarly link AI use to personalisation, customer engagement, satisfaction and data-driven </w:t>
      </w:r>
      <w:r w:rsidRPr="00D62EF3">
        <w:lastRenderedPageBreak/>
        <w:t>decision-making, although most evidence remains perceptual and cross-sectional (Al Htibat, 2024; Magableh et al., 2024).</w:t>
      </w:r>
    </w:p>
    <w:p w14:paraId="657F9FDF" w14:textId="77777777" w:rsidR="008A79E7" w:rsidRPr="00D62EF3" w:rsidRDefault="008E4374">
      <w:pPr>
        <w:jc w:val="both"/>
      </w:pPr>
      <w:r w:rsidRPr="00D62EF3">
        <w:t>The literature is therefore large enough to support synthesis but not mature enough to justify simple claims of effectiveness. Jordanian studies differ in sector, unit of analysis and outcome: some measure customer satisfaction, others marketing outcomes, engagement, attitudes or organisational performance. Several use partial least-squares structural equation modelling and non-probability sampling. A recent multi-sector customer-service study offers direct Jordanian coverage but contains an internal inconsistency in its sampling description, referring to simple random sampling in the abstract while discussing convenience sampling as a limitation, which weakens confidence in generalisability (Hashem, 2025). By contrast, a longitudinal Jordanian e-government chatbot study shows that trust, performance and effort expectancy, anthropomorphism, facilitating conditions and other adoption factors can influence intention, use, satisfaction and continuance over time, although the public-service context is not identical to commercial e-marketing (Mohamad et al., 2026). This mixed architecture of evidence calls for a review that separates robust mechanisms from locally plausible but weakly tested claims.</w:t>
      </w:r>
    </w:p>
    <w:p w14:paraId="6C251E54" w14:textId="77777777" w:rsidR="008A79E7" w:rsidRPr="00D62EF3" w:rsidRDefault="008E4374">
      <w:pPr>
        <w:pStyle w:val="Heading2"/>
        <w:rPr>
          <w:color w:val="auto"/>
        </w:rPr>
      </w:pPr>
      <w:r w:rsidRPr="00D62EF3">
        <w:rPr>
          <w:color w:val="auto"/>
        </w:rPr>
        <w:t>1.1 Scope, Research Gap and Objectives</w:t>
      </w:r>
    </w:p>
    <w:p w14:paraId="67096111" w14:textId="77777777" w:rsidR="008A79E7" w:rsidRPr="00D62EF3" w:rsidRDefault="008E4374">
      <w:pPr>
        <w:jc w:val="both"/>
      </w:pPr>
      <w:r w:rsidRPr="00D62EF3">
        <w:t>This review focuses on customer-facing chatbots and AI assistants used within e-marketing and digitally mediated service journeys, with Jordan as the principal geographical setting. It covers pre-purchase information and recommendation, social-media engagement, transactional support, post-purchase service and service recovery when these functions influence customer experience, satisfaction, trust, loyalty, purchase-related responses or engagement. Evidence from other countries is used to explain mechanisms and boundary conditions where Jordan-specific studies are limited. Purely technical natural-language-processing studies without customer outcomes, internal enterprise assistants, health or educational chatbots without a service-marketing connection, and autonomous physical robots are outside the core scope except where they provide necessary conceptual insight.</w:t>
      </w:r>
    </w:p>
    <w:p w14:paraId="6DDDC062" w14:textId="77777777" w:rsidR="008A79E7" w:rsidRPr="00D62EF3" w:rsidRDefault="008E4374">
      <w:pPr>
        <w:jc w:val="both"/>
      </w:pPr>
      <w:r w:rsidRPr="00D62EF3">
        <w:t>The central research gap is not whether AI can automate customer contact, but when and through which mechanisms conversational AI improves customer experience in Jordan, when it introduces new friction or risk, and how confidently international findings can be transferred to Jordanian e-marketing. The review therefore aims to integrate the fragmented Jordanian evidence, evaluate its methodological strength, compare it with stronger experimental and cross-context literature, identify conditions under which effects reverse or weaken, and develop research and managerial priorities that are proportionate to the present evidence base.</w:t>
      </w:r>
    </w:p>
    <w:p w14:paraId="6F2A6F6D" w14:textId="77777777" w:rsidR="008A79E7" w:rsidRPr="00D62EF3" w:rsidRDefault="008E4374">
      <w:pPr>
        <w:pStyle w:val="Heading1"/>
        <w:rPr>
          <w:color w:val="auto"/>
        </w:rPr>
      </w:pPr>
      <w:r w:rsidRPr="00D62EF3">
        <w:rPr>
          <w:color w:val="auto"/>
        </w:rPr>
        <w:t>2. Methods for Literature Selection</w:t>
      </w:r>
    </w:p>
    <w:p w14:paraId="4A01A44E" w14:textId="77777777" w:rsidR="008A79E7" w:rsidRPr="00D62EF3" w:rsidRDefault="008E4374">
      <w:pPr>
        <w:pStyle w:val="Heading2"/>
        <w:rPr>
          <w:color w:val="auto"/>
        </w:rPr>
      </w:pPr>
      <w:r w:rsidRPr="00D62EF3">
        <w:rPr>
          <w:color w:val="auto"/>
        </w:rPr>
        <w:t>2.1 Review Design and Rationale</w:t>
      </w:r>
    </w:p>
    <w:p w14:paraId="3C0919FB" w14:textId="77777777" w:rsidR="008A79E7" w:rsidRPr="00D62EF3" w:rsidRDefault="008E4374">
      <w:pPr>
        <w:jc w:val="both"/>
      </w:pPr>
      <w:r w:rsidRPr="00D62EF3">
        <w:t>A critical narrative review design was used because the question spans heterogeneous constructs, sectors and study designs and requires interpretation of mechanisms, contradictions and context rather than estimation of a single pooled effect. The approach followed principles of transparent narrative-review conduct, including an explicit rationale, stated search process, evidence-level awareness and claim-relevant referencing. The Scale for the Assessment of Narrative Review Articles (SANRA) informed these quality safeguards, while no formal SANRA score was assigned to the included literature because the present review did not use SANRA as a study-level risk-of-bias instrument (Baethge et al., 2019).</w:t>
      </w:r>
    </w:p>
    <w:p w14:paraId="44367D43" w14:textId="77777777" w:rsidR="008A79E7" w:rsidRPr="00D62EF3" w:rsidRDefault="008E4374">
      <w:pPr>
        <w:pStyle w:val="Heading2"/>
        <w:rPr>
          <w:color w:val="auto"/>
        </w:rPr>
      </w:pPr>
      <w:r w:rsidRPr="00D62EF3">
        <w:rPr>
          <w:color w:val="auto"/>
        </w:rPr>
        <w:lastRenderedPageBreak/>
        <w:t>2.2 Information Sources</w:t>
      </w:r>
    </w:p>
    <w:p w14:paraId="79704D53" w14:textId="77777777" w:rsidR="008A79E7" w:rsidRPr="00D62EF3" w:rsidRDefault="008E4374">
      <w:pPr>
        <w:jc w:val="both"/>
      </w:pPr>
      <w:r w:rsidRPr="00D62EF3">
        <w:t>Literature was located through Google Scholar, the Directory of Open Access Journals (DOAJ), OpenAlex, Semantic Scholar, CORE and EconBiz. Country-focused searching was supplemented by Jordanian university repositories and scholarly journal portals when these provided locally published or institutionally archived material. Backward reference checking from relevant reviews and empirical papers, forward citation searching, DOI-resolution checks and searches for article corrections or retractions were used to verify bibliographic identity and to identify additional relevant studies. Only information sources that could be searched or inspected during preparation were represented in the review methods.</w:t>
      </w:r>
    </w:p>
    <w:p w14:paraId="64536F1F" w14:textId="77777777" w:rsidR="008A79E7" w:rsidRPr="00D62EF3" w:rsidRDefault="008E4374">
      <w:pPr>
        <w:pStyle w:val="Heading2"/>
        <w:rPr>
          <w:color w:val="auto"/>
        </w:rPr>
      </w:pPr>
      <w:r w:rsidRPr="00D62EF3">
        <w:rPr>
          <w:color w:val="auto"/>
        </w:rPr>
        <w:t>2.3 Search Strategy and Search Period</w:t>
      </w:r>
    </w:p>
    <w:p w14:paraId="6FDAEFC5" w14:textId="77777777" w:rsidR="008A79E7" w:rsidRPr="00D62EF3" w:rsidRDefault="008E4374">
      <w:pPr>
        <w:jc w:val="both"/>
      </w:pPr>
      <w:r w:rsidRPr="00D62EF3">
        <w:t>The main search period was 2016 to 29 June 2026. The starting point was chosen because the current wave of platform-based commercial chatbots and messaging-app conversational agents accelerated from approximately 2016, making earlier e-service studies useful mainly as foundational context. Searches combined technology terms ("chatbot", "conversational AI", "AI assistant", "virtual assistant", "generative AI") with marketing and customer terms ("customer experience", "customer satisfaction", "service quality", "loyalty", "trust", "purchase intention", "engagement", "personalisation", "service recovery", "e-marketing", "digital marketing", "social media marketing") and geographical terms ("Jordan", "Jordanian", "Middle East"). Representative combinations included (chatbot OR "conversational AI" OR "AI assistant") AND ("customer experience" OR satisfaction OR trust OR loyalty) AND (Jordan OR Jordanian), and ("artificial intelligence" AND "digital marketing") AND (personalisation OR engagement OR "customer service") AND Jordan. Foundational work published before 2016 was considered only when necessary to clarify established digital-service concepts; the final included evidence used in the synthesis was predominantly from 2018 onwards.</w:t>
      </w:r>
    </w:p>
    <w:p w14:paraId="3D2D4DE8" w14:textId="77777777" w:rsidR="008A79E7" w:rsidRPr="00D62EF3" w:rsidRDefault="008E4374">
      <w:pPr>
        <w:pStyle w:val="Heading2"/>
        <w:rPr>
          <w:color w:val="auto"/>
        </w:rPr>
      </w:pPr>
      <w:r w:rsidRPr="00D62EF3">
        <w:rPr>
          <w:color w:val="auto"/>
        </w:rPr>
        <w:t>2.4 Eligibility Criteria</w:t>
      </w:r>
    </w:p>
    <w:p w14:paraId="0E128225" w14:textId="77777777" w:rsidR="008A79E7" w:rsidRPr="00D62EF3" w:rsidRDefault="008E4374">
      <w:pPr>
        <w:jc w:val="both"/>
      </w:pPr>
      <w:r w:rsidRPr="00D62EF3">
        <w:t>Peer-reviewed journal articles and methodologically informative conference-proceedings articles were eligible when they examined customer-facing conversational AI, AI-enabled digital marketing or closely related digital-service mechanisms and reported outcomes relevant to experience, satisfaction, trust, adoption, loyalty, engagement, purchasing or service quality. Jordan-specific research received priority even when it examined adjacent digital-service settings, provided the findings contributed a plausible contextual boundary condition. International studies were included when they tested mechanisms directly relevant to chatbot-mediated customer experience, particularly through experiments, field data or substantive user surveys. English-language sources with verifiable bibliographic metadata were used. Studies with unclear identity, unverifiable DOI information, non-scholarly commentary, promotional material and sources that did not support the cited claim were excluded.</w:t>
      </w:r>
    </w:p>
    <w:p w14:paraId="77177624" w14:textId="77777777" w:rsidR="008A79E7" w:rsidRPr="00D62EF3" w:rsidRDefault="008E4374">
      <w:pPr>
        <w:pStyle w:val="Heading2"/>
        <w:rPr>
          <w:color w:val="auto"/>
        </w:rPr>
      </w:pPr>
      <w:r w:rsidRPr="00D62EF3">
        <w:rPr>
          <w:color w:val="auto"/>
        </w:rPr>
        <w:t>2.5 Screening, Duplicate Handling and Study Selection</w:t>
      </w:r>
    </w:p>
    <w:p w14:paraId="5A1C45D4" w14:textId="77777777" w:rsidR="008A79E7" w:rsidRPr="00D62EF3" w:rsidRDefault="008E4374">
      <w:pPr>
        <w:jc w:val="both"/>
      </w:pPr>
      <w:r w:rsidRPr="00D62EF3">
        <w:t xml:space="preserve">Records were assessed first for title and abstract relevance and then, where accessible, through full-text or detailed scholarly records. Duplicate instances of the same article across repositories, indexing services and DOI pages were consolidated by DOI and bibliographic identity. No PRISMA-style record counts are presented because the review was designed as a critical narrative synthesis rather than a prospectively registered systematic review with a fully enumerated screening log. Sources that were inaccessible beyond insufficient metadata, that contained unresolved bibliographic ambiguity, or whose relevance could not be </w:t>
      </w:r>
      <w:r w:rsidRPr="00D62EF3">
        <w:lastRenderedPageBreak/>
        <w:t>established were not used as evidence. A study was retained only when its reported design and findings could be aligned with a specific claim in the synthesis.</w:t>
      </w:r>
    </w:p>
    <w:p w14:paraId="09AFAE82" w14:textId="77777777" w:rsidR="008A79E7" w:rsidRPr="00D62EF3" w:rsidRDefault="008E4374">
      <w:pPr>
        <w:pStyle w:val="Heading2"/>
        <w:rPr>
          <w:color w:val="auto"/>
        </w:rPr>
      </w:pPr>
      <w:r w:rsidRPr="00D62EF3">
        <w:rPr>
          <w:color w:val="auto"/>
        </w:rPr>
        <w:t>2.6 Critical Appraisal and Evidence Synthesis</w:t>
      </w:r>
    </w:p>
    <w:p w14:paraId="33C6788F" w14:textId="77777777" w:rsidR="008A79E7" w:rsidRPr="00D62EF3" w:rsidRDefault="008E4374">
      <w:pPr>
        <w:jc w:val="both"/>
      </w:pPr>
      <w:r w:rsidRPr="00D62EF3">
        <w:t>Evidence was appraised according to design appropriateness, sampling method and representativeness, measurement validity, temporal ordering, use of behavioural rather than solely attitudinal outcomes, treatment of confounding, ecological realism, transparency and generalisability to Jordanian e-marketing. Experimental and field evidence was given greater weight for causal statements than cross-sectional survey associations. Jordan-specific studies were not automatically treated as stronger than international studies; rather, they were weighted for contextual relevance while their methodological limitations were retained. The synthesis was organised around mechanisms of value creation, trust and risk, service failure and recovery, downstream marketing outcomes, and Jordan-specific boundary conditions. Disagreement among studies was interpreted in relation to task type, emotional state, service criticality, degree of anthropomorphism, disclosure timing, prior experience and the availability of human escalation.</w:t>
      </w:r>
    </w:p>
    <w:p w14:paraId="600BDCCA" w14:textId="77777777" w:rsidR="008A79E7" w:rsidRPr="00D62EF3" w:rsidRDefault="008E4374">
      <w:pPr>
        <w:pStyle w:val="Heading1"/>
        <w:rPr>
          <w:color w:val="auto"/>
        </w:rPr>
      </w:pPr>
      <w:r w:rsidRPr="00D62EF3">
        <w:rPr>
          <w:color w:val="auto"/>
        </w:rPr>
        <w:t>3. Conceptualising AI-Mediated Customer Experience in E-Marketing</w:t>
      </w:r>
    </w:p>
    <w:p w14:paraId="42221F3A" w14:textId="77777777" w:rsidR="008A79E7" w:rsidRPr="00D62EF3" w:rsidRDefault="008E4374">
      <w:pPr>
        <w:jc w:val="both"/>
      </w:pPr>
      <w:r w:rsidRPr="00D62EF3">
        <w:t>Customer experience is cumulative and journey-based. A chatbot encounter can affect immediate perceptions of convenience and service quality, but it can also alter trust in the brand, perceived control over a transaction and willingness to continue the relationship. This makes the unit of analysis important. Measuring only whether a user intends to adopt a chatbot may miss whether the interaction improves the broader marketing journey; conversely, measuring firm-level performance may obscure whether customers experienced friction that was offset by other business processes. A useful synthesis therefore separates proximal interaction outcomes, such as understanding, response relevance and perceived warmth, from relational outcomes such as satisfaction and trust, and from behavioural or commercial outcomes such as repeat use, purchase, retention and word-of-mouth.</w:t>
      </w:r>
    </w:p>
    <w:p w14:paraId="3214D8DA" w14:textId="77777777" w:rsidR="008A79E7" w:rsidRPr="00D62EF3" w:rsidRDefault="008E4374">
      <w:pPr>
        <w:jc w:val="both"/>
      </w:pPr>
      <w:r w:rsidRPr="00D62EF3">
        <w:t>The international literature indicates that at least four theoretical lenses recur. Technology-acceptance and expectation-confirmation approaches emphasise usefulness, ease of use, confirmation of expectations and continuance (Ashfaq et al., 2020; Rese et al., 2020). Digital-service-quality approaches emphasise reliability, information quality, service recovery and conversational quality (Hsu &amp; Lin, 2023). Social-response and anthropomorphism perspectives address the extent to which human-like language, interactivity and identity cues trigger social presence, warmth, mind attribution and trust (Adam et al., 2021; Araujo, 2018; Hu et al., 2021). Marketing-AI frameworks distinguish automation from analytical and relational capabilities, reminding researchers that a chatbot may simultaneously be a service channel, a data-collection interface and a personalisation mechanism (Davenport et al., 2020; Huang &amp; Rust, 2021). No single framework is sufficient because customer experience depends on the interaction between functional performance and social interpretation.</w:t>
      </w:r>
    </w:p>
    <w:p w14:paraId="64CFE26F" w14:textId="77777777" w:rsidR="008A79E7" w:rsidRPr="00D62EF3" w:rsidRDefault="008E4374">
      <w:pPr>
        <w:jc w:val="both"/>
      </w:pPr>
      <w:r w:rsidRPr="00D62EF3">
        <w:t xml:space="preserve">For Jordan, the digital-service-quality lens is especially relevant because pre-chatbot banking research already identified service quality, system quality, information quality, access, ease and security as determinants of satisfaction (Alkhazaleh &amp; Haddad, 2021; Maraqa et al., 2018). The newer chatbot evidence does not replace these fundamentals. Instead, conversational AI adds a social and dialogic layer to them. If the underlying information is incomplete or the system cannot access account, order or product data reliably, anthropomorphic wording cannot compensate. Conversely, a technically accurate system that communicates abruptly or fails to recognise customer uncertainty may underperform on relational aspects of the journey. The central conceptual proposition of this review is therefore that conversational AI affects e-marketing </w:t>
      </w:r>
      <w:r w:rsidRPr="00D62EF3">
        <w:lastRenderedPageBreak/>
        <w:t>experience through a layered mechanism: infrastructure and information quality enable task performance; conversational design shapes perceived effort and social presence; governance shapes trust; and successful task resolution is converted into satisfaction, engagement and downstream behaviour only when these layers are aligned.</w:t>
      </w:r>
    </w:p>
    <w:p w14:paraId="162EA1DB" w14:textId="77777777" w:rsidR="008A79E7" w:rsidRPr="00D62EF3" w:rsidRDefault="008E4374">
      <w:pPr>
        <w:keepNext/>
        <w:spacing w:before="100"/>
        <w:jc w:val="both"/>
      </w:pPr>
      <w:r w:rsidRPr="00D62EF3">
        <w:t>Table 1 summarises the principal conceptual distinctions used in this review. The key implication is that “chatbot quality” should not be treated as a single undifferentiated construct. Functional, social, governance and journey-level dimensions can move in different directions, explaining why studies that use different outcome measures may appear contradictory without actually testing the same proposition.</w:t>
      </w:r>
    </w:p>
    <w:p w14:paraId="160406C2" w14:textId="77777777" w:rsidR="008A79E7" w:rsidRPr="00D62EF3" w:rsidRDefault="008E4374">
      <w:pPr>
        <w:pStyle w:val="TableCaption"/>
        <w:rPr>
          <w:color w:val="auto"/>
        </w:rPr>
      </w:pPr>
      <w:r w:rsidRPr="00D62EF3">
        <w:rPr>
          <w:color w:val="auto"/>
        </w:rPr>
        <w:t>Table 1. Conceptual dimensions for interpreting chatbot and AI-assistant effects on customer experience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18A6D4EF" w14:textId="77777777" w:rsidTr="00D62EF3">
        <w:trPr>
          <w:tblHeader/>
          <w:jc w:val="center"/>
        </w:trPr>
        <w:tc>
          <w:tcPr>
            <w:tcW w:w="1843" w:type="dxa"/>
            <w:tcMar>
              <w:top w:w="80" w:type="dxa"/>
              <w:left w:w="90" w:type="dxa"/>
              <w:bottom w:w="80" w:type="dxa"/>
              <w:right w:w="90" w:type="dxa"/>
            </w:tcMar>
            <w:vAlign w:val="center"/>
          </w:tcPr>
          <w:p w14:paraId="3383FCCC" w14:textId="77777777" w:rsidR="008A79E7" w:rsidRPr="00D62EF3" w:rsidRDefault="008E4374">
            <w:pPr>
              <w:spacing w:after="40" w:line="240" w:lineRule="auto"/>
            </w:pPr>
            <w:r w:rsidRPr="00D62EF3">
              <w:rPr>
                <w:b/>
                <w:sz w:val="17"/>
              </w:rPr>
              <w:t>Conceptual dimension</w:t>
            </w:r>
          </w:p>
        </w:tc>
        <w:tc>
          <w:tcPr>
            <w:tcW w:w="2088" w:type="dxa"/>
            <w:tcMar>
              <w:top w:w="80" w:type="dxa"/>
              <w:left w:w="90" w:type="dxa"/>
              <w:bottom w:w="80" w:type="dxa"/>
              <w:right w:w="90" w:type="dxa"/>
            </w:tcMar>
            <w:vAlign w:val="center"/>
          </w:tcPr>
          <w:p w14:paraId="6985DA0D" w14:textId="77777777" w:rsidR="008A79E7" w:rsidRPr="00D62EF3" w:rsidRDefault="008E4374">
            <w:pPr>
              <w:spacing w:after="40" w:line="240" w:lineRule="auto"/>
            </w:pPr>
            <w:r w:rsidRPr="00D62EF3">
              <w:rPr>
                <w:b/>
                <w:sz w:val="17"/>
              </w:rPr>
              <w:t>What it captures</w:t>
            </w:r>
          </w:p>
        </w:tc>
        <w:tc>
          <w:tcPr>
            <w:tcW w:w="2232" w:type="dxa"/>
            <w:tcMar>
              <w:top w:w="80" w:type="dxa"/>
              <w:left w:w="90" w:type="dxa"/>
              <w:bottom w:w="80" w:type="dxa"/>
              <w:right w:w="90" w:type="dxa"/>
            </w:tcMar>
            <w:vAlign w:val="center"/>
          </w:tcPr>
          <w:p w14:paraId="4F0B0A8D" w14:textId="77777777" w:rsidR="008A79E7" w:rsidRPr="00D62EF3" w:rsidRDefault="008E4374">
            <w:pPr>
              <w:spacing w:after="40" w:line="240" w:lineRule="auto"/>
            </w:pPr>
            <w:r w:rsidRPr="00D62EF3">
              <w:rPr>
                <w:b/>
                <w:sz w:val="17"/>
              </w:rPr>
              <w:t>Expected customer-experience pathway</w:t>
            </w:r>
          </w:p>
        </w:tc>
        <w:tc>
          <w:tcPr>
            <w:tcW w:w="2088" w:type="dxa"/>
            <w:tcMar>
              <w:top w:w="80" w:type="dxa"/>
              <w:left w:w="90" w:type="dxa"/>
              <w:bottom w:w="80" w:type="dxa"/>
              <w:right w:w="90" w:type="dxa"/>
            </w:tcMar>
            <w:vAlign w:val="center"/>
          </w:tcPr>
          <w:p w14:paraId="75A0974A" w14:textId="77777777" w:rsidR="008A79E7" w:rsidRPr="00D62EF3" w:rsidRDefault="008E4374">
            <w:pPr>
              <w:spacing w:after="40" w:line="240" w:lineRule="auto"/>
            </w:pPr>
            <w:r w:rsidRPr="00D62EF3">
              <w:rPr>
                <w:b/>
                <w:sz w:val="17"/>
              </w:rPr>
              <w:t>Critical boundary or limitation</w:t>
            </w:r>
          </w:p>
        </w:tc>
        <w:tc>
          <w:tcPr>
            <w:tcW w:w="1325" w:type="dxa"/>
            <w:tcMar>
              <w:top w:w="80" w:type="dxa"/>
              <w:left w:w="90" w:type="dxa"/>
              <w:bottom w:w="80" w:type="dxa"/>
              <w:right w:w="90" w:type="dxa"/>
            </w:tcMar>
            <w:vAlign w:val="center"/>
          </w:tcPr>
          <w:p w14:paraId="2CD8EA72" w14:textId="77777777" w:rsidR="008A79E7" w:rsidRPr="00D62EF3" w:rsidRDefault="008E4374">
            <w:pPr>
              <w:spacing w:after="40" w:line="240" w:lineRule="auto"/>
            </w:pPr>
            <w:r w:rsidRPr="00D62EF3">
              <w:rPr>
                <w:b/>
                <w:sz w:val="17"/>
              </w:rPr>
              <w:t>Supporting references</w:t>
            </w:r>
          </w:p>
        </w:tc>
      </w:tr>
      <w:tr w:rsidR="00D62EF3" w:rsidRPr="00D62EF3" w14:paraId="1E46AD37" w14:textId="77777777" w:rsidTr="00D62EF3">
        <w:trPr>
          <w:jc w:val="center"/>
        </w:trPr>
        <w:tc>
          <w:tcPr>
            <w:tcW w:w="1843" w:type="dxa"/>
            <w:tcMar>
              <w:top w:w="80" w:type="dxa"/>
              <w:left w:w="90" w:type="dxa"/>
              <w:bottom w:w="80" w:type="dxa"/>
              <w:right w:w="90" w:type="dxa"/>
            </w:tcMar>
            <w:vAlign w:val="center"/>
          </w:tcPr>
          <w:p w14:paraId="53438D2B" w14:textId="77777777" w:rsidR="008A79E7" w:rsidRPr="00D62EF3" w:rsidRDefault="008E4374">
            <w:pPr>
              <w:spacing w:after="40" w:line="240" w:lineRule="auto"/>
            </w:pPr>
            <w:r w:rsidRPr="00D62EF3">
              <w:rPr>
                <w:sz w:val="16"/>
              </w:rPr>
              <w:t>Functional service quality</w:t>
            </w:r>
          </w:p>
        </w:tc>
        <w:tc>
          <w:tcPr>
            <w:tcW w:w="2088" w:type="dxa"/>
            <w:tcMar>
              <w:top w:w="80" w:type="dxa"/>
              <w:left w:w="90" w:type="dxa"/>
              <w:bottom w:w="80" w:type="dxa"/>
              <w:right w:w="90" w:type="dxa"/>
            </w:tcMar>
            <w:vAlign w:val="center"/>
          </w:tcPr>
          <w:p w14:paraId="618B9B3D" w14:textId="77777777" w:rsidR="008A79E7" w:rsidRPr="00D62EF3" w:rsidRDefault="008E4374">
            <w:pPr>
              <w:spacing w:after="40" w:line="240" w:lineRule="auto"/>
            </w:pPr>
            <w:r w:rsidRPr="00D62EF3">
              <w:rPr>
                <w:sz w:val="16"/>
              </w:rPr>
              <w:t>Accuracy, reliability, speed, task completion and recovery</w:t>
            </w:r>
          </w:p>
        </w:tc>
        <w:tc>
          <w:tcPr>
            <w:tcW w:w="2232" w:type="dxa"/>
            <w:tcMar>
              <w:top w:w="80" w:type="dxa"/>
              <w:left w:w="90" w:type="dxa"/>
              <w:bottom w:w="80" w:type="dxa"/>
              <w:right w:w="90" w:type="dxa"/>
            </w:tcMar>
            <w:vAlign w:val="center"/>
          </w:tcPr>
          <w:p w14:paraId="43CF4D39" w14:textId="77777777" w:rsidR="008A79E7" w:rsidRPr="00D62EF3" w:rsidRDefault="008E4374">
            <w:pPr>
              <w:spacing w:after="40" w:line="240" w:lineRule="auto"/>
            </w:pPr>
            <w:r w:rsidRPr="00D62EF3">
              <w:rPr>
                <w:sz w:val="16"/>
              </w:rPr>
              <w:t>Reduces effort and uncertainty; supports satisfaction</w:t>
            </w:r>
          </w:p>
        </w:tc>
        <w:tc>
          <w:tcPr>
            <w:tcW w:w="2088" w:type="dxa"/>
            <w:tcMar>
              <w:top w:w="80" w:type="dxa"/>
              <w:left w:w="90" w:type="dxa"/>
              <w:bottom w:w="80" w:type="dxa"/>
              <w:right w:w="90" w:type="dxa"/>
            </w:tcMar>
            <w:vAlign w:val="center"/>
          </w:tcPr>
          <w:p w14:paraId="02D26A4A" w14:textId="77777777" w:rsidR="008A79E7" w:rsidRPr="00D62EF3" w:rsidRDefault="008E4374">
            <w:pPr>
              <w:spacing w:after="40" w:line="240" w:lineRule="auto"/>
            </w:pPr>
            <w:r w:rsidRPr="00D62EF3">
              <w:rPr>
                <w:sz w:val="16"/>
              </w:rPr>
              <w:t>Fast response without correct resolution may have little value</w:t>
            </w:r>
          </w:p>
        </w:tc>
        <w:tc>
          <w:tcPr>
            <w:tcW w:w="1325" w:type="dxa"/>
            <w:tcMar>
              <w:top w:w="80" w:type="dxa"/>
              <w:left w:w="90" w:type="dxa"/>
              <w:bottom w:w="80" w:type="dxa"/>
              <w:right w:w="90" w:type="dxa"/>
            </w:tcMar>
            <w:vAlign w:val="center"/>
          </w:tcPr>
          <w:p w14:paraId="5D443F8B" w14:textId="77777777" w:rsidR="008A79E7" w:rsidRPr="00D62EF3" w:rsidRDefault="008E4374">
            <w:pPr>
              <w:spacing w:after="40" w:line="240" w:lineRule="auto"/>
            </w:pPr>
            <w:r w:rsidRPr="00D62EF3">
              <w:rPr>
                <w:sz w:val="16"/>
              </w:rPr>
              <w:t>Alshibly et al. (2024); Hsu &amp; Lin (2023); Maraqa et al. (2018)</w:t>
            </w:r>
          </w:p>
        </w:tc>
      </w:tr>
      <w:tr w:rsidR="00D62EF3" w:rsidRPr="00D62EF3" w14:paraId="2D448F61" w14:textId="77777777" w:rsidTr="00D62EF3">
        <w:trPr>
          <w:jc w:val="center"/>
        </w:trPr>
        <w:tc>
          <w:tcPr>
            <w:tcW w:w="1843" w:type="dxa"/>
            <w:tcMar>
              <w:top w:w="80" w:type="dxa"/>
              <w:left w:w="90" w:type="dxa"/>
              <w:bottom w:w="80" w:type="dxa"/>
              <w:right w:w="90" w:type="dxa"/>
            </w:tcMar>
            <w:vAlign w:val="center"/>
          </w:tcPr>
          <w:p w14:paraId="186FC8CF" w14:textId="77777777" w:rsidR="008A79E7" w:rsidRPr="00D62EF3" w:rsidRDefault="008E4374">
            <w:pPr>
              <w:spacing w:after="40" w:line="240" w:lineRule="auto"/>
            </w:pPr>
            <w:r w:rsidRPr="00D62EF3">
              <w:rPr>
                <w:sz w:val="16"/>
              </w:rPr>
              <w:t>Technology acceptance</w:t>
            </w:r>
          </w:p>
        </w:tc>
        <w:tc>
          <w:tcPr>
            <w:tcW w:w="2088" w:type="dxa"/>
            <w:tcMar>
              <w:top w:w="80" w:type="dxa"/>
              <w:left w:w="90" w:type="dxa"/>
              <w:bottom w:w="80" w:type="dxa"/>
              <w:right w:w="90" w:type="dxa"/>
            </w:tcMar>
            <w:vAlign w:val="center"/>
          </w:tcPr>
          <w:p w14:paraId="13777F06" w14:textId="77777777" w:rsidR="008A79E7" w:rsidRPr="00D62EF3" w:rsidRDefault="008E4374">
            <w:pPr>
              <w:spacing w:after="40" w:line="240" w:lineRule="auto"/>
            </w:pPr>
            <w:r w:rsidRPr="00D62EF3">
              <w:rPr>
                <w:sz w:val="16"/>
              </w:rPr>
              <w:t>Usefulness, ease of use, confirmation, enjoyment and continuance</w:t>
            </w:r>
          </w:p>
        </w:tc>
        <w:tc>
          <w:tcPr>
            <w:tcW w:w="2232" w:type="dxa"/>
            <w:tcMar>
              <w:top w:w="80" w:type="dxa"/>
              <w:left w:w="90" w:type="dxa"/>
              <w:bottom w:w="80" w:type="dxa"/>
              <w:right w:w="90" w:type="dxa"/>
            </w:tcMar>
            <w:vAlign w:val="center"/>
          </w:tcPr>
          <w:p w14:paraId="6A50CA24" w14:textId="77777777" w:rsidR="008A79E7" w:rsidRPr="00D62EF3" w:rsidRDefault="008E4374">
            <w:pPr>
              <w:spacing w:after="40" w:line="240" w:lineRule="auto"/>
            </w:pPr>
            <w:r w:rsidRPr="00D62EF3">
              <w:rPr>
                <w:sz w:val="16"/>
              </w:rPr>
              <w:t>Shapes willingness to adopt and continue using the interface</w:t>
            </w:r>
          </w:p>
        </w:tc>
        <w:tc>
          <w:tcPr>
            <w:tcW w:w="2088" w:type="dxa"/>
            <w:tcMar>
              <w:top w:w="80" w:type="dxa"/>
              <w:left w:w="90" w:type="dxa"/>
              <w:bottom w:w="80" w:type="dxa"/>
              <w:right w:w="90" w:type="dxa"/>
            </w:tcMar>
            <w:vAlign w:val="center"/>
          </w:tcPr>
          <w:p w14:paraId="3867B36D" w14:textId="77777777" w:rsidR="008A79E7" w:rsidRPr="00D62EF3" w:rsidRDefault="008E4374">
            <w:pPr>
              <w:spacing w:after="40" w:line="240" w:lineRule="auto"/>
            </w:pPr>
            <w:r w:rsidRPr="00D62EF3">
              <w:rPr>
                <w:sz w:val="16"/>
              </w:rPr>
              <w:t>Adoption intention is not equivalent to improved brand experience or purchase</w:t>
            </w:r>
          </w:p>
        </w:tc>
        <w:tc>
          <w:tcPr>
            <w:tcW w:w="1325" w:type="dxa"/>
            <w:tcMar>
              <w:top w:w="80" w:type="dxa"/>
              <w:left w:w="90" w:type="dxa"/>
              <w:bottom w:w="80" w:type="dxa"/>
              <w:right w:w="90" w:type="dxa"/>
            </w:tcMar>
            <w:vAlign w:val="center"/>
          </w:tcPr>
          <w:p w14:paraId="7D5B2919" w14:textId="77777777" w:rsidR="008A79E7" w:rsidRPr="00D62EF3" w:rsidRDefault="008E4374">
            <w:pPr>
              <w:spacing w:after="40" w:line="240" w:lineRule="auto"/>
            </w:pPr>
            <w:r w:rsidRPr="00D62EF3">
              <w:rPr>
                <w:sz w:val="16"/>
              </w:rPr>
              <w:t>Ashfaq et al. (2020); Rese et al. (2020)</w:t>
            </w:r>
          </w:p>
        </w:tc>
      </w:tr>
      <w:tr w:rsidR="00D62EF3" w:rsidRPr="00D62EF3" w14:paraId="3F51F85B" w14:textId="77777777" w:rsidTr="00D62EF3">
        <w:trPr>
          <w:jc w:val="center"/>
        </w:trPr>
        <w:tc>
          <w:tcPr>
            <w:tcW w:w="1843" w:type="dxa"/>
            <w:tcMar>
              <w:top w:w="80" w:type="dxa"/>
              <w:left w:w="90" w:type="dxa"/>
              <w:bottom w:w="80" w:type="dxa"/>
              <w:right w:w="90" w:type="dxa"/>
            </w:tcMar>
            <w:vAlign w:val="center"/>
          </w:tcPr>
          <w:p w14:paraId="3A3D5A46" w14:textId="77777777" w:rsidR="008A79E7" w:rsidRPr="00D62EF3" w:rsidRDefault="008E4374">
            <w:pPr>
              <w:spacing w:after="40" w:line="240" w:lineRule="auto"/>
            </w:pPr>
            <w:r w:rsidRPr="00D62EF3">
              <w:rPr>
                <w:sz w:val="16"/>
              </w:rPr>
              <w:t>Social presence and anthropomorphism</w:t>
            </w:r>
          </w:p>
        </w:tc>
        <w:tc>
          <w:tcPr>
            <w:tcW w:w="2088" w:type="dxa"/>
            <w:tcMar>
              <w:top w:w="80" w:type="dxa"/>
              <w:left w:w="90" w:type="dxa"/>
              <w:bottom w:w="80" w:type="dxa"/>
              <w:right w:w="90" w:type="dxa"/>
            </w:tcMar>
            <w:vAlign w:val="center"/>
          </w:tcPr>
          <w:p w14:paraId="5EBD07B2" w14:textId="77777777" w:rsidR="008A79E7" w:rsidRPr="00D62EF3" w:rsidRDefault="008E4374">
            <w:pPr>
              <w:spacing w:after="40" w:line="240" w:lineRule="auto"/>
            </w:pPr>
            <w:r w:rsidRPr="00D62EF3">
              <w:rPr>
                <w:sz w:val="16"/>
              </w:rPr>
              <w:t>Human-like identity, language, interactivity, warmth and perceived listening</w:t>
            </w:r>
          </w:p>
        </w:tc>
        <w:tc>
          <w:tcPr>
            <w:tcW w:w="2232" w:type="dxa"/>
            <w:tcMar>
              <w:top w:w="80" w:type="dxa"/>
              <w:left w:w="90" w:type="dxa"/>
              <w:bottom w:w="80" w:type="dxa"/>
              <w:right w:w="90" w:type="dxa"/>
            </w:tcMar>
            <w:vAlign w:val="center"/>
          </w:tcPr>
          <w:p w14:paraId="14DD1075" w14:textId="77777777" w:rsidR="008A79E7" w:rsidRPr="00D62EF3" w:rsidRDefault="008E4374">
            <w:pPr>
              <w:spacing w:after="40" w:line="240" w:lineRule="auto"/>
            </w:pPr>
            <w:r w:rsidRPr="00D62EF3">
              <w:rPr>
                <w:sz w:val="16"/>
              </w:rPr>
              <w:t>Can increase engagement, warmth and relational connection</w:t>
            </w:r>
          </w:p>
        </w:tc>
        <w:tc>
          <w:tcPr>
            <w:tcW w:w="2088" w:type="dxa"/>
            <w:tcMar>
              <w:top w:w="80" w:type="dxa"/>
              <w:left w:w="90" w:type="dxa"/>
              <w:bottom w:w="80" w:type="dxa"/>
              <w:right w:w="90" w:type="dxa"/>
            </w:tcMar>
            <w:vAlign w:val="center"/>
          </w:tcPr>
          <w:p w14:paraId="7FCD1558" w14:textId="77777777" w:rsidR="008A79E7" w:rsidRPr="00D62EF3" w:rsidRDefault="008E4374">
            <w:pPr>
              <w:spacing w:after="40" w:line="240" w:lineRule="auto"/>
            </w:pPr>
            <w:r w:rsidRPr="00D62EF3">
              <w:rPr>
                <w:sz w:val="16"/>
              </w:rPr>
              <w:t>Can inflate expectations and worsen failure reactions</w:t>
            </w:r>
          </w:p>
        </w:tc>
        <w:tc>
          <w:tcPr>
            <w:tcW w:w="1325" w:type="dxa"/>
            <w:tcMar>
              <w:top w:w="80" w:type="dxa"/>
              <w:left w:w="90" w:type="dxa"/>
              <w:bottom w:w="80" w:type="dxa"/>
              <w:right w:w="90" w:type="dxa"/>
            </w:tcMar>
            <w:vAlign w:val="center"/>
          </w:tcPr>
          <w:p w14:paraId="79B8BDB0" w14:textId="77777777" w:rsidR="008A79E7" w:rsidRPr="00D62EF3" w:rsidRDefault="008E4374">
            <w:pPr>
              <w:spacing w:after="40" w:line="240" w:lineRule="auto"/>
            </w:pPr>
            <w:r w:rsidRPr="00D62EF3">
              <w:rPr>
                <w:sz w:val="16"/>
              </w:rPr>
              <w:t>Araujo (2018); Crolic et al. (2022); Go &amp; Sundar (2019); Hu et al. (2021)</w:t>
            </w:r>
          </w:p>
        </w:tc>
      </w:tr>
      <w:tr w:rsidR="00D62EF3" w:rsidRPr="00D62EF3" w14:paraId="08354D13" w14:textId="77777777" w:rsidTr="00D62EF3">
        <w:trPr>
          <w:jc w:val="center"/>
        </w:trPr>
        <w:tc>
          <w:tcPr>
            <w:tcW w:w="1843" w:type="dxa"/>
            <w:tcMar>
              <w:top w:w="80" w:type="dxa"/>
              <w:left w:w="90" w:type="dxa"/>
              <w:bottom w:w="80" w:type="dxa"/>
              <w:right w:w="90" w:type="dxa"/>
            </w:tcMar>
            <w:vAlign w:val="center"/>
          </w:tcPr>
          <w:p w14:paraId="46B198CB" w14:textId="77777777" w:rsidR="008A79E7" w:rsidRPr="00D62EF3" w:rsidRDefault="008E4374">
            <w:pPr>
              <w:spacing w:after="40" w:line="240" w:lineRule="auto"/>
            </w:pPr>
            <w:r w:rsidRPr="00D62EF3">
              <w:rPr>
                <w:sz w:val="16"/>
              </w:rPr>
              <w:t>Trust, privacy and transparency</w:t>
            </w:r>
          </w:p>
        </w:tc>
        <w:tc>
          <w:tcPr>
            <w:tcW w:w="2088" w:type="dxa"/>
            <w:tcMar>
              <w:top w:w="80" w:type="dxa"/>
              <w:left w:w="90" w:type="dxa"/>
              <w:bottom w:w="80" w:type="dxa"/>
              <w:right w:w="90" w:type="dxa"/>
            </w:tcMar>
            <w:vAlign w:val="center"/>
          </w:tcPr>
          <w:p w14:paraId="263F8681" w14:textId="77777777" w:rsidR="008A79E7" w:rsidRPr="00D62EF3" w:rsidRDefault="008E4374">
            <w:pPr>
              <w:spacing w:after="40" w:line="240" w:lineRule="auto"/>
            </w:pPr>
            <w:r w:rsidRPr="00D62EF3">
              <w:rPr>
                <w:sz w:val="16"/>
              </w:rPr>
              <w:t>Perceived integrity, data safety, disclosure and acceptable use of customer information</w:t>
            </w:r>
          </w:p>
        </w:tc>
        <w:tc>
          <w:tcPr>
            <w:tcW w:w="2232" w:type="dxa"/>
            <w:tcMar>
              <w:top w:w="80" w:type="dxa"/>
              <w:left w:w="90" w:type="dxa"/>
              <w:bottom w:w="80" w:type="dxa"/>
              <w:right w:w="90" w:type="dxa"/>
            </w:tcMar>
            <w:vAlign w:val="center"/>
          </w:tcPr>
          <w:p w14:paraId="6E17C5C6" w14:textId="77777777" w:rsidR="008A79E7" w:rsidRPr="00D62EF3" w:rsidRDefault="008E4374">
            <w:pPr>
              <w:spacing w:after="40" w:line="240" w:lineRule="auto"/>
            </w:pPr>
            <w:r w:rsidRPr="00D62EF3">
              <w:rPr>
                <w:sz w:val="16"/>
              </w:rPr>
              <w:t>Enables reliance on recommendations and sharing of information</w:t>
            </w:r>
          </w:p>
        </w:tc>
        <w:tc>
          <w:tcPr>
            <w:tcW w:w="2088" w:type="dxa"/>
            <w:tcMar>
              <w:top w:w="80" w:type="dxa"/>
              <w:left w:w="90" w:type="dxa"/>
              <w:bottom w:w="80" w:type="dxa"/>
              <w:right w:w="90" w:type="dxa"/>
            </w:tcMar>
            <w:vAlign w:val="center"/>
          </w:tcPr>
          <w:p w14:paraId="210B1EA3" w14:textId="77777777" w:rsidR="008A79E7" w:rsidRPr="00D62EF3" w:rsidRDefault="008E4374">
            <w:pPr>
              <w:spacing w:after="40" w:line="240" w:lineRule="auto"/>
            </w:pPr>
            <w:r w:rsidRPr="00D62EF3">
              <w:rPr>
                <w:sz w:val="16"/>
              </w:rPr>
              <w:t>Effects vary by service criticality, disclosure timing and failure</w:t>
            </w:r>
          </w:p>
        </w:tc>
        <w:tc>
          <w:tcPr>
            <w:tcW w:w="1325" w:type="dxa"/>
            <w:tcMar>
              <w:top w:w="80" w:type="dxa"/>
              <w:left w:w="90" w:type="dxa"/>
              <w:bottom w:w="80" w:type="dxa"/>
              <w:right w:w="90" w:type="dxa"/>
            </w:tcMar>
            <w:vAlign w:val="center"/>
          </w:tcPr>
          <w:p w14:paraId="42A327A9" w14:textId="77777777" w:rsidR="008A79E7" w:rsidRPr="00D62EF3" w:rsidRDefault="008E4374">
            <w:pPr>
              <w:spacing w:after="40" w:line="240" w:lineRule="auto"/>
            </w:pPr>
            <w:r w:rsidRPr="00D62EF3">
              <w:rPr>
                <w:sz w:val="16"/>
              </w:rPr>
              <w:t>Luo et al. (2019); Mozafari et al. (2022); Song et al. (2022)</w:t>
            </w:r>
          </w:p>
        </w:tc>
      </w:tr>
      <w:tr w:rsidR="00D62EF3" w:rsidRPr="00D62EF3" w14:paraId="4317F8FB" w14:textId="77777777" w:rsidTr="00D62EF3">
        <w:trPr>
          <w:jc w:val="center"/>
        </w:trPr>
        <w:tc>
          <w:tcPr>
            <w:tcW w:w="1843" w:type="dxa"/>
            <w:tcMar>
              <w:top w:w="80" w:type="dxa"/>
              <w:left w:w="90" w:type="dxa"/>
              <w:bottom w:w="80" w:type="dxa"/>
              <w:right w:w="90" w:type="dxa"/>
            </w:tcMar>
            <w:vAlign w:val="center"/>
          </w:tcPr>
          <w:p w14:paraId="7FDA7ABC" w14:textId="77777777" w:rsidR="008A79E7" w:rsidRPr="00D62EF3" w:rsidRDefault="008E4374">
            <w:pPr>
              <w:spacing w:after="40" w:line="240" w:lineRule="auto"/>
            </w:pPr>
            <w:r w:rsidRPr="00D62EF3">
              <w:rPr>
                <w:sz w:val="16"/>
              </w:rPr>
              <w:t>Journey and marketing outcomes</w:t>
            </w:r>
          </w:p>
        </w:tc>
        <w:tc>
          <w:tcPr>
            <w:tcW w:w="2088" w:type="dxa"/>
            <w:tcMar>
              <w:top w:w="80" w:type="dxa"/>
              <w:left w:w="90" w:type="dxa"/>
              <w:bottom w:w="80" w:type="dxa"/>
              <w:right w:w="90" w:type="dxa"/>
            </w:tcMar>
            <w:vAlign w:val="center"/>
          </w:tcPr>
          <w:p w14:paraId="7BA37E45" w14:textId="77777777" w:rsidR="008A79E7" w:rsidRPr="00D62EF3" w:rsidRDefault="008E4374">
            <w:pPr>
              <w:spacing w:after="40" w:line="240" w:lineRule="auto"/>
            </w:pPr>
            <w:r w:rsidRPr="00D62EF3">
              <w:rPr>
                <w:sz w:val="16"/>
              </w:rPr>
              <w:t>Satisfaction, loyalty, engagement, word-of-mouth, purchase and retention</w:t>
            </w:r>
          </w:p>
        </w:tc>
        <w:tc>
          <w:tcPr>
            <w:tcW w:w="2232" w:type="dxa"/>
            <w:tcMar>
              <w:top w:w="80" w:type="dxa"/>
              <w:left w:w="90" w:type="dxa"/>
              <w:bottom w:w="80" w:type="dxa"/>
              <w:right w:w="90" w:type="dxa"/>
            </w:tcMar>
            <w:vAlign w:val="center"/>
          </w:tcPr>
          <w:p w14:paraId="4A30268F" w14:textId="77777777" w:rsidR="008A79E7" w:rsidRPr="00D62EF3" w:rsidRDefault="008E4374">
            <w:pPr>
              <w:spacing w:after="40" w:line="240" w:lineRule="auto"/>
            </w:pPr>
            <w:r w:rsidRPr="00D62EF3">
              <w:rPr>
                <w:sz w:val="16"/>
              </w:rPr>
              <w:t>Converts interaction quality into relationship and commercial consequences</w:t>
            </w:r>
          </w:p>
        </w:tc>
        <w:tc>
          <w:tcPr>
            <w:tcW w:w="2088" w:type="dxa"/>
            <w:tcMar>
              <w:top w:w="80" w:type="dxa"/>
              <w:left w:w="90" w:type="dxa"/>
              <w:bottom w:w="80" w:type="dxa"/>
              <w:right w:w="90" w:type="dxa"/>
            </w:tcMar>
            <w:vAlign w:val="center"/>
          </w:tcPr>
          <w:p w14:paraId="344421C7" w14:textId="77777777" w:rsidR="008A79E7" w:rsidRPr="00D62EF3" w:rsidRDefault="008E4374">
            <w:pPr>
              <w:spacing w:after="40" w:line="240" w:lineRule="auto"/>
            </w:pPr>
            <w:r w:rsidRPr="00D62EF3">
              <w:rPr>
                <w:sz w:val="16"/>
              </w:rPr>
              <w:t>Often measured by self-report rather than observed behaviour</w:t>
            </w:r>
          </w:p>
        </w:tc>
        <w:tc>
          <w:tcPr>
            <w:tcW w:w="1325" w:type="dxa"/>
            <w:tcMar>
              <w:top w:w="80" w:type="dxa"/>
              <w:left w:w="90" w:type="dxa"/>
              <w:bottom w:w="80" w:type="dxa"/>
              <w:right w:w="90" w:type="dxa"/>
            </w:tcMar>
            <w:vAlign w:val="center"/>
          </w:tcPr>
          <w:p w14:paraId="34D0A35D" w14:textId="77777777" w:rsidR="008A79E7" w:rsidRPr="00D62EF3" w:rsidRDefault="008E4374">
            <w:pPr>
              <w:spacing w:after="40" w:line="240" w:lineRule="auto"/>
            </w:pPr>
            <w:r w:rsidRPr="00D62EF3">
              <w:rPr>
                <w:sz w:val="16"/>
              </w:rPr>
              <w:t>Magableh et al. (2024); Omeish et al. (2024); Yun &amp; Park (2022)</w:t>
            </w:r>
          </w:p>
        </w:tc>
      </w:tr>
    </w:tbl>
    <w:p w14:paraId="09B798FE" w14:textId="77777777" w:rsidR="008A79E7" w:rsidRPr="00D62EF3" w:rsidRDefault="008E4374">
      <w:pPr>
        <w:spacing w:before="60" w:after="160"/>
      </w:pPr>
      <w:r w:rsidRPr="00D62EF3">
        <w:rPr>
          <w:i/>
          <w:sz w:val="17"/>
        </w:rPr>
        <w:t>Note. PLS = partial least squares. Tables are selective analytical summaries rather than exhaustive inventories of all eligible evidence.</w:t>
      </w:r>
    </w:p>
    <w:p w14:paraId="6374F9A6" w14:textId="77777777" w:rsidR="008A79E7" w:rsidRPr="00D62EF3" w:rsidRDefault="008E4374">
      <w:pPr>
        <w:pStyle w:val="Heading1"/>
        <w:rPr>
          <w:color w:val="auto"/>
        </w:rPr>
      </w:pPr>
      <w:r w:rsidRPr="00D62EF3">
        <w:rPr>
          <w:color w:val="auto"/>
        </w:rPr>
        <w:t>4. Jordan’s Empirical Evidence Base: What Is Actually Known?</w:t>
      </w:r>
    </w:p>
    <w:p w14:paraId="199A4A0C" w14:textId="77777777" w:rsidR="008A79E7" w:rsidRPr="00D62EF3" w:rsidRDefault="008E4374">
      <w:pPr>
        <w:jc w:val="both"/>
      </w:pPr>
      <w:r w:rsidRPr="00D62EF3">
        <w:t>The Jordan-specific evidence has expanded rapidly, but it remains concentrated in a small set of sectors and research designs. Banking is the clearest empirical cluster. Alshibly et al. (2024) examined chatbot usability in Jordanian commercial banks and found that reliability and personalisation were directly and indirectly related to satisfaction through customer empowerment. Their result that responsiveness was not a significant predictor is important because it challenges the managerial assumption that speed alone is the defining value of chatbot service. Ease of use also operated through empowerment rather than simply exerting an independent direct effect. This suggests that customers may value a frictionless interface because it gives them greater control, access to information and decision autonomy, not merely because the interface is easy to operate.</w:t>
      </w:r>
    </w:p>
    <w:p w14:paraId="4F1761AF" w14:textId="77777777" w:rsidR="008A79E7" w:rsidRPr="00D62EF3" w:rsidRDefault="008E4374">
      <w:pPr>
        <w:jc w:val="both"/>
      </w:pPr>
      <w:r w:rsidRPr="00D62EF3">
        <w:t xml:space="preserve">A qualitative banking study reaches a compatible but more organisational conclusion. Anaya et al. (2024) interviewed mid- to senior-level experts in a leading bank operating in Jordan that had implemented a voice-based chatbot. The reported benefits included customer satisfaction, growth and competitive advantage, while security, compliance, integration and infrastructure limitations were prominent implementation </w:t>
      </w:r>
      <w:r w:rsidRPr="00D62EF3">
        <w:lastRenderedPageBreak/>
        <w:t>challenges. Because the evidence is managerial and qualitative, it cannot establish the magnitude of customer benefits or rule out favourable organisational interpretation. Its value lies instead in showing that customer experience is coupled to enterprise readiness: a conversational interface depends on secure integration, data availability and operational governance. These implementation factors are largely absent from customer-only survey models.</w:t>
      </w:r>
    </w:p>
    <w:p w14:paraId="4F0B60AC" w14:textId="77777777" w:rsidR="008A79E7" w:rsidRPr="00D62EF3" w:rsidRDefault="008E4374">
      <w:pPr>
        <w:jc w:val="both"/>
      </w:pPr>
      <w:r w:rsidRPr="00D62EF3">
        <w:t>Broader digital banking evidence provides a useful baseline. Maraqa et al. (2018) found that service quality, system quality and information quality were associated with satisfaction among Jordanian bank customers, while Alkhazaleh and Haddad (2021) identified accessibility, ease of use, performance, transaction cost and security as relevant financial-technology service attributes. More recently, Daoud et al. (2026) surveyed 400 customers of Jordanian financial institutions and used partial least-squares structural equation modelling to examine fintech innovation, digital-banking marketing strategies, perceived usability and satisfaction. Although the study is not chatbot-specific, it reinforces the importance of platform usability in translating digital innovation into customer evaluation. These studies indicate that chatbot effects should be interpreted within the quality of the surrounding banking platform rather than as an independent technological treatment.</w:t>
      </w:r>
    </w:p>
    <w:p w14:paraId="0288881F" w14:textId="77777777" w:rsidR="008A79E7" w:rsidRPr="00D62EF3" w:rsidRDefault="008E4374">
      <w:pPr>
        <w:jc w:val="both"/>
      </w:pPr>
      <w:r w:rsidRPr="00D62EF3">
        <w:t>Outside banking, Omeish et al. (2024) analysed AI technologies in social-media marketing among Jordanian Millennials, including chatbots, augmented reality and virtual influencers. This is directly relevant to e-marketing because the customer journey on social platforms combines service, persuasion, entertainment and social influence. Yet the design also makes it difficult to isolate a pure chatbot effect. The study is best interpreted as evidence that conversational AI is part of a wider AI-mediated social-media experience rather than proof that chatbots alone improve customer experience. A similar issue arises in Al Htibat (2024), where 333 marketing managers in Jordanian manufacturing companies evaluated AI dimensions such as data analysis, predictive analytics, automation, content creation and ad targeting against digital-marketing outcomes that included personalisation, customer experience and customer service. The study indicates positive managerial perceptions of AI-enabled marketing, but the unit of analysis is the manager, not the customer.</w:t>
      </w:r>
    </w:p>
    <w:p w14:paraId="4ADAB460" w14:textId="77777777" w:rsidR="008A79E7" w:rsidRPr="00D62EF3" w:rsidRDefault="008E4374">
      <w:pPr>
        <w:jc w:val="both"/>
      </w:pPr>
      <w:r w:rsidRPr="00D62EF3">
        <w:t>Jordanian small and medium-sized enterprises provide another organisational perspective. Magableh et al. (2024) examined marketing AI in relation to sustainable financial performance, with customer engagement, customer satisfaction and data-driven decision-making as pathways. The central contribution for this review is not the firm-performance claim itself, which is distant from the conversational encounter, but the proposed mediation logic: marketing AI may create value through customer-facing engagement and satisfaction rather than through a direct technology-to-performance pathway. The study again relies on survey modelling and therefore supports association and conceptual pathway plausibility more strongly than causal attribution.</w:t>
      </w:r>
    </w:p>
    <w:p w14:paraId="434699AC" w14:textId="77777777" w:rsidR="008A79E7" w:rsidRPr="00D62EF3" w:rsidRDefault="008E4374">
      <w:pPr>
        <w:jc w:val="both"/>
      </w:pPr>
      <w:r w:rsidRPr="00D62EF3">
        <w:t>Two 2026 studies broaden the contextual picture. Al-Haraizah et al. (2026) surveyed respondents across consumer-oriented Jordanian businesses and linked AI applications with customer-service efficiency, consumer attitudes and business performance. The convenience-based sampling and firm-oriented framing limit causal inference, but the study demonstrates that AI adoption is no longer confined to banking. Mohamad et al. (2026), although focused on e-government rather than e-marketing, used a longitudinal survey of 319 Jordanian citizens and found that trust, attitude, performance and effort expectancy, anthropomorphism and facilitating conditions were among the positive predictors of chatbot-use intentions, while anxiety had a negative effect; actual usage was then associated with satisfaction and continuance. Its temporal structure gives it greater inferential value for adoption and continuance mechanisms than a single-wave survey, while sector differences limit direct transfer to commercial marketing.</w:t>
      </w:r>
    </w:p>
    <w:p w14:paraId="06824151" w14:textId="77777777" w:rsidR="008A79E7" w:rsidRPr="00D62EF3" w:rsidRDefault="008E4374">
      <w:pPr>
        <w:jc w:val="both"/>
      </w:pPr>
      <w:r w:rsidRPr="00D62EF3">
        <w:lastRenderedPageBreak/>
        <w:t>Hashem (2025) is notable because it directly addresses chatbot and conversational-AI customer experience across Jordanian retail, banking and telecommunications and reports a sample of 500 users. The study offers useful multi-sector coverage but requires cautious weighting. Its sampling description is internally inconsistent: the abstract characterises the sample as simple random, whereas the limitations section refers to convenience sampling. Such inconsistency matters because sampling probability affects claims of population representativeness. The study can therefore be used as supportive local evidence that chatbot interaction quality and use are associated with customer-experience evaluations, but it should not anchor strong generalisations about Jordanian consumers as a whole.</w:t>
      </w:r>
    </w:p>
    <w:p w14:paraId="4E106E22" w14:textId="77777777" w:rsidR="008A79E7" w:rsidRPr="00D62EF3" w:rsidRDefault="008E4374">
      <w:pPr>
        <w:keepNext/>
        <w:spacing w:before="100"/>
        <w:jc w:val="both"/>
      </w:pPr>
      <w:r w:rsidRPr="00D62EF3">
        <w:t>Table 2 shows why the Jordanian evidence should be interpreted as a converging but methodologically uneven body of research. The strongest local pattern is not a universal “AI effect”; it is the recurrence of reliability, usability, trust, personalisation, engagement and service quality as mechanisms. Direct behavioural evidence and randomised comparisons remain scarce.</w:t>
      </w:r>
    </w:p>
    <w:p w14:paraId="675DE08C" w14:textId="77777777" w:rsidR="008A79E7" w:rsidRPr="00D62EF3" w:rsidRDefault="008E4374">
      <w:pPr>
        <w:pStyle w:val="TableCaption"/>
        <w:rPr>
          <w:color w:val="auto"/>
        </w:rPr>
      </w:pPr>
      <w:r w:rsidRPr="00D62EF3">
        <w:rPr>
          <w:color w:val="auto"/>
        </w:rPr>
        <w:t>Table 2. Representative Jordan-specific evidence relevant to chatbot and AI-mediated customer experience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33D6F547" w14:textId="77777777" w:rsidTr="00D62EF3">
        <w:trPr>
          <w:tblHeader/>
          <w:jc w:val="center"/>
        </w:trPr>
        <w:tc>
          <w:tcPr>
            <w:tcW w:w="1843" w:type="dxa"/>
            <w:tcMar>
              <w:top w:w="80" w:type="dxa"/>
              <w:left w:w="90" w:type="dxa"/>
              <w:bottom w:w="80" w:type="dxa"/>
              <w:right w:w="90" w:type="dxa"/>
            </w:tcMar>
            <w:vAlign w:val="center"/>
          </w:tcPr>
          <w:p w14:paraId="177C3EAB" w14:textId="77777777" w:rsidR="008A79E7" w:rsidRPr="00D62EF3" w:rsidRDefault="008E4374">
            <w:pPr>
              <w:spacing w:after="40" w:line="240" w:lineRule="auto"/>
            </w:pPr>
            <w:r w:rsidRPr="00D62EF3">
              <w:rPr>
                <w:b/>
                <w:sz w:val="17"/>
              </w:rPr>
              <w:t>Study/context</w:t>
            </w:r>
          </w:p>
        </w:tc>
        <w:tc>
          <w:tcPr>
            <w:tcW w:w="2088" w:type="dxa"/>
            <w:tcMar>
              <w:top w:w="80" w:type="dxa"/>
              <w:left w:w="90" w:type="dxa"/>
              <w:bottom w:w="80" w:type="dxa"/>
              <w:right w:w="90" w:type="dxa"/>
            </w:tcMar>
            <w:vAlign w:val="center"/>
          </w:tcPr>
          <w:p w14:paraId="147CD780" w14:textId="77777777" w:rsidR="008A79E7" w:rsidRPr="00D62EF3" w:rsidRDefault="008E4374">
            <w:pPr>
              <w:spacing w:after="40" w:line="240" w:lineRule="auto"/>
            </w:pPr>
            <w:r w:rsidRPr="00D62EF3">
              <w:rPr>
                <w:b/>
                <w:sz w:val="17"/>
              </w:rPr>
              <w:t>Design and sample</w:t>
            </w:r>
          </w:p>
        </w:tc>
        <w:tc>
          <w:tcPr>
            <w:tcW w:w="2232" w:type="dxa"/>
            <w:tcMar>
              <w:top w:w="80" w:type="dxa"/>
              <w:left w:w="90" w:type="dxa"/>
              <w:bottom w:w="80" w:type="dxa"/>
              <w:right w:w="90" w:type="dxa"/>
            </w:tcMar>
            <w:vAlign w:val="center"/>
          </w:tcPr>
          <w:p w14:paraId="146417E1" w14:textId="77777777" w:rsidR="008A79E7" w:rsidRPr="00D62EF3" w:rsidRDefault="008E4374">
            <w:pPr>
              <w:spacing w:after="40" w:line="240" w:lineRule="auto"/>
            </w:pPr>
            <w:r w:rsidRPr="00D62EF3">
              <w:rPr>
                <w:b/>
                <w:sz w:val="17"/>
              </w:rPr>
              <w:t>Principal customer-experience contribution</w:t>
            </w:r>
          </w:p>
        </w:tc>
        <w:tc>
          <w:tcPr>
            <w:tcW w:w="2088" w:type="dxa"/>
            <w:tcMar>
              <w:top w:w="80" w:type="dxa"/>
              <w:left w:w="90" w:type="dxa"/>
              <w:bottom w:w="80" w:type="dxa"/>
              <w:right w:w="90" w:type="dxa"/>
            </w:tcMar>
            <w:vAlign w:val="center"/>
          </w:tcPr>
          <w:p w14:paraId="5EF4C610" w14:textId="77777777" w:rsidR="008A79E7" w:rsidRPr="00D62EF3" w:rsidRDefault="008E4374">
            <w:pPr>
              <w:spacing w:after="40" w:line="240" w:lineRule="auto"/>
            </w:pPr>
            <w:r w:rsidRPr="00D62EF3">
              <w:rPr>
                <w:b/>
                <w:sz w:val="17"/>
              </w:rPr>
              <w:t>Key methodological caution</w:t>
            </w:r>
          </w:p>
        </w:tc>
        <w:tc>
          <w:tcPr>
            <w:tcW w:w="1325" w:type="dxa"/>
            <w:tcMar>
              <w:top w:w="80" w:type="dxa"/>
              <w:left w:w="90" w:type="dxa"/>
              <w:bottom w:w="80" w:type="dxa"/>
              <w:right w:w="90" w:type="dxa"/>
            </w:tcMar>
            <w:vAlign w:val="center"/>
          </w:tcPr>
          <w:p w14:paraId="6F5F3DE9" w14:textId="77777777" w:rsidR="008A79E7" w:rsidRPr="00D62EF3" w:rsidRDefault="008E4374">
            <w:pPr>
              <w:spacing w:after="40" w:line="240" w:lineRule="auto"/>
            </w:pPr>
            <w:r w:rsidRPr="00D62EF3">
              <w:rPr>
                <w:b/>
                <w:sz w:val="17"/>
              </w:rPr>
              <w:t>Supporting references</w:t>
            </w:r>
          </w:p>
        </w:tc>
      </w:tr>
      <w:tr w:rsidR="00D62EF3" w:rsidRPr="00D62EF3" w14:paraId="57054C53" w14:textId="77777777" w:rsidTr="00D62EF3">
        <w:trPr>
          <w:jc w:val="center"/>
        </w:trPr>
        <w:tc>
          <w:tcPr>
            <w:tcW w:w="1843" w:type="dxa"/>
            <w:tcMar>
              <w:top w:w="80" w:type="dxa"/>
              <w:left w:w="90" w:type="dxa"/>
              <w:bottom w:w="80" w:type="dxa"/>
              <w:right w:w="90" w:type="dxa"/>
            </w:tcMar>
            <w:vAlign w:val="center"/>
          </w:tcPr>
          <w:p w14:paraId="588C7258" w14:textId="77777777" w:rsidR="008A79E7" w:rsidRPr="00D62EF3" w:rsidRDefault="008E4374">
            <w:pPr>
              <w:spacing w:after="40" w:line="240" w:lineRule="auto"/>
            </w:pPr>
            <w:r w:rsidRPr="00D62EF3">
              <w:rPr>
                <w:sz w:val="16"/>
              </w:rPr>
              <w:t>Commercial banking chatbots</w:t>
            </w:r>
          </w:p>
        </w:tc>
        <w:tc>
          <w:tcPr>
            <w:tcW w:w="2088" w:type="dxa"/>
            <w:tcMar>
              <w:top w:w="80" w:type="dxa"/>
              <w:left w:w="90" w:type="dxa"/>
              <w:bottom w:w="80" w:type="dxa"/>
              <w:right w:w="90" w:type="dxa"/>
            </w:tcMar>
            <w:vAlign w:val="center"/>
          </w:tcPr>
          <w:p w14:paraId="1F0B73BC" w14:textId="77777777" w:rsidR="008A79E7" w:rsidRPr="00D62EF3" w:rsidRDefault="008E4374">
            <w:pPr>
              <w:spacing w:after="40" w:line="240" w:lineRule="auto"/>
            </w:pPr>
            <w:r w:rsidRPr="00D62EF3">
              <w:rPr>
                <w:sz w:val="16"/>
              </w:rPr>
              <w:t>Quantitative survey of Jordanian bank customers</w:t>
            </w:r>
          </w:p>
        </w:tc>
        <w:tc>
          <w:tcPr>
            <w:tcW w:w="2232" w:type="dxa"/>
            <w:tcMar>
              <w:top w:w="80" w:type="dxa"/>
              <w:left w:w="90" w:type="dxa"/>
              <w:bottom w:w="80" w:type="dxa"/>
              <w:right w:w="90" w:type="dxa"/>
            </w:tcMar>
            <w:vAlign w:val="center"/>
          </w:tcPr>
          <w:p w14:paraId="1563BE01" w14:textId="77777777" w:rsidR="008A79E7" w:rsidRPr="00D62EF3" w:rsidRDefault="008E4374">
            <w:pPr>
              <w:spacing w:after="40" w:line="240" w:lineRule="auto"/>
            </w:pPr>
            <w:r w:rsidRPr="00D62EF3">
              <w:rPr>
                <w:sz w:val="16"/>
              </w:rPr>
              <w:t>Reliability and personalisation associated with satisfaction; empowerment mediates several usability effects</w:t>
            </w:r>
          </w:p>
        </w:tc>
        <w:tc>
          <w:tcPr>
            <w:tcW w:w="2088" w:type="dxa"/>
            <w:tcMar>
              <w:top w:w="80" w:type="dxa"/>
              <w:left w:w="90" w:type="dxa"/>
              <w:bottom w:w="80" w:type="dxa"/>
              <w:right w:w="90" w:type="dxa"/>
            </w:tcMar>
            <w:vAlign w:val="center"/>
          </w:tcPr>
          <w:p w14:paraId="2E7CE383" w14:textId="77777777" w:rsidR="008A79E7" w:rsidRPr="00D62EF3" w:rsidRDefault="008E4374">
            <w:pPr>
              <w:spacing w:after="40" w:line="240" w:lineRule="auto"/>
            </w:pPr>
            <w:r w:rsidRPr="00D62EF3">
              <w:rPr>
                <w:sz w:val="16"/>
              </w:rPr>
              <w:t>Cross-sectional self-report design limits temporal and causal inference</w:t>
            </w:r>
          </w:p>
        </w:tc>
        <w:tc>
          <w:tcPr>
            <w:tcW w:w="1325" w:type="dxa"/>
            <w:tcMar>
              <w:top w:w="80" w:type="dxa"/>
              <w:left w:w="90" w:type="dxa"/>
              <w:bottom w:w="80" w:type="dxa"/>
              <w:right w:w="90" w:type="dxa"/>
            </w:tcMar>
            <w:vAlign w:val="center"/>
          </w:tcPr>
          <w:p w14:paraId="0830E672" w14:textId="77777777" w:rsidR="008A79E7" w:rsidRPr="00D62EF3" w:rsidRDefault="008E4374">
            <w:pPr>
              <w:spacing w:after="40" w:line="240" w:lineRule="auto"/>
            </w:pPr>
            <w:r w:rsidRPr="00D62EF3">
              <w:rPr>
                <w:sz w:val="16"/>
              </w:rPr>
              <w:t>Alshibly et al. (2024)</w:t>
            </w:r>
          </w:p>
        </w:tc>
      </w:tr>
      <w:tr w:rsidR="00D62EF3" w:rsidRPr="00D62EF3" w14:paraId="2B306CFD" w14:textId="77777777" w:rsidTr="00D62EF3">
        <w:trPr>
          <w:jc w:val="center"/>
        </w:trPr>
        <w:tc>
          <w:tcPr>
            <w:tcW w:w="1843" w:type="dxa"/>
            <w:tcMar>
              <w:top w:w="80" w:type="dxa"/>
              <w:left w:w="90" w:type="dxa"/>
              <w:bottom w:w="80" w:type="dxa"/>
              <w:right w:w="90" w:type="dxa"/>
            </w:tcMar>
            <w:vAlign w:val="center"/>
          </w:tcPr>
          <w:p w14:paraId="014DECBD" w14:textId="77777777" w:rsidR="008A79E7" w:rsidRPr="00D62EF3" w:rsidRDefault="008E4374">
            <w:pPr>
              <w:spacing w:after="40" w:line="240" w:lineRule="auto"/>
            </w:pPr>
            <w:r w:rsidRPr="00D62EF3">
              <w:rPr>
                <w:sz w:val="16"/>
              </w:rPr>
              <w:t>Voice chatbot in a Jordanian bank</w:t>
            </w:r>
          </w:p>
        </w:tc>
        <w:tc>
          <w:tcPr>
            <w:tcW w:w="2088" w:type="dxa"/>
            <w:tcMar>
              <w:top w:w="80" w:type="dxa"/>
              <w:left w:w="90" w:type="dxa"/>
              <w:bottom w:w="80" w:type="dxa"/>
              <w:right w:w="90" w:type="dxa"/>
            </w:tcMar>
            <w:vAlign w:val="center"/>
          </w:tcPr>
          <w:p w14:paraId="257FC74F" w14:textId="77777777" w:rsidR="008A79E7" w:rsidRPr="00D62EF3" w:rsidRDefault="008E4374">
            <w:pPr>
              <w:spacing w:after="40" w:line="240" w:lineRule="auto"/>
            </w:pPr>
            <w:r w:rsidRPr="00D62EF3">
              <w:rPr>
                <w:sz w:val="16"/>
              </w:rPr>
              <w:t>Qualitative interviews with mid/senior managers</w:t>
            </w:r>
          </w:p>
        </w:tc>
        <w:tc>
          <w:tcPr>
            <w:tcW w:w="2232" w:type="dxa"/>
            <w:tcMar>
              <w:top w:w="80" w:type="dxa"/>
              <w:left w:w="90" w:type="dxa"/>
              <w:bottom w:w="80" w:type="dxa"/>
              <w:right w:w="90" w:type="dxa"/>
            </w:tcMar>
            <w:vAlign w:val="center"/>
          </w:tcPr>
          <w:p w14:paraId="320DE177" w14:textId="77777777" w:rsidR="008A79E7" w:rsidRPr="00D62EF3" w:rsidRDefault="008E4374">
            <w:pPr>
              <w:spacing w:after="40" w:line="240" w:lineRule="auto"/>
            </w:pPr>
            <w:r w:rsidRPr="00D62EF3">
              <w:rPr>
                <w:sz w:val="16"/>
              </w:rPr>
              <w:t>Links customer-facing benefits to security, compliance, integration and infrastructure</w:t>
            </w:r>
          </w:p>
        </w:tc>
        <w:tc>
          <w:tcPr>
            <w:tcW w:w="2088" w:type="dxa"/>
            <w:tcMar>
              <w:top w:w="80" w:type="dxa"/>
              <w:left w:w="90" w:type="dxa"/>
              <w:bottom w:w="80" w:type="dxa"/>
              <w:right w:w="90" w:type="dxa"/>
            </w:tcMar>
            <w:vAlign w:val="center"/>
          </w:tcPr>
          <w:p w14:paraId="598F674F" w14:textId="77777777" w:rsidR="008A79E7" w:rsidRPr="00D62EF3" w:rsidRDefault="008E4374">
            <w:pPr>
              <w:spacing w:after="40" w:line="240" w:lineRule="auto"/>
            </w:pPr>
            <w:r w:rsidRPr="00D62EF3">
              <w:rPr>
                <w:sz w:val="16"/>
              </w:rPr>
              <w:t>Managerial perceptions cannot substitute for direct customer outcomes</w:t>
            </w:r>
          </w:p>
        </w:tc>
        <w:tc>
          <w:tcPr>
            <w:tcW w:w="1325" w:type="dxa"/>
            <w:tcMar>
              <w:top w:w="80" w:type="dxa"/>
              <w:left w:w="90" w:type="dxa"/>
              <w:bottom w:w="80" w:type="dxa"/>
              <w:right w:w="90" w:type="dxa"/>
            </w:tcMar>
            <w:vAlign w:val="center"/>
          </w:tcPr>
          <w:p w14:paraId="6D7B386C" w14:textId="77777777" w:rsidR="008A79E7" w:rsidRPr="00D62EF3" w:rsidRDefault="008E4374">
            <w:pPr>
              <w:spacing w:after="40" w:line="240" w:lineRule="auto"/>
            </w:pPr>
            <w:r w:rsidRPr="00D62EF3">
              <w:rPr>
                <w:sz w:val="16"/>
              </w:rPr>
              <w:t>Anaya et al. (2024)</w:t>
            </w:r>
          </w:p>
        </w:tc>
      </w:tr>
      <w:tr w:rsidR="00D62EF3" w:rsidRPr="00D62EF3" w14:paraId="4E9371F4" w14:textId="77777777" w:rsidTr="00D62EF3">
        <w:trPr>
          <w:jc w:val="center"/>
        </w:trPr>
        <w:tc>
          <w:tcPr>
            <w:tcW w:w="1843" w:type="dxa"/>
            <w:tcMar>
              <w:top w:w="80" w:type="dxa"/>
              <w:left w:w="90" w:type="dxa"/>
              <w:bottom w:w="80" w:type="dxa"/>
              <w:right w:w="90" w:type="dxa"/>
            </w:tcMar>
            <w:vAlign w:val="center"/>
          </w:tcPr>
          <w:p w14:paraId="7BD1F328" w14:textId="77777777" w:rsidR="008A79E7" w:rsidRPr="00D62EF3" w:rsidRDefault="008E4374">
            <w:pPr>
              <w:spacing w:after="40" w:line="240" w:lineRule="auto"/>
            </w:pPr>
            <w:r w:rsidRPr="00D62EF3">
              <w:rPr>
                <w:sz w:val="16"/>
              </w:rPr>
              <w:t>Social-media AI among Jordanian Millennials</w:t>
            </w:r>
          </w:p>
        </w:tc>
        <w:tc>
          <w:tcPr>
            <w:tcW w:w="2088" w:type="dxa"/>
            <w:tcMar>
              <w:top w:w="80" w:type="dxa"/>
              <w:left w:w="90" w:type="dxa"/>
              <w:bottom w:w="80" w:type="dxa"/>
              <w:right w:w="90" w:type="dxa"/>
            </w:tcMar>
            <w:vAlign w:val="center"/>
          </w:tcPr>
          <w:p w14:paraId="406A5026" w14:textId="77777777" w:rsidR="008A79E7" w:rsidRPr="00D62EF3" w:rsidRDefault="008E4374">
            <w:pPr>
              <w:spacing w:after="40" w:line="240" w:lineRule="auto"/>
            </w:pPr>
            <w:r w:rsidRPr="00D62EF3">
              <w:rPr>
                <w:sz w:val="16"/>
              </w:rPr>
              <w:t>Survey/PLS analysis of chatbots, augmented reality and virtual influencers</w:t>
            </w:r>
          </w:p>
        </w:tc>
        <w:tc>
          <w:tcPr>
            <w:tcW w:w="2232" w:type="dxa"/>
            <w:tcMar>
              <w:top w:w="80" w:type="dxa"/>
              <w:left w:w="90" w:type="dxa"/>
              <w:bottom w:w="80" w:type="dxa"/>
              <w:right w:w="90" w:type="dxa"/>
            </w:tcMar>
            <w:vAlign w:val="center"/>
          </w:tcPr>
          <w:p w14:paraId="49919D24" w14:textId="77777777" w:rsidR="008A79E7" w:rsidRPr="00D62EF3" w:rsidRDefault="008E4374">
            <w:pPr>
              <w:spacing w:after="40" w:line="240" w:lineRule="auto"/>
            </w:pPr>
            <w:r w:rsidRPr="00D62EF3">
              <w:rPr>
                <w:sz w:val="16"/>
              </w:rPr>
              <w:t>Positions chatbots within an AI-enhanced social-media customer journey</w:t>
            </w:r>
          </w:p>
        </w:tc>
        <w:tc>
          <w:tcPr>
            <w:tcW w:w="2088" w:type="dxa"/>
            <w:tcMar>
              <w:top w:w="80" w:type="dxa"/>
              <w:left w:w="90" w:type="dxa"/>
              <w:bottom w:w="80" w:type="dxa"/>
              <w:right w:w="90" w:type="dxa"/>
            </w:tcMar>
            <w:vAlign w:val="center"/>
          </w:tcPr>
          <w:p w14:paraId="72465806" w14:textId="77777777" w:rsidR="008A79E7" w:rsidRPr="00D62EF3" w:rsidRDefault="008E4374">
            <w:pPr>
              <w:spacing w:after="40" w:line="240" w:lineRule="auto"/>
            </w:pPr>
            <w:r w:rsidRPr="00D62EF3">
              <w:rPr>
                <w:sz w:val="16"/>
              </w:rPr>
              <w:t>Age cohort and multi-technology model constrain generalisation and chatbot isolation</w:t>
            </w:r>
          </w:p>
        </w:tc>
        <w:tc>
          <w:tcPr>
            <w:tcW w:w="1325" w:type="dxa"/>
            <w:tcMar>
              <w:top w:w="80" w:type="dxa"/>
              <w:left w:w="90" w:type="dxa"/>
              <w:bottom w:w="80" w:type="dxa"/>
              <w:right w:w="90" w:type="dxa"/>
            </w:tcMar>
            <w:vAlign w:val="center"/>
          </w:tcPr>
          <w:p w14:paraId="0FABD83E" w14:textId="77777777" w:rsidR="008A79E7" w:rsidRPr="00D62EF3" w:rsidRDefault="008E4374">
            <w:pPr>
              <w:spacing w:after="40" w:line="240" w:lineRule="auto"/>
            </w:pPr>
            <w:r w:rsidRPr="00D62EF3">
              <w:rPr>
                <w:sz w:val="16"/>
              </w:rPr>
              <w:t>Omeish et al. (2024)</w:t>
            </w:r>
          </w:p>
        </w:tc>
      </w:tr>
      <w:tr w:rsidR="00D62EF3" w:rsidRPr="00D62EF3" w14:paraId="7FB905E7" w14:textId="77777777" w:rsidTr="00D62EF3">
        <w:trPr>
          <w:jc w:val="center"/>
        </w:trPr>
        <w:tc>
          <w:tcPr>
            <w:tcW w:w="1843" w:type="dxa"/>
            <w:tcMar>
              <w:top w:w="80" w:type="dxa"/>
              <w:left w:w="90" w:type="dxa"/>
              <w:bottom w:w="80" w:type="dxa"/>
              <w:right w:w="90" w:type="dxa"/>
            </w:tcMar>
            <w:vAlign w:val="center"/>
          </w:tcPr>
          <w:p w14:paraId="098776A9" w14:textId="77777777" w:rsidR="008A79E7" w:rsidRPr="00D62EF3" w:rsidRDefault="008E4374">
            <w:pPr>
              <w:spacing w:after="40" w:line="240" w:lineRule="auto"/>
            </w:pPr>
            <w:r w:rsidRPr="00D62EF3">
              <w:rPr>
                <w:sz w:val="16"/>
              </w:rPr>
              <w:t>Manufacturing digital marketing</w:t>
            </w:r>
          </w:p>
        </w:tc>
        <w:tc>
          <w:tcPr>
            <w:tcW w:w="2088" w:type="dxa"/>
            <w:tcMar>
              <w:top w:w="80" w:type="dxa"/>
              <w:left w:w="90" w:type="dxa"/>
              <w:bottom w:w="80" w:type="dxa"/>
              <w:right w:w="90" w:type="dxa"/>
            </w:tcMar>
            <w:vAlign w:val="center"/>
          </w:tcPr>
          <w:p w14:paraId="2CDFDCC8" w14:textId="77777777" w:rsidR="008A79E7" w:rsidRPr="00D62EF3" w:rsidRDefault="008E4374">
            <w:pPr>
              <w:spacing w:after="40" w:line="240" w:lineRule="auto"/>
            </w:pPr>
            <w:r w:rsidRPr="00D62EF3">
              <w:rPr>
                <w:sz w:val="16"/>
              </w:rPr>
              <w:t>Survey of 333 marketing managers</w:t>
            </w:r>
          </w:p>
        </w:tc>
        <w:tc>
          <w:tcPr>
            <w:tcW w:w="2232" w:type="dxa"/>
            <w:tcMar>
              <w:top w:w="80" w:type="dxa"/>
              <w:left w:w="90" w:type="dxa"/>
              <w:bottom w:w="80" w:type="dxa"/>
              <w:right w:w="90" w:type="dxa"/>
            </w:tcMar>
            <w:vAlign w:val="center"/>
          </w:tcPr>
          <w:p w14:paraId="23259EA7" w14:textId="77777777" w:rsidR="008A79E7" w:rsidRPr="00D62EF3" w:rsidRDefault="008E4374">
            <w:pPr>
              <w:spacing w:after="40" w:line="240" w:lineRule="auto"/>
            </w:pPr>
            <w:r w:rsidRPr="00D62EF3">
              <w:rPr>
                <w:sz w:val="16"/>
              </w:rPr>
              <w:t>AI dimensions associated with personalisation, customer experience and customer-service outcomes</w:t>
            </w:r>
          </w:p>
        </w:tc>
        <w:tc>
          <w:tcPr>
            <w:tcW w:w="2088" w:type="dxa"/>
            <w:tcMar>
              <w:top w:w="80" w:type="dxa"/>
              <w:left w:w="90" w:type="dxa"/>
              <w:bottom w:w="80" w:type="dxa"/>
              <w:right w:w="90" w:type="dxa"/>
            </w:tcMar>
            <w:vAlign w:val="center"/>
          </w:tcPr>
          <w:p w14:paraId="754436C5" w14:textId="77777777" w:rsidR="008A79E7" w:rsidRPr="00D62EF3" w:rsidRDefault="008E4374">
            <w:pPr>
              <w:spacing w:after="40" w:line="240" w:lineRule="auto"/>
            </w:pPr>
            <w:r w:rsidRPr="00D62EF3">
              <w:rPr>
                <w:sz w:val="16"/>
              </w:rPr>
              <w:t>Manager reports, not customer experience; cross-sectional design</w:t>
            </w:r>
          </w:p>
        </w:tc>
        <w:tc>
          <w:tcPr>
            <w:tcW w:w="1325" w:type="dxa"/>
            <w:tcMar>
              <w:top w:w="80" w:type="dxa"/>
              <w:left w:w="90" w:type="dxa"/>
              <w:bottom w:w="80" w:type="dxa"/>
              <w:right w:w="90" w:type="dxa"/>
            </w:tcMar>
            <w:vAlign w:val="center"/>
          </w:tcPr>
          <w:p w14:paraId="54F6160E" w14:textId="77777777" w:rsidR="008A79E7" w:rsidRPr="00D62EF3" w:rsidRDefault="008E4374">
            <w:pPr>
              <w:spacing w:after="40" w:line="240" w:lineRule="auto"/>
            </w:pPr>
            <w:r w:rsidRPr="00D62EF3">
              <w:rPr>
                <w:sz w:val="16"/>
              </w:rPr>
              <w:t>Al Htibat (2024)</w:t>
            </w:r>
          </w:p>
        </w:tc>
      </w:tr>
      <w:tr w:rsidR="00D62EF3" w:rsidRPr="00D62EF3" w14:paraId="1F044995" w14:textId="77777777" w:rsidTr="00D62EF3">
        <w:trPr>
          <w:jc w:val="center"/>
        </w:trPr>
        <w:tc>
          <w:tcPr>
            <w:tcW w:w="1843" w:type="dxa"/>
            <w:tcMar>
              <w:top w:w="80" w:type="dxa"/>
              <w:left w:w="90" w:type="dxa"/>
              <w:bottom w:w="80" w:type="dxa"/>
              <w:right w:w="90" w:type="dxa"/>
            </w:tcMar>
            <w:vAlign w:val="center"/>
          </w:tcPr>
          <w:p w14:paraId="7824618E" w14:textId="77777777" w:rsidR="008A79E7" w:rsidRPr="00D62EF3" w:rsidRDefault="008E4374">
            <w:pPr>
              <w:spacing w:after="40" w:line="240" w:lineRule="auto"/>
            </w:pPr>
            <w:r w:rsidRPr="00D62EF3">
              <w:rPr>
                <w:sz w:val="16"/>
              </w:rPr>
              <w:t>Jordanian medium-sized enterprises</w:t>
            </w:r>
          </w:p>
        </w:tc>
        <w:tc>
          <w:tcPr>
            <w:tcW w:w="2088" w:type="dxa"/>
            <w:tcMar>
              <w:top w:w="80" w:type="dxa"/>
              <w:left w:w="90" w:type="dxa"/>
              <w:bottom w:w="80" w:type="dxa"/>
              <w:right w:w="90" w:type="dxa"/>
            </w:tcMar>
            <w:vAlign w:val="center"/>
          </w:tcPr>
          <w:p w14:paraId="26BF817E" w14:textId="77777777" w:rsidR="008A79E7" w:rsidRPr="00D62EF3" w:rsidRDefault="008E4374">
            <w:pPr>
              <w:spacing w:after="40" w:line="240" w:lineRule="auto"/>
            </w:pPr>
            <w:r w:rsidRPr="00D62EF3">
              <w:rPr>
                <w:sz w:val="16"/>
              </w:rPr>
              <w:t>Survey model linking marketing AI, engagement, satisfaction and performance</w:t>
            </w:r>
          </w:p>
        </w:tc>
        <w:tc>
          <w:tcPr>
            <w:tcW w:w="2232" w:type="dxa"/>
            <w:tcMar>
              <w:top w:w="80" w:type="dxa"/>
              <w:left w:w="90" w:type="dxa"/>
              <w:bottom w:w="80" w:type="dxa"/>
              <w:right w:w="90" w:type="dxa"/>
            </w:tcMar>
            <w:vAlign w:val="center"/>
          </w:tcPr>
          <w:p w14:paraId="1BD790D3" w14:textId="77777777" w:rsidR="008A79E7" w:rsidRPr="00D62EF3" w:rsidRDefault="008E4374">
            <w:pPr>
              <w:spacing w:after="40" w:line="240" w:lineRule="auto"/>
            </w:pPr>
            <w:r w:rsidRPr="00D62EF3">
              <w:rPr>
                <w:sz w:val="16"/>
              </w:rPr>
              <w:t>Supports engagement/satisfaction as plausible pathways from AI to firm outcomes</w:t>
            </w:r>
          </w:p>
        </w:tc>
        <w:tc>
          <w:tcPr>
            <w:tcW w:w="2088" w:type="dxa"/>
            <w:tcMar>
              <w:top w:w="80" w:type="dxa"/>
              <w:left w:w="90" w:type="dxa"/>
              <w:bottom w:w="80" w:type="dxa"/>
              <w:right w:w="90" w:type="dxa"/>
            </w:tcMar>
            <w:vAlign w:val="center"/>
          </w:tcPr>
          <w:p w14:paraId="37DB9E28" w14:textId="77777777" w:rsidR="008A79E7" w:rsidRPr="00D62EF3" w:rsidRDefault="008E4374">
            <w:pPr>
              <w:spacing w:after="40" w:line="240" w:lineRule="auto"/>
            </w:pPr>
            <w:r w:rsidRPr="00D62EF3">
              <w:rPr>
                <w:sz w:val="16"/>
              </w:rPr>
              <w:t>Organisational performance is distal to individual chatbot encounters</w:t>
            </w:r>
          </w:p>
        </w:tc>
        <w:tc>
          <w:tcPr>
            <w:tcW w:w="1325" w:type="dxa"/>
            <w:tcMar>
              <w:top w:w="80" w:type="dxa"/>
              <w:left w:w="90" w:type="dxa"/>
              <w:bottom w:w="80" w:type="dxa"/>
              <w:right w:w="90" w:type="dxa"/>
            </w:tcMar>
            <w:vAlign w:val="center"/>
          </w:tcPr>
          <w:p w14:paraId="7F4F4483" w14:textId="77777777" w:rsidR="008A79E7" w:rsidRPr="00D62EF3" w:rsidRDefault="008E4374">
            <w:pPr>
              <w:spacing w:after="40" w:line="240" w:lineRule="auto"/>
            </w:pPr>
            <w:r w:rsidRPr="00D62EF3">
              <w:rPr>
                <w:sz w:val="16"/>
              </w:rPr>
              <w:t>Magableh et al. (2024)</w:t>
            </w:r>
          </w:p>
        </w:tc>
      </w:tr>
      <w:tr w:rsidR="00D62EF3" w:rsidRPr="00D62EF3" w14:paraId="6FA8DC32" w14:textId="77777777" w:rsidTr="00D62EF3">
        <w:trPr>
          <w:jc w:val="center"/>
        </w:trPr>
        <w:tc>
          <w:tcPr>
            <w:tcW w:w="1843" w:type="dxa"/>
            <w:tcMar>
              <w:top w:w="80" w:type="dxa"/>
              <w:left w:w="90" w:type="dxa"/>
              <w:bottom w:w="80" w:type="dxa"/>
              <w:right w:w="90" w:type="dxa"/>
            </w:tcMar>
            <w:vAlign w:val="center"/>
          </w:tcPr>
          <w:p w14:paraId="02879381" w14:textId="77777777" w:rsidR="008A79E7" w:rsidRPr="00D62EF3" w:rsidRDefault="008E4374">
            <w:pPr>
              <w:spacing w:after="40" w:line="240" w:lineRule="auto"/>
            </w:pPr>
            <w:r w:rsidRPr="00D62EF3">
              <w:rPr>
                <w:sz w:val="16"/>
              </w:rPr>
              <w:t>Cross-sector customer service</w:t>
            </w:r>
          </w:p>
        </w:tc>
        <w:tc>
          <w:tcPr>
            <w:tcW w:w="2088" w:type="dxa"/>
            <w:tcMar>
              <w:top w:w="80" w:type="dxa"/>
              <w:left w:w="90" w:type="dxa"/>
              <w:bottom w:w="80" w:type="dxa"/>
              <w:right w:w="90" w:type="dxa"/>
            </w:tcMar>
            <w:vAlign w:val="center"/>
          </w:tcPr>
          <w:p w14:paraId="26325C16" w14:textId="77777777" w:rsidR="008A79E7" w:rsidRPr="00D62EF3" w:rsidRDefault="008E4374">
            <w:pPr>
              <w:spacing w:after="40" w:line="240" w:lineRule="auto"/>
            </w:pPr>
            <w:r w:rsidRPr="00D62EF3">
              <w:rPr>
                <w:sz w:val="16"/>
              </w:rPr>
              <w:t>Survey of 500 chatbot users in retail, banking and telecommunications</w:t>
            </w:r>
          </w:p>
        </w:tc>
        <w:tc>
          <w:tcPr>
            <w:tcW w:w="2232" w:type="dxa"/>
            <w:tcMar>
              <w:top w:w="80" w:type="dxa"/>
              <w:left w:w="90" w:type="dxa"/>
              <w:bottom w:w="80" w:type="dxa"/>
              <w:right w:w="90" w:type="dxa"/>
            </w:tcMar>
            <w:vAlign w:val="center"/>
          </w:tcPr>
          <w:p w14:paraId="75036F83" w14:textId="77777777" w:rsidR="008A79E7" w:rsidRPr="00D62EF3" w:rsidRDefault="008E4374">
            <w:pPr>
              <w:spacing w:after="40" w:line="240" w:lineRule="auto"/>
            </w:pPr>
            <w:r w:rsidRPr="00D62EF3">
              <w:rPr>
                <w:sz w:val="16"/>
              </w:rPr>
              <w:t>Direct local evidence on chatbot interaction and experience</w:t>
            </w:r>
          </w:p>
        </w:tc>
        <w:tc>
          <w:tcPr>
            <w:tcW w:w="2088" w:type="dxa"/>
            <w:tcMar>
              <w:top w:w="80" w:type="dxa"/>
              <w:left w:w="90" w:type="dxa"/>
              <w:bottom w:w="80" w:type="dxa"/>
              <w:right w:w="90" w:type="dxa"/>
            </w:tcMar>
            <w:vAlign w:val="center"/>
          </w:tcPr>
          <w:p w14:paraId="1FD9FC4A" w14:textId="77777777" w:rsidR="008A79E7" w:rsidRPr="00D62EF3" w:rsidRDefault="008E4374">
            <w:pPr>
              <w:spacing w:after="40" w:line="240" w:lineRule="auto"/>
            </w:pPr>
            <w:r w:rsidRPr="00D62EF3">
              <w:rPr>
                <w:sz w:val="16"/>
              </w:rPr>
              <w:t>Inconsistent reporting of sampling method weakens representativeness claims</w:t>
            </w:r>
          </w:p>
        </w:tc>
        <w:tc>
          <w:tcPr>
            <w:tcW w:w="1325" w:type="dxa"/>
            <w:tcMar>
              <w:top w:w="80" w:type="dxa"/>
              <w:left w:w="90" w:type="dxa"/>
              <w:bottom w:w="80" w:type="dxa"/>
              <w:right w:w="90" w:type="dxa"/>
            </w:tcMar>
            <w:vAlign w:val="center"/>
          </w:tcPr>
          <w:p w14:paraId="08B05490" w14:textId="77777777" w:rsidR="008A79E7" w:rsidRPr="00D62EF3" w:rsidRDefault="008E4374">
            <w:pPr>
              <w:spacing w:after="40" w:line="240" w:lineRule="auto"/>
            </w:pPr>
            <w:r w:rsidRPr="00D62EF3">
              <w:rPr>
                <w:sz w:val="16"/>
              </w:rPr>
              <w:t>Hashem (2025)</w:t>
            </w:r>
          </w:p>
        </w:tc>
      </w:tr>
      <w:tr w:rsidR="00D62EF3" w:rsidRPr="00D62EF3" w14:paraId="6236482A" w14:textId="77777777" w:rsidTr="00D62EF3">
        <w:trPr>
          <w:jc w:val="center"/>
        </w:trPr>
        <w:tc>
          <w:tcPr>
            <w:tcW w:w="1843" w:type="dxa"/>
            <w:tcMar>
              <w:top w:w="80" w:type="dxa"/>
              <w:left w:w="90" w:type="dxa"/>
              <w:bottom w:w="80" w:type="dxa"/>
              <w:right w:w="90" w:type="dxa"/>
            </w:tcMar>
            <w:vAlign w:val="center"/>
          </w:tcPr>
          <w:p w14:paraId="3C1459BC" w14:textId="77777777" w:rsidR="008A79E7" w:rsidRPr="00D62EF3" w:rsidRDefault="008E4374">
            <w:pPr>
              <w:spacing w:after="40" w:line="240" w:lineRule="auto"/>
            </w:pPr>
            <w:r w:rsidRPr="00D62EF3">
              <w:rPr>
                <w:sz w:val="16"/>
              </w:rPr>
              <w:t>Jordanian e-government chatbot</w:t>
            </w:r>
          </w:p>
        </w:tc>
        <w:tc>
          <w:tcPr>
            <w:tcW w:w="2088" w:type="dxa"/>
            <w:tcMar>
              <w:top w:w="80" w:type="dxa"/>
              <w:left w:w="90" w:type="dxa"/>
              <w:bottom w:w="80" w:type="dxa"/>
              <w:right w:w="90" w:type="dxa"/>
            </w:tcMar>
            <w:vAlign w:val="center"/>
          </w:tcPr>
          <w:p w14:paraId="73C3469A" w14:textId="77777777" w:rsidR="008A79E7" w:rsidRPr="00D62EF3" w:rsidRDefault="008E4374">
            <w:pPr>
              <w:spacing w:after="40" w:line="240" w:lineRule="auto"/>
            </w:pPr>
            <w:r w:rsidRPr="00D62EF3">
              <w:rPr>
                <w:sz w:val="16"/>
              </w:rPr>
              <w:t>Two-wave longitudinal survey of 319 citizens</w:t>
            </w:r>
          </w:p>
        </w:tc>
        <w:tc>
          <w:tcPr>
            <w:tcW w:w="2232" w:type="dxa"/>
            <w:tcMar>
              <w:top w:w="80" w:type="dxa"/>
              <w:left w:w="90" w:type="dxa"/>
              <w:bottom w:w="80" w:type="dxa"/>
              <w:right w:w="90" w:type="dxa"/>
            </w:tcMar>
            <w:vAlign w:val="center"/>
          </w:tcPr>
          <w:p w14:paraId="257882D3" w14:textId="77777777" w:rsidR="008A79E7" w:rsidRPr="00D62EF3" w:rsidRDefault="008E4374">
            <w:pPr>
              <w:spacing w:after="40" w:line="240" w:lineRule="auto"/>
            </w:pPr>
            <w:r w:rsidRPr="00D62EF3">
              <w:rPr>
                <w:sz w:val="16"/>
              </w:rPr>
              <w:t>Trust, expectations, anthropomorphism and facilitating conditions linked to use; use linked to satisfaction/continuance</w:t>
            </w:r>
          </w:p>
        </w:tc>
        <w:tc>
          <w:tcPr>
            <w:tcW w:w="2088" w:type="dxa"/>
            <w:tcMar>
              <w:top w:w="80" w:type="dxa"/>
              <w:left w:w="90" w:type="dxa"/>
              <w:bottom w:w="80" w:type="dxa"/>
              <w:right w:w="90" w:type="dxa"/>
            </w:tcMar>
            <w:vAlign w:val="center"/>
          </w:tcPr>
          <w:p w14:paraId="1B3F9C51" w14:textId="77777777" w:rsidR="008A79E7" w:rsidRPr="00D62EF3" w:rsidRDefault="008E4374">
            <w:pPr>
              <w:spacing w:after="40" w:line="240" w:lineRule="auto"/>
            </w:pPr>
            <w:r w:rsidRPr="00D62EF3">
              <w:rPr>
                <w:sz w:val="16"/>
              </w:rPr>
              <w:t>Public-service context differs from commercial e-marketing</w:t>
            </w:r>
          </w:p>
        </w:tc>
        <w:tc>
          <w:tcPr>
            <w:tcW w:w="1325" w:type="dxa"/>
            <w:tcMar>
              <w:top w:w="80" w:type="dxa"/>
              <w:left w:w="90" w:type="dxa"/>
              <w:bottom w:w="80" w:type="dxa"/>
              <w:right w:w="90" w:type="dxa"/>
            </w:tcMar>
            <w:vAlign w:val="center"/>
          </w:tcPr>
          <w:p w14:paraId="725C83B9" w14:textId="77777777" w:rsidR="008A79E7" w:rsidRPr="00D62EF3" w:rsidRDefault="008E4374">
            <w:pPr>
              <w:spacing w:after="40" w:line="240" w:lineRule="auto"/>
            </w:pPr>
            <w:r w:rsidRPr="00D62EF3">
              <w:rPr>
                <w:sz w:val="16"/>
              </w:rPr>
              <w:t>Mohamad et al. (2026)</w:t>
            </w:r>
          </w:p>
        </w:tc>
      </w:tr>
    </w:tbl>
    <w:p w14:paraId="577B6C1E" w14:textId="77777777" w:rsidR="008A79E7" w:rsidRPr="00D62EF3" w:rsidRDefault="008E4374">
      <w:pPr>
        <w:spacing w:before="60" w:after="160"/>
      </w:pPr>
      <w:r w:rsidRPr="00D62EF3">
        <w:rPr>
          <w:i/>
          <w:sz w:val="17"/>
        </w:rPr>
        <w:t>Note. PLS = partial least squares. Tables are selective analytical summaries rather than exhaustive inventories of all eligible evidence.</w:t>
      </w:r>
    </w:p>
    <w:p w14:paraId="34EF9437" w14:textId="77777777" w:rsidR="008A79E7" w:rsidRPr="00D62EF3" w:rsidRDefault="008E4374">
      <w:pPr>
        <w:pStyle w:val="Heading1"/>
        <w:rPr>
          <w:color w:val="auto"/>
        </w:rPr>
      </w:pPr>
      <w:r w:rsidRPr="00D62EF3">
        <w:rPr>
          <w:color w:val="auto"/>
        </w:rPr>
        <w:t>5. Mechanisms Through Which Chatbots Can Improve Customer Experience</w:t>
      </w:r>
    </w:p>
    <w:p w14:paraId="6615C93C" w14:textId="77777777" w:rsidR="008A79E7" w:rsidRPr="00D62EF3" w:rsidRDefault="008E4374">
      <w:pPr>
        <w:jc w:val="both"/>
      </w:pPr>
      <w:r w:rsidRPr="00D62EF3">
        <w:t xml:space="preserve">The first mechanism is reduced customer effort. Conversational interfaces can compress search, navigation and form-filling into a dialogue, particularly when the customer's task is narrow and the answer is available in structured organisational data. In international research, perceived usefulness and ease of use consistently contribute to adoption or continuance, but the pathway often runs through satisfaction or confirmation rather </w:t>
      </w:r>
      <w:r w:rsidRPr="00D62EF3">
        <w:lastRenderedPageBreak/>
        <w:t>than operating as a simple direct effect (Ashfaq et al., 2020; Rese et al., 2020). The Jordanian banking findings add a useful refinement: ease of use can increase satisfaction through customer empowerment, implying that the meaningful outcome is not friction reduction in isolation but increased control over obtaining information and completing decisions (Alshibly et al., 2024). This distinction is important for e-marketing design because removing interface steps is beneficial only if customers feel more capable, not more constrained by a rigid decision tree.</w:t>
      </w:r>
    </w:p>
    <w:p w14:paraId="6CD5F908" w14:textId="77777777" w:rsidR="008A79E7" w:rsidRPr="00D62EF3" w:rsidRDefault="008E4374">
      <w:pPr>
        <w:jc w:val="both"/>
      </w:pPr>
      <w:r w:rsidRPr="00D62EF3">
        <w:t>The second mechanism is reliable and contextually relevant information. Hsu and Lin (2023) found that conversational quality and service-recovery quality predicted satisfaction, while core service quality was directly relevant to loyalty. In Jordan, earlier digital-banking research similarly places information and system quality alongside service quality (Maraqa et al., 2018). The implication is that the marketing value of a fluent AI assistant depends on the accuracy and provenance of the product, account, policy or delivery information it accesses. Generative fluency may increase perceived competence while simultaneously increasing the cost of an error if the system provides confident but incorrect content. A customer-experience metric that measures conversational smoothness without task-resolution accuracy can therefore misclassify failure as success.</w:t>
      </w:r>
    </w:p>
    <w:p w14:paraId="67BF99DF" w14:textId="77777777" w:rsidR="008A79E7" w:rsidRPr="00D62EF3" w:rsidRDefault="008E4374">
      <w:pPr>
        <w:jc w:val="both"/>
      </w:pPr>
      <w:r w:rsidRPr="00D62EF3">
        <w:t>The third mechanism is personalisation. Personalised conversation can reduce irrelevant information, adapt recommendations to expressed preferences and make service feel responsive to the individual. Alshibly et al. (2024) found personalisation to be a significant predictor of satisfaction in Jordanian commercial banks. Marketing-AI studies in Jordan also link AI capabilities with personalisation and customer experience at an organisational level (Al Htibat, 2024). Yet personalisation is inseparable from data governance. The more effectively an assistant uses browsing, transaction, location or account history, the more customers may infer surveillance or secondary data use. International experimental work shows that privacy risk is an important mechanism affecting willingness to adopt AI service agents (Song et al., 2022). The optimal level of personalisation is therefore constrained by consent, context and transparency rather than being a simple function of data availability.</w:t>
      </w:r>
    </w:p>
    <w:p w14:paraId="3C7EE47E" w14:textId="77777777" w:rsidR="008A79E7" w:rsidRPr="00D62EF3" w:rsidRDefault="008E4374">
      <w:pPr>
        <w:jc w:val="both"/>
      </w:pPr>
      <w:r w:rsidRPr="00D62EF3">
        <w:t>A fourth mechanism is social presence and perceived warmth. Araujo (2018) showed that human-like design cues can increase anthropomorphic perceptions and, under some conditions, social presence and emotional connection with the company. Go and Sundar (2019) found that visual, identity and conversational cues interact rather than contribute independently; high message interactivity can compensate for limited visual anthropomorphism, and identity framing can create expectations that alter evaluation. Pelau et al. (2021) likewise found that empathy and interaction quality are important in translating psychological anthropomorphic characteristics into acceptance. These results suggest that conversational responsiveness and empathic appropriateness matter more than superficial humanisation. A name, avatar or colloquial style is not equivalent to competent relational behaviour.</w:t>
      </w:r>
    </w:p>
    <w:p w14:paraId="6B107F80" w14:textId="77777777" w:rsidR="008A79E7" w:rsidRPr="00D62EF3" w:rsidRDefault="008E4374">
      <w:pPr>
        <w:jc w:val="both"/>
      </w:pPr>
      <w:r w:rsidRPr="00D62EF3">
        <w:t>The fifth mechanism is service recovery. Chatbots are often evaluated during routine enquiries, yet customer experience is most vulnerable when something has gone wrong. Yun and Park (2022) found that reliability and assurance supported satisfaction across service-recovery conditions and that empathy and interactivity were helpful when emotion words were used; satisfaction in turn related to repurchase intention and positive word-of-mouth. Sheehan et al. (2020) found that unresolved miscommunication reduced adoption, whereas a chatbot that sought clarification could perform similarly to an error-free interaction on perceived humanness and adoption. This is a practically important result: systems do not need perfect first-pass understanding, but they do need credible repair behaviour. For Jordanian firms, where Arabic dialect variation and mixed Arabic-English commercial communication may create additional recognition challenges, clarification and escalation design are likely to be more valuable than attempting to conceal uncertainty.</w:t>
      </w:r>
    </w:p>
    <w:p w14:paraId="72F84782" w14:textId="77777777" w:rsidR="008A79E7" w:rsidRPr="00D62EF3" w:rsidRDefault="008E4374">
      <w:pPr>
        <w:jc w:val="both"/>
      </w:pPr>
      <w:r w:rsidRPr="00D62EF3">
        <w:lastRenderedPageBreak/>
        <w:t>The sixth mechanism is empowerment and engagement. Customer empowerment reframes chatbot value from passive receipt of automated answers to increased capacity to act. In the Jordanian banking study, empowerment captured perceived control, access to information and decision autonomy and mediated several usability-satisfaction relationships (Alshibly et al., 2024). At a broader organisational level, Magableh et al. (2024) positioned engagement and satisfaction as routes through which marketing AI may influence enterprise outcomes. Although these designs do not establish causal mediation in the strong experimental sense, they converge on a meaningful proposition: conversational AI creates marketing value when it helps customers make progress in their journey, not when it merely increases the number of automated contacts.</w:t>
      </w:r>
    </w:p>
    <w:p w14:paraId="39DC49BA" w14:textId="77777777" w:rsidR="008A79E7" w:rsidRPr="00D62EF3" w:rsidRDefault="008E4374">
      <w:pPr>
        <w:keepNext/>
        <w:spacing w:before="100"/>
        <w:jc w:val="both"/>
      </w:pPr>
      <w:r w:rsidRPr="00D62EF3">
        <w:t>The mechanisms are synthesised in Table 3. The pattern supports a “task progress plus relationship safety” interpretation: functional value must first help the customer accomplish a goal, while social and personalised features are beneficial only when they do not undermine trust, privacy or recovery expectations.</w:t>
      </w:r>
    </w:p>
    <w:p w14:paraId="53053604" w14:textId="77777777" w:rsidR="008A79E7" w:rsidRPr="00D62EF3" w:rsidRDefault="008E4374">
      <w:pPr>
        <w:pStyle w:val="TableCaption"/>
        <w:rPr>
          <w:color w:val="auto"/>
        </w:rPr>
      </w:pPr>
      <w:r w:rsidRPr="00D62EF3">
        <w:rPr>
          <w:color w:val="auto"/>
        </w:rPr>
        <w:t>Table 3. Mechanisms linking conversational AI to customer experience and their boundary conditions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49873F25" w14:textId="77777777" w:rsidTr="00D62EF3">
        <w:trPr>
          <w:tblHeader/>
          <w:jc w:val="center"/>
        </w:trPr>
        <w:tc>
          <w:tcPr>
            <w:tcW w:w="1843" w:type="dxa"/>
            <w:tcMar>
              <w:top w:w="80" w:type="dxa"/>
              <w:left w:w="90" w:type="dxa"/>
              <w:bottom w:w="80" w:type="dxa"/>
              <w:right w:w="90" w:type="dxa"/>
            </w:tcMar>
            <w:vAlign w:val="center"/>
          </w:tcPr>
          <w:p w14:paraId="09F6224E" w14:textId="77777777" w:rsidR="008A79E7" w:rsidRPr="00D62EF3" w:rsidRDefault="008E4374">
            <w:pPr>
              <w:spacing w:after="40" w:line="240" w:lineRule="auto"/>
            </w:pPr>
            <w:r w:rsidRPr="00D62EF3">
              <w:rPr>
                <w:b/>
                <w:sz w:val="17"/>
              </w:rPr>
              <w:t>Mechanism</w:t>
            </w:r>
          </w:p>
        </w:tc>
        <w:tc>
          <w:tcPr>
            <w:tcW w:w="2088" w:type="dxa"/>
            <w:tcMar>
              <w:top w:w="80" w:type="dxa"/>
              <w:left w:w="90" w:type="dxa"/>
              <w:bottom w:w="80" w:type="dxa"/>
              <w:right w:w="90" w:type="dxa"/>
            </w:tcMar>
            <w:vAlign w:val="center"/>
          </w:tcPr>
          <w:p w14:paraId="428EBE90" w14:textId="77777777" w:rsidR="008A79E7" w:rsidRPr="00D62EF3" w:rsidRDefault="008E4374">
            <w:pPr>
              <w:spacing w:after="40" w:line="240" w:lineRule="auto"/>
            </w:pPr>
            <w:r w:rsidRPr="00D62EF3">
              <w:rPr>
                <w:b/>
                <w:sz w:val="17"/>
              </w:rPr>
              <w:t>Likely positive effect</w:t>
            </w:r>
          </w:p>
        </w:tc>
        <w:tc>
          <w:tcPr>
            <w:tcW w:w="2232" w:type="dxa"/>
            <w:tcMar>
              <w:top w:w="80" w:type="dxa"/>
              <w:left w:w="90" w:type="dxa"/>
              <w:bottom w:w="80" w:type="dxa"/>
              <w:right w:w="90" w:type="dxa"/>
            </w:tcMar>
            <w:vAlign w:val="center"/>
          </w:tcPr>
          <w:p w14:paraId="793164F0" w14:textId="77777777" w:rsidR="008A79E7" w:rsidRPr="00D62EF3" w:rsidRDefault="008E4374">
            <w:pPr>
              <w:spacing w:after="40" w:line="240" w:lineRule="auto"/>
            </w:pPr>
            <w:r w:rsidRPr="00D62EF3">
              <w:rPr>
                <w:b/>
                <w:sz w:val="17"/>
              </w:rPr>
              <w:t>When the effect weakens or reverses</w:t>
            </w:r>
          </w:p>
        </w:tc>
        <w:tc>
          <w:tcPr>
            <w:tcW w:w="2088" w:type="dxa"/>
            <w:tcMar>
              <w:top w:w="80" w:type="dxa"/>
              <w:left w:w="90" w:type="dxa"/>
              <w:bottom w:w="80" w:type="dxa"/>
              <w:right w:w="90" w:type="dxa"/>
            </w:tcMar>
            <w:vAlign w:val="center"/>
          </w:tcPr>
          <w:p w14:paraId="76FA4817" w14:textId="77777777" w:rsidR="008A79E7" w:rsidRPr="00D62EF3" w:rsidRDefault="008E4374">
            <w:pPr>
              <w:spacing w:after="40" w:line="240" w:lineRule="auto"/>
            </w:pPr>
            <w:r w:rsidRPr="00D62EF3">
              <w:rPr>
                <w:b/>
                <w:sz w:val="17"/>
              </w:rPr>
              <w:t>Jordanian relevance</w:t>
            </w:r>
          </w:p>
        </w:tc>
        <w:tc>
          <w:tcPr>
            <w:tcW w:w="1325" w:type="dxa"/>
            <w:tcMar>
              <w:top w:w="80" w:type="dxa"/>
              <w:left w:w="90" w:type="dxa"/>
              <w:bottom w:w="80" w:type="dxa"/>
              <w:right w:w="90" w:type="dxa"/>
            </w:tcMar>
            <w:vAlign w:val="center"/>
          </w:tcPr>
          <w:p w14:paraId="7AAC92C3" w14:textId="77777777" w:rsidR="008A79E7" w:rsidRPr="00D62EF3" w:rsidRDefault="008E4374">
            <w:pPr>
              <w:spacing w:after="40" w:line="240" w:lineRule="auto"/>
            </w:pPr>
            <w:r w:rsidRPr="00D62EF3">
              <w:rPr>
                <w:b/>
                <w:sz w:val="17"/>
              </w:rPr>
              <w:t>Supporting references</w:t>
            </w:r>
          </w:p>
        </w:tc>
      </w:tr>
      <w:tr w:rsidR="00D62EF3" w:rsidRPr="00D62EF3" w14:paraId="2167BF32" w14:textId="77777777" w:rsidTr="00D62EF3">
        <w:trPr>
          <w:jc w:val="center"/>
        </w:trPr>
        <w:tc>
          <w:tcPr>
            <w:tcW w:w="1843" w:type="dxa"/>
            <w:tcMar>
              <w:top w:w="80" w:type="dxa"/>
              <w:left w:w="90" w:type="dxa"/>
              <w:bottom w:w="80" w:type="dxa"/>
              <w:right w:w="90" w:type="dxa"/>
            </w:tcMar>
            <w:vAlign w:val="center"/>
          </w:tcPr>
          <w:p w14:paraId="648E5577" w14:textId="77777777" w:rsidR="008A79E7" w:rsidRPr="00D62EF3" w:rsidRDefault="008E4374">
            <w:pPr>
              <w:spacing w:after="40" w:line="240" w:lineRule="auto"/>
            </w:pPr>
            <w:r w:rsidRPr="00D62EF3">
              <w:rPr>
                <w:sz w:val="16"/>
              </w:rPr>
              <w:t>Reduced effort and availability</w:t>
            </w:r>
          </w:p>
        </w:tc>
        <w:tc>
          <w:tcPr>
            <w:tcW w:w="2088" w:type="dxa"/>
            <w:tcMar>
              <w:top w:w="80" w:type="dxa"/>
              <w:left w:w="90" w:type="dxa"/>
              <w:bottom w:w="80" w:type="dxa"/>
              <w:right w:w="90" w:type="dxa"/>
            </w:tcMar>
            <w:vAlign w:val="center"/>
          </w:tcPr>
          <w:p w14:paraId="4371AD11" w14:textId="77777777" w:rsidR="008A79E7" w:rsidRPr="00D62EF3" w:rsidRDefault="008E4374">
            <w:pPr>
              <w:spacing w:after="40" w:line="240" w:lineRule="auto"/>
            </w:pPr>
            <w:r w:rsidRPr="00D62EF3">
              <w:rPr>
                <w:sz w:val="16"/>
              </w:rPr>
              <w:t>Lower search/navigation cost; faster routine resolution</w:t>
            </w:r>
          </w:p>
        </w:tc>
        <w:tc>
          <w:tcPr>
            <w:tcW w:w="2232" w:type="dxa"/>
            <w:tcMar>
              <w:top w:w="80" w:type="dxa"/>
              <w:left w:w="90" w:type="dxa"/>
              <w:bottom w:w="80" w:type="dxa"/>
              <w:right w:w="90" w:type="dxa"/>
            </w:tcMar>
            <w:vAlign w:val="center"/>
          </w:tcPr>
          <w:p w14:paraId="7B094229" w14:textId="77777777" w:rsidR="008A79E7" w:rsidRPr="00D62EF3" w:rsidRDefault="008E4374">
            <w:pPr>
              <w:spacing w:after="40" w:line="240" w:lineRule="auto"/>
            </w:pPr>
            <w:r w:rsidRPr="00D62EF3">
              <w:rPr>
                <w:sz w:val="16"/>
              </w:rPr>
              <w:t>Rigid flows, poor comprehension or repeated hand-offs create new effort</w:t>
            </w:r>
          </w:p>
        </w:tc>
        <w:tc>
          <w:tcPr>
            <w:tcW w:w="2088" w:type="dxa"/>
            <w:tcMar>
              <w:top w:w="80" w:type="dxa"/>
              <w:left w:w="90" w:type="dxa"/>
              <w:bottom w:w="80" w:type="dxa"/>
              <w:right w:w="90" w:type="dxa"/>
            </w:tcMar>
            <w:vAlign w:val="center"/>
          </w:tcPr>
          <w:p w14:paraId="2D3C08B2" w14:textId="77777777" w:rsidR="008A79E7" w:rsidRPr="00D62EF3" w:rsidRDefault="008E4374">
            <w:pPr>
              <w:spacing w:after="40" w:line="240" w:lineRule="auto"/>
            </w:pPr>
            <w:r w:rsidRPr="00D62EF3">
              <w:rPr>
                <w:sz w:val="16"/>
              </w:rPr>
              <w:t>Ease of use appears valuable partly through empowerment</w:t>
            </w:r>
          </w:p>
        </w:tc>
        <w:tc>
          <w:tcPr>
            <w:tcW w:w="1325" w:type="dxa"/>
            <w:tcMar>
              <w:top w:w="80" w:type="dxa"/>
              <w:left w:w="90" w:type="dxa"/>
              <w:bottom w:w="80" w:type="dxa"/>
              <w:right w:w="90" w:type="dxa"/>
            </w:tcMar>
            <w:vAlign w:val="center"/>
          </w:tcPr>
          <w:p w14:paraId="73265A6B" w14:textId="77777777" w:rsidR="008A79E7" w:rsidRPr="00D62EF3" w:rsidRDefault="008E4374">
            <w:pPr>
              <w:spacing w:after="40" w:line="240" w:lineRule="auto"/>
            </w:pPr>
            <w:r w:rsidRPr="00D62EF3">
              <w:rPr>
                <w:sz w:val="16"/>
              </w:rPr>
              <w:t>Alshibly et al. (2024); Ashfaq et al. (2020); Rese et al. (2020)</w:t>
            </w:r>
          </w:p>
        </w:tc>
      </w:tr>
      <w:tr w:rsidR="00D62EF3" w:rsidRPr="00D62EF3" w14:paraId="0E148B6A" w14:textId="77777777" w:rsidTr="00D62EF3">
        <w:trPr>
          <w:jc w:val="center"/>
        </w:trPr>
        <w:tc>
          <w:tcPr>
            <w:tcW w:w="1843" w:type="dxa"/>
            <w:tcMar>
              <w:top w:w="80" w:type="dxa"/>
              <w:left w:w="90" w:type="dxa"/>
              <w:bottom w:w="80" w:type="dxa"/>
              <w:right w:w="90" w:type="dxa"/>
            </w:tcMar>
            <w:vAlign w:val="center"/>
          </w:tcPr>
          <w:p w14:paraId="241EB29D" w14:textId="77777777" w:rsidR="008A79E7" w:rsidRPr="00D62EF3" w:rsidRDefault="008E4374">
            <w:pPr>
              <w:spacing w:after="40" w:line="240" w:lineRule="auto"/>
            </w:pPr>
            <w:r w:rsidRPr="00D62EF3">
              <w:rPr>
                <w:sz w:val="16"/>
              </w:rPr>
              <w:t>Reliable information and task resolution</w:t>
            </w:r>
          </w:p>
        </w:tc>
        <w:tc>
          <w:tcPr>
            <w:tcW w:w="2088" w:type="dxa"/>
            <w:tcMar>
              <w:top w:w="80" w:type="dxa"/>
              <w:left w:w="90" w:type="dxa"/>
              <w:bottom w:w="80" w:type="dxa"/>
              <w:right w:w="90" w:type="dxa"/>
            </w:tcMar>
            <w:vAlign w:val="center"/>
          </w:tcPr>
          <w:p w14:paraId="48B6F585" w14:textId="77777777" w:rsidR="008A79E7" w:rsidRPr="00D62EF3" w:rsidRDefault="008E4374">
            <w:pPr>
              <w:spacing w:after="40" w:line="240" w:lineRule="auto"/>
            </w:pPr>
            <w:r w:rsidRPr="00D62EF3">
              <w:rPr>
                <w:sz w:val="16"/>
              </w:rPr>
              <w:t>Builds competence perceptions and satisfaction</w:t>
            </w:r>
          </w:p>
        </w:tc>
        <w:tc>
          <w:tcPr>
            <w:tcW w:w="2232" w:type="dxa"/>
            <w:tcMar>
              <w:top w:w="80" w:type="dxa"/>
              <w:left w:w="90" w:type="dxa"/>
              <w:bottom w:w="80" w:type="dxa"/>
              <w:right w:w="90" w:type="dxa"/>
            </w:tcMar>
            <w:vAlign w:val="center"/>
          </w:tcPr>
          <w:p w14:paraId="2DF5C9E8" w14:textId="77777777" w:rsidR="008A79E7" w:rsidRPr="00D62EF3" w:rsidRDefault="008E4374">
            <w:pPr>
              <w:spacing w:after="40" w:line="240" w:lineRule="auto"/>
            </w:pPr>
            <w:r w:rsidRPr="00D62EF3">
              <w:rPr>
                <w:sz w:val="16"/>
              </w:rPr>
              <w:t>Fluent but inaccurate answers or poor back-end integration</w:t>
            </w:r>
          </w:p>
        </w:tc>
        <w:tc>
          <w:tcPr>
            <w:tcW w:w="2088" w:type="dxa"/>
            <w:tcMar>
              <w:top w:w="80" w:type="dxa"/>
              <w:left w:w="90" w:type="dxa"/>
              <w:bottom w:w="80" w:type="dxa"/>
              <w:right w:w="90" w:type="dxa"/>
            </w:tcMar>
            <w:vAlign w:val="center"/>
          </w:tcPr>
          <w:p w14:paraId="494F93E9" w14:textId="77777777" w:rsidR="008A79E7" w:rsidRPr="00D62EF3" w:rsidRDefault="008E4374">
            <w:pPr>
              <w:spacing w:after="40" w:line="240" w:lineRule="auto"/>
            </w:pPr>
            <w:r w:rsidRPr="00D62EF3">
              <w:rPr>
                <w:sz w:val="16"/>
              </w:rPr>
              <w:t>Banking evidence emphasises reliability, information and system quality</w:t>
            </w:r>
          </w:p>
        </w:tc>
        <w:tc>
          <w:tcPr>
            <w:tcW w:w="1325" w:type="dxa"/>
            <w:tcMar>
              <w:top w:w="80" w:type="dxa"/>
              <w:left w:w="90" w:type="dxa"/>
              <w:bottom w:w="80" w:type="dxa"/>
              <w:right w:w="90" w:type="dxa"/>
            </w:tcMar>
            <w:vAlign w:val="center"/>
          </w:tcPr>
          <w:p w14:paraId="0CEA2831" w14:textId="77777777" w:rsidR="008A79E7" w:rsidRPr="00D62EF3" w:rsidRDefault="008E4374">
            <w:pPr>
              <w:spacing w:after="40" w:line="240" w:lineRule="auto"/>
            </w:pPr>
            <w:r w:rsidRPr="00D62EF3">
              <w:rPr>
                <w:sz w:val="16"/>
              </w:rPr>
              <w:t>Alshibly et al. (2024); Hsu &amp; Lin (2023); Maraqa et al. (2018)</w:t>
            </w:r>
          </w:p>
        </w:tc>
      </w:tr>
      <w:tr w:rsidR="00D62EF3" w:rsidRPr="00D62EF3" w14:paraId="5FDF49F6" w14:textId="77777777" w:rsidTr="00D62EF3">
        <w:trPr>
          <w:jc w:val="center"/>
        </w:trPr>
        <w:tc>
          <w:tcPr>
            <w:tcW w:w="1843" w:type="dxa"/>
            <w:tcMar>
              <w:top w:w="80" w:type="dxa"/>
              <w:left w:w="90" w:type="dxa"/>
              <w:bottom w:w="80" w:type="dxa"/>
              <w:right w:w="90" w:type="dxa"/>
            </w:tcMar>
            <w:vAlign w:val="center"/>
          </w:tcPr>
          <w:p w14:paraId="45350A0B" w14:textId="77777777" w:rsidR="008A79E7" w:rsidRPr="00D62EF3" w:rsidRDefault="008E4374">
            <w:pPr>
              <w:spacing w:after="40" w:line="240" w:lineRule="auto"/>
            </w:pPr>
            <w:proofErr w:type="spellStart"/>
            <w:r w:rsidRPr="00D62EF3">
              <w:rPr>
                <w:sz w:val="16"/>
              </w:rPr>
              <w:t>Personalisation</w:t>
            </w:r>
            <w:proofErr w:type="spellEnd"/>
          </w:p>
        </w:tc>
        <w:tc>
          <w:tcPr>
            <w:tcW w:w="2088" w:type="dxa"/>
            <w:tcMar>
              <w:top w:w="80" w:type="dxa"/>
              <w:left w:w="90" w:type="dxa"/>
              <w:bottom w:w="80" w:type="dxa"/>
              <w:right w:w="90" w:type="dxa"/>
            </w:tcMar>
            <w:vAlign w:val="center"/>
          </w:tcPr>
          <w:p w14:paraId="1ECF2C1A" w14:textId="77777777" w:rsidR="008A79E7" w:rsidRPr="00D62EF3" w:rsidRDefault="008E4374">
            <w:pPr>
              <w:spacing w:after="40" w:line="240" w:lineRule="auto"/>
            </w:pPr>
            <w:r w:rsidRPr="00D62EF3">
              <w:rPr>
                <w:sz w:val="16"/>
              </w:rPr>
              <w:t>Reduces irrelevant content and supports tailored recommendations</w:t>
            </w:r>
          </w:p>
        </w:tc>
        <w:tc>
          <w:tcPr>
            <w:tcW w:w="2232" w:type="dxa"/>
            <w:tcMar>
              <w:top w:w="80" w:type="dxa"/>
              <w:left w:w="90" w:type="dxa"/>
              <w:bottom w:w="80" w:type="dxa"/>
              <w:right w:w="90" w:type="dxa"/>
            </w:tcMar>
            <w:vAlign w:val="center"/>
          </w:tcPr>
          <w:p w14:paraId="0CDBAEB3" w14:textId="77777777" w:rsidR="008A79E7" w:rsidRPr="00D62EF3" w:rsidRDefault="008E4374">
            <w:pPr>
              <w:spacing w:after="40" w:line="240" w:lineRule="auto"/>
            </w:pPr>
            <w:r w:rsidRPr="00D62EF3">
              <w:rPr>
                <w:sz w:val="16"/>
              </w:rPr>
              <w:t>Data use feels intrusive, unexplained or inaccurate</w:t>
            </w:r>
          </w:p>
        </w:tc>
        <w:tc>
          <w:tcPr>
            <w:tcW w:w="2088" w:type="dxa"/>
            <w:tcMar>
              <w:top w:w="80" w:type="dxa"/>
              <w:left w:w="90" w:type="dxa"/>
              <w:bottom w:w="80" w:type="dxa"/>
              <w:right w:w="90" w:type="dxa"/>
            </w:tcMar>
            <w:vAlign w:val="center"/>
          </w:tcPr>
          <w:p w14:paraId="62C9C6EB" w14:textId="77777777" w:rsidR="008A79E7" w:rsidRPr="00D62EF3" w:rsidRDefault="008E4374">
            <w:pPr>
              <w:spacing w:after="40" w:line="240" w:lineRule="auto"/>
            </w:pPr>
            <w:r w:rsidRPr="00D62EF3">
              <w:rPr>
                <w:sz w:val="16"/>
              </w:rPr>
              <w:t>Positive local association but governance evidence is limited</w:t>
            </w:r>
          </w:p>
        </w:tc>
        <w:tc>
          <w:tcPr>
            <w:tcW w:w="1325" w:type="dxa"/>
            <w:tcMar>
              <w:top w:w="80" w:type="dxa"/>
              <w:left w:w="90" w:type="dxa"/>
              <w:bottom w:w="80" w:type="dxa"/>
              <w:right w:w="90" w:type="dxa"/>
            </w:tcMar>
            <w:vAlign w:val="center"/>
          </w:tcPr>
          <w:p w14:paraId="71E1008E" w14:textId="77777777" w:rsidR="008A79E7" w:rsidRPr="00D62EF3" w:rsidRDefault="008E4374">
            <w:pPr>
              <w:spacing w:after="40" w:line="240" w:lineRule="auto"/>
            </w:pPr>
            <w:r w:rsidRPr="00D62EF3">
              <w:rPr>
                <w:sz w:val="16"/>
              </w:rPr>
              <w:t>Al Htibat (2024); Alshibly et al. (2024); Song et al. (2022)</w:t>
            </w:r>
          </w:p>
        </w:tc>
      </w:tr>
      <w:tr w:rsidR="00D62EF3" w:rsidRPr="00D62EF3" w14:paraId="16875958" w14:textId="77777777" w:rsidTr="00D62EF3">
        <w:trPr>
          <w:jc w:val="center"/>
        </w:trPr>
        <w:tc>
          <w:tcPr>
            <w:tcW w:w="1843" w:type="dxa"/>
            <w:tcMar>
              <w:top w:w="80" w:type="dxa"/>
              <w:left w:w="90" w:type="dxa"/>
              <w:bottom w:w="80" w:type="dxa"/>
              <w:right w:w="90" w:type="dxa"/>
            </w:tcMar>
            <w:vAlign w:val="center"/>
          </w:tcPr>
          <w:p w14:paraId="14253E4F" w14:textId="77777777" w:rsidR="008A79E7" w:rsidRPr="00D62EF3" w:rsidRDefault="008E4374">
            <w:pPr>
              <w:spacing w:after="40" w:line="240" w:lineRule="auto"/>
            </w:pPr>
            <w:r w:rsidRPr="00D62EF3">
              <w:rPr>
                <w:sz w:val="16"/>
              </w:rPr>
              <w:t>Social presence and warmth</w:t>
            </w:r>
          </w:p>
        </w:tc>
        <w:tc>
          <w:tcPr>
            <w:tcW w:w="2088" w:type="dxa"/>
            <w:tcMar>
              <w:top w:w="80" w:type="dxa"/>
              <w:left w:w="90" w:type="dxa"/>
              <w:bottom w:w="80" w:type="dxa"/>
              <w:right w:w="90" w:type="dxa"/>
            </w:tcMar>
            <w:vAlign w:val="center"/>
          </w:tcPr>
          <w:p w14:paraId="73D40B4D" w14:textId="77777777" w:rsidR="008A79E7" w:rsidRPr="00D62EF3" w:rsidRDefault="008E4374">
            <w:pPr>
              <w:spacing w:after="40" w:line="240" w:lineRule="auto"/>
            </w:pPr>
            <w:r w:rsidRPr="00D62EF3">
              <w:rPr>
                <w:sz w:val="16"/>
              </w:rPr>
              <w:t>Can improve engagement and relational connection</w:t>
            </w:r>
          </w:p>
        </w:tc>
        <w:tc>
          <w:tcPr>
            <w:tcW w:w="2232" w:type="dxa"/>
            <w:tcMar>
              <w:top w:w="80" w:type="dxa"/>
              <w:left w:w="90" w:type="dxa"/>
              <w:bottom w:w="80" w:type="dxa"/>
              <w:right w:w="90" w:type="dxa"/>
            </w:tcMar>
            <w:vAlign w:val="center"/>
          </w:tcPr>
          <w:p w14:paraId="28C2886D" w14:textId="77777777" w:rsidR="008A79E7" w:rsidRPr="00D62EF3" w:rsidRDefault="008E4374">
            <w:pPr>
              <w:spacing w:after="40" w:line="240" w:lineRule="auto"/>
            </w:pPr>
            <w:r w:rsidRPr="00D62EF3">
              <w:rPr>
                <w:sz w:val="16"/>
              </w:rPr>
              <w:t>Human-like cues create expectations the bot cannot meet</w:t>
            </w:r>
          </w:p>
        </w:tc>
        <w:tc>
          <w:tcPr>
            <w:tcW w:w="2088" w:type="dxa"/>
            <w:tcMar>
              <w:top w:w="80" w:type="dxa"/>
              <w:left w:w="90" w:type="dxa"/>
              <w:bottom w:w="80" w:type="dxa"/>
              <w:right w:w="90" w:type="dxa"/>
            </w:tcMar>
            <w:vAlign w:val="center"/>
          </w:tcPr>
          <w:p w14:paraId="49F89663" w14:textId="77777777" w:rsidR="008A79E7" w:rsidRPr="00D62EF3" w:rsidRDefault="008E4374">
            <w:pPr>
              <w:spacing w:after="40" w:line="240" w:lineRule="auto"/>
            </w:pPr>
            <w:r w:rsidRPr="00D62EF3">
              <w:rPr>
                <w:sz w:val="16"/>
              </w:rPr>
              <w:t>Arabic tone, politeness and dialect fit are under-studied</w:t>
            </w:r>
          </w:p>
        </w:tc>
        <w:tc>
          <w:tcPr>
            <w:tcW w:w="1325" w:type="dxa"/>
            <w:tcMar>
              <w:top w:w="80" w:type="dxa"/>
              <w:left w:w="90" w:type="dxa"/>
              <w:bottom w:w="80" w:type="dxa"/>
              <w:right w:w="90" w:type="dxa"/>
            </w:tcMar>
            <w:vAlign w:val="center"/>
          </w:tcPr>
          <w:p w14:paraId="60AE372B" w14:textId="77777777" w:rsidR="008A79E7" w:rsidRPr="00D62EF3" w:rsidRDefault="008E4374">
            <w:pPr>
              <w:spacing w:after="40" w:line="240" w:lineRule="auto"/>
            </w:pPr>
            <w:r w:rsidRPr="00D62EF3">
              <w:rPr>
                <w:sz w:val="16"/>
              </w:rPr>
              <w:t>Araujo (2018); Go &amp; Sundar (2019); Pelau et al. (2021)</w:t>
            </w:r>
          </w:p>
        </w:tc>
      </w:tr>
      <w:tr w:rsidR="00D62EF3" w:rsidRPr="00D62EF3" w14:paraId="1403F0B2" w14:textId="77777777" w:rsidTr="00D62EF3">
        <w:trPr>
          <w:jc w:val="center"/>
        </w:trPr>
        <w:tc>
          <w:tcPr>
            <w:tcW w:w="1843" w:type="dxa"/>
            <w:tcMar>
              <w:top w:w="80" w:type="dxa"/>
              <w:left w:w="90" w:type="dxa"/>
              <w:bottom w:w="80" w:type="dxa"/>
              <w:right w:w="90" w:type="dxa"/>
            </w:tcMar>
            <w:vAlign w:val="center"/>
          </w:tcPr>
          <w:p w14:paraId="617B4DF2" w14:textId="77777777" w:rsidR="008A79E7" w:rsidRPr="00D62EF3" w:rsidRDefault="008E4374">
            <w:pPr>
              <w:spacing w:after="40" w:line="240" w:lineRule="auto"/>
            </w:pPr>
            <w:r w:rsidRPr="00D62EF3">
              <w:rPr>
                <w:sz w:val="16"/>
              </w:rPr>
              <w:t>Service recovery and repair</w:t>
            </w:r>
          </w:p>
        </w:tc>
        <w:tc>
          <w:tcPr>
            <w:tcW w:w="2088" w:type="dxa"/>
            <w:tcMar>
              <w:top w:w="80" w:type="dxa"/>
              <w:left w:w="90" w:type="dxa"/>
              <w:bottom w:w="80" w:type="dxa"/>
              <w:right w:w="90" w:type="dxa"/>
            </w:tcMar>
            <w:vAlign w:val="center"/>
          </w:tcPr>
          <w:p w14:paraId="526A39F8" w14:textId="77777777" w:rsidR="008A79E7" w:rsidRPr="00D62EF3" w:rsidRDefault="008E4374">
            <w:pPr>
              <w:spacing w:after="40" w:line="240" w:lineRule="auto"/>
            </w:pPr>
            <w:r w:rsidRPr="00D62EF3">
              <w:rPr>
                <w:sz w:val="16"/>
              </w:rPr>
              <w:t>Clarification and appropriate empathy preserve satisfaction</w:t>
            </w:r>
          </w:p>
        </w:tc>
        <w:tc>
          <w:tcPr>
            <w:tcW w:w="2232" w:type="dxa"/>
            <w:tcMar>
              <w:top w:w="80" w:type="dxa"/>
              <w:left w:w="90" w:type="dxa"/>
              <w:bottom w:w="80" w:type="dxa"/>
              <w:right w:w="90" w:type="dxa"/>
            </w:tcMar>
            <w:vAlign w:val="center"/>
          </w:tcPr>
          <w:p w14:paraId="503EBF00" w14:textId="77777777" w:rsidR="008A79E7" w:rsidRPr="00D62EF3" w:rsidRDefault="008E4374">
            <w:pPr>
              <w:spacing w:after="40" w:line="240" w:lineRule="auto"/>
            </w:pPr>
            <w:r w:rsidRPr="00D62EF3">
              <w:rPr>
                <w:sz w:val="16"/>
              </w:rPr>
              <w:t>Unresolved miscommunication, anger or complex problems amplify frustration</w:t>
            </w:r>
          </w:p>
        </w:tc>
        <w:tc>
          <w:tcPr>
            <w:tcW w:w="2088" w:type="dxa"/>
            <w:tcMar>
              <w:top w:w="80" w:type="dxa"/>
              <w:left w:w="90" w:type="dxa"/>
              <w:bottom w:w="80" w:type="dxa"/>
              <w:right w:w="90" w:type="dxa"/>
            </w:tcMar>
            <w:vAlign w:val="center"/>
          </w:tcPr>
          <w:p w14:paraId="12325006" w14:textId="77777777" w:rsidR="008A79E7" w:rsidRPr="00D62EF3" w:rsidRDefault="008E4374">
            <w:pPr>
              <w:spacing w:after="40" w:line="240" w:lineRule="auto"/>
            </w:pPr>
            <w:r w:rsidRPr="00D62EF3">
              <w:rPr>
                <w:sz w:val="16"/>
              </w:rPr>
              <w:t>Requires robust human escalation and linguistic repair strategies</w:t>
            </w:r>
          </w:p>
        </w:tc>
        <w:tc>
          <w:tcPr>
            <w:tcW w:w="1325" w:type="dxa"/>
            <w:tcMar>
              <w:top w:w="80" w:type="dxa"/>
              <w:left w:w="90" w:type="dxa"/>
              <w:bottom w:w="80" w:type="dxa"/>
              <w:right w:w="90" w:type="dxa"/>
            </w:tcMar>
            <w:vAlign w:val="center"/>
          </w:tcPr>
          <w:p w14:paraId="2F34B4AC" w14:textId="77777777" w:rsidR="008A79E7" w:rsidRPr="00D62EF3" w:rsidRDefault="008E4374">
            <w:pPr>
              <w:spacing w:after="40" w:line="240" w:lineRule="auto"/>
            </w:pPr>
            <w:r w:rsidRPr="00D62EF3">
              <w:rPr>
                <w:sz w:val="16"/>
              </w:rPr>
              <w:t>Sheehan et al. (2020); Yun &amp; Park (2022)</w:t>
            </w:r>
          </w:p>
        </w:tc>
      </w:tr>
      <w:tr w:rsidR="00D62EF3" w:rsidRPr="00D62EF3" w14:paraId="54A4382B" w14:textId="77777777" w:rsidTr="00D62EF3">
        <w:trPr>
          <w:jc w:val="center"/>
        </w:trPr>
        <w:tc>
          <w:tcPr>
            <w:tcW w:w="1843" w:type="dxa"/>
            <w:tcMar>
              <w:top w:w="80" w:type="dxa"/>
              <w:left w:w="90" w:type="dxa"/>
              <w:bottom w:w="80" w:type="dxa"/>
              <w:right w:w="90" w:type="dxa"/>
            </w:tcMar>
            <w:vAlign w:val="center"/>
          </w:tcPr>
          <w:p w14:paraId="763597B4" w14:textId="77777777" w:rsidR="008A79E7" w:rsidRPr="00D62EF3" w:rsidRDefault="008E4374">
            <w:pPr>
              <w:spacing w:after="40" w:line="240" w:lineRule="auto"/>
            </w:pPr>
            <w:r w:rsidRPr="00D62EF3">
              <w:rPr>
                <w:sz w:val="16"/>
              </w:rPr>
              <w:t>Empowerment and engagement</w:t>
            </w:r>
          </w:p>
        </w:tc>
        <w:tc>
          <w:tcPr>
            <w:tcW w:w="2088" w:type="dxa"/>
            <w:tcMar>
              <w:top w:w="80" w:type="dxa"/>
              <w:left w:w="90" w:type="dxa"/>
              <w:bottom w:w="80" w:type="dxa"/>
              <w:right w:w="90" w:type="dxa"/>
            </w:tcMar>
            <w:vAlign w:val="center"/>
          </w:tcPr>
          <w:p w14:paraId="0109D9B1" w14:textId="77777777" w:rsidR="008A79E7" w:rsidRPr="00D62EF3" w:rsidRDefault="008E4374">
            <w:pPr>
              <w:spacing w:after="40" w:line="240" w:lineRule="auto"/>
            </w:pPr>
            <w:r w:rsidRPr="00D62EF3">
              <w:rPr>
                <w:sz w:val="16"/>
              </w:rPr>
              <w:t>Increases perceived control and progress through the journey</w:t>
            </w:r>
          </w:p>
        </w:tc>
        <w:tc>
          <w:tcPr>
            <w:tcW w:w="2232" w:type="dxa"/>
            <w:tcMar>
              <w:top w:w="80" w:type="dxa"/>
              <w:left w:w="90" w:type="dxa"/>
              <w:bottom w:w="80" w:type="dxa"/>
              <w:right w:w="90" w:type="dxa"/>
            </w:tcMar>
            <w:vAlign w:val="center"/>
          </w:tcPr>
          <w:p w14:paraId="71F1142B" w14:textId="77777777" w:rsidR="008A79E7" w:rsidRPr="00D62EF3" w:rsidRDefault="008E4374">
            <w:pPr>
              <w:spacing w:after="40" w:line="240" w:lineRule="auto"/>
            </w:pPr>
            <w:r w:rsidRPr="00D62EF3">
              <w:rPr>
                <w:sz w:val="16"/>
              </w:rPr>
              <w:t>Automation constrains choices or obscures human support</w:t>
            </w:r>
          </w:p>
        </w:tc>
        <w:tc>
          <w:tcPr>
            <w:tcW w:w="2088" w:type="dxa"/>
            <w:tcMar>
              <w:top w:w="80" w:type="dxa"/>
              <w:left w:w="90" w:type="dxa"/>
              <w:bottom w:w="80" w:type="dxa"/>
              <w:right w:w="90" w:type="dxa"/>
            </w:tcMar>
            <w:vAlign w:val="center"/>
          </w:tcPr>
          <w:p w14:paraId="489FB0A8" w14:textId="77777777" w:rsidR="008A79E7" w:rsidRPr="00D62EF3" w:rsidRDefault="008E4374">
            <w:pPr>
              <w:spacing w:after="40" w:line="240" w:lineRule="auto"/>
            </w:pPr>
            <w:r w:rsidRPr="00D62EF3">
              <w:rPr>
                <w:sz w:val="16"/>
              </w:rPr>
              <w:t>Directly observed as a mediator in Jordanian commercial banking</w:t>
            </w:r>
          </w:p>
        </w:tc>
        <w:tc>
          <w:tcPr>
            <w:tcW w:w="1325" w:type="dxa"/>
            <w:tcMar>
              <w:top w:w="80" w:type="dxa"/>
              <w:left w:w="90" w:type="dxa"/>
              <w:bottom w:w="80" w:type="dxa"/>
              <w:right w:w="90" w:type="dxa"/>
            </w:tcMar>
            <w:vAlign w:val="center"/>
          </w:tcPr>
          <w:p w14:paraId="3148E5CA" w14:textId="77777777" w:rsidR="008A79E7" w:rsidRPr="00D62EF3" w:rsidRDefault="008E4374">
            <w:pPr>
              <w:spacing w:after="40" w:line="240" w:lineRule="auto"/>
            </w:pPr>
            <w:r w:rsidRPr="00D62EF3">
              <w:rPr>
                <w:sz w:val="16"/>
              </w:rPr>
              <w:t>Alshibly et al. (2024); Magableh et al. (2024)</w:t>
            </w:r>
          </w:p>
        </w:tc>
      </w:tr>
    </w:tbl>
    <w:p w14:paraId="3B0BB5E5" w14:textId="77777777" w:rsidR="008A79E7" w:rsidRPr="00D62EF3" w:rsidRDefault="008E4374">
      <w:pPr>
        <w:spacing w:before="60" w:after="160"/>
      </w:pPr>
      <w:r w:rsidRPr="00D62EF3">
        <w:rPr>
          <w:i/>
          <w:sz w:val="17"/>
        </w:rPr>
        <w:t>Note. PLS = partial least squares. Tables are selective analytical summaries rather than exhaustive inventories of all eligible evidence.</w:t>
      </w:r>
    </w:p>
    <w:p w14:paraId="4B4DD7B9" w14:textId="77777777" w:rsidR="008A79E7" w:rsidRPr="00D62EF3" w:rsidRDefault="008E4374">
      <w:pPr>
        <w:pStyle w:val="Heading1"/>
        <w:rPr>
          <w:color w:val="auto"/>
        </w:rPr>
      </w:pPr>
      <w:r w:rsidRPr="00D62EF3">
        <w:rPr>
          <w:color w:val="auto"/>
        </w:rPr>
        <w:t>6. Trust, Disclosure, Privacy, Failure and Human Escalation</w:t>
      </w:r>
    </w:p>
    <w:p w14:paraId="0459C3A1" w14:textId="77777777" w:rsidR="008A79E7" w:rsidRPr="00D62EF3" w:rsidRDefault="008E4374">
      <w:pPr>
        <w:jc w:val="both"/>
      </w:pPr>
      <w:r w:rsidRPr="00D62EF3">
        <w:t>Trust is a central conversion mechanism between chatbot performance and customer willingness to rely on the system. Hu et al. (2021) demonstrate that users distinguish humanness in speaking from humanness in listening. A system may sound human-like while appearing unable to understand, and this asymmetry can weaken morality-related trust. The finding is particularly relevant to modern generative assistants: surface fluency is now easier to produce than dependable contextual understanding. Organisations that optimise only for natural language may therefore create a “fluency gap” in which customers infer greater competence than the system can reliably deliver. Trust becomes fragile when the first difficult request exposes this mismatch.</w:t>
      </w:r>
    </w:p>
    <w:p w14:paraId="02B2AECA" w14:textId="77777777" w:rsidR="008A79E7" w:rsidRPr="00D62EF3" w:rsidRDefault="008E4374">
      <w:pPr>
        <w:jc w:val="both"/>
      </w:pPr>
      <w:r w:rsidRPr="00D62EF3">
        <w:lastRenderedPageBreak/>
        <w:t>Disclosure of machine identity illustrates why transparency effects are conditional. Luo et al. (2019), in a field experiment involving more than 6,200 customers, found that early disclosure that the conversational partner was an AI chatbot substantially reduced purchase rates, an effect associated with lower perceived knowledge and empathy; later disclosure and prior AI experience mitigated this penalty. Mozafari et al. (2022) subsequently showed that disclosure can have a negative indirect effect on retention through reduced trust in high-criticality services but can become neutral or even favourable after a chatbot failure. These results should not be interpreted as an argument for deceptive non-disclosure. Rather, they show that the customer response to transparency depends on expectations, task stakes and interaction outcomes. Ethical and regulatory considerations require clear communication, while experience design must prevent the disclosure itself from becoming a signal of incompetence.</w:t>
      </w:r>
    </w:p>
    <w:p w14:paraId="1BE830CF" w14:textId="77777777" w:rsidR="008A79E7" w:rsidRPr="00D62EF3" w:rsidRDefault="008E4374">
      <w:pPr>
        <w:jc w:val="both"/>
      </w:pPr>
      <w:r w:rsidRPr="00D62EF3">
        <w:t>Privacy creates a second trust boundary. Song et al. (2022) used five scenario-based experiments to show that communication quality and privacy risk mediate differences in adoption intentions across AI and human service agents. Rese et al. (2020) similarly found privacy concerns to be a negative factor in retail-chatbot acceptance. In e-marketing, privacy risk is amplified because the same system that answers a service question may use conversation content for profiling, recommendation or campaign optimisation. Jordanian AI-marketing research strongly emphasises personalisation and data-driven decision-making (Al Htibat, 2024; Magableh et al., 2024), but direct consumer evidence on acceptable data use, consent and conversational-data retention in Jordan remains sparse. This is a material evidence gap rather than a minor governance detail.</w:t>
      </w:r>
    </w:p>
    <w:p w14:paraId="35A53C3C" w14:textId="77777777" w:rsidR="008A79E7" w:rsidRPr="00D62EF3" w:rsidRDefault="008E4374">
      <w:pPr>
        <w:jc w:val="both"/>
      </w:pPr>
      <w:r w:rsidRPr="00D62EF3">
        <w:t>Failure is the point at which anthropomorphism can become costly. Crolic et al. (2022), across five studies including real-world telecommunications data and experiments, found that angry customers evaluated anthropomorphic chatbots more negatively when expectations were violated. Sheehan et al. (2020) likewise showed that unresolved misunderstandings reduce adoption, whereas clarification can preserve evaluations. These findings reconcile apparently conflicting evidence on human-like design: anthropomorphism can increase social presence in ordinary encounters, but the same cues may raise expected empathy and competence during emotionally charged failures. The proper design question is therefore not “Should the chatbot be human-like?” but “How much social signalling is appropriate for this task, emotional state and recovery capability?”</w:t>
      </w:r>
    </w:p>
    <w:p w14:paraId="1F049BC5" w14:textId="77777777" w:rsidR="008A79E7" w:rsidRPr="00D62EF3" w:rsidRDefault="008E4374">
      <w:pPr>
        <w:jc w:val="both"/>
      </w:pPr>
      <w:r w:rsidRPr="00D62EF3">
        <w:t>Human escalation is the practical answer to many high-cost edge cases, but it must be designed as part of the experience rather than as a hidden failure exit. Wirtz et al. (2018) argued more broadly that automated and human service have different comparative advantages across task types. Customer-service chatbot studies similarly show that the need for human interaction moderates acceptance and satisfaction pathways (Ashfaq et al., 2020; Sheehan et al., 2020). A hybrid architecture should identify high-risk requests, repeated misunderstanding, anger, complaint escalation, vulnerability and high financial or contractual stakes early enough to transfer the conversation with context intact. Asking the customer to repeat the problem to a human agent converts automation efficiency into journey friction and weakens the very benefit that the chatbot was meant to create.</w:t>
      </w:r>
    </w:p>
    <w:p w14:paraId="0ED8A378" w14:textId="77777777" w:rsidR="008A79E7" w:rsidRPr="00D62EF3" w:rsidRDefault="008E4374">
      <w:pPr>
        <w:jc w:val="both"/>
      </w:pPr>
      <w:r w:rsidRPr="00D62EF3">
        <w:t xml:space="preserve">Jordanian evidence supports the importance of trust and facilitating conditions even outside commercial settings. Mohamad et al. (2026) found trust among the positive predictors of intention to use e-government chatbots, and anxiety was negatively related to intention. The study also linked actual use to satisfaction and future continuance. Although government services differ from retail and banking marketing, the finding suggests that Jordanian users' chatbot experience is sensitive to confidence, capability and enabling conditions rather than to novelty alone. For commercial firms, this supports onboarding, clear capability </w:t>
      </w:r>
      <w:r w:rsidRPr="00D62EF3">
        <w:lastRenderedPageBreak/>
        <w:t>boundaries, visible escalation and transparent data practices as experience variables rather than merely compliance measures.</w:t>
      </w:r>
    </w:p>
    <w:p w14:paraId="2803F056" w14:textId="77777777" w:rsidR="008A79E7" w:rsidRPr="00D62EF3" w:rsidRDefault="008E4374">
      <w:pPr>
        <w:keepNext/>
        <w:spacing w:before="100"/>
        <w:jc w:val="both"/>
      </w:pPr>
      <w:r w:rsidRPr="00D62EF3">
        <w:t>Table 4 presents the main contradictions in the literature and the conditions that appear to reconcile them. Most contradictions are not evidence that “chatbots work” or “chatbots fail”; they reflect differences in task stakes, emotional state, customer expectations and whether the system can fulfil the social cues it presents.</w:t>
      </w:r>
    </w:p>
    <w:p w14:paraId="3A27E07E" w14:textId="77777777" w:rsidR="008A79E7" w:rsidRPr="00D62EF3" w:rsidRDefault="008E4374">
      <w:pPr>
        <w:pStyle w:val="TableCaption"/>
        <w:rPr>
          <w:color w:val="auto"/>
        </w:rPr>
      </w:pPr>
      <w:r w:rsidRPr="00D62EF3">
        <w:rPr>
          <w:color w:val="auto"/>
        </w:rPr>
        <w:t>Table 4. Apparently conflicting findings and conditions that reconcile them</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6CA5257F" w14:textId="77777777" w:rsidTr="00D62EF3">
        <w:trPr>
          <w:tblHeader/>
          <w:jc w:val="center"/>
        </w:trPr>
        <w:tc>
          <w:tcPr>
            <w:tcW w:w="1843" w:type="dxa"/>
            <w:tcMar>
              <w:top w:w="80" w:type="dxa"/>
              <w:left w:w="90" w:type="dxa"/>
              <w:bottom w:w="80" w:type="dxa"/>
              <w:right w:w="90" w:type="dxa"/>
            </w:tcMar>
            <w:vAlign w:val="center"/>
          </w:tcPr>
          <w:p w14:paraId="26DC2608" w14:textId="77777777" w:rsidR="008A79E7" w:rsidRPr="00D62EF3" w:rsidRDefault="008E4374">
            <w:pPr>
              <w:spacing w:after="40" w:line="240" w:lineRule="auto"/>
            </w:pPr>
            <w:r w:rsidRPr="00D62EF3">
              <w:rPr>
                <w:b/>
                <w:sz w:val="17"/>
              </w:rPr>
              <w:t>Issue</w:t>
            </w:r>
          </w:p>
        </w:tc>
        <w:tc>
          <w:tcPr>
            <w:tcW w:w="2088" w:type="dxa"/>
            <w:tcMar>
              <w:top w:w="80" w:type="dxa"/>
              <w:left w:w="90" w:type="dxa"/>
              <w:bottom w:w="80" w:type="dxa"/>
              <w:right w:w="90" w:type="dxa"/>
            </w:tcMar>
            <w:vAlign w:val="center"/>
          </w:tcPr>
          <w:p w14:paraId="66ABB5BB" w14:textId="77777777" w:rsidR="008A79E7" w:rsidRPr="00D62EF3" w:rsidRDefault="008E4374">
            <w:pPr>
              <w:spacing w:after="40" w:line="240" w:lineRule="auto"/>
            </w:pPr>
            <w:r w:rsidRPr="00D62EF3">
              <w:rPr>
                <w:b/>
                <w:sz w:val="17"/>
              </w:rPr>
              <w:t>Evidence suggesting benefit</w:t>
            </w:r>
          </w:p>
        </w:tc>
        <w:tc>
          <w:tcPr>
            <w:tcW w:w="2232" w:type="dxa"/>
            <w:tcMar>
              <w:top w:w="80" w:type="dxa"/>
              <w:left w:w="90" w:type="dxa"/>
              <w:bottom w:w="80" w:type="dxa"/>
              <w:right w:w="90" w:type="dxa"/>
            </w:tcMar>
            <w:vAlign w:val="center"/>
          </w:tcPr>
          <w:p w14:paraId="6467A2F2" w14:textId="77777777" w:rsidR="008A79E7" w:rsidRPr="00D62EF3" w:rsidRDefault="008E4374">
            <w:pPr>
              <w:spacing w:after="40" w:line="240" w:lineRule="auto"/>
            </w:pPr>
            <w:r w:rsidRPr="00D62EF3">
              <w:rPr>
                <w:b/>
                <w:sz w:val="17"/>
              </w:rPr>
              <w:t>Evidence suggesting harm or null effect</w:t>
            </w:r>
          </w:p>
        </w:tc>
        <w:tc>
          <w:tcPr>
            <w:tcW w:w="2088" w:type="dxa"/>
            <w:tcMar>
              <w:top w:w="80" w:type="dxa"/>
              <w:left w:w="90" w:type="dxa"/>
              <w:bottom w:w="80" w:type="dxa"/>
              <w:right w:w="90" w:type="dxa"/>
            </w:tcMar>
            <w:vAlign w:val="center"/>
          </w:tcPr>
          <w:p w14:paraId="76E2F9D9" w14:textId="77777777" w:rsidR="008A79E7" w:rsidRPr="00D62EF3" w:rsidRDefault="008E4374">
            <w:pPr>
              <w:spacing w:after="40" w:line="240" w:lineRule="auto"/>
            </w:pPr>
            <w:r w:rsidRPr="00D62EF3">
              <w:rPr>
                <w:b/>
                <w:sz w:val="17"/>
              </w:rPr>
              <w:t>Likely reconciliation</w:t>
            </w:r>
          </w:p>
        </w:tc>
        <w:tc>
          <w:tcPr>
            <w:tcW w:w="1325" w:type="dxa"/>
            <w:tcMar>
              <w:top w:w="80" w:type="dxa"/>
              <w:left w:w="90" w:type="dxa"/>
              <w:bottom w:w="80" w:type="dxa"/>
              <w:right w:w="90" w:type="dxa"/>
            </w:tcMar>
            <w:vAlign w:val="center"/>
          </w:tcPr>
          <w:p w14:paraId="7C97F529" w14:textId="77777777" w:rsidR="008A79E7" w:rsidRPr="00D62EF3" w:rsidRDefault="008E4374">
            <w:pPr>
              <w:spacing w:after="40" w:line="240" w:lineRule="auto"/>
            </w:pPr>
            <w:r w:rsidRPr="00D62EF3">
              <w:rPr>
                <w:b/>
                <w:sz w:val="17"/>
              </w:rPr>
              <w:t>Supporting references</w:t>
            </w:r>
          </w:p>
        </w:tc>
      </w:tr>
      <w:tr w:rsidR="00D62EF3" w:rsidRPr="00D62EF3" w14:paraId="244629BB" w14:textId="77777777" w:rsidTr="00D62EF3">
        <w:trPr>
          <w:jc w:val="center"/>
        </w:trPr>
        <w:tc>
          <w:tcPr>
            <w:tcW w:w="1843" w:type="dxa"/>
            <w:tcMar>
              <w:top w:w="80" w:type="dxa"/>
              <w:left w:w="90" w:type="dxa"/>
              <w:bottom w:w="80" w:type="dxa"/>
              <w:right w:w="90" w:type="dxa"/>
            </w:tcMar>
            <w:vAlign w:val="center"/>
          </w:tcPr>
          <w:p w14:paraId="169C5FDE" w14:textId="77777777" w:rsidR="008A79E7" w:rsidRPr="00D62EF3" w:rsidRDefault="008E4374">
            <w:pPr>
              <w:spacing w:after="40" w:line="240" w:lineRule="auto"/>
            </w:pPr>
            <w:r w:rsidRPr="00D62EF3">
              <w:rPr>
                <w:sz w:val="16"/>
              </w:rPr>
              <w:t>Anthropomorphism</w:t>
            </w:r>
          </w:p>
        </w:tc>
        <w:tc>
          <w:tcPr>
            <w:tcW w:w="2088" w:type="dxa"/>
            <w:tcMar>
              <w:top w:w="80" w:type="dxa"/>
              <w:left w:w="90" w:type="dxa"/>
              <w:bottom w:w="80" w:type="dxa"/>
              <w:right w:w="90" w:type="dxa"/>
            </w:tcMar>
            <w:vAlign w:val="center"/>
          </w:tcPr>
          <w:p w14:paraId="08167C54" w14:textId="77777777" w:rsidR="008A79E7" w:rsidRPr="00D62EF3" w:rsidRDefault="008E4374">
            <w:pPr>
              <w:spacing w:after="40" w:line="240" w:lineRule="auto"/>
            </w:pPr>
            <w:r w:rsidRPr="00D62EF3">
              <w:rPr>
                <w:sz w:val="16"/>
              </w:rPr>
              <w:t>Human-like cues can raise social presence, empathy and acceptance</w:t>
            </w:r>
          </w:p>
        </w:tc>
        <w:tc>
          <w:tcPr>
            <w:tcW w:w="2232" w:type="dxa"/>
            <w:tcMar>
              <w:top w:w="80" w:type="dxa"/>
              <w:left w:w="90" w:type="dxa"/>
              <w:bottom w:w="80" w:type="dxa"/>
              <w:right w:w="90" w:type="dxa"/>
            </w:tcMar>
            <w:vAlign w:val="center"/>
          </w:tcPr>
          <w:p w14:paraId="61AC4A3A" w14:textId="77777777" w:rsidR="008A79E7" w:rsidRPr="00D62EF3" w:rsidRDefault="008E4374">
            <w:pPr>
              <w:spacing w:after="40" w:line="240" w:lineRule="auto"/>
            </w:pPr>
            <w:r w:rsidRPr="00D62EF3">
              <w:rPr>
                <w:sz w:val="16"/>
              </w:rPr>
              <w:t>Angry customers may penalise anthropomorphic bots more strongly after failure</w:t>
            </w:r>
          </w:p>
        </w:tc>
        <w:tc>
          <w:tcPr>
            <w:tcW w:w="2088" w:type="dxa"/>
            <w:tcMar>
              <w:top w:w="80" w:type="dxa"/>
              <w:left w:w="90" w:type="dxa"/>
              <w:bottom w:w="80" w:type="dxa"/>
              <w:right w:w="90" w:type="dxa"/>
            </w:tcMar>
            <w:vAlign w:val="center"/>
          </w:tcPr>
          <w:p w14:paraId="29A87740" w14:textId="77777777" w:rsidR="008A79E7" w:rsidRPr="00D62EF3" w:rsidRDefault="008E4374">
            <w:pPr>
              <w:spacing w:after="40" w:line="240" w:lineRule="auto"/>
            </w:pPr>
            <w:r w:rsidRPr="00D62EF3">
              <w:rPr>
                <w:sz w:val="16"/>
              </w:rPr>
              <w:t>Benefits depend on functional competence, emotion and expectancy fit</w:t>
            </w:r>
          </w:p>
        </w:tc>
        <w:tc>
          <w:tcPr>
            <w:tcW w:w="1325" w:type="dxa"/>
            <w:tcMar>
              <w:top w:w="80" w:type="dxa"/>
              <w:left w:w="90" w:type="dxa"/>
              <w:bottom w:w="80" w:type="dxa"/>
              <w:right w:w="90" w:type="dxa"/>
            </w:tcMar>
            <w:vAlign w:val="center"/>
          </w:tcPr>
          <w:p w14:paraId="3EF3A678" w14:textId="77777777" w:rsidR="008A79E7" w:rsidRPr="00D62EF3" w:rsidRDefault="008E4374">
            <w:pPr>
              <w:spacing w:after="40" w:line="240" w:lineRule="auto"/>
            </w:pPr>
            <w:r w:rsidRPr="00D62EF3">
              <w:rPr>
                <w:sz w:val="16"/>
              </w:rPr>
              <w:t>Araujo (2018); Crolic et al. (2022); Pelau et al. (2021)</w:t>
            </w:r>
          </w:p>
        </w:tc>
      </w:tr>
      <w:tr w:rsidR="00D62EF3" w:rsidRPr="00D62EF3" w14:paraId="72F0BB0F" w14:textId="77777777" w:rsidTr="00D62EF3">
        <w:trPr>
          <w:jc w:val="center"/>
        </w:trPr>
        <w:tc>
          <w:tcPr>
            <w:tcW w:w="1843" w:type="dxa"/>
            <w:tcMar>
              <w:top w:w="80" w:type="dxa"/>
              <w:left w:w="90" w:type="dxa"/>
              <w:bottom w:w="80" w:type="dxa"/>
              <w:right w:w="90" w:type="dxa"/>
            </w:tcMar>
            <w:vAlign w:val="center"/>
          </w:tcPr>
          <w:p w14:paraId="32BBA022" w14:textId="77777777" w:rsidR="008A79E7" w:rsidRPr="00D62EF3" w:rsidRDefault="008E4374">
            <w:pPr>
              <w:spacing w:after="40" w:line="240" w:lineRule="auto"/>
            </w:pPr>
            <w:r w:rsidRPr="00D62EF3">
              <w:rPr>
                <w:sz w:val="16"/>
              </w:rPr>
              <w:t>Bot disclosure</w:t>
            </w:r>
          </w:p>
        </w:tc>
        <w:tc>
          <w:tcPr>
            <w:tcW w:w="2088" w:type="dxa"/>
            <w:tcMar>
              <w:top w:w="80" w:type="dxa"/>
              <w:left w:w="90" w:type="dxa"/>
              <w:bottom w:w="80" w:type="dxa"/>
              <w:right w:w="90" w:type="dxa"/>
            </w:tcMar>
            <w:vAlign w:val="center"/>
          </w:tcPr>
          <w:p w14:paraId="62FB10D7" w14:textId="77777777" w:rsidR="008A79E7" w:rsidRPr="00D62EF3" w:rsidRDefault="008E4374">
            <w:pPr>
              <w:spacing w:after="40" w:line="240" w:lineRule="auto"/>
            </w:pPr>
            <w:r w:rsidRPr="00D62EF3">
              <w:rPr>
                <w:sz w:val="16"/>
              </w:rPr>
              <w:t>Transparency can be acceptable and may help after failure</w:t>
            </w:r>
          </w:p>
        </w:tc>
        <w:tc>
          <w:tcPr>
            <w:tcW w:w="2232" w:type="dxa"/>
            <w:tcMar>
              <w:top w:w="80" w:type="dxa"/>
              <w:left w:w="90" w:type="dxa"/>
              <w:bottom w:w="80" w:type="dxa"/>
              <w:right w:w="90" w:type="dxa"/>
            </w:tcMar>
            <w:vAlign w:val="center"/>
          </w:tcPr>
          <w:p w14:paraId="54C1F5CD" w14:textId="77777777" w:rsidR="008A79E7" w:rsidRPr="00D62EF3" w:rsidRDefault="008E4374">
            <w:pPr>
              <w:spacing w:after="40" w:line="240" w:lineRule="auto"/>
            </w:pPr>
            <w:r w:rsidRPr="00D62EF3">
              <w:rPr>
                <w:sz w:val="16"/>
              </w:rPr>
              <w:t>Early disclosure can reduce purchasing or trust in some contexts</w:t>
            </w:r>
          </w:p>
        </w:tc>
        <w:tc>
          <w:tcPr>
            <w:tcW w:w="2088" w:type="dxa"/>
            <w:tcMar>
              <w:top w:w="80" w:type="dxa"/>
              <w:left w:w="90" w:type="dxa"/>
              <w:bottom w:w="80" w:type="dxa"/>
              <w:right w:w="90" w:type="dxa"/>
            </w:tcMar>
            <w:vAlign w:val="center"/>
          </w:tcPr>
          <w:p w14:paraId="2FFF9051" w14:textId="77777777" w:rsidR="008A79E7" w:rsidRPr="00D62EF3" w:rsidRDefault="008E4374">
            <w:pPr>
              <w:spacing w:after="40" w:line="240" w:lineRule="auto"/>
            </w:pPr>
            <w:r w:rsidRPr="00D62EF3">
              <w:rPr>
                <w:sz w:val="16"/>
              </w:rPr>
              <w:t>Timing, prior AI experience, service criticality and outcome shape response</w:t>
            </w:r>
          </w:p>
        </w:tc>
        <w:tc>
          <w:tcPr>
            <w:tcW w:w="1325" w:type="dxa"/>
            <w:tcMar>
              <w:top w:w="80" w:type="dxa"/>
              <w:left w:w="90" w:type="dxa"/>
              <w:bottom w:w="80" w:type="dxa"/>
              <w:right w:w="90" w:type="dxa"/>
            </w:tcMar>
            <w:vAlign w:val="center"/>
          </w:tcPr>
          <w:p w14:paraId="7A503AE7" w14:textId="77777777" w:rsidR="008A79E7" w:rsidRPr="00D62EF3" w:rsidRDefault="008E4374">
            <w:pPr>
              <w:spacing w:after="40" w:line="240" w:lineRule="auto"/>
            </w:pPr>
            <w:r w:rsidRPr="00D62EF3">
              <w:rPr>
                <w:sz w:val="16"/>
              </w:rPr>
              <w:t>Luo et al. (2019); Mozafari et al. (2022)</w:t>
            </w:r>
          </w:p>
        </w:tc>
      </w:tr>
      <w:tr w:rsidR="00D62EF3" w:rsidRPr="00D62EF3" w14:paraId="29651C1A" w14:textId="77777777" w:rsidTr="00D62EF3">
        <w:trPr>
          <w:jc w:val="center"/>
        </w:trPr>
        <w:tc>
          <w:tcPr>
            <w:tcW w:w="1843" w:type="dxa"/>
            <w:tcMar>
              <w:top w:w="80" w:type="dxa"/>
              <w:left w:w="90" w:type="dxa"/>
              <w:bottom w:w="80" w:type="dxa"/>
              <w:right w:w="90" w:type="dxa"/>
            </w:tcMar>
            <w:vAlign w:val="center"/>
          </w:tcPr>
          <w:p w14:paraId="18451421" w14:textId="77777777" w:rsidR="008A79E7" w:rsidRPr="00D62EF3" w:rsidRDefault="008E4374">
            <w:pPr>
              <w:spacing w:after="40" w:line="240" w:lineRule="auto"/>
            </w:pPr>
            <w:r w:rsidRPr="00D62EF3">
              <w:rPr>
                <w:sz w:val="16"/>
              </w:rPr>
              <w:t>Responsiveness/speed</w:t>
            </w:r>
          </w:p>
        </w:tc>
        <w:tc>
          <w:tcPr>
            <w:tcW w:w="2088" w:type="dxa"/>
            <w:tcMar>
              <w:top w:w="80" w:type="dxa"/>
              <w:left w:w="90" w:type="dxa"/>
              <w:bottom w:w="80" w:type="dxa"/>
              <w:right w:w="90" w:type="dxa"/>
            </w:tcMar>
            <w:vAlign w:val="center"/>
          </w:tcPr>
          <w:p w14:paraId="2D21FC33" w14:textId="77777777" w:rsidR="008A79E7" w:rsidRPr="00D62EF3" w:rsidRDefault="008E4374">
            <w:pPr>
              <w:spacing w:after="40" w:line="240" w:lineRule="auto"/>
            </w:pPr>
            <w:r w:rsidRPr="00D62EF3">
              <w:rPr>
                <w:sz w:val="16"/>
              </w:rPr>
              <w:t>Availability and rapid response reduce waiting and effort</w:t>
            </w:r>
          </w:p>
        </w:tc>
        <w:tc>
          <w:tcPr>
            <w:tcW w:w="2232" w:type="dxa"/>
            <w:tcMar>
              <w:top w:w="80" w:type="dxa"/>
              <w:left w:w="90" w:type="dxa"/>
              <w:bottom w:w="80" w:type="dxa"/>
              <w:right w:w="90" w:type="dxa"/>
            </w:tcMar>
            <w:vAlign w:val="center"/>
          </w:tcPr>
          <w:p w14:paraId="0BD4EB93" w14:textId="77777777" w:rsidR="008A79E7" w:rsidRPr="00D62EF3" w:rsidRDefault="008E4374">
            <w:pPr>
              <w:spacing w:after="40" w:line="240" w:lineRule="auto"/>
            </w:pPr>
            <w:r w:rsidRPr="00D62EF3">
              <w:rPr>
                <w:sz w:val="16"/>
              </w:rPr>
              <w:t>Responsiveness is not always a significant satisfaction predictor</w:t>
            </w:r>
          </w:p>
        </w:tc>
        <w:tc>
          <w:tcPr>
            <w:tcW w:w="2088" w:type="dxa"/>
            <w:tcMar>
              <w:top w:w="80" w:type="dxa"/>
              <w:left w:w="90" w:type="dxa"/>
              <w:bottom w:w="80" w:type="dxa"/>
              <w:right w:w="90" w:type="dxa"/>
            </w:tcMar>
            <w:vAlign w:val="center"/>
          </w:tcPr>
          <w:p w14:paraId="025E1EFA" w14:textId="77777777" w:rsidR="008A79E7" w:rsidRPr="00D62EF3" w:rsidRDefault="008E4374">
            <w:pPr>
              <w:spacing w:after="40" w:line="240" w:lineRule="auto"/>
            </w:pPr>
            <w:r w:rsidRPr="00D62EF3">
              <w:rPr>
                <w:sz w:val="16"/>
              </w:rPr>
              <w:t>Resolution quality and reliability may dominate response speed</w:t>
            </w:r>
          </w:p>
        </w:tc>
        <w:tc>
          <w:tcPr>
            <w:tcW w:w="1325" w:type="dxa"/>
            <w:tcMar>
              <w:top w:w="80" w:type="dxa"/>
              <w:left w:w="90" w:type="dxa"/>
              <w:bottom w:w="80" w:type="dxa"/>
              <w:right w:w="90" w:type="dxa"/>
            </w:tcMar>
            <w:vAlign w:val="center"/>
          </w:tcPr>
          <w:p w14:paraId="6FD7159D" w14:textId="77777777" w:rsidR="008A79E7" w:rsidRPr="00D62EF3" w:rsidRDefault="008E4374">
            <w:pPr>
              <w:spacing w:after="40" w:line="240" w:lineRule="auto"/>
            </w:pPr>
            <w:r w:rsidRPr="00D62EF3">
              <w:rPr>
                <w:sz w:val="16"/>
              </w:rPr>
              <w:t>Alshibly et al. (2024); Yun &amp; Park (2022)</w:t>
            </w:r>
          </w:p>
        </w:tc>
      </w:tr>
      <w:tr w:rsidR="00D62EF3" w:rsidRPr="00D62EF3" w14:paraId="48DD9359" w14:textId="77777777" w:rsidTr="00D62EF3">
        <w:trPr>
          <w:jc w:val="center"/>
        </w:trPr>
        <w:tc>
          <w:tcPr>
            <w:tcW w:w="1843" w:type="dxa"/>
            <w:tcMar>
              <w:top w:w="80" w:type="dxa"/>
              <w:left w:w="90" w:type="dxa"/>
              <w:bottom w:w="80" w:type="dxa"/>
              <w:right w:w="90" w:type="dxa"/>
            </w:tcMar>
            <w:vAlign w:val="center"/>
          </w:tcPr>
          <w:p w14:paraId="26F3E9CA" w14:textId="77777777" w:rsidR="008A79E7" w:rsidRPr="00D62EF3" w:rsidRDefault="008E4374">
            <w:pPr>
              <w:spacing w:after="40" w:line="240" w:lineRule="auto"/>
            </w:pPr>
            <w:proofErr w:type="spellStart"/>
            <w:r w:rsidRPr="00D62EF3">
              <w:rPr>
                <w:sz w:val="16"/>
              </w:rPr>
              <w:t>Personalisation</w:t>
            </w:r>
            <w:proofErr w:type="spellEnd"/>
          </w:p>
        </w:tc>
        <w:tc>
          <w:tcPr>
            <w:tcW w:w="2088" w:type="dxa"/>
            <w:tcMar>
              <w:top w:w="80" w:type="dxa"/>
              <w:left w:w="90" w:type="dxa"/>
              <w:bottom w:w="80" w:type="dxa"/>
              <w:right w:w="90" w:type="dxa"/>
            </w:tcMar>
            <w:vAlign w:val="center"/>
          </w:tcPr>
          <w:p w14:paraId="765CA3C6" w14:textId="77777777" w:rsidR="008A79E7" w:rsidRPr="00D62EF3" w:rsidRDefault="008E4374">
            <w:pPr>
              <w:spacing w:after="40" w:line="240" w:lineRule="auto"/>
            </w:pPr>
            <w:r w:rsidRPr="00D62EF3">
              <w:rPr>
                <w:sz w:val="16"/>
              </w:rPr>
              <w:t>Tailored content and recommendations can raise relevance and satisfaction</w:t>
            </w:r>
          </w:p>
        </w:tc>
        <w:tc>
          <w:tcPr>
            <w:tcW w:w="2232" w:type="dxa"/>
            <w:tcMar>
              <w:top w:w="80" w:type="dxa"/>
              <w:left w:w="90" w:type="dxa"/>
              <w:bottom w:w="80" w:type="dxa"/>
              <w:right w:w="90" w:type="dxa"/>
            </w:tcMar>
            <w:vAlign w:val="center"/>
          </w:tcPr>
          <w:p w14:paraId="5B03E860" w14:textId="77777777" w:rsidR="008A79E7" w:rsidRPr="00D62EF3" w:rsidRDefault="008E4374">
            <w:pPr>
              <w:spacing w:after="40" w:line="240" w:lineRule="auto"/>
            </w:pPr>
            <w:r w:rsidRPr="00D62EF3">
              <w:rPr>
                <w:sz w:val="16"/>
              </w:rPr>
              <w:t>Data collection can increase privacy concerns and perceived surveillance</w:t>
            </w:r>
          </w:p>
        </w:tc>
        <w:tc>
          <w:tcPr>
            <w:tcW w:w="2088" w:type="dxa"/>
            <w:tcMar>
              <w:top w:w="80" w:type="dxa"/>
              <w:left w:w="90" w:type="dxa"/>
              <w:bottom w:w="80" w:type="dxa"/>
              <w:right w:w="90" w:type="dxa"/>
            </w:tcMar>
            <w:vAlign w:val="center"/>
          </w:tcPr>
          <w:p w14:paraId="3FF6980C" w14:textId="77777777" w:rsidR="008A79E7" w:rsidRPr="00D62EF3" w:rsidRDefault="008E4374">
            <w:pPr>
              <w:spacing w:after="40" w:line="240" w:lineRule="auto"/>
            </w:pPr>
            <w:r w:rsidRPr="00D62EF3">
              <w:rPr>
                <w:sz w:val="16"/>
              </w:rPr>
              <w:t>Perceived value must exceed privacy cost and data use must be transparent</w:t>
            </w:r>
          </w:p>
        </w:tc>
        <w:tc>
          <w:tcPr>
            <w:tcW w:w="1325" w:type="dxa"/>
            <w:tcMar>
              <w:top w:w="80" w:type="dxa"/>
              <w:left w:w="90" w:type="dxa"/>
              <w:bottom w:w="80" w:type="dxa"/>
              <w:right w:w="90" w:type="dxa"/>
            </w:tcMar>
            <w:vAlign w:val="center"/>
          </w:tcPr>
          <w:p w14:paraId="7233D0C9" w14:textId="77777777" w:rsidR="008A79E7" w:rsidRPr="00D62EF3" w:rsidRDefault="008E4374">
            <w:pPr>
              <w:spacing w:after="40" w:line="240" w:lineRule="auto"/>
            </w:pPr>
            <w:r w:rsidRPr="00D62EF3">
              <w:rPr>
                <w:sz w:val="16"/>
              </w:rPr>
              <w:t>Al Htibat (2024); Alshibly et al. (2024); Song et al. (2022)</w:t>
            </w:r>
          </w:p>
        </w:tc>
      </w:tr>
      <w:tr w:rsidR="00D62EF3" w:rsidRPr="00D62EF3" w14:paraId="514C1EAA" w14:textId="77777777" w:rsidTr="00D62EF3">
        <w:trPr>
          <w:jc w:val="center"/>
        </w:trPr>
        <w:tc>
          <w:tcPr>
            <w:tcW w:w="1843" w:type="dxa"/>
            <w:tcMar>
              <w:top w:w="80" w:type="dxa"/>
              <w:left w:w="90" w:type="dxa"/>
              <w:bottom w:w="80" w:type="dxa"/>
              <w:right w:w="90" w:type="dxa"/>
            </w:tcMar>
            <w:vAlign w:val="center"/>
          </w:tcPr>
          <w:p w14:paraId="776A9F8F" w14:textId="77777777" w:rsidR="008A79E7" w:rsidRPr="00D62EF3" w:rsidRDefault="008E4374">
            <w:pPr>
              <w:spacing w:after="40" w:line="240" w:lineRule="auto"/>
            </w:pPr>
            <w:r w:rsidRPr="00D62EF3">
              <w:rPr>
                <w:sz w:val="16"/>
              </w:rPr>
              <w:t>Human-like conversation</w:t>
            </w:r>
          </w:p>
        </w:tc>
        <w:tc>
          <w:tcPr>
            <w:tcW w:w="2088" w:type="dxa"/>
            <w:tcMar>
              <w:top w:w="80" w:type="dxa"/>
              <w:left w:w="90" w:type="dxa"/>
              <w:bottom w:w="80" w:type="dxa"/>
              <w:right w:w="90" w:type="dxa"/>
            </w:tcMar>
            <w:vAlign w:val="center"/>
          </w:tcPr>
          <w:p w14:paraId="5078362C" w14:textId="77777777" w:rsidR="008A79E7" w:rsidRPr="00D62EF3" w:rsidRDefault="008E4374">
            <w:pPr>
              <w:spacing w:after="40" w:line="240" w:lineRule="auto"/>
            </w:pPr>
            <w:r w:rsidRPr="00D62EF3">
              <w:rPr>
                <w:sz w:val="16"/>
              </w:rPr>
              <w:t>Interactive, empathic style may improve warmth and experience</w:t>
            </w:r>
          </w:p>
        </w:tc>
        <w:tc>
          <w:tcPr>
            <w:tcW w:w="2232" w:type="dxa"/>
            <w:tcMar>
              <w:top w:w="80" w:type="dxa"/>
              <w:left w:w="90" w:type="dxa"/>
              <w:bottom w:w="80" w:type="dxa"/>
              <w:right w:w="90" w:type="dxa"/>
            </w:tcMar>
            <w:vAlign w:val="center"/>
          </w:tcPr>
          <w:p w14:paraId="2EC30E54" w14:textId="77777777" w:rsidR="008A79E7" w:rsidRPr="00D62EF3" w:rsidRDefault="008E4374">
            <w:pPr>
              <w:spacing w:after="40" w:line="240" w:lineRule="auto"/>
            </w:pPr>
            <w:r w:rsidRPr="00D62EF3">
              <w:rPr>
                <w:sz w:val="16"/>
              </w:rPr>
              <w:t>Speaking fluently without understanding can damage trust</w:t>
            </w:r>
          </w:p>
        </w:tc>
        <w:tc>
          <w:tcPr>
            <w:tcW w:w="2088" w:type="dxa"/>
            <w:tcMar>
              <w:top w:w="80" w:type="dxa"/>
              <w:left w:w="90" w:type="dxa"/>
              <w:bottom w:w="80" w:type="dxa"/>
              <w:right w:w="90" w:type="dxa"/>
            </w:tcMar>
            <w:vAlign w:val="center"/>
          </w:tcPr>
          <w:p w14:paraId="0C0965EA" w14:textId="77777777" w:rsidR="008A79E7" w:rsidRPr="00D62EF3" w:rsidRDefault="008E4374">
            <w:pPr>
              <w:spacing w:after="40" w:line="240" w:lineRule="auto"/>
            </w:pPr>
            <w:r w:rsidRPr="00D62EF3">
              <w:rPr>
                <w:sz w:val="16"/>
              </w:rPr>
              <w:t>Listening/understanding must match expressive human-likeness</w:t>
            </w:r>
          </w:p>
        </w:tc>
        <w:tc>
          <w:tcPr>
            <w:tcW w:w="1325" w:type="dxa"/>
            <w:tcMar>
              <w:top w:w="80" w:type="dxa"/>
              <w:left w:w="90" w:type="dxa"/>
              <w:bottom w:w="80" w:type="dxa"/>
              <w:right w:w="90" w:type="dxa"/>
            </w:tcMar>
            <w:vAlign w:val="center"/>
          </w:tcPr>
          <w:p w14:paraId="5F977ABA" w14:textId="77777777" w:rsidR="008A79E7" w:rsidRPr="00D62EF3" w:rsidRDefault="008E4374">
            <w:pPr>
              <w:spacing w:after="40" w:line="240" w:lineRule="auto"/>
            </w:pPr>
            <w:r w:rsidRPr="00D62EF3">
              <w:rPr>
                <w:sz w:val="16"/>
              </w:rPr>
              <w:t>Go &amp; Sundar (2019); Hu et al. (2021)</w:t>
            </w:r>
          </w:p>
        </w:tc>
      </w:tr>
      <w:tr w:rsidR="00D62EF3" w:rsidRPr="00D62EF3" w14:paraId="1585BD58" w14:textId="77777777" w:rsidTr="00D62EF3">
        <w:trPr>
          <w:jc w:val="center"/>
        </w:trPr>
        <w:tc>
          <w:tcPr>
            <w:tcW w:w="1843" w:type="dxa"/>
            <w:tcMar>
              <w:top w:w="80" w:type="dxa"/>
              <w:left w:w="90" w:type="dxa"/>
              <w:bottom w:w="80" w:type="dxa"/>
              <w:right w:w="90" w:type="dxa"/>
            </w:tcMar>
            <w:vAlign w:val="center"/>
          </w:tcPr>
          <w:p w14:paraId="70414B94" w14:textId="77777777" w:rsidR="008A79E7" w:rsidRPr="00D62EF3" w:rsidRDefault="008E4374">
            <w:pPr>
              <w:spacing w:after="40" w:line="240" w:lineRule="auto"/>
            </w:pPr>
            <w:r w:rsidRPr="00D62EF3">
              <w:rPr>
                <w:sz w:val="16"/>
              </w:rPr>
              <w:t>Automation versus human service</w:t>
            </w:r>
          </w:p>
        </w:tc>
        <w:tc>
          <w:tcPr>
            <w:tcW w:w="2088" w:type="dxa"/>
            <w:tcMar>
              <w:top w:w="80" w:type="dxa"/>
              <w:left w:w="90" w:type="dxa"/>
              <w:bottom w:w="80" w:type="dxa"/>
              <w:right w:w="90" w:type="dxa"/>
            </w:tcMar>
            <w:vAlign w:val="center"/>
          </w:tcPr>
          <w:p w14:paraId="13FD5538" w14:textId="77777777" w:rsidR="008A79E7" w:rsidRPr="00D62EF3" w:rsidRDefault="008E4374">
            <w:pPr>
              <w:spacing w:after="40" w:line="240" w:lineRule="auto"/>
            </w:pPr>
            <w:r w:rsidRPr="00D62EF3">
              <w:rPr>
                <w:sz w:val="16"/>
              </w:rPr>
              <w:t>Routine tasks can be scaled with lower effort</w:t>
            </w:r>
          </w:p>
        </w:tc>
        <w:tc>
          <w:tcPr>
            <w:tcW w:w="2232" w:type="dxa"/>
            <w:tcMar>
              <w:top w:w="80" w:type="dxa"/>
              <w:left w:w="90" w:type="dxa"/>
              <w:bottom w:w="80" w:type="dxa"/>
              <w:right w:w="90" w:type="dxa"/>
            </w:tcMar>
            <w:vAlign w:val="center"/>
          </w:tcPr>
          <w:p w14:paraId="78BB00E9" w14:textId="77777777" w:rsidR="008A79E7" w:rsidRPr="00D62EF3" w:rsidRDefault="008E4374">
            <w:pPr>
              <w:spacing w:after="40" w:line="240" w:lineRule="auto"/>
            </w:pPr>
            <w:r w:rsidRPr="00D62EF3">
              <w:rPr>
                <w:sz w:val="16"/>
              </w:rPr>
              <w:t>Complex, emotional or high-stakes tasks raise need for human interaction</w:t>
            </w:r>
          </w:p>
        </w:tc>
        <w:tc>
          <w:tcPr>
            <w:tcW w:w="2088" w:type="dxa"/>
            <w:tcMar>
              <w:top w:w="80" w:type="dxa"/>
              <w:left w:w="90" w:type="dxa"/>
              <w:bottom w:w="80" w:type="dxa"/>
              <w:right w:w="90" w:type="dxa"/>
            </w:tcMar>
            <w:vAlign w:val="center"/>
          </w:tcPr>
          <w:p w14:paraId="391ED3FF" w14:textId="77777777" w:rsidR="008A79E7" w:rsidRPr="00D62EF3" w:rsidRDefault="008E4374">
            <w:pPr>
              <w:spacing w:after="40" w:line="240" w:lineRule="auto"/>
            </w:pPr>
            <w:r w:rsidRPr="00D62EF3">
              <w:rPr>
                <w:sz w:val="16"/>
              </w:rPr>
              <w:t>Task-contingent hybrid service is preferable to universal automation</w:t>
            </w:r>
          </w:p>
        </w:tc>
        <w:tc>
          <w:tcPr>
            <w:tcW w:w="1325" w:type="dxa"/>
            <w:tcMar>
              <w:top w:w="80" w:type="dxa"/>
              <w:left w:w="90" w:type="dxa"/>
              <w:bottom w:w="80" w:type="dxa"/>
              <w:right w:w="90" w:type="dxa"/>
            </w:tcMar>
            <w:vAlign w:val="center"/>
          </w:tcPr>
          <w:p w14:paraId="6EB7A018" w14:textId="77777777" w:rsidR="008A79E7" w:rsidRPr="00D62EF3" w:rsidRDefault="008E4374">
            <w:pPr>
              <w:spacing w:after="40" w:line="240" w:lineRule="auto"/>
            </w:pPr>
            <w:r w:rsidRPr="00D62EF3">
              <w:rPr>
                <w:sz w:val="16"/>
              </w:rPr>
              <w:t>Ashfaq et al. (2020); Sheehan et al. (2020); Wirtz et al. (2018)</w:t>
            </w:r>
          </w:p>
        </w:tc>
      </w:tr>
    </w:tbl>
    <w:p w14:paraId="46BD9FED" w14:textId="77777777" w:rsidR="008A79E7" w:rsidRPr="00D62EF3" w:rsidRDefault="008E4374">
      <w:pPr>
        <w:spacing w:before="60" w:after="160"/>
      </w:pPr>
      <w:r w:rsidRPr="00D62EF3">
        <w:rPr>
          <w:i/>
          <w:sz w:val="17"/>
        </w:rPr>
        <w:t>Note. PLS = partial least squares. Tables are selective analytical summaries rather than exhaustive inventories of all eligible evidence.</w:t>
      </w:r>
    </w:p>
    <w:p w14:paraId="73AD2175" w14:textId="77777777" w:rsidR="008A79E7" w:rsidRPr="00D62EF3" w:rsidRDefault="008E4374">
      <w:pPr>
        <w:pStyle w:val="Heading1"/>
        <w:rPr>
          <w:color w:val="auto"/>
        </w:rPr>
      </w:pPr>
      <w:r w:rsidRPr="00D62EF3">
        <w:rPr>
          <w:color w:val="auto"/>
        </w:rPr>
        <w:t>7. From Service Interaction to E-Marketing Outcomes</w:t>
      </w:r>
    </w:p>
    <w:p w14:paraId="53E987F4" w14:textId="77777777" w:rsidR="008A79E7" w:rsidRPr="00D62EF3" w:rsidRDefault="008E4374">
      <w:pPr>
        <w:jc w:val="both"/>
      </w:pPr>
      <w:r w:rsidRPr="00D62EF3">
        <w:t>A recurring weakness in the literature is the tendency to collapse customer experience, satisfaction, adoption and commercial performance into a single positive-outcome category. These constructs lie at different stages of the marketing pathway. Interaction quality can affect satisfaction without necessarily increasing purchase; willingness to use a chatbot can increase without changing brand loyalty; and organisational performance can improve through cost reduction even if some customers prefer human service. A critical synthesis must therefore track the chain from interface performance to psychological response and then to behaviour rather than assume that one favourable survey coefficient proves end-to-end marketing effectiveness.</w:t>
      </w:r>
    </w:p>
    <w:p w14:paraId="41117E9F" w14:textId="77777777" w:rsidR="008A79E7" w:rsidRPr="00D62EF3" w:rsidRDefault="008E4374">
      <w:pPr>
        <w:jc w:val="both"/>
      </w:pPr>
      <w:r w:rsidRPr="00D62EF3">
        <w:t xml:space="preserve">There is evidence for such downstream pathways, but it is uneven. Yun and Park (2022) linked chatbot satisfaction to repurchase intention and positive word-of-mouth in a service-recovery setting. Hsu and Lin (2023) linked core chatbot service quality and satisfaction to loyalty. Luo et al. (2019) measured purchase outcomes directly in a field context, providing stronger behavioural evidence that chatbot identity and customer perceptions can alter commercial conversion. These studies are particularly important because they move beyond stated acceptance. Yet their settings and populations differ from Jordan, so effect magnitudes should not be transferred. The robust inference is directional and conditional: conversational design can </w:t>
      </w:r>
      <w:r w:rsidRPr="00D62EF3">
        <w:lastRenderedPageBreak/>
        <w:t>influence downstream marketing outcomes because it changes trust, satisfaction and perceived competence, but the size and even sign of the effect depend on context.</w:t>
      </w:r>
    </w:p>
    <w:p w14:paraId="57337194" w14:textId="77777777" w:rsidR="008A79E7" w:rsidRPr="00D62EF3" w:rsidRDefault="008E4374">
      <w:pPr>
        <w:jc w:val="both"/>
      </w:pPr>
      <w:r w:rsidRPr="00D62EF3">
        <w:t>Jordanian social-media evidence extends the outcome space from customer service to e-marketing experience. Omeish et al. (2024) examined chatbots together with augmented reality and virtual influencers in relation to user experience and attitudes among Millennials. This matters because customers increasingly encounter AI assistants before they have a service problem: during product discovery, comparison, social engagement and recommendation. An assistant may therefore play a persuasive role as well as a support role. The evidential challenge is attribution. If a campaign includes AI-generated content, targeted advertising, recommendation algorithms and a chatbot, a cross-sectional measure of “AI experience” cannot establish which component caused the observed attitude or engagement.</w:t>
      </w:r>
    </w:p>
    <w:p w14:paraId="6B99101B" w14:textId="77777777" w:rsidR="008A79E7" w:rsidRPr="00D62EF3" w:rsidRDefault="008E4374">
      <w:pPr>
        <w:jc w:val="both"/>
      </w:pPr>
      <w:r w:rsidRPr="00D62EF3">
        <w:t>Managerial and enterprise studies in Jordan point in the same direction but remain distal. Al Htibat (2024) reports positive associations between AI dimensions and digital-marketing outcomes including personalisation and customer service. Magableh et al. (2024) proposes customer engagement and satisfaction as pathways between marketing AI and sustainable financial performance. Al-Haraizah et al. (2026) links AI applications with customer-service efficiency, consumer attitudes and business performance across consumer-oriented industries. Together, these studies support strategic relevance, but they do not provide a clean causal test of chatbot-mediated customer experience. The risk is a level-of-analysis fallacy: firm managers may observe better performance while individual customers vary widely in experience, and customer perceptions may improve without generating measurable incremental revenue.</w:t>
      </w:r>
    </w:p>
    <w:p w14:paraId="6A0BD7BD" w14:textId="77777777" w:rsidR="008A79E7" w:rsidRPr="00D62EF3" w:rsidRDefault="008E4374">
      <w:pPr>
        <w:jc w:val="both"/>
      </w:pPr>
      <w:r w:rsidRPr="00D62EF3">
        <w:t>For e-marketing practice, the appropriate measurement architecture is therefore multi-level. At the interaction level, firms should measure task completion, first-contact resolution, clarification rate, fallback and escalation, response accuracy and customer effort. At the relational level, satisfaction, trust, perceived control and perceived intrusiveness are more informative. At the behavioural level, repeat use, purchase conversion, complaint resolution, retention and customer-initiated sharing provide stronger evidence than intention alone. The current Jordanian literature contains pieces of this architecture but rarely measures the full pathway within the same study. Consequently, claims that chatbots “improve customer experience” in Jordan are defensible only when phrased as conditional and mechanism-specific, not as universal causal effects.</w:t>
      </w:r>
    </w:p>
    <w:p w14:paraId="63605848" w14:textId="77777777" w:rsidR="008A79E7" w:rsidRPr="00D62EF3" w:rsidRDefault="008E4374">
      <w:pPr>
        <w:pStyle w:val="Heading2"/>
        <w:rPr>
          <w:color w:val="auto"/>
        </w:rPr>
      </w:pPr>
      <w:r w:rsidRPr="00D62EF3">
        <w:rPr>
          <w:color w:val="auto"/>
        </w:rPr>
        <w:t>7.1 Customer Journey Stage, Communication Style and Experience Design</w:t>
      </w:r>
    </w:p>
    <w:p w14:paraId="0227AE35" w14:textId="77777777" w:rsidR="008A79E7" w:rsidRPr="00D62EF3" w:rsidRDefault="008E4374">
      <w:pPr>
        <w:jc w:val="both"/>
      </w:pPr>
      <w:r w:rsidRPr="00D62EF3">
        <w:t>Chatbot value changes across the customer journey because the customer's objective changes. During discovery and pre-purchase exploration, a conversational assistant can help customers articulate needs, compare alternatives and reduce information overload. In this stage, hedonic quality, conversational naturalness and the ability to explore rather than merely execute a command may matter more than in a post-purchase service task. Haugeland et al. (2022) experimentally showed that both interaction style and conversation type influence pragmatic and hedonic user experience: topic-led conversations can strengthen anthropomorphism and hedonic experience, while button-based interaction can sometimes support pragmatic and hedonic evaluations. This finding cautions against the assumption that free-text generative interaction is always superior. For a customer who wants a reliable answer or a clear choice among options, structured buttons may reduce ambiguity and cognitive effort. Jordanian e-marketing studies rarely distinguish exploratory from task-driven dialogue, leaving an important gap in how interface design should vary across journey stages.</w:t>
      </w:r>
    </w:p>
    <w:p w14:paraId="4752D7E2" w14:textId="77777777" w:rsidR="008A79E7" w:rsidRPr="00D62EF3" w:rsidRDefault="008E4374">
      <w:pPr>
        <w:jc w:val="both"/>
      </w:pPr>
      <w:r w:rsidRPr="00D62EF3">
        <w:lastRenderedPageBreak/>
        <w:t>Communication style also needs to be matched to customer characteristics. Xu et al. (2022) found that a social-oriented chatbot communication style could improve perceived warmth and satisfaction, but the effect depended on consumer attachment anxiety. The broader lesson is that relational language is heterogeneous in its effects. Some customers appreciate socially expressive interaction, while others may prefer concise, task-oriented support. This heterogeneity is especially relevant in Jordan because customer segments differ in age, digital familiarity, language preference and expectations of interpersonal service. A single brand voice applied across every task may therefore produce unnecessary friction. Firms should distinguish mandatory service language - clarity, respect and disclosure - from optional relational embellishment and test whether those features add value for specific segments.</w:t>
      </w:r>
    </w:p>
    <w:p w14:paraId="5030CE86" w14:textId="77777777" w:rsidR="008A79E7" w:rsidRPr="00D62EF3" w:rsidRDefault="008E4374">
      <w:pPr>
        <w:jc w:val="both"/>
      </w:pPr>
      <w:r w:rsidRPr="00D62EF3">
        <w:t>Uses-and-gratifications evidence provides a complementary explanation. Cheng and Jiang (2020), using a large survey of users of branded AI chatbots, found that utilitarian, hedonic, technological and social gratifications were related to satisfaction and continued use, while privacy risk remained part of the experience calculus. This multi-gratification perspective is useful for e-marketing because customers may use the same assistant for fundamentally different reasons. One user may seek a rapid delivery update, another may want product inspiration, and a third may be exploring a brand conversationally. Evaluating all three with the same satisfaction scale masks the fact that the assistant is performing different jobs. In Jordan, customer-experience research should therefore classify the interaction purpose before interpreting ratings of usefulness, enjoyment or warmth.</w:t>
      </w:r>
    </w:p>
    <w:p w14:paraId="7B6FB7DA" w14:textId="77777777" w:rsidR="008A79E7" w:rsidRPr="00D62EF3" w:rsidRDefault="008E4374">
      <w:pPr>
        <w:jc w:val="both"/>
      </w:pPr>
      <w:r w:rsidRPr="00D62EF3">
        <w:t>The purchase stage raises different requirements. Here, information accuracy, recommendation transparency and transactional confidence are central because the cost of a mistake is higher. Luo et al. (2019) shows that seemingly peripheral cues such as knowledge that the agent is a chatbot can affect purchase behaviour through perceptions of knowledge and empathy. This indicates that purchase-stage assistants should not use social polish as a substitute for verifiable product or policy information. Where recommendations are generated from customer data, the assistant should make the basis of the recommendation understandable enough to support informed choice. The most useful form of personalisation is therefore decision support that reduces irrelevant alternatives while preserving customer agency, not automated persuasion that obscures why an option is being promoted.</w:t>
      </w:r>
    </w:p>
    <w:p w14:paraId="07ED29D9" w14:textId="77777777" w:rsidR="008A79E7" w:rsidRPr="00D62EF3" w:rsidRDefault="008E4374">
      <w:pPr>
        <w:jc w:val="both"/>
      </w:pPr>
      <w:r w:rsidRPr="00D62EF3">
        <w:t>Post-purchase encounters shift the emphasis again toward reliability, service recovery and fairness. A customer checking an order status may welcome automation, whereas a customer disputing a charge or reporting repeated delivery failure may interpret continued bot interaction as obstruction. Evidence from service-recovery studies shows that assurance and reliability remain important and that emotionally appropriate language can improve some satisfaction pathways, but responsiveness alone does not guarantee recovery (Yun &amp; Park, 2022). When the assistant cannot authorise a remedy, recognise the emotional significance of a failure or access the necessary records, its role should change from attempted resolution to efficient triage. The experience objective becomes reducing the time and repetition required to reach a capable human agent.</w:t>
      </w:r>
    </w:p>
    <w:p w14:paraId="306B22DB" w14:textId="77777777" w:rsidR="008A79E7" w:rsidRPr="00D62EF3" w:rsidRDefault="008E4374">
      <w:pPr>
        <w:jc w:val="both"/>
      </w:pPr>
      <w:r w:rsidRPr="00D62EF3">
        <w:t>Across stages, continuity is a distinctive advantage of AI assistants over isolated chatbots, but it also increases governance risk. A system that remembers preferences across discovery, purchase and service can provide a coherent journey, yet it can also surprise customers by revealing how much behavioural history is being retained. The customer's perception of continuity will depend on whether memory is expected, controllable and beneficial. International privacy evidence suggests that convenience and personalisation do not automatically outweigh data concerns (Rese et al., 2020; Song et al., 2022). Future Jordanian research should therefore test not only whether conversational memory improves experience, but which types of memory customers consider legitimate across different e-marketing stages.</w:t>
      </w:r>
    </w:p>
    <w:p w14:paraId="1924E7CE" w14:textId="77777777" w:rsidR="008A79E7" w:rsidRPr="00D62EF3" w:rsidRDefault="008E4374">
      <w:pPr>
        <w:pStyle w:val="Heading2"/>
        <w:rPr>
          <w:color w:val="auto"/>
        </w:rPr>
      </w:pPr>
      <w:r w:rsidRPr="00D62EF3">
        <w:rPr>
          <w:color w:val="auto"/>
        </w:rPr>
        <w:lastRenderedPageBreak/>
        <w:t>7.2 Customer Heterogeneity, Inclusion and the Limits of Average Effects</w:t>
      </w:r>
    </w:p>
    <w:p w14:paraId="37DD7ED0" w14:textId="77777777" w:rsidR="008A79E7" w:rsidRPr="00D62EF3" w:rsidRDefault="008E4374">
      <w:pPr>
        <w:jc w:val="both"/>
      </w:pPr>
      <w:r w:rsidRPr="00D62EF3">
        <w:t>Average effects can conceal important subgroups. Ashfaq et al. (2020) and Sheehan et al. (2020) show that the need for human interaction changes how customers evaluate chatbot usefulness, ease and anthropomorphism. Mohamad et al. (2026) similarly identifies anxiety, self-efficacy and facilitating conditions as relevant to chatbot adoption in Jordanian digital public services. These findings imply that a chatbot which performs well for digitally confident customers can still lower experience quality for people who are uncertain about the technology or who value interpersonal reassurance. E-marketing strategies that direct all customers to the same automated channel risk converting an efficiency gain for the majority into exclusion for a minority.</w:t>
      </w:r>
    </w:p>
    <w:p w14:paraId="4756B526" w14:textId="77777777" w:rsidR="008A79E7" w:rsidRPr="00D62EF3" w:rsidRDefault="008E4374">
      <w:pPr>
        <w:jc w:val="both"/>
      </w:pPr>
      <w:r w:rsidRPr="00D62EF3">
        <w:t>Age and cohort are another source of heterogeneity. The Jordanian social-media evidence focuses specifically on Millennials (Omeish et al., 2024), which is appropriate for studying a digitally engaged cohort but cannot establish how older customers respond to conversational marketing. Older consumers may differ in typing habits, preference for voice, tolerance for disclosure, concern about fraud and ability to distinguish automated from human agents. Younger customers may be more familiar with AI but also more sceptical about data-driven targeting. Research should therefore compare cohorts using equivalent tasks rather than infer population-wide preferences from a single generation.</w:t>
      </w:r>
    </w:p>
    <w:p w14:paraId="6470467F" w14:textId="77777777" w:rsidR="008A79E7" w:rsidRPr="00D62EF3" w:rsidRDefault="008E4374">
      <w:pPr>
        <w:jc w:val="both"/>
      </w:pPr>
      <w:r w:rsidRPr="00D62EF3">
        <w:t>Digital inclusion also has a linguistic component. Customers who use colloquial Arabic, code-switching or transliterated Arabic may encounter more errors than users who phrase requests in the language style represented in training or intent libraries. Such differential error rates would be a customer-experience and fairness problem even if overall accuracy appears high. The existing evidence that unresolved misunderstanding damages adoption (Sheehan et al., 2020) means that subgroup performance should be monitored explicitly. Jordanian organisations should evaluate completion and escalation rates by language mode, not only aggregate satisfaction, while avoiding the collection of unnecessary sensitive profiling data.</w:t>
      </w:r>
    </w:p>
    <w:p w14:paraId="424D7238" w14:textId="77777777" w:rsidR="008A79E7" w:rsidRPr="00D62EF3" w:rsidRDefault="008E4374">
      <w:pPr>
        <w:jc w:val="both"/>
      </w:pPr>
      <w:r w:rsidRPr="00D62EF3">
        <w:t>Finally, segment-specific preferences should not be converted into manipulative targeting. If a customer appears anxious or confused, the appropriate response is to simplify the interaction, explain capabilities and offer human assistance, not to exploit uncertainty to increase conversion. The critical distinction is between adaptive service and adaptive persuasion. Current Jordanian AI-marketing studies establish the strategic importance of personalisation and data-driven decisions but do not yet provide strong evidence about customers' tolerance for behavioural inference in conversational settings (Al Htibat, 2024; Magableh et al., 2024). Responsible e-marketing therefore requires explicit boundaries around which inferred states may be used for service quality and which should not be used to intensify commercial pressure.</w:t>
      </w:r>
    </w:p>
    <w:p w14:paraId="3023A064" w14:textId="77777777" w:rsidR="008A79E7" w:rsidRPr="00D62EF3" w:rsidRDefault="008E4374">
      <w:pPr>
        <w:pStyle w:val="Heading1"/>
        <w:rPr>
          <w:color w:val="auto"/>
        </w:rPr>
      </w:pPr>
      <w:r w:rsidRPr="00D62EF3">
        <w:rPr>
          <w:color w:val="auto"/>
        </w:rPr>
        <w:t>8. Methodological Quality, Generalisability and Jordan-Specific Boundary Conditions</w:t>
      </w:r>
    </w:p>
    <w:p w14:paraId="61CCF232" w14:textId="77777777" w:rsidR="008A79E7" w:rsidRPr="00D62EF3" w:rsidRDefault="008E4374">
      <w:pPr>
        <w:jc w:val="both"/>
      </w:pPr>
      <w:r w:rsidRPr="00D62EF3">
        <w:t>The most important limitation of the Jordanian evidence base is design concentration. Many studies use single-wave questionnaires and structural equation models. These methods are valuable for testing associations among latent constructs, but they do not establish that exposure to a chatbot caused the customer outcome. Common-method variance is especially relevant when the same respondent reports both the predictor (for example, perceived chatbot personalisation) and the outcome (satisfaction) in the same survey. Positive associations may partly reflect general favourable attitudes toward the organisation or technology. Longitudinal designs, behavioural telemetry and randomised field experiments are needed to establish temporal order and incremental effects.</w:t>
      </w:r>
    </w:p>
    <w:p w14:paraId="0E744827" w14:textId="77777777" w:rsidR="008A79E7" w:rsidRPr="00D62EF3" w:rsidRDefault="008E4374">
      <w:pPr>
        <w:jc w:val="both"/>
      </w:pPr>
      <w:r w:rsidRPr="00D62EF3">
        <w:t xml:space="preserve">Sampling is a second limitation. Convenience and other non-probability approaches are common, and age-specific research such as the Jordanian Millennial social-media study is informative for an important market </w:t>
      </w:r>
      <w:r w:rsidRPr="00D62EF3">
        <w:lastRenderedPageBreak/>
        <w:t>segment but not representative of all consumers (Omeish et al., 2024). The sampling inconsistency in Hashem (2025) illustrates why reporting quality directly affects evidence weight. Digital-service users who are willing to participate in online surveys may also be more confident with technology than non-users, meaning the literature can understate anxiety, accessibility problems and demand for human contact. The longitudinal e-government study provides a useful corrective because it follows actual usage and continuance mechanisms over time, but it still addresses a public-service rather than commercial setting (Mohamad et al., 2026).</w:t>
      </w:r>
    </w:p>
    <w:p w14:paraId="1E00A76F" w14:textId="77777777" w:rsidR="008A79E7" w:rsidRPr="00D62EF3" w:rsidRDefault="008E4374">
      <w:pPr>
        <w:jc w:val="both"/>
      </w:pPr>
      <w:r w:rsidRPr="00D62EF3">
        <w:t>Sector concentration is a third issue. Banking appears frequently because financial institutions have resources, structured data and clear service processes that are conducive to chatbot deployment. Yet banking also has high privacy, security and service-criticality requirements. Findings may not transfer to fashion retail, tourism, telecommunications, food delivery or small online sellers. Conversely, low-stakes retail findings on anthropomorphism and enjoyment may not transfer to financial complaints. The international disclosure literature demonstrates precisely this context dependence: chatbot identity can be evaluated differently depending on service criticality and whether the interaction succeeds (Mozafari et al., 2022). Jordanian research should therefore avoid treating “e-marketing” as a homogeneous context.</w:t>
      </w:r>
    </w:p>
    <w:p w14:paraId="1A2407B2" w14:textId="77777777" w:rsidR="008A79E7" w:rsidRPr="00D62EF3" w:rsidRDefault="008E4374">
      <w:pPr>
        <w:jc w:val="both"/>
      </w:pPr>
      <w:r w:rsidRPr="00D62EF3">
        <w:t>Language and culture are under-researched boundary conditions. Most established chatbot experiments have been conducted in non-Jordanian settings and frequently in English or other high-resource languages. Jordanian e-marketing operates across Modern Standard Arabic, Jordanian colloquial Arabic, English and code-switching. These linguistic practices may influence intent recognition, politeness interpretation, perceived warmth and error rates. A system that performs well in scripted Modern Standard Arabic may still fail when users employ dialect, transliteration or mixed-language product terminology. Because clarification behaviour can preserve adoption after misunderstanding (Sheehan et al., 2020), Arabic-specific repair strategies should be treated as a central customer-experience variable, not merely a technical natural-language-processing problem.</w:t>
      </w:r>
    </w:p>
    <w:p w14:paraId="7347FE3E" w14:textId="77777777" w:rsidR="008A79E7" w:rsidRPr="00D62EF3" w:rsidRDefault="008E4374">
      <w:pPr>
        <w:jc w:val="both"/>
      </w:pPr>
      <w:r w:rsidRPr="00D62EF3">
        <w:t>Rapid technological change creates a fourth boundary. Much of the empirical chatbot literature evaluates intent-based or retrieval-oriented systems rather than large-language-model assistants capable of generating open-ended responses. The social-response findings remain relevant, but generative systems change the balance between conversational fluency and answer reliability. They can create more coherent personalisation and dialogue while increasing the possibility of unsupported or inconsistent claims. The older finding that speaking humanness without listening humanness can undermine trust becomes especially salient in generative AI, where eloquence may exceed grounded understanding (Hu et al., 2021). Jordanian organisations should therefore not assume that evidence from earlier scripted chatbots transfers unchanged to generative assistants.</w:t>
      </w:r>
    </w:p>
    <w:p w14:paraId="2BF194C6" w14:textId="77777777" w:rsidR="008A79E7" w:rsidRPr="00D62EF3" w:rsidRDefault="008E4374">
      <w:pPr>
        <w:jc w:val="both"/>
      </w:pPr>
      <w:r w:rsidRPr="00D62EF3">
        <w:t>Finally, outcome measurement is often attitudinal. Behavioural outcomes such as actual purchase, retention, escalation, complaint resolution and cross-channel conversion are comparatively scarce. Luo et al. (2019) demonstrates the value of field behaviour by showing that disclosure can affect purchase rates. Without comparable field evidence in Jordan, claims about revenue or loyalty remain largely inferred from satisfaction and intention. Organisational studies provide complementary performance perspectives, but they cannot resolve customer-level causal pathways. The field is therefore at a stage where mechanism plausibility is relatively strong, context-specific effect size evidence is weak, and claims of universal business return should be resisted.</w:t>
      </w:r>
    </w:p>
    <w:p w14:paraId="6DE53A55" w14:textId="77777777" w:rsidR="008A79E7" w:rsidRPr="00D62EF3" w:rsidRDefault="008E4374">
      <w:pPr>
        <w:keepNext/>
        <w:spacing w:before="100"/>
        <w:jc w:val="both"/>
      </w:pPr>
      <w:r w:rsidRPr="00D62EF3">
        <w:t xml:space="preserve">Table 5 converts the appraisal into concrete evidence gaps. The most consequential gaps concern causal design, behavioural outcomes, Arabic-language interaction and inclusion of customers who are less digitally </w:t>
      </w:r>
      <w:r w:rsidRPr="00D62EF3">
        <w:lastRenderedPageBreak/>
        <w:t>confident. Addressing these gaps would materially improve both scientific validity and e-marketing decision quality in Jordan.</w:t>
      </w:r>
    </w:p>
    <w:p w14:paraId="0DFBB6E2" w14:textId="77777777" w:rsidR="008A79E7" w:rsidRPr="00D62EF3" w:rsidRDefault="008E4374">
      <w:pPr>
        <w:pStyle w:val="TableCaption"/>
        <w:rPr>
          <w:color w:val="auto"/>
        </w:rPr>
      </w:pPr>
      <w:r w:rsidRPr="00D62EF3">
        <w:rPr>
          <w:color w:val="auto"/>
        </w:rPr>
        <w:t>Table 5. Priority methodological gaps for Jordan-focused research</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16AC494D" w14:textId="77777777" w:rsidTr="00D62EF3">
        <w:trPr>
          <w:tblHeader/>
          <w:jc w:val="center"/>
        </w:trPr>
        <w:tc>
          <w:tcPr>
            <w:tcW w:w="1843" w:type="dxa"/>
            <w:tcMar>
              <w:top w:w="80" w:type="dxa"/>
              <w:left w:w="90" w:type="dxa"/>
              <w:bottom w:w="80" w:type="dxa"/>
              <w:right w:w="90" w:type="dxa"/>
            </w:tcMar>
            <w:vAlign w:val="center"/>
          </w:tcPr>
          <w:p w14:paraId="0CA3B414" w14:textId="77777777" w:rsidR="008A79E7" w:rsidRPr="00D62EF3" w:rsidRDefault="008E4374">
            <w:pPr>
              <w:spacing w:after="40" w:line="240" w:lineRule="auto"/>
            </w:pPr>
            <w:r w:rsidRPr="00D62EF3">
              <w:rPr>
                <w:b/>
                <w:sz w:val="17"/>
              </w:rPr>
              <w:t>Evidence gap</w:t>
            </w:r>
          </w:p>
        </w:tc>
        <w:tc>
          <w:tcPr>
            <w:tcW w:w="2088" w:type="dxa"/>
            <w:tcMar>
              <w:top w:w="80" w:type="dxa"/>
              <w:left w:w="90" w:type="dxa"/>
              <w:bottom w:w="80" w:type="dxa"/>
              <w:right w:w="90" w:type="dxa"/>
            </w:tcMar>
            <w:vAlign w:val="center"/>
          </w:tcPr>
          <w:p w14:paraId="7F400AAD" w14:textId="77777777" w:rsidR="008A79E7" w:rsidRPr="00D62EF3" w:rsidRDefault="008E4374">
            <w:pPr>
              <w:spacing w:after="40" w:line="240" w:lineRule="auto"/>
            </w:pPr>
            <w:r w:rsidRPr="00D62EF3">
              <w:rPr>
                <w:b/>
                <w:sz w:val="17"/>
              </w:rPr>
              <w:t>Why current evidence is inadequate</w:t>
            </w:r>
          </w:p>
        </w:tc>
        <w:tc>
          <w:tcPr>
            <w:tcW w:w="2232" w:type="dxa"/>
            <w:tcMar>
              <w:top w:w="80" w:type="dxa"/>
              <w:left w:w="90" w:type="dxa"/>
              <w:bottom w:w="80" w:type="dxa"/>
              <w:right w:w="90" w:type="dxa"/>
            </w:tcMar>
            <w:vAlign w:val="center"/>
          </w:tcPr>
          <w:p w14:paraId="56E67D84" w14:textId="77777777" w:rsidR="008A79E7" w:rsidRPr="00D62EF3" w:rsidRDefault="008E4374">
            <w:pPr>
              <w:spacing w:after="40" w:line="240" w:lineRule="auto"/>
            </w:pPr>
            <w:r w:rsidRPr="00D62EF3">
              <w:rPr>
                <w:b/>
                <w:sz w:val="17"/>
              </w:rPr>
              <w:t>Priority design</w:t>
            </w:r>
          </w:p>
        </w:tc>
        <w:tc>
          <w:tcPr>
            <w:tcW w:w="2088" w:type="dxa"/>
            <w:tcMar>
              <w:top w:w="80" w:type="dxa"/>
              <w:left w:w="90" w:type="dxa"/>
              <w:bottom w:w="80" w:type="dxa"/>
              <w:right w:w="90" w:type="dxa"/>
            </w:tcMar>
            <w:vAlign w:val="center"/>
          </w:tcPr>
          <w:p w14:paraId="636A15BB" w14:textId="77777777" w:rsidR="008A79E7" w:rsidRPr="00D62EF3" w:rsidRDefault="008E4374">
            <w:pPr>
              <w:spacing w:after="40" w:line="240" w:lineRule="auto"/>
            </w:pPr>
            <w:r w:rsidRPr="00D62EF3">
              <w:rPr>
                <w:b/>
                <w:sz w:val="17"/>
              </w:rPr>
              <w:t>Outcome emphasis</w:t>
            </w:r>
          </w:p>
        </w:tc>
        <w:tc>
          <w:tcPr>
            <w:tcW w:w="1325" w:type="dxa"/>
            <w:tcMar>
              <w:top w:w="80" w:type="dxa"/>
              <w:left w:w="90" w:type="dxa"/>
              <w:bottom w:w="80" w:type="dxa"/>
              <w:right w:w="90" w:type="dxa"/>
            </w:tcMar>
            <w:vAlign w:val="center"/>
          </w:tcPr>
          <w:p w14:paraId="77D08C89" w14:textId="77777777" w:rsidR="008A79E7" w:rsidRPr="00D62EF3" w:rsidRDefault="008E4374">
            <w:pPr>
              <w:spacing w:after="40" w:line="240" w:lineRule="auto"/>
            </w:pPr>
            <w:r w:rsidRPr="00D62EF3">
              <w:rPr>
                <w:b/>
                <w:sz w:val="17"/>
              </w:rPr>
              <w:t>Supporting references</w:t>
            </w:r>
          </w:p>
        </w:tc>
      </w:tr>
      <w:tr w:rsidR="00D62EF3" w:rsidRPr="00D62EF3" w14:paraId="733D9FC7" w14:textId="77777777" w:rsidTr="00D62EF3">
        <w:trPr>
          <w:jc w:val="center"/>
        </w:trPr>
        <w:tc>
          <w:tcPr>
            <w:tcW w:w="1843" w:type="dxa"/>
            <w:tcMar>
              <w:top w:w="80" w:type="dxa"/>
              <w:left w:w="90" w:type="dxa"/>
              <w:bottom w:w="80" w:type="dxa"/>
              <w:right w:w="90" w:type="dxa"/>
            </w:tcMar>
            <w:vAlign w:val="center"/>
          </w:tcPr>
          <w:p w14:paraId="6A84C73E" w14:textId="77777777" w:rsidR="008A79E7" w:rsidRPr="00D62EF3" w:rsidRDefault="008E4374">
            <w:pPr>
              <w:spacing w:after="40" w:line="240" w:lineRule="auto"/>
            </w:pPr>
            <w:r w:rsidRPr="00D62EF3">
              <w:rPr>
                <w:sz w:val="16"/>
              </w:rPr>
              <w:t>Causal effect of chatbots in Jordan</w:t>
            </w:r>
          </w:p>
        </w:tc>
        <w:tc>
          <w:tcPr>
            <w:tcW w:w="2088" w:type="dxa"/>
            <w:tcMar>
              <w:top w:w="80" w:type="dxa"/>
              <w:left w:w="90" w:type="dxa"/>
              <w:bottom w:w="80" w:type="dxa"/>
              <w:right w:w="90" w:type="dxa"/>
            </w:tcMar>
            <w:vAlign w:val="center"/>
          </w:tcPr>
          <w:p w14:paraId="02DC7F2D" w14:textId="77777777" w:rsidR="008A79E7" w:rsidRPr="00D62EF3" w:rsidRDefault="008E4374">
            <w:pPr>
              <w:spacing w:after="40" w:line="240" w:lineRule="auto"/>
            </w:pPr>
            <w:r w:rsidRPr="00D62EF3">
              <w:rPr>
                <w:sz w:val="16"/>
              </w:rPr>
              <w:t>Cross-sectional surveys dominate and cannot establish incremental effects</w:t>
            </w:r>
          </w:p>
        </w:tc>
        <w:tc>
          <w:tcPr>
            <w:tcW w:w="2232" w:type="dxa"/>
            <w:tcMar>
              <w:top w:w="80" w:type="dxa"/>
              <w:left w:w="90" w:type="dxa"/>
              <w:bottom w:w="80" w:type="dxa"/>
              <w:right w:w="90" w:type="dxa"/>
            </w:tcMar>
            <w:vAlign w:val="center"/>
          </w:tcPr>
          <w:p w14:paraId="6007992B" w14:textId="77777777" w:rsidR="008A79E7" w:rsidRPr="00D62EF3" w:rsidRDefault="008E4374">
            <w:pPr>
              <w:spacing w:after="40" w:line="240" w:lineRule="auto"/>
            </w:pPr>
            <w:r w:rsidRPr="00D62EF3">
              <w:rPr>
                <w:sz w:val="16"/>
              </w:rPr>
              <w:t>Randomised field A/B tests or stepped deployment studies</w:t>
            </w:r>
          </w:p>
        </w:tc>
        <w:tc>
          <w:tcPr>
            <w:tcW w:w="2088" w:type="dxa"/>
            <w:tcMar>
              <w:top w:w="80" w:type="dxa"/>
              <w:left w:w="90" w:type="dxa"/>
              <w:bottom w:w="80" w:type="dxa"/>
              <w:right w:w="90" w:type="dxa"/>
            </w:tcMar>
            <w:vAlign w:val="center"/>
          </w:tcPr>
          <w:p w14:paraId="1E8BECD4" w14:textId="77777777" w:rsidR="008A79E7" w:rsidRPr="00D62EF3" w:rsidRDefault="008E4374">
            <w:pPr>
              <w:spacing w:after="40" w:line="240" w:lineRule="auto"/>
            </w:pPr>
            <w:r w:rsidRPr="00D62EF3">
              <w:rPr>
                <w:sz w:val="16"/>
              </w:rPr>
              <w:t>Task completion, conversion, satisfaction, retention and escalation</w:t>
            </w:r>
          </w:p>
        </w:tc>
        <w:tc>
          <w:tcPr>
            <w:tcW w:w="1325" w:type="dxa"/>
            <w:tcMar>
              <w:top w:w="80" w:type="dxa"/>
              <w:left w:w="90" w:type="dxa"/>
              <w:bottom w:w="80" w:type="dxa"/>
              <w:right w:w="90" w:type="dxa"/>
            </w:tcMar>
            <w:vAlign w:val="center"/>
          </w:tcPr>
          <w:p w14:paraId="79094233" w14:textId="77777777" w:rsidR="008A79E7" w:rsidRPr="00D62EF3" w:rsidRDefault="008E4374">
            <w:pPr>
              <w:spacing w:after="40" w:line="240" w:lineRule="auto"/>
            </w:pPr>
            <w:r w:rsidRPr="00D62EF3">
              <w:rPr>
                <w:sz w:val="16"/>
              </w:rPr>
              <w:t>Alshibly et al. (2024); Hashem (2025)</w:t>
            </w:r>
          </w:p>
        </w:tc>
      </w:tr>
      <w:tr w:rsidR="00D62EF3" w:rsidRPr="00D62EF3" w14:paraId="0322F4D2" w14:textId="77777777" w:rsidTr="00D62EF3">
        <w:trPr>
          <w:jc w:val="center"/>
        </w:trPr>
        <w:tc>
          <w:tcPr>
            <w:tcW w:w="1843" w:type="dxa"/>
            <w:tcMar>
              <w:top w:w="80" w:type="dxa"/>
              <w:left w:w="90" w:type="dxa"/>
              <w:bottom w:w="80" w:type="dxa"/>
              <w:right w:w="90" w:type="dxa"/>
            </w:tcMar>
            <w:vAlign w:val="center"/>
          </w:tcPr>
          <w:p w14:paraId="1E277BDF" w14:textId="77777777" w:rsidR="008A79E7" w:rsidRPr="00D62EF3" w:rsidRDefault="008E4374">
            <w:pPr>
              <w:spacing w:after="40" w:line="240" w:lineRule="auto"/>
            </w:pPr>
            <w:r w:rsidRPr="00D62EF3">
              <w:rPr>
                <w:sz w:val="16"/>
              </w:rPr>
              <w:t>Arabic dialect and code-switching performance</w:t>
            </w:r>
          </w:p>
        </w:tc>
        <w:tc>
          <w:tcPr>
            <w:tcW w:w="2088" w:type="dxa"/>
            <w:tcMar>
              <w:top w:w="80" w:type="dxa"/>
              <w:left w:w="90" w:type="dxa"/>
              <w:bottom w:w="80" w:type="dxa"/>
              <w:right w:w="90" w:type="dxa"/>
            </w:tcMar>
            <w:vAlign w:val="center"/>
          </w:tcPr>
          <w:p w14:paraId="6BC7E71C" w14:textId="77777777" w:rsidR="008A79E7" w:rsidRPr="00D62EF3" w:rsidRDefault="008E4374">
            <w:pPr>
              <w:spacing w:after="40" w:line="240" w:lineRule="auto"/>
            </w:pPr>
            <w:r w:rsidRPr="00D62EF3">
              <w:rPr>
                <w:sz w:val="16"/>
              </w:rPr>
              <w:t>Most design evidence comes from non-Jordanian language contexts</w:t>
            </w:r>
          </w:p>
        </w:tc>
        <w:tc>
          <w:tcPr>
            <w:tcW w:w="2232" w:type="dxa"/>
            <w:tcMar>
              <w:top w:w="80" w:type="dxa"/>
              <w:left w:w="90" w:type="dxa"/>
              <w:bottom w:w="80" w:type="dxa"/>
              <w:right w:w="90" w:type="dxa"/>
            </w:tcMar>
            <w:vAlign w:val="center"/>
          </w:tcPr>
          <w:p w14:paraId="6EFA19DA" w14:textId="77777777" w:rsidR="008A79E7" w:rsidRPr="00D62EF3" w:rsidRDefault="008E4374">
            <w:pPr>
              <w:spacing w:after="40" w:line="240" w:lineRule="auto"/>
            </w:pPr>
            <w:r w:rsidRPr="00D62EF3">
              <w:rPr>
                <w:sz w:val="16"/>
              </w:rPr>
              <w:t>Controlled interaction experiments plus real conversation-log analysis</w:t>
            </w:r>
          </w:p>
        </w:tc>
        <w:tc>
          <w:tcPr>
            <w:tcW w:w="2088" w:type="dxa"/>
            <w:tcMar>
              <w:top w:w="80" w:type="dxa"/>
              <w:left w:w="90" w:type="dxa"/>
              <w:bottom w:w="80" w:type="dxa"/>
              <w:right w:w="90" w:type="dxa"/>
            </w:tcMar>
            <w:vAlign w:val="center"/>
          </w:tcPr>
          <w:p w14:paraId="0BBEA3A1" w14:textId="77777777" w:rsidR="008A79E7" w:rsidRPr="00D62EF3" w:rsidRDefault="008E4374">
            <w:pPr>
              <w:spacing w:after="40" w:line="240" w:lineRule="auto"/>
            </w:pPr>
            <w:r w:rsidRPr="00D62EF3">
              <w:rPr>
                <w:sz w:val="16"/>
              </w:rPr>
              <w:t>Understanding accuracy, repair success, effort and trust</w:t>
            </w:r>
          </w:p>
        </w:tc>
        <w:tc>
          <w:tcPr>
            <w:tcW w:w="1325" w:type="dxa"/>
            <w:tcMar>
              <w:top w:w="80" w:type="dxa"/>
              <w:left w:w="90" w:type="dxa"/>
              <w:bottom w:w="80" w:type="dxa"/>
              <w:right w:w="90" w:type="dxa"/>
            </w:tcMar>
            <w:vAlign w:val="center"/>
          </w:tcPr>
          <w:p w14:paraId="2B980C77" w14:textId="77777777" w:rsidR="008A79E7" w:rsidRPr="00D62EF3" w:rsidRDefault="008E4374">
            <w:pPr>
              <w:spacing w:after="40" w:line="240" w:lineRule="auto"/>
            </w:pPr>
            <w:r w:rsidRPr="00D62EF3">
              <w:rPr>
                <w:sz w:val="16"/>
              </w:rPr>
              <w:t>Sheehan et al. (2020); Hu et al. (2021)</w:t>
            </w:r>
          </w:p>
        </w:tc>
      </w:tr>
      <w:tr w:rsidR="00D62EF3" w:rsidRPr="00D62EF3" w14:paraId="385B0D53" w14:textId="77777777" w:rsidTr="00D62EF3">
        <w:trPr>
          <w:jc w:val="center"/>
        </w:trPr>
        <w:tc>
          <w:tcPr>
            <w:tcW w:w="1843" w:type="dxa"/>
            <w:tcMar>
              <w:top w:w="80" w:type="dxa"/>
              <w:left w:w="90" w:type="dxa"/>
              <w:bottom w:w="80" w:type="dxa"/>
              <w:right w:w="90" w:type="dxa"/>
            </w:tcMar>
            <w:vAlign w:val="center"/>
          </w:tcPr>
          <w:p w14:paraId="6F16C99E" w14:textId="77777777" w:rsidR="008A79E7" w:rsidRPr="00D62EF3" w:rsidRDefault="008E4374">
            <w:pPr>
              <w:spacing w:after="40" w:line="240" w:lineRule="auto"/>
            </w:pPr>
            <w:r w:rsidRPr="00D62EF3">
              <w:rPr>
                <w:sz w:val="16"/>
              </w:rPr>
              <w:t xml:space="preserve">Privacy and </w:t>
            </w:r>
            <w:proofErr w:type="spellStart"/>
            <w:r w:rsidRPr="00D62EF3">
              <w:rPr>
                <w:sz w:val="16"/>
              </w:rPr>
              <w:t>personalisation</w:t>
            </w:r>
            <w:proofErr w:type="spellEnd"/>
            <w:r w:rsidRPr="00D62EF3">
              <w:rPr>
                <w:sz w:val="16"/>
              </w:rPr>
              <w:t xml:space="preserve"> trade-off</w:t>
            </w:r>
          </w:p>
        </w:tc>
        <w:tc>
          <w:tcPr>
            <w:tcW w:w="2088" w:type="dxa"/>
            <w:tcMar>
              <w:top w:w="80" w:type="dxa"/>
              <w:left w:w="90" w:type="dxa"/>
              <w:bottom w:w="80" w:type="dxa"/>
              <w:right w:w="90" w:type="dxa"/>
            </w:tcMar>
            <w:vAlign w:val="center"/>
          </w:tcPr>
          <w:p w14:paraId="5841AE7B" w14:textId="77777777" w:rsidR="008A79E7" w:rsidRPr="00D62EF3" w:rsidRDefault="008E4374">
            <w:pPr>
              <w:spacing w:after="40" w:line="240" w:lineRule="auto"/>
            </w:pPr>
            <w:r w:rsidRPr="00D62EF3">
              <w:rPr>
                <w:sz w:val="16"/>
              </w:rPr>
              <w:t>Local studies emphasise personalisation but rarely test data-use acceptability</w:t>
            </w:r>
          </w:p>
        </w:tc>
        <w:tc>
          <w:tcPr>
            <w:tcW w:w="2232" w:type="dxa"/>
            <w:tcMar>
              <w:top w:w="80" w:type="dxa"/>
              <w:left w:w="90" w:type="dxa"/>
              <w:bottom w:w="80" w:type="dxa"/>
              <w:right w:w="90" w:type="dxa"/>
            </w:tcMar>
            <w:vAlign w:val="center"/>
          </w:tcPr>
          <w:p w14:paraId="6ACF8DCE" w14:textId="77777777" w:rsidR="008A79E7" w:rsidRPr="00D62EF3" w:rsidRDefault="008E4374">
            <w:pPr>
              <w:spacing w:after="40" w:line="240" w:lineRule="auto"/>
            </w:pPr>
            <w:r w:rsidRPr="00D62EF3">
              <w:rPr>
                <w:sz w:val="16"/>
              </w:rPr>
              <w:t>Factorial experiments varying data source, consent and explanation</w:t>
            </w:r>
          </w:p>
        </w:tc>
        <w:tc>
          <w:tcPr>
            <w:tcW w:w="2088" w:type="dxa"/>
            <w:tcMar>
              <w:top w:w="80" w:type="dxa"/>
              <w:left w:w="90" w:type="dxa"/>
              <w:bottom w:w="80" w:type="dxa"/>
              <w:right w:w="90" w:type="dxa"/>
            </w:tcMar>
            <w:vAlign w:val="center"/>
          </w:tcPr>
          <w:p w14:paraId="378011F8" w14:textId="77777777" w:rsidR="008A79E7" w:rsidRPr="00D62EF3" w:rsidRDefault="008E4374">
            <w:pPr>
              <w:spacing w:after="40" w:line="240" w:lineRule="auto"/>
            </w:pPr>
            <w:r w:rsidRPr="00D62EF3">
              <w:rPr>
                <w:sz w:val="16"/>
              </w:rPr>
              <w:t>Trust, perceived intrusiveness, disclosure willingness and purchase</w:t>
            </w:r>
          </w:p>
        </w:tc>
        <w:tc>
          <w:tcPr>
            <w:tcW w:w="1325" w:type="dxa"/>
            <w:tcMar>
              <w:top w:w="80" w:type="dxa"/>
              <w:left w:w="90" w:type="dxa"/>
              <w:bottom w:w="80" w:type="dxa"/>
              <w:right w:w="90" w:type="dxa"/>
            </w:tcMar>
            <w:vAlign w:val="center"/>
          </w:tcPr>
          <w:p w14:paraId="473E33EE" w14:textId="77777777" w:rsidR="008A79E7" w:rsidRPr="00D62EF3" w:rsidRDefault="008E4374">
            <w:pPr>
              <w:spacing w:after="40" w:line="240" w:lineRule="auto"/>
            </w:pPr>
            <w:r w:rsidRPr="00D62EF3">
              <w:rPr>
                <w:sz w:val="16"/>
              </w:rPr>
              <w:t>Song et al. (2022); Al Htibat (2024)</w:t>
            </w:r>
          </w:p>
        </w:tc>
      </w:tr>
      <w:tr w:rsidR="00D62EF3" w:rsidRPr="00D62EF3" w14:paraId="5C16F6EF" w14:textId="77777777" w:rsidTr="00D62EF3">
        <w:trPr>
          <w:jc w:val="center"/>
        </w:trPr>
        <w:tc>
          <w:tcPr>
            <w:tcW w:w="1843" w:type="dxa"/>
            <w:tcMar>
              <w:top w:w="80" w:type="dxa"/>
              <w:left w:w="90" w:type="dxa"/>
              <w:bottom w:w="80" w:type="dxa"/>
              <w:right w:w="90" w:type="dxa"/>
            </w:tcMar>
            <w:vAlign w:val="center"/>
          </w:tcPr>
          <w:p w14:paraId="181AF728" w14:textId="77777777" w:rsidR="008A79E7" w:rsidRPr="00D62EF3" w:rsidRDefault="008E4374">
            <w:pPr>
              <w:spacing w:after="40" w:line="240" w:lineRule="auto"/>
            </w:pPr>
            <w:r w:rsidRPr="00D62EF3">
              <w:rPr>
                <w:sz w:val="16"/>
              </w:rPr>
              <w:t>High-stakes failure and escalation</w:t>
            </w:r>
          </w:p>
        </w:tc>
        <w:tc>
          <w:tcPr>
            <w:tcW w:w="2088" w:type="dxa"/>
            <w:tcMar>
              <w:top w:w="80" w:type="dxa"/>
              <w:left w:w="90" w:type="dxa"/>
              <w:bottom w:w="80" w:type="dxa"/>
              <w:right w:w="90" w:type="dxa"/>
            </w:tcMar>
            <w:vAlign w:val="center"/>
          </w:tcPr>
          <w:p w14:paraId="5D887061" w14:textId="77777777" w:rsidR="008A79E7" w:rsidRPr="00D62EF3" w:rsidRDefault="008E4374">
            <w:pPr>
              <w:spacing w:after="40" w:line="240" w:lineRule="auto"/>
            </w:pPr>
            <w:r w:rsidRPr="00D62EF3">
              <w:rPr>
                <w:sz w:val="16"/>
              </w:rPr>
              <w:t>Routine-use surveys underrepresent angry or vulnerable customers</w:t>
            </w:r>
          </w:p>
        </w:tc>
        <w:tc>
          <w:tcPr>
            <w:tcW w:w="2232" w:type="dxa"/>
            <w:tcMar>
              <w:top w:w="80" w:type="dxa"/>
              <w:left w:w="90" w:type="dxa"/>
              <w:bottom w:w="80" w:type="dxa"/>
              <w:right w:w="90" w:type="dxa"/>
            </w:tcMar>
            <w:vAlign w:val="center"/>
          </w:tcPr>
          <w:p w14:paraId="564C1194" w14:textId="77777777" w:rsidR="008A79E7" w:rsidRPr="00D62EF3" w:rsidRDefault="008E4374">
            <w:pPr>
              <w:spacing w:after="40" w:line="240" w:lineRule="auto"/>
            </w:pPr>
            <w:r w:rsidRPr="00D62EF3">
              <w:rPr>
                <w:sz w:val="16"/>
              </w:rPr>
              <w:t>Scenario experiments and field studies of complaints/service failures</w:t>
            </w:r>
          </w:p>
        </w:tc>
        <w:tc>
          <w:tcPr>
            <w:tcW w:w="2088" w:type="dxa"/>
            <w:tcMar>
              <w:top w:w="80" w:type="dxa"/>
              <w:left w:w="90" w:type="dxa"/>
              <w:bottom w:w="80" w:type="dxa"/>
              <w:right w:w="90" w:type="dxa"/>
            </w:tcMar>
            <w:vAlign w:val="center"/>
          </w:tcPr>
          <w:p w14:paraId="3F4B3A86" w14:textId="77777777" w:rsidR="008A79E7" w:rsidRPr="00D62EF3" w:rsidRDefault="008E4374">
            <w:pPr>
              <w:spacing w:after="40" w:line="240" w:lineRule="auto"/>
            </w:pPr>
            <w:r w:rsidRPr="00D62EF3">
              <w:rPr>
                <w:sz w:val="16"/>
              </w:rPr>
              <w:t>Recovery satisfaction, repeat contact, complaint resolution and churn</w:t>
            </w:r>
          </w:p>
        </w:tc>
        <w:tc>
          <w:tcPr>
            <w:tcW w:w="1325" w:type="dxa"/>
            <w:tcMar>
              <w:top w:w="80" w:type="dxa"/>
              <w:left w:w="90" w:type="dxa"/>
              <w:bottom w:w="80" w:type="dxa"/>
              <w:right w:w="90" w:type="dxa"/>
            </w:tcMar>
            <w:vAlign w:val="center"/>
          </w:tcPr>
          <w:p w14:paraId="441105C4" w14:textId="77777777" w:rsidR="008A79E7" w:rsidRPr="00D62EF3" w:rsidRDefault="008E4374">
            <w:pPr>
              <w:spacing w:after="40" w:line="240" w:lineRule="auto"/>
            </w:pPr>
            <w:r w:rsidRPr="00D62EF3">
              <w:rPr>
                <w:sz w:val="16"/>
              </w:rPr>
              <w:t>Crolic et al. (2022); Yun &amp; Park (2022)</w:t>
            </w:r>
          </w:p>
        </w:tc>
      </w:tr>
      <w:tr w:rsidR="00D62EF3" w:rsidRPr="00D62EF3" w14:paraId="4AE02C57" w14:textId="77777777" w:rsidTr="00D62EF3">
        <w:trPr>
          <w:jc w:val="center"/>
        </w:trPr>
        <w:tc>
          <w:tcPr>
            <w:tcW w:w="1843" w:type="dxa"/>
            <w:tcMar>
              <w:top w:w="80" w:type="dxa"/>
              <w:left w:w="90" w:type="dxa"/>
              <w:bottom w:w="80" w:type="dxa"/>
              <w:right w:w="90" w:type="dxa"/>
            </w:tcMar>
            <w:vAlign w:val="center"/>
          </w:tcPr>
          <w:p w14:paraId="780C1AA5" w14:textId="77777777" w:rsidR="008A79E7" w:rsidRPr="00D62EF3" w:rsidRDefault="008E4374">
            <w:pPr>
              <w:spacing w:after="40" w:line="240" w:lineRule="auto"/>
            </w:pPr>
            <w:r w:rsidRPr="00D62EF3">
              <w:rPr>
                <w:sz w:val="16"/>
              </w:rPr>
              <w:t>Generational and digital-inclusion effects</w:t>
            </w:r>
          </w:p>
        </w:tc>
        <w:tc>
          <w:tcPr>
            <w:tcW w:w="2088" w:type="dxa"/>
            <w:tcMar>
              <w:top w:w="80" w:type="dxa"/>
              <w:left w:w="90" w:type="dxa"/>
              <w:bottom w:w="80" w:type="dxa"/>
              <w:right w:w="90" w:type="dxa"/>
            </w:tcMar>
            <w:vAlign w:val="center"/>
          </w:tcPr>
          <w:p w14:paraId="03671465" w14:textId="77777777" w:rsidR="008A79E7" w:rsidRPr="00D62EF3" w:rsidRDefault="008E4374">
            <w:pPr>
              <w:spacing w:after="40" w:line="240" w:lineRule="auto"/>
            </w:pPr>
            <w:r w:rsidRPr="00D62EF3">
              <w:rPr>
                <w:sz w:val="16"/>
              </w:rPr>
              <w:t>Millennials and existing digital users are overrepresented</w:t>
            </w:r>
          </w:p>
        </w:tc>
        <w:tc>
          <w:tcPr>
            <w:tcW w:w="2232" w:type="dxa"/>
            <w:tcMar>
              <w:top w:w="80" w:type="dxa"/>
              <w:left w:w="90" w:type="dxa"/>
              <w:bottom w:w="80" w:type="dxa"/>
              <w:right w:w="90" w:type="dxa"/>
            </w:tcMar>
            <w:vAlign w:val="center"/>
          </w:tcPr>
          <w:p w14:paraId="24862243" w14:textId="77777777" w:rsidR="008A79E7" w:rsidRPr="00D62EF3" w:rsidRDefault="008E4374">
            <w:pPr>
              <w:spacing w:after="40" w:line="240" w:lineRule="auto"/>
            </w:pPr>
            <w:r w:rsidRPr="00D62EF3">
              <w:rPr>
                <w:sz w:val="16"/>
              </w:rPr>
              <w:t>Stratified probability or quota samples including older/low-confidence users</w:t>
            </w:r>
          </w:p>
        </w:tc>
        <w:tc>
          <w:tcPr>
            <w:tcW w:w="2088" w:type="dxa"/>
            <w:tcMar>
              <w:top w:w="80" w:type="dxa"/>
              <w:left w:w="90" w:type="dxa"/>
              <w:bottom w:w="80" w:type="dxa"/>
              <w:right w:w="90" w:type="dxa"/>
            </w:tcMar>
            <w:vAlign w:val="center"/>
          </w:tcPr>
          <w:p w14:paraId="48DD2753" w14:textId="77777777" w:rsidR="008A79E7" w:rsidRPr="00D62EF3" w:rsidRDefault="008E4374">
            <w:pPr>
              <w:spacing w:after="40" w:line="240" w:lineRule="auto"/>
            </w:pPr>
            <w:r w:rsidRPr="00D62EF3">
              <w:rPr>
                <w:sz w:val="16"/>
              </w:rPr>
              <w:t>Effort, anxiety, human-service preference and accessibility</w:t>
            </w:r>
          </w:p>
        </w:tc>
        <w:tc>
          <w:tcPr>
            <w:tcW w:w="1325" w:type="dxa"/>
            <w:tcMar>
              <w:top w:w="80" w:type="dxa"/>
              <w:left w:w="90" w:type="dxa"/>
              <w:bottom w:w="80" w:type="dxa"/>
              <w:right w:w="90" w:type="dxa"/>
            </w:tcMar>
            <w:vAlign w:val="center"/>
          </w:tcPr>
          <w:p w14:paraId="673A83D3" w14:textId="77777777" w:rsidR="008A79E7" w:rsidRPr="00D62EF3" w:rsidRDefault="008E4374">
            <w:pPr>
              <w:spacing w:after="40" w:line="240" w:lineRule="auto"/>
            </w:pPr>
            <w:r w:rsidRPr="00D62EF3">
              <w:rPr>
                <w:sz w:val="16"/>
              </w:rPr>
              <w:t>Omeish et al. (2024); Mohamad et al. (2026)</w:t>
            </w:r>
          </w:p>
        </w:tc>
      </w:tr>
      <w:tr w:rsidR="00D62EF3" w:rsidRPr="00D62EF3" w14:paraId="16F5E705" w14:textId="77777777" w:rsidTr="00D62EF3">
        <w:trPr>
          <w:jc w:val="center"/>
        </w:trPr>
        <w:tc>
          <w:tcPr>
            <w:tcW w:w="1843" w:type="dxa"/>
            <w:tcMar>
              <w:top w:w="80" w:type="dxa"/>
              <w:left w:w="90" w:type="dxa"/>
              <w:bottom w:w="80" w:type="dxa"/>
              <w:right w:w="90" w:type="dxa"/>
            </w:tcMar>
            <w:vAlign w:val="center"/>
          </w:tcPr>
          <w:p w14:paraId="1511D4A8" w14:textId="77777777" w:rsidR="008A79E7" w:rsidRPr="00D62EF3" w:rsidRDefault="008E4374">
            <w:pPr>
              <w:spacing w:after="40" w:line="240" w:lineRule="auto"/>
            </w:pPr>
            <w:r w:rsidRPr="00D62EF3">
              <w:rPr>
                <w:sz w:val="16"/>
              </w:rPr>
              <w:t>Long-term relationship effects</w:t>
            </w:r>
          </w:p>
        </w:tc>
        <w:tc>
          <w:tcPr>
            <w:tcW w:w="2088" w:type="dxa"/>
            <w:tcMar>
              <w:top w:w="80" w:type="dxa"/>
              <w:left w:w="90" w:type="dxa"/>
              <w:bottom w:w="80" w:type="dxa"/>
              <w:right w:w="90" w:type="dxa"/>
            </w:tcMar>
            <w:vAlign w:val="center"/>
          </w:tcPr>
          <w:p w14:paraId="6817FCB5" w14:textId="77777777" w:rsidR="008A79E7" w:rsidRPr="00D62EF3" w:rsidRDefault="008E4374">
            <w:pPr>
              <w:spacing w:after="40" w:line="240" w:lineRule="auto"/>
            </w:pPr>
            <w:r w:rsidRPr="00D62EF3">
              <w:rPr>
                <w:sz w:val="16"/>
              </w:rPr>
              <w:t>Short-term satisfaction may not predict sustained loyalty</w:t>
            </w:r>
          </w:p>
        </w:tc>
        <w:tc>
          <w:tcPr>
            <w:tcW w:w="2232" w:type="dxa"/>
            <w:tcMar>
              <w:top w:w="80" w:type="dxa"/>
              <w:left w:w="90" w:type="dxa"/>
              <w:bottom w:w="80" w:type="dxa"/>
              <w:right w:w="90" w:type="dxa"/>
            </w:tcMar>
            <w:vAlign w:val="center"/>
          </w:tcPr>
          <w:p w14:paraId="7B46971F" w14:textId="77777777" w:rsidR="008A79E7" w:rsidRPr="00D62EF3" w:rsidRDefault="008E4374">
            <w:pPr>
              <w:spacing w:after="40" w:line="240" w:lineRule="auto"/>
            </w:pPr>
            <w:r w:rsidRPr="00D62EF3">
              <w:rPr>
                <w:sz w:val="16"/>
              </w:rPr>
              <w:t>Panel studies linked to CRM and transaction histories</w:t>
            </w:r>
          </w:p>
        </w:tc>
        <w:tc>
          <w:tcPr>
            <w:tcW w:w="2088" w:type="dxa"/>
            <w:tcMar>
              <w:top w:w="80" w:type="dxa"/>
              <w:left w:w="90" w:type="dxa"/>
              <w:bottom w:w="80" w:type="dxa"/>
              <w:right w:w="90" w:type="dxa"/>
            </w:tcMar>
            <w:vAlign w:val="center"/>
          </w:tcPr>
          <w:p w14:paraId="5E208BA0" w14:textId="77777777" w:rsidR="008A79E7" w:rsidRPr="00D62EF3" w:rsidRDefault="008E4374">
            <w:pPr>
              <w:spacing w:after="40" w:line="240" w:lineRule="auto"/>
            </w:pPr>
            <w:r w:rsidRPr="00D62EF3">
              <w:rPr>
                <w:sz w:val="16"/>
              </w:rPr>
              <w:t>Continuance, retention, lifetime value and trust trajectories</w:t>
            </w:r>
          </w:p>
        </w:tc>
        <w:tc>
          <w:tcPr>
            <w:tcW w:w="1325" w:type="dxa"/>
            <w:tcMar>
              <w:top w:w="80" w:type="dxa"/>
              <w:left w:w="90" w:type="dxa"/>
              <w:bottom w:w="80" w:type="dxa"/>
              <w:right w:w="90" w:type="dxa"/>
            </w:tcMar>
            <w:vAlign w:val="center"/>
          </w:tcPr>
          <w:p w14:paraId="219973A3" w14:textId="77777777" w:rsidR="008A79E7" w:rsidRPr="00D62EF3" w:rsidRDefault="008E4374">
            <w:pPr>
              <w:spacing w:after="40" w:line="240" w:lineRule="auto"/>
            </w:pPr>
            <w:r w:rsidRPr="00D62EF3">
              <w:rPr>
                <w:sz w:val="16"/>
              </w:rPr>
              <w:t>Hsu &amp; Lin (2023); Mohamad et al. (2026)</w:t>
            </w:r>
          </w:p>
        </w:tc>
      </w:tr>
    </w:tbl>
    <w:p w14:paraId="72AC6422" w14:textId="77777777" w:rsidR="008A79E7" w:rsidRPr="00D62EF3" w:rsidRDefault="008E4374">
      <w:pPr>
        <w:spacing w:before="60" w:after="160"/>
      </w:pPr>
      <w:r w:rsidRPr="00D62EF3">
        <w:rPr>
          <w:i/>
          <w:sz w:val="17"/>
        </w:rPr>
        <w:t>Note. PLS = partial least squares. Tables are selective analytical summaries rather than exhaustive inventories of all eligible evidence.</w:t>
      </w:r>
    </w:p>
    <w:p w14:paraId="5A8A6AD4" w14:textId="77777777" w:rsidR="008A79E7" w:rsidRPr="00D62EF3" w:rsidRDefault="008E4374">
      <w:pPr>
        <w:pStyle w:val="Heading2"/>
        <w:rPr>
          <w:color w:val="auto"/>
        </w:rPr>
      </w:pPr>
      <w:r w:rsidRPr="00D62EF3">
        <w:rPr>
          <w:color w:val="auto"/>
        </w:rPr>
        <w:t>8.1 Interpreting Evidence Strength for Jordanian Decision-Making</w:t>
      </w:r>
    </w:p>
    <w:p w14:paraId="0B31383C" w14:textId="77777777" w:rsidR="008A79E7" w:rsidRPr="00D62EF3" w:rsidRDefault="008E4374">
      <w:pPr>
        <w:jc w:val="both"/>
      </w:pPr>
      <w:r w:rsidRPr="00D62EF3">
        <w:t>Evidence strength should be judged separately for mechanism, context and magnitude. For several mechanisms, confidence is reasonably high because findings recur across different designs and countries. Reliable task resolution, information quality and service-recovery capability repeatedly predict favourable evaluations, while unresolved misunderstanding and privacy concerns predict poorer responses (Hsu &amp; Lin, 2023; Rese et al., 2020; Sheehan et al., 2020). Jordanian banking studies are directionally consistent with this pattern, which strengthens confidence that the mechanisms are locally relevant (Alshibly et al., 2024; Maraqa et al., 2018). What remains uncertain is the size of each effect in Jordan and how it varies across sectors, customer groups and contemporary generative systems. A manager can therefore reasonably prioritise reliability and recovery, but cannot defensibly claim that a specific percentage improvement in satisfaction or sales will follow from chatbot adoption without local experimental evidence.</w:t>
      </w:r>
    </w:p>
    <w:p w14:paraId="7A471AE1" w14:textId="77777777" w:rsidR="008A79E7" w:rsidRPr="00D62EF3" w:rsidRDefault="008E4374">
      <w:pPr>
        <w:jc w:val="both"/>
      </w:pPr>
      <w:r w:rsidRPr="00D62EF3">
        <w:t>Confidence is more moderate for anthropomorphism and social style because their effects are explicitly conditional. Experimental research demonstrates that human-like cues can increase social presence, yet anger, service failure and mismatched expectations can reverse the advantage (Araujo, 2018; Crolic et al., 2022). Jordanian evidence establishes that anthropomorphism and trust matter for digital chatbot adoption in at least one longitudinal public-service context, but does not identify an optimal degree of human-likeness for commercial Arabic-language assistants (Mohamad et al., 2026). This is a case where imported design rules are especially risky. The appropriate local strategy is controlled testing of tone, identity and conversational repair rather than wholesale adoption of highly anthropomorphic personas.</w:t>
      </w:r>
    </w:p>
    <w:p w14:paraId="14DF15B7" w14:textId="77777777" w:rsidR="008A79E7" w:rsidRPr="00D62EF3" w:rsidRDefault="008E4374">
      <w:pPr>
        <w:jc w:val="both"/>
      </w:pPr>
      <w:r w:rsidRPr="00D62EF3">
        <w:lastRenderedPageBreak/>
        <w:t>Confidence is lower for claims linking chatbot use directly to firm performance. Jordanian studies of marketing AI and business performance are strategically informative, but the exposure often comprises multiple AI applications and the outcome is measured at organisational or managerial level (Al-Haraizah et al., 2026; Magableh et al., 2024). A positive relationship between broad AI adoption and performance cannot establish that customer-facing chatbots caused the effect. Cost savings from automation, improved targeting, predictive analytics or content creation may contribute independently. For a critical review, these studies therefore support the proposition that conversational AI is embedded in a wider AI-marketing capability system, not a stand-alone causal estimate of chatbot return on investment.</w:t>
      </w:r>
    </w:p>
    <w:p w14:paraId="4D50B737" w14:textId="77777777" w:rsidR="008A79E7" w:rsidRPr="00D62EF3" w:rsidRDefault="008E4374">
      <w:pPr>
        <w:jc w:val="both"/>
      </w:pPr>
      <w:r w:rsidRPr="00D62EF3">
        <w:t>The distinction between statistical and practical significance also deserves attention. Structural-equation studies can identify statistically reliable relationships among latent constructs even when the managerial consequence is uncertain. For customer experience, a small increase in average satisfaction may be less important than a reduction in severe failure episodes, while an apparently favourable average can coexist with substantial dissatisfaction among customers who require human support. Behavioural distribution matters. Future reports should provide absolute completion, fallback and escalation rates, not only path coefficients, and should examine whether effects differ by age, language mode, task complexity and prior chatbot experience. Such reporting would make evidence more actionable for Jordanian e-marketing and reduce the tendency to treat statistically significant associations as proof of universally meaningful improvement.</w:t>
      </w:r>
    </w:p>
    <w:p w14:paraId="2C91997D" w14:textId="77777777" w:rsidR="008A79E7" w:rsidRPr="00D62EF3" w:rsidRDefault="008E4374">
      <w:pPr>
        <w:jc w:val="both"/>
      </w:pPr>
      <w:r w:rsidRPr="00D62EF3">
        <w:t>Finally, external validity should be considered prospectively. Jordan is not a single homogeneous digital market: large banks and telecommunications providers have different infrastructure, data governance and service volumes from small online retailers. Customer expectations also vary with transaction value and perceived risk. A useful evidence programme would replicate the same core measures across sectors while allowing task-specific modules. This would reveal which mechanisms are stable enough to support national-level guidance and which remain sector-specific. Until such replication exists, the strongest synthesis is calibrated: conversational AI has credible potential to improve customer experience in Jordan, the enabling mechanisms are increasingly identifiable, but precise claims about magnitude, universality and long-term commercial return remain provisional.</w:t>
      </w:r>
    </w:p>
    <w:p w14:paraId="68BA2873" w14:textId="77777777" w:rsidR="008A79E7" w:rsidRPr="00D62EF3" w:rsidRDefault="008E4374">
      <w:pPr>
        <w:pStyle w:val="Heading1"/>
        <w:rPr>
          <w:color w:val="auto"/>
        </w:rPr>
      </w:pPr>
      <w:r w:rsidRPr="00D62EF3">
        <w:rPr>
          <w:color w:val="auto"/>
        </w:rPr>
        <w:t>9. Implications for E-Marketing Practice in Jordan</w:t>
      </w:r>
    </w:p>
    <w:p w14:paraId="48AEAE07" w14:textId="77777777" w:rsidR="008A79E7" w:rsidRPr="00D62EF3" w:rsidRDefault="008E4374">
      <w:pPr>
        <w:jc w:val="both"/>
      </w:pPr>
      <w:r w:rsidRPr="00D62EF3">
        <w:t>The evidence supports selective rather than maximal automation. Jordanian organisations should begin by matching conversational AI to task structure. High-volume, low-ambiguity requests such as order status, branch or service information, frequently asked questions, appointment changes and basic product filtering are strong candidates because speed and availability can reduce effort without requiring deep social judgement. High-stakes financial decisions, complaints, ambiguous account problems and emotionally charged interactions require more conservative automation and rapid access to trained human staff. This task-contingent approach is consistent with service-automation theory and with empirical evidence that need for human interaction and service criticality condition chatbot responses (Ashfaq et al., 2020; Mozafari et al., 2022; Wirtz et al., 2018).</w:t>
      </w:r>
    </w:p>
    <w:p w14:paraId="70570BBF" w14:textId="77777777" w:rsidR="008A79E7" w:rsidRPr="00D62EF3" w:rsidRDefault="008E4374">
      <w:pPr>
        <w:jc w:val="both"/>
      </w:pPr>
      <w:r w:rsidRPr="00D62EF3">
        <w:t xml:space="preserve">Reliability should be treated as a marketing variable. The Jordanian commercial-banking evidence gives reliability a stronger and more consistent relationship with satisfaction than simple responsiveness (Alshibly et al., 2024). Firms should therefore optimise for correct resolution rather than response speed alone. A slower answer that is grounded in current product, account or policy information is preferable to an immediate but uncertain generative response. This requires controlled knowledge sources, auditable retrieval, </w:t>
      </w:r>
      <w:r w:rsidRPr="00D62EF3">
        <w:lastRenderedPageBreak/>
        <w:t>clear confidence thresholds and a deliberate fallback strategy. Performance dashboards should distinguish response latency from resolution accuracy and first-contact completion.</w:t>
      </w:r>
    </w:p>
    <w:p w14:paraId="566A89FC" w14:textId="77777777" w:rsidR="008A79E7" w:rsidRPr="00D62EF3" w:rsidRDefault="008E4374">
      <w:pPr>
        <w:jc w:val="both"/>
      </w:pPr>
      <w:r w:rsidRPr="00D62EF3">
        <w:t>Personalisation should be designed around customer benefit and visible legitimacy. Jordanian studies support personalisation as a positive aspect of chatbot and AI-enabled marketing (Al Htibat, 2024; Alshibly et al., 2024), but international evidence shows that privacy risk can suppress adoption (Song et al., 2022). A defensible practice is to use the minimum data required for the current service purpose, explain why information is being used when the use is not obvious, and allow customers to proceed with less personalisation when feasible. Personalisation based on explicit conversational choices is likely to be easier to justify than silent inference from unrelated behavioural data.</w:t>
      </w:r>
    </w:p>
    <w:p w14:paraId="503C5C17" w14:textId="77777777" w:rsidR="008A79E7" w:rsidRPr="00D62EF3" w:rsidRDefault="008E4374">
      <w:pPr>
        <w:jc w:val="both"/>
      </w:pPr>
      <w:r w:rsidRPr="00D62EF3">
        <w:t>Anthropomorphism should be calibrated rather than maximised. Human-like language can improve social presence, but it should not imply a level of empathy or understanding the system cannot sustain (Araujo, 2018; Crolic et al., 2022; Hu et al., 2021). Jordanian firms can use polite, culturally appropriate and concise conversational style while being explicit that the customer is interacting with an automated assistant. The objective should be conversational clarity and respectful tone, not deception or theatrical human imitation. When the system is uncertain, asking a focused clarification question is preferable to producing a confident but potentially incorrect answer.</w:t>
      </w:r>
    </w:p>
    <w:p w14:paraId="36A5CC80" w14:textId="77777777" w:rsidR="008A79E7" w:rsidRPr="00D62EF3" w:rsidRDefault="008E4374">
      <w:pPr>
        <w:jc w:val="both"/>
      </w:pPr>
      <w:r w:rsidRPr="00D62EF3">
        <w:t>Human escalation should preserve conversational context. The strongest practical hybrid design is one in which customers do not have to restart the journey after the bot reaches its capability boundary. The transcript, verified customer details and detected intent should transfer securely to the human agent, subject to appropriate privacy controls. Escalation triggers should include repeated misunderstanding, explicit requests for a human, anger or distress signals, high-value transactions, regulatory or contractual questions and any situation in which the model cannot ground its response. The evidence that clarification can protect adoption and that anthropomorphic failure can aggravate anger makes early recognition of failure more important than attempting to keep every interaction automated (Crolic et al., 2022; Sheehan et al., 2020).</w:t>
      </w:r>
    </w:p>
    <w:p w14:paraId="11A324CB" w14:textId="77777777" w:rsidR="008A79E7" w:rsidRPr="00D62EF3" w:rsidRDefault="008E4374">
      <w:pPr>
        <w:jc w:val="both"/>
      </w:pPr>
      <w:r w:rsidRPr="00D62EF3">
        <w:t>Finally, evaluation should be experimental where possible. Instead of launching a chatbot and measuring satisfaction after adoption, organisations can compare versions of response style, disclosure, personalisation, escalation timing or recommendation logic using controlled A/B designs while monitoring customer harm and fairness. Outcomes should include actual completion, conversion, recontact, complaint resolution and opt-out, not only satisfaction scores. For Jordanian firms, this approach would generate locally valid evidence and reduce reliance on importing effect sizes from other markets. It would also convert chatbot governance from a one-time implementation decision into a continuous learning process.</w:t>
      </w:r>
    </w:p>
    <w:p w14:paraId="3AC72E81" w14:textId="77777777" w:rsidR="008A79E7" w:rsidRPr="00D62EF3" w:rsidRDefault="008E4374">
      <w:pPr>
        <w:pStyle w:val="Heading1"/>
        <w:rPr>
          <w:color w:val="auto"/>
        </w:rPr>
      </w:pPr>
      <w:r w:rsidRPr="00D62EF3">
        <w:rPr>
          <w:color w:val="auto"/>
        </w:rPr>
        <w:t>10. Future Directions</w:t>
      </w:r>
    </w:p>
    <w:p w14:paraId="064FCB88" w14:textId="77777777" w:rsidR="008A79E7" w:rsidRPr="00D62EF3" w:rsidRDefault="008E4374">
      <w:pPr>
        <w:jc w:val="both"/>
      </w:pPr>
      <w:r w:rsidRPr="00D62EF3">
        <w:t>The first research priority is causal identification in authentic Jordanian e-marketing environments. The current evidence base relies heavily on cross-sectional survey associations, while international experiments show that seemingly minor design choices such as disclosure timing and anthropomorphism can change customer behaviour (Crolic et al., 2022; Luo et al., 2019). Jordanian banks, telecommunications firms, retailers and platform businesses should partner with researchers to conduct randomised field experiments that compare human-only, chatbot-first and hybrid service; manipulate specific interface features one at a time; and link exposure to observed task completion, conversion, recontact, complaint resolution and retention. Such designs would separate the incremental effect of conversational AI from the quality of the underlying digital platform.</w:t>
      </w:r>
    </w:p>
    <w:p w14:paraId="3E3FCA84" w14:textId="77777777" w:rsidR="008A79E7" w:rsidRPr="00D62EF3" w:rsidRDefault="008E4374">
      <w:pPr>
        <w:jc w:val="both"/>
      </w:pPr>
      <w:r w:rsidRPr="00D62EF3">
        <w:lastRenderedPageBreak/>
        <w:t>A second immediate priority is Arabic-language and code-switching performance. Studies should compare Modern Standard Arabic, Jordanian dialect, Arabizi or transliterated Arabic, English and mixed-language interactions using matched customer tasks. Measurement should extend beyond natural-language accuracy to customer effort, repair success, trust, perceived politeness, social presence and escalation. Because clarification can be as effective as error-free interaction in preserving adoption under some conditions, research should test culturally appropriate repair strategies rather than focusing exclusively on first-pass intent recognition (Sheehan et al., 2020). Generative assistants should also be evaluated for groundedness and consistency across languages, not merely fluency.</w:t>
      </w:r>
    </w:p>
    <w:p w14:paraId="304906F1" w14:textId="77777777" w:rsidR="008A79E7" w:rsidRPr="00D62EF3" w:rsidRDefault="008E4374">
      <w:pPr>
        <w:jc w:val="both"/>
      </w:pPr>
      <w:r w:rsidRPr="00D62EF3">
        <w:t>A third priority is the privacy-personalisation trade-off. Jordanian marketing studies consistently position personalisation, engagement and data-driven decision-making as benefits of AI (Al Htibat, 2024; Magableh et al., 2024), while the international service literature shows that privacy risk can reduce adoption (Rese et al., 2020; Song et al., 2022). Factorial experiments can vary the data source used for personalisation, the sensitivity of the task, the clarity of consent and the presence of explanations. Outcomes should include perceived value, intrusiveness, trust, willingness to disclose information and actual purchase or continuation. This would identify where personalisation adds customer value and where it crosses into unacceptable inference.</w:t>
      </w:r>
    </w:p>
    <w:p w14:paraId="7C9C0EFC" w14:textId="77777777" w:rsidR="008A79E7" w:rsidRPr="00D62EF3" w:rsidRDefault="008E4374">
      <w:pPr>
        <w:jc w:val="both"/>
      </w:pPr>
      <w:r w:rsidRPr="00D62EF3">
        <w:t>A fourth priority is failure, anger and vulnerability. Routine interactions produce an overly optimistic picture of chatbot value because the highest-cost customer experiences occur during disputes, delayed deliveries, payment problems and service breakdown. Research should sample dissatisfied customers deliberately and examine how human-like style, apology, explanation, compensation authority and escalation timing affect recovery. It should also include older adults, people with lower digital literacy and customers who explicitly prefer human contact. Such work would improve external validity and reduce the risk that e-marketing automation disproportionately disadvantages customers who are least able to navigate it.</w:t>
      </w:r>
    </w:p>
    <w:p w14:paraId="09F7C5AC" w14:textId="77777777" w:rsidR="008A79E7" w:rsidRPr="00D62EF3" w:rsidRDefault="008E4374">
      <w:pPr>
        <w:jc w:val="both"/>
      </w:pPr>
      <w:r w:rsidRPr="00D62EF3">
        <w:t>A fifth priority is longitudinal relationship measurement. Mohamad et al. (2026) demonstrates the value of separating intention, actual use, satisfaction and future continuance over time, even though the setting is e-government. Commercial research should link chatbot interaction logs to customer-relationship-management and transaction data over months rather than days. This would test whether short-term satisfaction produces sustained retention, whether heavy chatbot exposure causes fatigue, and whether customers migrate to human channels after repeated failures. Longitudinal designs could also identify learning effects as users become more familiar with machine identity and capabilities.</w:t>
      </w:r>
    </w:p>
    <w:p w14:paraId="01670F29" w14:textId="77777777" w:rsidR="008A79E7" w:rsidRPr="00D62EF3" w:rsidRDefault="008E4374">
      <w:pPr>
        <w:jc w:val="both"/>
      </w:pPr>
      <w:r w:rsidRPr="00D62EF3">
        <w:t>A longer-term priority is governance for generative AI assistants. Earlier chatbot studies often assume relatively constrained dialogue systems; generative assistants can answer broader questions, personalise at greater depth and appear substantially more human-like. This increases both opportunity and risk. Research should compare retrieval-grounded and open generative modes, measure unsupported claims and confidence calibration, and assess whether disclosure and explanation influence reliance. The key theoretical issue is whether improved conversational fluency changes the established relationship between perceived humanness and trust or simply increases the cost of the speaking-listening asymmetry identified by Hu et al. (2021). Jordan is well placed to contribute because multilingual and mixed-language use provides a demanding test of whether generative marketing assistants can remain accurate, transparent and culturally appropriate at scale.</w:t>
      </w:r>
    </w:p>
    <w:p w14:paraId="69BD49CB" w14:textId="77777777" w:rsidR="008A79E7" w:rsidRPr="00D62EF3" w:rsidRDefault="008E4374">
      <w:pPr>
        <w:pStyle w:val="Heading1"/>
        <w:rPr>
          <w:color w:val="auto"/>
        </w:rPr>
      </w:pPr>
      <w:r w:rsidRPr="00D62EF3">
        <w:rPr>
          <w:color w:val="auto"/>
        </w:rPr>
        <w:lastRenderedPageBreak/>
        <w:t>11. Conclusions</w:t>
      </w:r>
    </w:p>
    <w:p w14:paraId="1DC4EFE7" w14:textId="77777777" w:rsidR="008A79E7" w:rsidRPr="00D62EF3" w:rsidRDefault="008E4374">
      <w:pPr>
        <w:jc w:val="both"/>
      </w:pPr>
      <w:r w:rsidRPr="00D62EF3">
        <w:t>The most defensible conclusion is that chatbots and AI assistants can improve customer experience in e-marketing, but their effects are conditional on functional reliability, contextual relevance, customer control, trust and recovery capability. Jordanian evidence is strongest in commercial banking, where reliability and personalisation are associated with satisfaction and customer empowerment appears to be an important pathway. Broader Jordanian studies in social-media marketing, manufacturing and medium-sized enterprises indicate that AI is increasingly linked to personalisation, engagement and customer-service outcomes, but these studies are less capable of isolating the causal contribution of conversational interfaces.</w:t>
      </w:r>
    </w:p>
    <w:p w14:paraId="2734393A" w14:textId="77777777" w:rsidR="008A79E7" w:rsidRPr="00D62EF3" w:rsidRDefault="008E4374">
      <w:pPr>
        <w:jc w:val="both"/>
      </w:pPr>
      <w:r w:rsidRPr="00D62EF3">
        <w:t>The international evidence explains why simple positive or negative verdicts are inappropriate. Human-like design can strengthen social presence and warmth, yet it can also raise expectations and intensify dissatisfaction during failure. Disclosure of machine identity can reduce trust or purchasing in some settings while becoming neutral or beneficial in others. Personalisation can increase relevance while creating privacy concerns. Fast response can reduce waiting but does not substitute for reliable resolution. These tensions converge on a hybrid principle: automate predictable tasks where the system has reliable data and clear capability, but preserve transparent identity, bounded personalisation and frictionless human escalation for complex, emotional or high-stakes interactions.</w:t>
      </w:r>
    </w:p>
    <w:p w14:paraId="1984246A" w14:textId="77777777" w:rsidR="008A79E7" w:rsidRPr="00D62EF3" w:rsidRDefault="008E4374">
      <w:pPr>
        <w:jc w:val="both"/>
      </w:pPr>
      <w:r w:rsidRPr="00D62EF3">
        <w:t>For Jordan, the primary challenge is now evidential rather than conceptual. Existing studies make a credible case that conversational AI matters to customer experience, yet they do not establish stable effect sizes across sectors or populations. More behavioural, experimental, longitudinal and Arabic-language research is needed before universal prescriptions are justified. Until then, e-marketing organisations should evaluate AI assistants as components of an integrated customer journey, measuring whether they help customers make genuine progress rather than whether they merely increase automation.</w:t>
      </w:r>
    </w:p>
    <w:p w14:paraId="7D75AEC7" w14:textId="77777777" w:rsidR="008A79E7" w:rsidRPr="00D62EF3" w:rsidRDefault="008E4374">
      <w:pPr>
        <w:pStyle w:val="Heading1"/>
        <w:rPr>
          <w:color w:val="auto"/>
        </w:rPr>
      </w:pPr>
      <w:r w:rsidRPr="00D62EF3">
        <w:rPr>
          <w:color w:val="auto"/>
        </w:rPr>
        <w:t>12. Limitations</w:t>
      </w:r>
    </w:p>
    <w:p w14:paraId="26BEF1F2" w14:textId="25D9A2FD" w:rsidR="008A79E7" w:rsidRDefault="008E4374">
      <w:pPr>
        <w:jc w:val="both"/>
      </w:pPr>
      <w:r w:rsidRPr="00D62EF3">
        <w:t>As a critical narrative review, this article is intrinsically susceptible to selection and interpretive bias despite a transparent search, explicit eligibility criteria and critical appraisal process. It does not provide the exhaustive record enumeration or pooled effect estimation of a systematic review or meta-analysis. Access to some subscription-controlled full texts was incomplete, so claims were limited to sources whose bibliographic identity and relevant findings could be verified through accessible scholarly records, abstracts or archived versions. English-language inclusion may have missed relevant Arabic-language scholarship. The Jordanian evidence base itself is heterogeneous in sector, construct definition and outcome measurement and is dominated by observational self-report research, which restricts direct comparison and causal interpretation. Rapid evolution from scripted chatbots to generative AI assistants also means that findings from earlier conversational systems may not transfer fully to current models. Finally, the small number of Jordan-specific experimental and behavioural studies prevents quantitative synthesis or confident estimation of the magnitude of chatbot effects across Jordanian e-marketing contexts.</w:t>
      </w:r>
    </w:p>
    <w:p w14:paraId="294E9DC0" w14:textId="4806A06C" w:rsidR="001527A6" w:rsidRDefault="001527A6">
      <w:pPr>
        <w:jc w:val="both"/>
      </w:pPr>
    </w:p>
    <w:p w14:paraId="20115E28" w14:textId="77777777" w:rsidR="001527A6" w:rsidRDefault="001527A6" w:rsidP="001527A6">
      <w:pPr>
        <w:shd w:val="clear" w:color="auto" w:fill="FFFFFF"/>
        <w:spacing w:after="0" w:line="240" w:lineRule="auto"/>
        <w:rPr>
          <w:rFonts w:ascii="Arial" w:hAnsi="Arial" w:cs="Arial"/>
          <w:color w:val="222222"/>
          <w:sz w:val="24"/>
          <w:szCs w:val="24"/>
          <w:lang w:val="en-IN" w:eastAsia="en-IN"/>
        </w:rPr>
      </w:pPr>
      <w:bookmarkStart w:id="0" w:name="_Hlk232854992"/>
      <w:bookmarkStart w:id="1" w:name="_Hlk238909442"/>
    </w:p>
    <w:p w14:paraId="5555FA2C" w14:textId="77777777" w:rsidR="001527A6" w:rsidRPr="002D08AC" w:rsidRDefault="001527A6" w:rsidP="001527A6">
      <w:pPr>
        <w:spacing w:after="0" w:line="240" w:lineRule="auto"/>
        <w:rPr>
          <w:rFonts w:ascii="Arial" w:hAnsi="Arial" w:cs="Arial"/>
          <w:b/>
          <w:sz w:val="20"/>
          <w:szCs w:val="20"/>
        </w:rPr>
      </w:pPr>
      <w:bookmarkStart w:id="2" w:name="_Hlk238550938"/>
      <w:bookmarkEnd w:id="0"/>
      <w:r w:rsidRPr="002D08AC">
        <w:rPr>
          <w:rFonts w:ascii="Arial" w:hAnsi="Arial" w:cs="Arial"/>
          <w:b/>
          <w:sz w:val="20"/>
          <w:szCs w:val="20"/>
        </w:rPr>
        <w:t>Declaration of AI Use</w:t>
      </w:r>
    </w:p>
    <w:p w14:paraId="5E6B5B6D" w14:textId="77777777" w:rsidR="001527A6" w:rsidRPr="002D08AC" w:rsidRDefault="001527A6" w:rsidP="001527A6">
      <w:pPr>
        <w:spacing w:after="0" w:line="240" w:lineRule="auto"/>
        <w:rPr>
          <w:rFonts w:ascii="Arial" w:hAnsi="Arial" w:cs="Arial"/>
          <w:sz w:val="20"/>
          <w:szCs w:val="20"/>
        </w:rPr>
      </w:pPr>
    </w:p>
    <w:p w14:paraId="414528A0" w14:textId="579F3E96" w:rsidR="001527A6" w:rsidRPr="00D62EF3" w:rsidRDefault="001527A6" w:rsidP="001527A6">
      <w:pPr>
        <w:jc w:val="both"/>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2"/>
    </w:p>
    <w:p w14:paraId="065488E4" w14:textId="77777777" w:rsidR="008A79E7" w:rsidRPr="00D62EF3" w:rsidRDefault="008E4374">
      <w:pPr>
        <w:pStyle w:val="Heading1"/>
        <w:rPr>
          <w:color w:val="auto"/>
        </w:rPr>
      </w:pPr>
      <w:r w:rsidRPr="00D62EF3">
        <w:rPr>
          <w:color w:val="auto"/>
        </w:rPr>
        <w:lastRenderedPageBreak/>
        <w:t>References</w:t>
      </w:r>
    </w:p>
    <w:p w14:paraId="74143A3D" w14:textId="77777777" w:rsidR="008A79E7" w:rsidRPr="00D62EF3" w:rsidRDefault="008E4374">
      <w:pPr>
        <w:spacing w:after="80" w:line="240" w:lineRule="auto"/>
        <w:ind w:left="720" w:hanging="720"/>
      </w:pPr>
      <w:r w:rsidRPr="00D62EF3">
        <w:t xml:space="preserve">Adam, M., Wessel, M., &amp; Benlian, A. (2021). AI-based chatbots in customer service and their effects on user compliance. </w:t>
      </w:r>
      <w:r w:rsidRPr="00D62EF3">
        <w:rPr>
          <w:i/>
        </w:rPr>
        <w:t>Electronic Markets</w:t>
      </w:r>
      <w:r w:rsidRPr="00D62EF3">
        <w:t xml:space="preserve">, </w:t>
      </w:r>
      <w:r w:rsidRPr="00D62EF3">
        <w:rPr>
          <w:i/>
        </w:rPr>
        <w:t>31</w:t>
      </w:r>
      <w:r w:rsidRPr="00D62EF3">
        <w:t xml:space="preserve">, 427–445. </w:t>
      </w:r>
      <w:hyperlink r:id="rId8">
        <w:r w:rsidRPr="00D62EF3">
          <w:rPr>
            <w:u w:val="single"/>
          </w:rPr>
          <w:t>https://doi.org/10.1007/s12525-020-00414-7</w:t>
        </w:r>
      </w:hyperlink>
    </w:p>
    <w:p w14:paraId="470B24D4" w14:textId="77777777" w:rsidR="008A79E7" w:rsidRPr="00D62EF3" w:rsidRDefault="008E4374">
      <w:pPr>
        <w:spacing w:after="80" w:line="240" w:lineRule="auto"/>
        <w:ind w:left="720" w:hanging="720"/>
      </w:pPr>
      <w:r w:rsidRPr="00D62EF3">
        <w:t xml:space="preserve">Al Htibat, A. (2024). The impact of artificial intelligence dimensions on digital marketing outcomes: Perspectives of marketing managers in Jordanian manufacturing companies. </w:t>
      </w:r>
      <w:r w:rsidRPr="00D62EF3">
        <w:rPr>
          <w:i/>
        </w:rPr>
        <w:t>Journal of Logistics, Informatics and Service Science</w:t>
      </w:r>
      <w:r w:rsidRPr="00D62EF3">
        <w:t xml:space="preserve">, </w:t>
      </w:r>
      <w:r w:rsidRPr="00D62EF3">
        <w:rPr>
          <w:i/>
        </w:rPr>
        <w:t>11</w:t>
      </w:r>
      <w:r w:rsidRPr="00D62EF3">
        <w:t xml:space="preserve">(9), 124–137. </w:t>
      </w:r>
      <w:hyperlink r:id="rId9">
        <w:r w:rsidRPr="00D62EF3">
          <w:rPr>
            <w:u w:val="single"/>
          </w:rPr>
          <w:t>https://doi.org/10.33168/JLISS.2024.0909</w:t>
        </w:r>
      </w:hyperlink>
    </w:p>
    <w:p w14:paraId="1190BDCC" w14:textId="77777777" w:rsidR="008A79E7" w:rsidRPr="00D62EF3" w:rsidRDefault="008E4374">
      <w:pPr>
        <w:spacing w:after="80" w:line="240" w:lineRule="auto"/>
        <w:ind w:left="720" w:hanging="720"/>
      </w:pPr>
      <w:r w:rsidRPr="00D62EF3">
        <w:t xml:space="preserve">Al-Haraizah, A., Ismaeel, B., Abdelfattah, F. A., &amp; Albdour, A. (2026). The evolution of consumer trends and business performance through AI-driven marketing: A performance perspective. </w:t>
      </w:r>
      <w:r w:rsidRPr="00D62EF3">
        <w:rPr>
          <w:i/>
        </w:rPr>
        <w:t>Acta Psychologica</w:t>
      </w:r>
      <w:r w:rsidRPr="00D62EF3">
        <w:t xml:space="preserve">, </w:t>
      </w:r>
      <w:r w:rsidRPr="00D62EF3">
        <w:rPr>
          <w:i/>
        </w:rPr>
        <w:t>263</w:t>
      </w:r>
      <w:r w:rsidRPr="00D62EF3">
        <w:t xml:space="preserve">, 106236. </w:t>
      </w:r>
      <w:hyperlink r:id="rId10">
        <w:r w:rsidRPr="00D62EF3">
          <w:rPr>
            <w:u w:val="single"/>
          </w:rPr>
          <w:t>https://doi.org/10.1016/j.actpsy.2026.106236</w:t>
        </w:r>
      </w:hyperlink>
    </w:p>
    <w:p w14:paraId="78CDFA59" w14:textId="77777777" w:rsidR="008A79E7" w:rsidRPr="00D62EF3" w:rsidRDefault="008E4374">
      <w:pPr>
        <w:spacing w:after="80" w:line="240" w:lineRule="auto"/>
        <w:ind w:left="720" w:hanging="720"/>
      </w:pPr>
      <w:r w:rsidRPr="00D62EF3">
        <w:t xml:space="preserve">Alkhazaleh, A. M. K., &amp; Haddad, H. (2021). How does the Fintech services delivery affect customer satisfaction: A scenario of Jordanian banking sector. </w:t>
      </w:r>
      <w:r w:rsidRPr="00D62EF3">
        <w:rPr>
          <w:i/>
        </w:rPr>
        <w:t>Strategic Change</w:t>
      </w:r>
      <w:r w:rsidRPr="00D62EF3">
        <w:t xml:space="preserve">, </w:t>
      </w:r>
      <w:r w:rsidRPr="00D62EF3">
        <w:rPr>
          <w:i/>
        </w:rPr>
        <w:t>30</w:t>
      </w:r>
      <w:r w:rsidRPr="00D62EF3">
        <w:t xml:space="preserve">(4), 405–413. </w:t>
      </w:r>
      <w:hyperlink r:id="rId11">
        <w:r w:rsidRPr="00D62EF3">
          <w:rPr>
            <w:u w:val="single"/>
          </w:rPr>
          <w:t>https://doi.org/10.1002/jsc.2434</w:t>
        </w:r>
      </w:hyperlink>
    </w:p>
    <w:p w14:paraId="110A0DDD" w14:textId="77777777" w:rsidR="008A79E7" w:rsidRPr="00D62EF3" w:rsidRDefault="008E4374">
      <w:pPr>
        <w:spacing w:after="80" w:line="240" w:lineRule="auto"/>
        <w:ind w:left="720" w:hanging="720"/>
      </w:pPr>
      <w:r w:rsidRPr="00D62EF3">
        <w:t xml:space="preserve">Alshibly, H. H., Alwreikat, A., Morgos, R., &amp; Abuaddous, M. Y. (2024). Examining the mediating role of customer empowerment: The impact of chatbot usability on customer satisfaction in Jordanian commercial banks. </w:t>
      </w:r>
      <w:r w:rsidRPr="00D62EF3">
        <w:rPr>
          <w:i/>
        </w:rPr>
        <w:t>Cogent Business &amp; Management</w:t>
      </w:r>
      <w:r w:rsidRPr="00D62EF3">
        <w:t xml:space="preserve">, </w:t>
      </w:r>
      <w:r w:rsidRPr="00D62EF3">
        <w:rPr>
          <w:i/>
        </w:rPr>
        <w:t>11</w:t>
      </w:r>
      <w:r w:rsidRPr="00D62EF3">
        <w:t xml:space="preserve">(1), 2387196. </w:t>
      </w:r>
      <w:hyperlink r:id="rId12">
        <w:r w:rsidRPr="00D62EF3">
          <w:rPr>
            <w:u w:val="single"/>
          </w:rPr>
          <w:t>https://doi.org/10.1080/23311975.2024.2387196</w:t>
        </w:r>
      </w:hyperlink>
    </w:p>
    <w:p w14:paraId="49C28F8E" w14:textId="77777777" w:rsidR="008A79E7" w:rsidRPr="00D62EF3" w:rsidRDefault="008E4374">
      <w:pPr>
        <w:spacing w:after="80" w:line="240" w:lineRule="auto"/>
        <w:ind w:left="720" w:hanging="720"/>
      </w:pPr>
      <w:r w:rsidRPr="00D62EF3">
        <w:t xml:space="preserve">Anaya, L. A., Braizat, A., &amp; Al-Ani, R. (2024). Implementing AI-based chatbot: Benefits and challenges. </w:t>
      </w:r>
      <w:r w:rsidRPr="00D62EF3">
        <w:rPr>
          <w:i/>
        </w:rPr>
        <w:t>Procedia Computer Science</w:t>
      </w:r>
      <w:r w:rsidRPr="00D62EF3">
        <w:t xml:space="preserve">, </w:t>
      </w:r>
      <w:r w:rsidRPr="00D62EF3">
        <w:rPr>
          <w:i/>
        </w:rPr>
        <w:t>239</w:t>
      </w:r>
      <w:r w:rsidRPr="00D62EF3">
        <w:t xml:space="preserve">, 1173–1179. </w:t>
      </w:r>
      <w:hyperlink r:id="rId13">
        <w:r w:rsidRPr="00D62EF3">
          <w:rPr>
            <w:u w:val="single"/>
          </w:rPr>
          <w:t>https://doi.org/10.1016/j.procs.2024.06.284</w:t>
        </w:r>
      </w:hyperlink>
    </w:p>
    <w:p w14:paraId="480A243C" w14:textId="77777777" w:rsidR="008A79E7" w:rsidRPr="00D62EF3" w:rsidRDefault="008E4374">
      <w:pPr>
        <w:spacing w:after="80" w:line="240" w:lineRule="auto"/>
        <w:ind w:left="720" w:hanging="720"/>
      </w:pPr>
      <w:r w:rsidRPr="00D62EF3">
        <w:t xml:space="preserve">Araujo, T. (2018). Living up to the chatbot hype: The influence of anthropomorphic design cues and communicative agency framing on conversational agent and company perceptions. </w:t>
      </w:r>
      <w:r w:rsidRPr="00D62EF3">
        <w:rPr>
          <w:i/>
        </w:rPr>
        <w:t>Computers in Human Behavior</w:t>
      </w:r>
      <w:r w:rsidRPr="00D62EF3">
        <w:t xml:space="preserve">, </w:t>
      </w:r>
      <w:r w:rsidRPr="00D62EF3">
        <w:rPr>
          <w:i/>
        </w:rPr>
        <w:t>85</w:t>
      </w:r>
      <w:r w:rsidRPr="00D62EF3">
        <w:t xml:space="preserve">, 183–189. </w:t>
      </w:r>
      <w:hyperlink r:id="rId14">
        <w:r w:rsidRPr="00D62EF3">
          <w:rPr>
            <w:u w:val="single"/>
          </w:rPr>
          <w:t>https://doi.org/10.1016/j.chb.2018.03.051</w:t>
        </w:r>
      </w:hyperlink>
    </w:p>
    <w:p w14:paraId="481CEFFB" w14:textId="77777777" w:rsidR="008A79E7" w:rsidRPr="00D62EF3" w:rsidRDefault="008E4374">
      <w:pPr>
        <w:spacing w:after="80" w:line="240" w:lineRule="auto"/>
        <w:ind w:left="720" w:hanging="720"/>
      </w:pPr>
      <w:r w:rsidRPr="00D62EF3">
        <w:t xml:space="preserve">Ashfaq, M., Yun, J., Yu, S., &amp; Loureiro, S. M. C. (2020). I, Chatbot: Modeling the determinants of users’ satisfaction and continuance intention of AI-powered service agents. </w:t>
      </w:r>
      <w:r w:rsidRPr="00D62EF3">
        <w:rPr>
          <w:i/>
        </w:rPr>
        <w:t>Telematics and Informatics</w:t>
      </w:r>
      <w:r w:rsidRPr="00D62EF3">
        <w:t xml:space="preserve">, </w:t>
      </w:r>
      <w:r w:rsidRPr="00D62EF3">
        <w:rPr>
          <w:i/>
        </w:rPr>
        <w:t>54</w:t>
      </w:r>
      <w:r w:rsidRPr="00D62EF3">
        <w:t xml:space="preserve">, 101473. </w:t>
      </w:r>
      <w:hyperlink r:id="rId15">
        <w:r w:rsidRPr="00D62EF3">
          <w:rPr>
            <w:u w:val="single"/>
          </w:rPr>
          <w:t>https://doi.org/10.1016/j.tele.2020.101473</w:t>
        </w:r>
      </w:hyperlink>
    </w:p>
    <w:p w14:paraId="192F5663" w14:textId="77777777" w:rsidR="008A79E7" w:rsidRPr="00D62EF3" w:rsidRDefault="008E4374">
      <w:pPr>
        <w:spacing w:after="80" w:line="240" w:lineRule="auto"/>
        <w:ind w:left="720" w:hanging="720"/>
      </w:pPr>
      <w:r w:rsidRPr="00D62EF3">
        <w:t xml:space="preserve">Baethge, C., Goldbeck-Wood, S., &amp; Mertens, S. (2019). SANRA—a scale for the quality assessment of narrative review articles. </w:t>
      </w:r>
      <w:r w:rsidRPr="00D62EF3">
        <w:rPr>
          <w:i/>
        </w:rPr>
        <w:t>Research Integrity and Peer Review</w:t>
      </w:r>
      <w:r w:rsidRPr="00D62EF3">
        <w:t xml:space="preserve">, </w:t>
      </w:r>
      <w:r w:rsidRPr="00D62EF3">
        <w:rPr>
          <w:i/>
        </w:rPr>
        <w:t>4</w:t>
      </w:r>
      <w:r w:rsidRPr="00D62EF3">
        <w:t xml:space="preserve">, 5. </w:t>
      </w:r>
      <w:hyperlink r:id="rId16">
        <w:r w:rsidRPr="00D62EF3">
          <w:rPr>
            <w:u w:val="single"/>
          </w:rPr>
          <w:t>https://doi.org/10.1186/s41073-019-0064-8</w:t>
        </w:r>
      </w:hyperlink>
    </w:p>
    <w:p w14:paraId="4811E483" w14:textId="77777777" w:rsidR="008A79E7" w:rsidRPr="00D62EF3" w:rsidRDefault="008E4374">
      <w:pPr>
        <w:spacing w:after="80" w:line="240" w:lineRule="auto"/>
        <w:ind w:left="720" w:hanging="720"/>
      </w:pPr>
      <w:r w:rsidRPr="00D62EF3">
        <w:t xml:space="preserve">Cheng, Y., &amp; Jiang, H. (2020). How do AI-driven chatbots impact user experience? Examining gratifications, perceived privacy risk, satisfaction, loyalty, and continued use. </w:t>
      </w:r>
      <w:r w:rsidRPr="00D62EF3">
        <w:rPr>
          <w:i/>
        </w:rPr>
        <w:t>Journal of Broadcasting &amp; Electronic Media</w:t>
      </w:r>
      <w:r w:rsidRPr="00D62EF3">
        <w:t xml:space="preserve">, </w:t>
      </w:r>
      <w:r w:rsidRPr="00D62EF3">
        <w:rPr>
          <w:i/>
        </w:rPr>
        <w:t>64</w:t>
      </w:r>
      <w:r w:rsidRPr="00D62EF3">
        <w:t xml:space="preserve">(4), 592–614. </w:t>
      </w:r>
      <w:hyperlink r:id="rId17">
        <w:r w:rsidRPr="00D62EF3">
          <w:rPr>
            <w:u w:val="single"/>
          </w:rPr>
          <w:t>https://doi.org/10.1080/08838151.2020.1834296</w:t>
        </w:r>
      </w:hyperlink>
    </w:p>
    <w:p w14:paraId="7178598B" w14:textId="77777777" w:rsidR="008A79E7" w:rsidRPr="00D62EF3" w:rsidRDefault="008E4374">
      <w:pPr>
        <w:spacing w:after="80" w:line="240" w:lineRule="auto"/>
        <w:ind w:left="720" w:hanging="720"/>
      </w:pPr>
      <w:r w:rsidRPr="00D62EF3">
        <w:t xml:space="preserve">Crolic, C., Thomaz, F., Hadi, R., &amp; Stephen, A. T. (2022). Blame the bot: Anthropomorphism and anger in customer–chatbot interactions. </w:t>
      </w:r>
      <w:r w:rsidRPr="00D62EF3">
        <w:rPr>
          <w:i/>
        </w:rPr>
        <w:t>Journal of Marketing</w:t>
      </w:r>
      <w:r w:rsidRPr="00D62EF3">
        <w:t xml:space="preserve">, </w:t>
      </w:r>
      <w:r w:rsidRPr="00D62EF3">
        <w:rPr>
          <w:i/>
        </w:rPr>
        <w:t>86</w:t>
      </w:r>
      <w:r w:rsidRPr="00D62EF3">
        <w:t xml:space="preserve">(1), 132–148. </w:t>
      </w:r>
      <w:hyperlink r:id="rId18">
        <w:r w:rsidRPr="00D62EF3">
          <w:rPr>
            <w:u w:val="single"/>
          </w:rPr>
          <w:t>https://doi.org/10.1177/00222429211045687</w:t>
        </w:r>
      </w:hyperlink>
    </w:p>
    <w:p w14:paraId="31100F2D" w14:textId="77777777" w:rsidR="008A79E7" w:rsidRPr="00D62EF3" w:rsidRDefault="008E4374">
      <w:pPr>
        <w:spacing w:after="80" w:line="240" w:lineRule="auto"/>
        <w:ind w:left="720" w:hanging="720"/>
      </w:pPr>
      <w:r w:rsidRPr="00D62EF3">
        <w:t xml:space="preserve">Daoud, M., Odeh, M. H., Al-Manaseer, S., &amp; Twaissi, N. (2026). Analysing Fintech innovations and digital banking marketing strategies influence customer satisfaction? The mediating role of perceived usability in digital banking platforms. </w:t>
      </w:r>
      <w:r w:rsidRPr="00D62EF3">
        <w:rPr>
          <w:i/>
        </w:rPr>
        <w:t>FIIB Business Review</w:t>
      </w:r>
      <w:r w:rsidRPr="00D62EF3">
        <w:t xml:space="preserve">. Advance online publication. </w:t>
      </w:r>
      <w:hyperlink r:id="rId19">
        <w:r w:rsidRPr="00D62EF3">
          <w:rPr>
            <w:u w:val="single"/>
          </w:rPr>
          <w:t>https://doi.org/10.1177/23197145261416212</w:t>
        </w:r>
      </w:hyperlink>
    </w:p>
    <w:p w14:paraId="5022F78E" w14:textId="77777777" w:rsidR="008A79E7" w:rsidRPr="00D62EF3" w:rsidRDefault="008E4374">
      <w:pPr>
        <w:spacing w:after="80" w:line="240" w:lineRule="auto"/>
        <w:ind w:left="720" w:hanging="720"/>
      </w:pPr>
      <w:r w:rsidRPr="00D62EF3">
        <w:t xml:space="preserve">Davenport, T., Guha, A., Grewal, D., &amp; Bressgott, T. (2020). How artificial intelligence will change the future of marketing. </w:t>
      </w:r>
      <w:r w:rsidRPr="00D62EF3">
        <w:rPr>
          <w:i/>
        </w:rPr>
        <w:t>Journal of the Academy of Marketing Science</w:t>
      </w:r>
      <w:r w:rsidRPr="00D62EF3">
        <w:t xml:space="preserve">, </w:t>
      </w:r>
      <w:r w:rsidRPr="00D62EF3">
        <w:rPr>
          <w:i/>
        </w:rPr>
        <w:t>48</w:t>
      </w:r>
      <w:r w:rsidRPr="00D62EF3">
        <w:t xml:space="preserve">, 24–42. </w:t>
      </w:r>
      <w:hyperlink r:id="rId20">
        <w:r w:rsidRPr="00D62EF3">
          <w:rPr>
            <w:u w:val="single"/>
          </w:rPr>
          <w:t>https://doi.org/10.1007/s11747-019-00696-0</w:t>
        </w:r>
      </w:hyperlink>
    </w:p>
    <w:p w14:paraId="687FE3FE" w14:textId="77777777" w:rsidR="008A79E7" w:rsidRPr="00D62EF3" w:rsidRDefault="008E4374">
      <w:pPr>
        <w:spacing w:after="80" w:line="240" w:lineRule="auto"/>
        <w:ind w:left="720" w:hanging="720"/>
      </w:pPr>
      <w:r w:rsidRPr="00D62EF3">
        <w:t xml:space="preserve">Go, E., &amp; Sundar, S. S. (2019). Humanizing chatbots: The effects of visual, identity and conversational cues on humanness perceptions. </w:t>
      </w:r>
      <w:r w:rsidRPr="00D62EF3">
        <w:rPr>
          <w:i/>
        </w:rPr>
        <w:t>Computers in Human Behavior</w:t>
      </w:r>
      <w:r w:rsidRPr="00D62EF3">
        <w:t xml:space="preserve">, </w:t>
      </w:r>
      <w:r w:rsidRPr="00D62EF3">
        <w:rPr>
          <w:i/>
        </w:rPr>
        <w:t>97</w:t>
      </w:r>
      <w:r w:rsidRPr="00D62EF3">
        <w:t xml:space="preserve">, 304–316. </w:t>
      </w:r>
      <w:hyperlink r:id="rId21">
        <w:r w:rsidRPr="00D62EF3">
          <w:rPr>
            <w:u w:val="single"/>
          </w:rPr>
          <w:t>https://doi.org/10.1016/j.chb.2019.01.020</w:t>
        </w:r>
      </w:hyperlink>
    </w:p>
    <w:p w14:paraId="0D5A6636" w14:textId="77777777" w:rsidR="008A79E7" w:rsidRPr="00D62EF3" w:rsidRDefault="008E4374">
      <w:pPr>
        <w:spacing w:after="80" w:line="240" w:lineRule="auto"/>
        <w:ind w:left="720" w:hanging="720"/>
      </w:pPr>
      <w:r w:rsidRPr="00D62EF3">
        <w:t xml:space="preserve">Hashem, T. N. (2025). The future of customer service in Jordan: How chatbots and conversational AI are shaping the face of customer experience. </w:t>
      </w:r>
      <w:r w:rsidRPr="00D62EF3">
        <w:rPr>
          <w:i/>
        </w:rPr>
        <w:t>Asian Research Journal of Arts &amp; Social Sciences</w:t>
      </w:r>
      <w:r w:rsidRPr="00D62EF3">
        <w:t xml:space="preserve">, </w:t>
      </w:r>
      <w:r w:rsidRPr="00D62EF3">
        <w:rPr>
          <w:i/>
        </w:rPr>
        <w:t>23</w:t>
      </w:r>
      <w:r w:rsidRPr="00D62EF3">
        <w:t xml:space="preserve">(4), 1–10. </w:t>
      </w:r>
      <w:hyperlink r:id="rId22">
        <w:r w:rsidRPr="00D62EF3">
          <w:rPr>
            <w:u w:val="single"/>
          </w:rPr>
          <w:t>https://doi.org/10.9734/arjass/2025/v23i4656</w:t>
        </w:r>
      </w:hyperlink>
    </w:p>
    <w:p w14:paraId="600FDE69" w14:textId="77777777" w:rsidR="008A79E7" w:rsidRPr="00D62EF3" w:rsidRDefault="008E4374">
      <w:pPr>
        <w:spacing w:after="80" w:line="240" w:lineRule="auto"/>
        <w:ind w:left="720" w:hanging="720"/>
      </w:pPr>
      <w:r w:rsidRPr="00D62EF3">
        <w:lastRenderedPageBreak/>
        <w:t xml:space="preserve">Haugeland, I. K. F., Følstad, A., Taylor, C., &amp; Bjørkli, C. A. (2022). Understanding the user experience of customer service chatbots: An experimental study of chatbot interaction design. </w:t>
      </w:r>
      <w:r w:rsidRPr="00D62EF3">
        <w:rPr>
          <w:i/>
        </w:rPr>
        <w:t>International Journal of Human-Computer Studies</w:t>
      </w:r>
      <w:r w:rsidRPr="00D62EF3">
        <w:t xml:space="preserve">, </w:t>
      </w:r>
      <w:r w:rsidRPr="00D62EF3">
        <w:rPr>
          <w:i/>
        </w:rPr>
        <w:t>161</w:t>
      </w:r>
      <w:r w:rsidRPr="00D62EF3">
        <w:t xml:space="preserve">, 102788. </w:t>
      </w:r>
      <w:hyperlink r:id="rId23">
        <w:r w:rsidRPr="00D62EF3">
          <w:rPr>
            <w:u w:val="single"/>
          </w:rPr>
          <w:t>https://doi.org/10.1016/j.ijhcs.2022.102788</w:t>
        </w:r>
      </w:hyperlink>
    </w:p>
    <w:p w14:paraId="5BD45635" w14:textId="77777777" w:rsidR="008A79E7" w:rsidRPr="00D62EF3" w:rsidRDefault="008E4374">
      <w:pPr>
        <w:spacing w:after="80" w:line="240" w:lineRule="auto"/>
        <w:ind w:left="720" w:hanging="720"/>
      </w:pPr>
      <w:r w:rsidRPr="00D62EF3">
        <w:t xml:space="preserve">Hsu, C.-L., &amp; Lin, J. C.-C. (2023). Understanding the user satisfaction and loyalty of customer service chatbots. </w:t>
      </w:r>
      <w:r w:rsidRPr="00D62EF3">
        <w:rPr>
          <w:i/>
        </w:rPr>
        <w:t>Journal of Retailing and Consumer Services</w:t>
      </w:r>
      <w:r w:rsidRPr="00D62EF3">
        <w:t xml:space="preserve">, </w:t>
      </w:r>
      <w:r w:rsidRPr="00D62EF3">
        <w:rPr>
          <w:i/>
        </w:rPr>
        <w:t>71</w:t>
      </w:r>
      <w:r w:rsidRPr="00D62EF3">
        <w:t xml:space="preserve">, 103211. </w:t>
      </w:r>
      <w:hyperlink r:id="rId24">
        <w:r w:rsidRPr="00D62EF3">
          <w:rPr>
            <w:u w:val="single"/>
          </w:rPr>
          <w:t>https://doi.org/10.1016/j.jretconser.2022.103211</w:t>
        </w:r>
      </w:hyperlink>
    </w:p>
    <w:p w14:paraId="7BFC16F4" w14:textId="77777777" w:rsidR="008A79E7" w:rsidRPr="00D62EF3" w:rsidRDefault="008E4374">
      <w:pPr>
        <w:spacing w:after="80" w:line="240" w:lineRule="auto"/>
        <w:ind w:left="720" w:hanging="720"/>
      </w:pPr>
      <w:r w:rsidRPr="00D62EF3">
        <w:t xml:space="preserve">Hu, P., Lu, Y., &amp; Gong, Y. (2021). Dual humanness and trust in conversational AI: A person-centered approach. </w:t>
      </w:r>
      <w:r w:rsidRPr="00D62EF3">
        <w:rPr>
          <w:i/>
        </w:rPr>
        <w:t>Computers in Human Behavior</w:t>
      </w:r>
      <w:r w:rsidRPr="00D62EF3">
        <w:t xml:space="preserve">, </w:t>
      </w:r>
      <w:r w:rsidRPr="00D62EF3">
        <w:rPr>
          <w:i/>
        </w:rPr>
        <w:t>119</w:t>
      </w:r>
      <w:r w:rsidRPr="00D62EF3">
        <w:t xml:space="preserve">, 106727. </w:t>
      </w:r>
      <w:hyperlink r:id="rId25">
        <w:r w:rsidRPr="00D62EF3">
          <w:rPr>
            <w:u w:val="single"/>
          </w:rPr>
          <w:t>https://doi.org/10.1016/j.chb.2021.106727</w:t>
        </w:r>
      </w:hyperlink>
    </w:p>
    <w:p w14:paraId="11097778" w14:textId="77777777" w:rsidR="008A79E7" w:rsidRPr="00D62EF3" w:rsidRDefault="008E4374">
      <w:pPr>
        <w:spacing w:after="80" w:line="240" w:lineRule="auto"/>
        <w:ind w:left="720" w:hanging="720"/>
      </w:pPr>
      <w:r w:rsidRPr="00D62EF3">
        <w:t xml:space="preserve">Huang, M.-H., &amp; Rust, R. T. (2021). A strategic framework for artificial intelligence in marketing. </w:t>
      </w:r>
      <w:r w:rsidRPr="00D62EF3">
        <w:rPr>
          <w:i/>
        </w:rPr>
        <w:t>Journal of the Academy of Marketing Science</w:t>
      </w:r>
      <w:r w:rsidRPr="00D62EF3">
        <w:t xml:space="preserve">, </w:t>
      </w:r>
      <w:r w:rsidRPr="00D62EF3">
        <w:rPr>
          <w:i/>
        </w:rPr>
        <w:t>49</w:t>
      </w:r>
      <w:r w:rsidRPr="00D62EF3">
        <w:t xml:space="preserve">, 30–50. </w:t>
      </w:r>
      <w:hyperlink r:id="rId26">
        <w:r w:rsidRPr="00D62EF3">
          <w:rPr>
            <w:u w:val="single"/>
          </w:rPr>
          <w:t>https://doi.org/10.1007/s11747-020-00749-9</w:t>
        </w:r>
      </w:hyperlink>
    </w:p>
    <w:p w14:paraId="3338EE91" w14:textId="77777777" w:rsidR="008A79E7" w:rsidRPr="00D62EF3" w:rsidRDefault="008E4374">
      <w:pPr>
        <w:spacing w:after="80" w:line="240" w:lineRule="auto"/>
        <w:ind w:left="720" w:hanging="720"/>
      </w:pPr>
      <w:r w:rsidRPr="00D62EF3">
        <w:t xml:space="preserve">Luo, X., Tong, S., Fang, Z., &amp; Qu, Z. (2019). Frontiers: Machines vs. humans: The impact of artificial intelligence chatbot disclosure on customer purchases. </w:t>
      </w:r>
      <w:r w:rsidRPr="00D62EF3">
        <w:rPr>
          <w:i/>
        </w:rPr>
        <w:t>Marketing Science</w:t>
      </w:r>
      <w:r w:rsidRPr="00D62EF3">
        <w:t xml:space="preserve">, </w:t>
      </w:r>
      <w:r w:rsidRPr="00D62EF3">
        <w:rPr>
          <w:i/>
        </w:rPr>
        <w:t>38</w:t>
      </w:r>
      <w:r w:rsidRPr="00D62EF3">
        <w:t xml:space="preserve">(6), 937–947. </w:t>
      </w:r>
      <w:hyperlink r:id="rId27">
        <w:r w:rsidRPr="00D62EF3">
          <w:rPr>
            <w:u w:val="single"/>
          </w:rPr>
          <w:t>https://doi.org/10.1287/mksc.2019.1192</w:t>
        </w:r>
      </w:hyperlink>
    </w:p>
    <w:p w14:paraId="2A24FE74" w14:textId="77777777" w:rsidR="008A79E7" w:rsidRPr="00D62EF3" w:rsidRDefault="008E4374">
      <w:pPr>
        <w:spacing w:after="80" w:line="240" w:lineRule="auto"/>
        <w:ind w:left="720" w:hanging="720"/>
      </w:pPr>
      <w:r w:rsidRPr="00D62EF3">
        <w:t xml:space="preserve">Magableh, I. K., Mahrouq, M. H., Ta’Amnha, M. A., &amp; Riyadh, H. A. (2024). The role of marketing artificial intelligence in enhancing sustainable financial performance of medium-sized enterprises through customer engagement and data-driven decision-making. </w:t>
      </w:r>
      <w:r w:rsidRPr="00D62EF3">
        <w:rPr>
          <w:i/>
        </w:rPr>
        <w:t>Sustainability</w:t>
      </w:r>
      <w:r w:rsidRPr="00D62EF3">
        <w:t xml:space="preserve">, </w:t>
      </w:r>
      <w:r w:rsidRPr="00D62EF3">
        <w:rPr>
          <w:i/>
        </w:rPr>
        <w:t>16</w:t>
      </w:r>
      <w:r w:rsidRPr="00D62EF3">
        <w:t xml:space="preserve">(24), 11279. </w:t>
      </w:r>
      <w:hyperlink r:id="rId28">
        <w:r w:rsidRPr="00D62EF3">
          <w:rPr>
            <w:u w:val="single"/>
          </w:rPr>
          <w:t>https://doi.org/10.3390/su162411279</w:t>
        </w:r>
      </w:hyperlink>
    </w:p>
    <w:p w14:paraId="68427072" w14:textId="77777777" w:rsidR="008A79E7" w:rsidRPr="00D62EF3" w:rsidRDefault="008E4374">
      <w:pPr>
        <w:spacing w:after="80" w:line="240" w:lineRule="auto"/>
        <w:ind w:left="720" w:hanging="720"/>
      </w:pPr>
      <w:r w:rsidRPr="00D62EF3">
        <w:t xml:space="preserve">Maraqa, M. R., Al-Amawi, A. M., &amp; Hashem, T. (2018). The impact of Jordanian banks websites’ quality on customers’ satisfaction. </w:t>
      </w:r>
      <w:r w:rsidRPr="00D62EF3">
        <w:rPr>
          <w:i/>
        </w:rPr>
        <w:t>International Journal of Business and Management</w:t>
      </w:r>
      <w:r w:rsidRPr="00D62EF3">
        <w:t xml:space="preserve">, </w:t>
      </w:r>
      <w:r w:rsidRPr="00D62EF3">
        <w:rPr>
          <w:i/>
        </w:rPr>
        <w:t>13</w:t>
      </w:r>
      <w:r w:rsidRPr="00D62EF3">
        <w:t xml:space="preserve">(8), 268–276. </w:t>
      </w:r>
      <w:hyperlink r:id="rId29">
        <w:r w:rsidRPr="00D62EF3">
          <w:rPr>
            <w:u w:val="single"/>
          </w:rPr>
          <w:t>https://doi.org/10.5539/ijbm.v13n8p268</w:t>
        </w:r>
      </w:hyperlink>
    </w:p>
    <w:p w14:paraId="57E0AA1E" w14:textId="77777777" w:rsidR="008A79E7" w:rsidRPr="00D62EF3" w:rsidRDefault="008E4374">
      <w:pPr>
        <w:spacing w:after="80" w:line="240" w:lineRule="auto"/>
        <w:ind w:left="720" w:hanging="720"/>
      </w:pPr>
      <w:r w:rsidRPr="00D62EF3">
        <w:t xml:space="preserve">Mohamad, I., Hughes, L., Alalwan, A. A., Malik, T., &amp; Dwivedi, Y. K. (2026). Examining the factors influencing citizen adoption of e-government chatbot services in Jordan: A longitudinal survey study. </w:t>
      </w:r>
      <w:r w:rsidRPr="00D62EF3">
        <w:rPr>
          <w:i/>
        </w:rPr>
        <w:t>Technological Forecasting and Social Change</w:t>
      </w:r>
      <w:r w:rsidRPr="00D62EF3">
        <w:t xml:space="preserve">, </w:t>
      </w:r>
      <w:r w:rsidRPr="00D62EF3">
        <w:rPr>
          <w:i/>
        </w:rPr>
        <w:t>222</w:t>
      </w:r>
      <w:r w:rsidRPr="00D62EF3">
        <w:t xml:space="preserve">, 124398. </w:t>
      </w:r>
      <w:hyperlink r:id="rId30">
        <w:r w:rsidRPr="00D62EF3">
          <w:rPr>
            <w:u w:val="single"/>
          </w:rPr>
          <w:t>https://doi.org/10.1016/j.techfore.2025.124398</w:t>
        </w:r>
      </w:hyperlink>
    </w:p>
    <w:p w14:paraId="60EB1F88" w14:textId="77777777" w:rsidR="008A79E7" w:rsidRPr="00D62EF3" w:rsidRDefault="008E4374">
      <w:pPr>
        <w:spacing w:after="80" w:line="240" w:lineRule="auto"/>
        <w:ind w:left="720" w:hanging="720"/>
      </w:pPr>
      <w:r w:rsidRPr="00D62EF3">
        <w:t xml:space="preserve">Mozafari, N., Weiger, W. H., &amp; Hammerschmidt, M. (2022). Trust me, I’m a bot – repercussions of chatbot disclosure in different service frontline settings. </w:t>
      </w:r>
      <w:r w:rsidRPr="00D62EF3">
        <w:rPr>
          <w:i/>
        </w:rPr>
        <w:t>Journal of Service Management</w:t>
      </w:r>
      <w:r w:rsidRPr="00D62EF3">
        <w:t xml:space="preserve">, </w:t>
      </w:r>
      <w:r w:rsidRPr="00D62EF3">
        <w:rPr>
          <w:i/>
        </w:rPr>
        <w:t>33</w:t>
      </w:r>
      <w:r w:rsidRPr="00D62EF3">
        <w:t xml:space="preserve">(2), 221–245. </w:t>
      </w:r>
      <w:hyperlink r:id="rId31">
        <w:r w:rsidRPr="00D62EF3">
          <w:rPr>
            <w:u w:val="single"/>
          </w:rPr>
          <w:t>https://doi.org/10.1108/JOSM-10-2020-0380</w:t>
        </w:r>
      </w:hyperlink>
    </w:p>
    <w:p w14:paraId="37258E0E" w14:textId="77777777" w:rsidR="008A79E7" w:rsidRPr="00D62EF3" w:rsidRDefault="008E4374">
      <w:pPr>
        <w:spacing w:after="80" w:line="240" w:lineRule="auto"/>
        <w:ind w:left="720" w:hanging="720"/>
      </w:pPr>
      <w:r w:rsidRPr="00D62EF3">
        <w:t xml:space="preserve">Omeish, F., Al Khasawneh, M., &amp; Khair, N. (2024). Investigating the impact of AI on improving customer experience through social media marketing: An analysis of Jordanian Millennials. </w:t>
      </w:r>
      <w:r w:rsidRPr="00D62EF3">
        <w:rPr>
          <w:i/>
        </w:rPr>
        <w:t>Computers in Human Behavior Reports</w:t>
      </w:r>
      <w:r w:rsidRPr="00D62EF3">
        <w:t xml:space="preserve">, </w:t>
      </w:r>
      <w:r w:rsidRPr="00D62EF3">
        <w:rPr>
          <w:i/>
        </w:rPr>
        <w:t>15</w:t>
      </w:r>
      <w:r w:rsidRPr="00D62EF3">
        <w:t xml:space="preserve">, 100464. </w:t>
      </w:r>
      <w:hyperlink r:id="rId32">
        <w:r w:rsidRPr="00D62EF3">
          <w:rPr>
            <w:u w:val="single"/>
          </w:rPr>
          <w:t>https://doi.org/10.1016/j.chbr.2024.100464</w:t>
        </w:r>
      </w:hyperlink>
    </w:p>
    <w:p w14:paraId="36C78D46" w14:textId="77777777" w:rsidR="008A79E7" w:rsidRPr="00D62EF3" w:rsidRDefault="008E4374">
      <w:pPr>
        <w:spacing w:after="80" w:line="240" w:lineRule="auto"/>
        <w:ind w:left="720" w:hanging="720"/>
      </w:pPr>
      <w:r w:rsidRPr="00D62EF3">
        <w:t xml:space="preserve">Pelau, C., Dabija, D.-C., &amp; Ene, I. (2021). What makes an AI device human-like? The role of interaction quality, empathy and perceived psychological anthropomorphic characteristics in the acceptance of artificial intelligence in the service industry. </w:t>
      </w:r>
      <w:r w:rsidRPr="00D62EF3">
        <w:rPr>
          <w:i/>
        </w:rPr>
        <w:t>Computers in Human Behavior</w:t>
      </w:r>
      <w:r w:rsidRPr="00D62EF3">
        <w:t xml:space="preserve">, </w:t>
      </w:r>
      <w:r w:rsidRPr="00D62EF3">
        <w:rPr>
          <w:i/>
        </w:rPr>
        <w:t>122</w:t>
      </w:r>
      <w:r w:rsidRPr="00D62EF3">
        <w:t xml:space="preserve">, 106855. </w:t>
      </w:r>
      <w:hyperlink r:id="rId33">
        <w:r w:rsidRPr="00D62EF3">
          <w:rPr>
            <w:u w:val="single"/>
          </w:rPr>
          <w:t>https://doi.org/10.1016/j.chb.2021.106855</w:t>
        </w:r>
      </w:hyperlink>
    </w:p>
    <w:p w14:paraId="20837645" w14:textId="77777777" w:rsidR="008A79E7" w:rsidRPr="00D62EF3" w:rsidRDefault="008E4374">
      <w:pPr>
        <w:spacing w:after="80" w:line="240" w:lineRule="auto"/>
        <w:ind w:left="720" w:hanging="720"/>
      </w:pPr>
      <w:r w:rsidRPr="00D62EF3">
        <w:t xml:space="preserve">Rese, A., Ganster, L., &amp; Baier, D. (2020). Chatbots in retailers’ customer communication: How to measure their acceptance? </w:t>
      </w:r>
      <w:r w:rsidRPr="00D62EF3">
        <w:rPr>
          <w:i/>
        </w:rPr>
        <w:t>Journal of Retailing and Consumer Services</w:t>
      </w:r>
      <w:r w:rsidRPr="00D62EF3">
        <w:t xml:space="preserve">, </w:t>
      </w:r>
      <w:r w:rsidRPr="00D62EF3">
        <w:rPr>
          <w:i/>
        </w:rPr>
        <w:t>56</w:t>
      </w:r>
      <w:r w:rsidRPr="00D62EF3">
        <w:t xml:space="preserve">, 102176. </w:t>
      </w:r>
      <w:hyperlink r:id="rId34">
        <w:r w:rsidRPr="00D62EF3">
          <w:rPr>
            <w:u w:val="single"/>
          </w:rPr>
          <w:t>https://doi.org/10.1016/j.jretconser.2020.102176</w:t>
        </w:r>
      </w:hyperlink>
    </w:p>
    <w:p w14:paraId="6E5D059D" w14:textId="77777777" w:rsidR="008A79E7" w:rsidRPr="00D62EF3" w:rsidRDefault="008E4374">
      <w:pPr>
        <w:spacing w:after="80" w:line="240" w:lineRule="auto"/>
        <w:ind w:left="720" w:hanging="720"/>
      </w:pPr>
      <w:r w:rsidRPr="00D62EF3">
        <w:t xml:space="preserve">Sheehan, B., Jin, H. S., &amp; Gottlieb, U. (2020). Customer service chatbots: Anthropomorphism and adoption. </w:t>
      </w:r>
      <w:r w:rsidRPr="00D62EF3">
        <w:rPr>
          <w:i/>
        </w:rPr>
        <w:t>Journal of Business Research</w:t>
      </w:r>
      <w:r w:rsidRPr="00D62EF3">
        <w:t xml:space="preserve">, </w:t>
      </w:r>
      <w:r w:rsidRPr="00D62EF3">
        <w:rPr>
          <w:i/>
        </w:rPr>
        <w:t>115</w:t>
      </w:r>
      <w:r w:rsidRPr="00D62EF3">
        <w:t xml:space="preserve">, 14–24. </w:t>
      </w:r>
      <w:hyperlink r:id="rId35">
        <w:r w:rsidRPr="00D62EF3">
          <w:rPr>
            <w:u w:val="single"/>
          </w:rPr>
          <w:t>https://doi.org/10.1016/j.jbusres.2020.04.030</w:t>
        </w:r>
      </w:hyperlink>
    </w:p>
    <w:p w14:paraId="01AD3BFE" w14:textId="77777777" w:rsidR="008A79E7" w:rsidRPr="00D62EF3" w:rsidRDefault="008E4374">
      <w:pPr>
        <w:spacing w:after="80" w:line="240" w:lineRule="auto"/>
        <w:ind w:left="720" w:hanging="720"/>
      </w:pPr>
      <w:r w:rsidRPr="00D62EF3">
        <w:t xml:space="preserve">Song, M., Xing, X., Duan, Y., Cohen, J., &amp; Mou, J. (2022). Will artificial intelligence replace human customer service? The impact of communication quality and privacy risks on adoption intention. </w:t>
      </w:r>
      <w:r w:rsidRPr="00D62EF3">
        <w:rPr>
          <w:i/>
        </w:rPr>
        <w:t>Journal of Retailing and Consumer Services</w:t>
      </w:r>
      <w:r w:rsidRPr="00D62EF3">
        <w:t xml:space="preserve">, </w:t>
      </w:r>
      <w:r w:rsidRPr="00D62EF3">
        <w:rPr>
          <w:i/>
        </w:rPr>
        <w:t>66</w:t>
      </w:r>
      <w:r w:rsidRPr="00D62EF3">
        <w:t xml:space="preserve">, 102900. </w:t>
      </w:r>
      <w:hyperlink r:id="rId36">
        <w:r w:rsidRPr="00D62EF3">
          <w:rPr>
            <w:u w:val="single"/>
          </w:rPr>
          <w:t>https://doi.org/10.1016/j.jretconser.2021.102900</w:t>
        </w:r>
      </w:hyperlink>
    </w:p>
    <w:p w14:paraId="6DE33EBC" w14:textId="77777777" w:rsidR="008A79E7" w:rsidRPr="00D62EF3" w:rsidRDefault="008E4374">
      <w:pPr>
        <w:spacing w:after="80" w:line="240" w:lineRule="auto"/>
        <w:ind w:left="720" w:hanging="720"/>
      </w:pPr>
      <w:r w:rsidRPr="00D62EF3">
        <w:t xml:space="preserve">Wirtz, J., Patterson, P. G., Kunz, W. H., Gruber, T., Lu, V. N., Paluch, S., &amp; Martins, A. (2018). Brave new world: Service robots in the frontline. </w:t>
      </w:r>
      <w:r w:rsidRPr="00D62EF3">
        <w:rPr>
          <w:i/>
        </w:rPr>
        <w:t>Journal of Service Management</w:t>
      </w:r>
      <w:r w:rsidRPr="00D62EF3">
        <w:t xml:space="preserve">, </w:t>
      </w:r>
      <w:r w:rsidRPr="00D62EF3">
        <w:rPr>
          <w:i/>
        </w:rPr>
        <w:t>29</w:t>
      </w:r>
      <w:r w:rsidRPr="00D62EF3">
        <w:t xml:space="preserve">(5), 907–931. </w:t>
      </w:r>
      <w:hyperlink r:id="rId37">
        <w:r w:rsidRPr="00D62EF3">
          <w:rPr>
            <w:u w:val="single"/>
          </w:rPr>
          <w:t>https://doi.org/10.1108/JOSM-04-2018-0119</w:t>
        </w:r>
      </w:hyperlink>
    </w:p>
    <w:p w14:paraId="41EAACBB" w14:textId="77777777" w:rsidR="008A79E7" w:rsidRPr="00D62EF3" w:rsidRDefault="008E4374">
      <w:pPr>
        <w:spacing w:after="80" w:line="240" w:lineRule="auto"/>
        <w:ind w:left="720" w:hanging="720"/>
      </w:pPr>
      <w:r w:rsidRPr="00D62EF3">
        <w:lastRenderedPageBreak/>
        <w:t xml:space="preserve">Xu, Y., Zhang, J., &amp; Deng, G. (2022). Enhancing customer satisfaction with chatbots: The influence of communication styles and consumer attachment anxiety. </w:t>
      </w:r>
      <w:r w:rsidRPr="00D62EF3">
        <w:rPr>
          <w:i/>
        </w:rPr>
        <w:t>Frontiers in Psychology</w:t>
      </w:r>
      <w:r w:rsidRPr="00D62EF3">
        <w:t xml:space="preserve">, </w:t>
      </w:r>
      <w:r w:rsidRPr="00D62EF3">
        <w:rPr>
          <w:i/>
        </w:rPr>
        <w:t>13</w:t>
      </w:r>
      <w:r w:rsidRPr="00D62EF3">
        <w:t xml:space="preserve">, 902782. </w:t>
      </w:r>
      <w:hyperlink r:id="rId38">
        <w:r w:rsidRPr="00D62EF3">
          <w:rPr>
            <w:u w:val="single"/>
          </w:rPr>
          <w:t>https://doi.org/10.3389/fpsyg.2022.902782</w:t>
        </w:r>
      </w:hyperlink>
    </w:p>
    <w:p w14:paraId="62F16B35" w14:textId="77777777" w:rsidR="008A79E7" w:rsidRPr="00D62EF3" w:rsidRDefault="008E4374">
      <w:pPr>
        <w:spacing w:after="80" w:line="240" w:lineRule="auto"/>
        <w:ind w:left="720" w:hanging="720"/>
      </w:pPr>
      <w:r w:rsidRPr="00D62EF3">
        <w:t xml:space="preserve">Yun, J., &amp; Park, J. (2022). The effects of chatbot service recovery with emotion words on customer satisfaction, repurchase intention, and positive word-of-mouth. </w:t>
      </w:r>
      <w:r w:rsidRPr="00D62EF3">
        <w:rPr>
          <w:i/>
        </w:rPr>
        <w:t>Frontiers in Psychology</w:t>
      </w:r>
      <w:r w:rsidRPr="00D62EF3">
        <w:t xml:space="preserve">, </w:t>
      </w:r>
      <w:r w:rsidRPr="00D62EF3">
        <w:rPr>
          <w:i/>
        </w:rPr>
        <w:t>13</w:t>
      </w:r>
      <w:r w:rsidRPr="00D62EF3">
        <w:t xml:space="preserve">, 922503. </w:t>
      </w:r>
      <w:hyperlink r:id="rId39">
        <w:r w:rsidRPr="00D62EF3">
          <w:rPr>
            <w:u w:val="single"/>
          </w:rPr>
          <w:t>https://doi.org/10.3389/fpsyg.2022.922503</w:t>
        </w:r>
      </w:hyperlink>
    </w:p>
    <w:sectPr w:rsidR="008A79E7" w:rsidRPr="00D62EF3" w:rsidSect="00034616">
      <w:headerReference w:type="even" r:id="rId40"/>
      <w:headerReference w:type="default" r:id="rId41"/>
      <w:footerReference w:type="even" r:id="rId42"/>
      <w:footerReference w:type="default" r:id="rId43"/>
      <w:headerReference w:type="first" r:id="rId44"/>
      <w:footerReference w:type="first" r:id="rId45"/>
      <w:pgSz w:w="12240" w:h="15840"/>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3794F" w14:textId="77777777" w:rsidR="00CC219F" w:rsidRDefault="00CC219F">
      <w:pPr>
        <w:spacing w:after="0" w:line="240" w:lineRule="auto"/>
      </w:pPr>
      <w:r>
        <w:separator/>
      </w:r>
    </w:p>
  </w:endnote>
  <w:endnote w:type="continuationSeparator" w:id="0">
    <w:p w14:paraId="51718264" w14:textId="77777777" w:rsidR="00CC219F" w:rsidRDefault="00CC2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E1DF6" w14:textId="77777777" w:rsidR="006233A7" w:rsidRDefault="00623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33F6" w14:textId="77777777" w:rsidR="008A79E7" w:rsidRDefault="008E4374">
    <w:pPr>
      <w:pStyle w:val="Footer"/>
      <w:jc w:val="center"/>
    </w:pPr>
    <w:r>
      <w:fldChar w:fldCharType="begin"/>
    </w:r>
    <w:r>
      <w:instrText>PAGE</w:instrText>
    </w:r>
    <w:r>
      <w:fldChar w:fldCharType="separate"/>
    </w:r>
    <w:r w:rsidR="00D62EF3">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B37A" w14:textId="77777777" w:rsidR="006233A7" w:rsidRDefault="0062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4E289" w14:textId="77777777" w:rsidR="00CC219F" w:rsidRDefault="00CC219F">
      <w:pPr>
        <w:spacing w:after="0" w:line="240" w:lineRule="auto"/>
      </w:pPr>
      <w:r>
        <w:separator/>
      </w:r>
    </w:p>
  </w:footnote>
  <w:footnote w:type="continuationSeparator" w:id="0">
    <w:p w14:paraId="721A06C6" w14:textId="77777777" w:rsidR="00CC219F" w:rsidRDefault="00CC2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81D4" w14:textId="641A17B4" w:rsidR="006233A7" w:rsidRDefault="006233A7">
    <w:pPr>
      <w:pStyle w:val="Header"/>
    </w:pPr>
    <w:r>
      <w:rPr>
        <w:noProof/>
      </w:rPr>
      <w:pict w14:anchorId="2573BC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53844"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E9165" w14:textId="6CA85525" w:rsidR="006233A7" w:rsidRDefault="006233A7">
    <w:pPr>
      <w:pStyle w:val="Header"/>
    </w:pPr>
    <w:r>
      <w:rPr>
        <w:noProof/>
      </w:rPr>
      <w:pict w14:anchorId="2EF79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53845"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3065" w14:textId="7231BBA6" w:rsidR="006233A7" w:rsidRDefault="006233A7">
    <w:pPr>
      <w:pStyle w:val="Header"/>
    </w:pPr>
    <w:r>
      <w:rPr>
        <w:noProof/>
      </w:rPr>
      <w:pict w14:anchorId="19D742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53843"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7652745">
    <w:abstractNumId w:val="8"/>
  </w:num>
  <w:num w:numId="2" w16cid:durableId="55201589">
    <w:abstractNumId w:val="6"/>
  </w:num>
  <w:num w:numId="3" w16cid:durableId="724718181">
    <w:abstractNumId w:val="5"/>
  </w:num>
  <w:num w:numId="4" w16cid:durableId="847864698">
    <w:abstractNumId w:val="4"/>
  </w:num>
  <w:num w:numId="5" w16cid:durableId="1277103505">
    <w:abstractNumId w:val="7"/>
  </w:num>
  <w:num w:numId="6" w16cid:durableId="186215264">
    <w:abstractNumId w:val="3"/>
  </w:num>
  <w:num w:numId="7" w16cid:durableId="546140677">
    <w:abstractNumId w:val="2"/>
  </w:num>
  <w:num w:numId="8" w16cid:durableId="1055741318">
    <w:abstractNumId w:val="1"/>
  </w:num>
  <w:num w:numId="9" w16cid:durableId="58349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27A6"/>
    <w:rsid w:val="00232291"/>
    <w:rsid w:val="0029639D"/>
    <w:rsid w:val="003076D2"/>
    <w:rsid w:val="00326F90"/>
    <w:rsid w:val="006233A7"/>
    <w:rsid w:val="008A79E7"/>
    <w:rsid w:val="008E4374"/>
    <w:rsid w:val="00AA1D8D"/>
    <w:rsid w:val="00B47730"/>
    <w:rsid w:val="00CB0664"/>
    <w:rsid w:val="00CC219F"/>
    <w:rsid w:val="00D62EF3"/>
    <w:rsid w:val="00EA3C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FB9E13"/>
  <w14:defaultImageDpi w14:val="300"/>
  <w15:docId w15:val="{CA870867-B534-4B49-8D40-164358D2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44A7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40" w:after="100" w:line="240" w:lineRule="auto"/>
      <w:contextualSpacing/>
    </w:pPr>
    <w:rPr>
      <w:rFonts w:asciiTheme="majorHAnsi" w:eastAsiaTheme="majorEastAsia" w:hAnsiTheme="majorHAnsi" w:cstheme="majorBidi"/>
      <w:b/>
      <w:color w:val="17365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40" w:after="80"/>
    </w:pPr>
    <w:rPr>
      <w:rFonts w:ascii="Times New Roman" w:eastAsia="Times New Roman" w:hAnsi="Times New Roman"/>
      <w:b/>
      <w:color w:val="1F4E79"/>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procs.2024.06.284" TargetMode="External"/><Relationship Id="rId18" Type="http://schemas.openxmlformats.org/officeDocument/2006/relationships/hyperlink" Target="https://doi.org/10.1177/00222429211045687" TargetMode="External"/><Relationship Id="rId26" Type="http://schemas.openxmlformats.org/officeDocument/2006/relationships/hyperlink" Target="https://doi.org/10.1007/s11747-020-00749-9" TargetMode="External"/><Relationship Id="rId39" Type="http://schemas.openxmlformats.org/officeDocument/2006/relationships/hyperlink" Target="https://doi.org/10.3389/fpsyg.2022.922503" TargetMode="External"/><Relationship Id="rId21" Type="http://schemas.openxmlformats.org/officeDocument/2006/relationships/hyperlink" Target="https://doi.org/10.1016/j.chb.2019.01.020" TargetMode="External"/><Relationship Id="rId34" Type="http://schemas.openxmlformats.org/officeDocument/2006/relationships/hyperlink" Target="https://doi.org/10.1016/j.jretconser.2020.102176"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86/s41073-019-0064-8" TargetMode="External"/><Relationship Id="rId29" Type="http://schemas.openxmlformats.org/officeDocument/2006/relationships/hyperlink" Target="https://doi.org/10.5539/ijbm.v13n8p2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jsc.2434" TargetMode="External"/><Relationship Id="rId24" Type="http://schemas.openxmlformats.org/officeDocument/2006/relationships/hyperlink" Target="https://doi.org/10.1016/j.jretconser.2022.103211" TargetMode="External"/><Relationship Id="rId32" Type="http://schemas.openxmlformats.org/officeDocument/2006/relationships/hyperlink" Target="https://doi.org/10.1016/j.chbr.2024.100464" TargetMode="External"/><Relationship Id="rId37" Type="http://schemas.openxmlformats.org/officeDocument/2006/relationships/hyperlink" Target="https://doi.org/10.1108/JOSM-04-2018-0119"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016/j.tele.2020.101473" TargetMode="External"/><Relationship Id="rId23" Type="http://schemas.openxmlformats.org/officeDocument/2006/relationships/hyperlink" Target="https://doi.org/10.1016/j.ijhcs.2022.102788" TargetMode="External"/><Relationship Id="rId28" Type="http://schemas.openxmlformats.org/officeDocument/2006/relationships/hyperlink" Target="https://doi.org/10.3390/su162411279" TargetMode="External"/><Relationship Id="rId36" Type="http://schemas.openxmlformats.org/officeDocument/2006/relationships/hyperlink" Target="https://doi.org/10.1016/j.jretconser.2021.102900" TargetMode="External"/><Relationship Id="rId10" Type="http://schemas.openxmlformats.org/officeDocument/2006/relationships/hyperlink" Target="https://doi.org/10.1016/j.actpsy.2026.106236" TargetMode="External"/><Relationship Id="rId19" Type="http://schemas.openxmlformats.org/officeDocument/2006/relationships/hyperlink" Target="https://doi.org/10.1177/23197145261416212" TargetMode="External"/><Relationship Id="rId31" Type="http://schemas.openxmlformats.org/officeDocument/2006/relationships/hyperlink" Target="https://doi.org/10.1108/JOSM-10-2020-0380"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33168/JLISS.2024.0909" TargetMode="External"/><Relationship Id="rId14" Type="http://schemas.openxmlformats.org/officeDocument/2006/relationships/hyperlink" Target="https://doi.org/10.1016/j.chb.2018.03.051" TargetMode="External"/><Relationship Id="rId22" Type="http://schemas.openxmlformats.org/officeDocument/2006/relationships/hyperlink" Target="https://doi.org/10.9734/arjass/2025/v23i4656" TargetMode="External"/><Relationship Id="rId27" Type="http://schemas.openxmlformats.org/officeDocument/2006/relationships/hyperlink" Target="https://doi.org/10.1287/mksc.2019.1192" TargetMode="External"/><Relationship Id="rId30" Type="http://schemas.openxmlformats.org/officeDocument/2006/relationships/hyperlink" Target="https://doi.org/10.1016/j.techfore.2025.124398" TargetMode="External"/><Relationship Id="rId35" Type="http://schemas.openxmlformats.org/officeDocument/2006/relationships/hyperlink" Target="https://doi.org/10.1016/j.jbusres.2020.04.030" TargetMode="External"/><Relationship Id="rId43" Type="http://schemas.openxmlformats.org/officeDocument/2006/relationships/footer" Target="footer2.xml"/><Relationship Id="rId8" Type="http://schemas.openxmlformats.org/officeDocument/2006/relationships/hyperlink" Target="https://doi.org/10.1007/s12525-020-00414-7" TargetMode="External"/><Relationship Id="rId3" Type="http://schemas.openxmlformats.org/officeDocument/2006/relationships/styles" Target="styles.xml"/><Relationship Id="rId12" Type="http://schemas.openxmlformats.org/officeDocument/2006/relationships/hyperlink" Target="https://doi.org/10.1080/23311975.2024.2387196" TargetMode="External"/><Relationship Id="rId17" Type="http://schemas.openxmlformats.org/officeDocument/2006/relationships/hyperlink" Target="https://doi.org/10.1080/08838151.2020.1834296" TargetMode="External"/><Relationship Id="rId25" Type="http://schemas.openxmlformats.org/officeDocument/2006/relationships/hyperlink" Target="https://doi.org/10.1016/j.chb.2021.106727" TargetMode="External"/><Relationship Id="rId33" Type="http://schemas.openxmlformats.org/officeDocument/2006/relationships/hyperlink" Target="https://doi.org/10.1016/j.chb.2021.106855" TargetMode="External"/><Relationship Id="rId38" Type="http://schemas.openxmlformats.org/officeDocument/2006/relationships/hyperlink" Target="https://doi.org/10.3389/fpsyg.2022.902782" TargetMode="External"/><Relationship Id="rId46" Type="http://schemas.openxmlformats.org/officeDocument/2006/relationships/fontTable" Target="fontTable.xml"/><Relationship Id="rId20" Type="http://schemas.openxmlformats.org/officeDocument/2006/relationships/hyperlink" Target="https://doi.org/10.1007/s11747-019-00696-0"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783B0-21EE-40DD-B9F7-5F4595BA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14128</Words>
  <Characters>80536</Characters>
  <Application>Microsoft Office Word</Application>
  <DocSecurity>0</DocSecurity>
  <Lines>671</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Chatbots and AI Assistants in E-Marketing Customer Experience: A Critical Narrative Review of Evidence from Jordan</dc:title>
  <dc:subject>Critical narrative review</dc:subject>
  <dc:creator/>
  <cp:keywords>chatbots; AI assistants; customer experience; e-marketing; Jordan</cp:keywords>
  <dc:description>generated by python-docx</dc:description>
  <cp:lastModifiedBy>SDI 1084</cp:lastModifiedBy>
  <cp:revision>5</cp:revision>
  <dcterms:created xsi:type="dcterms:W3CDTF">2013-12-23T23:15:00Z</dcterms:created>
  <dcterms:modified xsi:type="dcterms:W3CDTF">2026-08-29T11:28:00Z</dcterms:modified>
  <cp:category/>
</cp:coreProperties>
</file>