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B93E" w14:textId="2D7CB5E7" w:rsidR="00B05A71" w:rsidRDefault="001C0A34" w:rsidP="00055D83">
      <w:pPr>
        <w:spacing w:before="0" w:line="240" w:lineRule="auto"/>
        <w:jc w:val="center"/>
        <w:rPr>
          <w:rFonts w:cs="Times New Roman"/>
          <w:b/>
          <w:bCs/>
          <w:color w:val="000000" w:themeColor="text1"/>
          <w:sz w:val="36"/>
          <w:szCs w:val="36"/>
        </w:rPr>
      </w:pPr>
      <w:r w:rsidRPr="001C0A34">
        <w:rPr>
          <w:rFonts w:cs="Times New Roman"/>
          <w:b/>
          <w:bCs/>
          <w:color w:val="000000" w:themeColor="text1"/>
          <w:sz w:val="36"/>
          <w:szCs w:val="36"/>
        </w:rPr>
        <w:t>ESTABLISHMENT OF PHYSICAL ACTIVITY BEHAVIOR AMONG STUDENTS AND STAFF OF THE UNIVERSITY OF RWANDA</w:t>
      </w:r>
    </w:p>
    <w:p w14:paraId="6BD2E617" w14:textId="77777777" w:rsidR="00E270A8" w:rsidRPr="007A56B8" w:rsidRDefault="00E270A8" w:rsidP="00055D83">
      <w:pPr>
        <w:spacing w:before="0" w:line="240" w:lineRule="auto"/>
        <w:jc w:val="center"/>
        <w:rPr>
          <w:rFonts w:cs="Times New Roman"/>
          <w:b/>
          <w:bCs/>
          <w:color w:val="000000" w:themeColor="text1"/>
          <w:sz w:val="36"/>
          <w:szCs w:val="36"/>
        </w:rPr>
      </w:pPr>
    </w:p>
    <w:p w14:paraId="3F108D69" w14:textId="77777777" w:rsidR="003607E2" w:rsidRPr="007A56B8" w:rsidRDefault="003607E2" w:rsidP="00055D83">
      <w:pPr>
        <w:spacing w:before="0" w:line="240" w:lineRule="auto"/>
        <w:jc w:val="center"/>
        <w:rPr>
          <w:rFonts w:cs="Times New Roman"/>
          <w:b/>
          <w:color w:val="000000" w:themeColor="text1"/>
          <w:szCs w:val="24"/>
        </w:rPr>
      </w:pPr>
    </w:p>
    <w:p w14:paraId="552CD264" w14:textId="77777777" w:rsidR="00B24ED6" w:rsidRPr="007A56B8" w:rsidRDefault="00B24ED6" w:rsidP="00055D83">
      <w:pPr>
        <w:spacing w:before="0" w:line="240" w:lineRule="auto"/>
        <w:jc w:val="center"/>
        <w:rPr>
          <w:rFonts w:cs="Times New Roman"/>
          <w:color w:val="000000" w:themeColor="text1"/>
          <w:szCs w:val="24"/>
        </w:rPr>
      </w:pPr>
    </w:p>
    <w:p w14:paraId="420C5B92" w14:textId="77777777" w:rsidR="00DD21C0" w:rsidRPr="007A56B8" w:rsidRDefault="00DD21C0" w:rsidP="00055D83">
      <w:pPr>
        <w:spacing w:before="0" w:line="240" w:lineRule="auto"/>
        <w:jc w:val="center"/>
        <w:rPr>
          <w:rFonts w:cs="Times New Roman"/>
          <w:color w:val="000000" w:themeColor="text1"/>
          <w:szCs w:val="24"/>
        </w:rPr>
      </w:pPr>
    </w:p>
    <w:p w14:paraId="26A1F76F" w14:textId="77777777" w:rsidR="00DD21C0" w:rsidRPr="007A56B8" w:rsidRDefault="00DD21C0" w:rsidP="00055D83">
      <w:pPr>
        <w:spacing w:before="0" w:line="240" w:lineRule="auto"/>
        <w:jc w:val="center"/>
        <w:rPr>
          <w:rFonts w:cs="Times New Roman"/>
          <w:color w:val="000000" w:themeColor="text1"/>
          <w:szCs w:val="24"/>
        </w:rPr>
      </w:pPr>
    </w:p>
    <w:p w14:paraId="43D2AA90" w14:textId="77777777" w:rsidR="007C3182" w:rsidRPr="007A56B8" w:rsidRDefault="007C3182" w:rsidP="00055D83">
      <w:pPr>
        <w:spacing w:before="0" w:line="240" w:lineRule="auto"/>
        <w:jc w:val="center"/>
        <w:rPr>
          <w:rFonts w:cs="Times New Roman"/>
          <w:color w:val="000000" w:themeColor="text1"/>
          <w:szCs w:val="24"/>
        </w:rPr>
      </w:pPr>
    </w:p>
    <w:p w14:paraId="42946DD8" w14:textId="77777777" w:rsidR="00055D83" w:rsidRPr="007A56B8" w:rsidRDefault="00055D83" w:rsidP="004737A8">
      <w:pPr>
        <w:spacing w:before="0" w:line="240" w:lineRule="auto"/>
        <w:jc w:val="center"/>
        <w:rPr>
          <w:b/>
          <w:sz w:val="28"/>
        </w:rPr>
      </w:pPr>
      <w:bookmarkStart w:id="0" w:name="_Toc488404692"/>
      <w:bookmarkStart w:id="1" w:name="_Toc102409737"/>
      <w:r w:rsidRPr="007A56B8">
        <w:rPr>
          <w:b/>
          <w:sz w:val="28"/>
        </w:rPr>
        <w:t>ABSTRACT</w:t>
      </w:r>
      <w:bookmarkEnd w:id="0"/>
      <w:bookmarkEnd w:id="1"/>
    </w:p>
    <w:p w14:paraId="33405D5C" w14:textId="75FA28D3" w:rsidR="00C2401C" w:rsidRPr="00C2401C" w:rsidRDefault="00B24ED6" w:rsidP="00C2401C">
      <w:pPr>
        <w:spacing w:line="240" w:lineRule="auto"/>
        <w:rPr>
          <w:rFonts w:cs="Times New Roman"/>
          <w:color w:val="000000" w:themeColor="text1"/>
          <w:szCs w:val="24"/>
        </w:rPr>
      </w:pPr>
      <w:r w:rsidRPr="00B24ED6">
        <w:rPr>
          <w:rFonts w:cs="Times New Roman"/>
          <w:color w:val="000000" w:themeColor="text1"/>
          <w:szCs w:val="24"/>
        </w:rPr>
        <w:t xml:space="preserve">Physical inactivity remains a major risk factor for non-communicable diseases, including obesity, diabetes, and cardiovascular disease, making it a significant global public health concern. This study examined physical activity (PA) </w:t>
      </w:r>
      <w:proofErr w:type="spellStart"/>
      <w:r w:rsidRPr="00B24ED6">
        <w:rPr>
          <w:rFonts w:cs="Times New Roman"/>
          <w:color w:val="000000" w:themeColor="text1"/>
          <w:szCs w:val="24"/>
        </w:rPr>
        <w:t>behaviour</w:t>
      </w:r>
      <w:proofErr w:type="spellEnd"/>
      <w:r w:rsidRPr="00B24ED6">
        <w:rPr>
          <w:rFonts w:cs="Times New Roman"/>
          <w:color w:val="000000" w:themeColor="text1"/>
          <w:szCs w:val="24"/>
        </w:rPr>
        <w:t xml:space="preserve"> among students and staff of the University of Rwanda by assessing PA levels, activity patterns, sedentary </w:t>
      </w:r>
      <w:proofErr w:type="spellStart"/>
      <w:r w:rsidRPr="00B24ED6">
        <w:rPr>
          <w:rFonts w:cs="Times New Roman"/>
          <w:color w:val="000000" w:themeColor="text1"/>
          <w:szCs w:val="24"/>
        </w:rPr>
        <w:t>behaviour</w:t>
      </w:r>
      <w:proofErr w:type="spellEnd"/>
      <w:r w:rsidRPr="00B24ED6">
        <w:rPr>
          <w:rFonts w:cs="Times New Roman"/>
          <w:color w:val="000000" w:themeColor="text1"/>
          <w:szCs w:val="24"/>
        </w:rPr>
        <w:t xml:space="preserve">, and compliance with the World Health Organization (WHO) PA recommendations. The findings indicated high compliance with WHO guidelines, with 94.0% of students and 67.4% of staff achieving the recommended PA levels. Students demonstrated higher participation in physical activity, primarily through active transport and vigorous recreational exercise, whereas staff exhibited lower involvement in vigorous occupational activities but compensated through leisure-time exercise. Age significantly influenced PA patterns among staff, with younger individuals engaging more in vigorous activities and older staff preferring moderate-intensity activities. Gender differences were minimal, although female students reported slightly higher sedentary time and male staff participated more in moderate occupational activity. Despite the generally high PA levels, prolonged sedentary </w:t>
      </w:r>
      <w:proofErr w:type="spellStart"/>
      <w:r w:rsidRPr="00B24ED6">
        <w:rPr>
          <w:rFonts w:cs="Times New Roman"/>
          <w:color w:val="000000" w:themeColor="text1"/>
          <w:szCs w:val="24"/>
        </w:rPr>
        <w:t>behaviour</w:t>
      </w:r>
      <w:proofErr w:type="spellEnd"/>
      <w:r w:rsidRPr="00B24ED6">
        <w:rPr>
          <w:rFonts w:cs="Times New Roman"/>
          <w:color w:val="000000" w:themeColor="text1"/>
          <w:szCs w:val="24"/>
        </w:rPr>
        <w:t xml:space="preserve"> remained prevalent. The study recommends targeted interventions to reduce sedentary </w:t>
      </w:r>
      <w:proofErr w:type="spellStart"/>
      <w:r w:rsidRPr="00B24ED6">
        <w:rPr>
          <w:rFonts w:cs="Times New Roman"/>
          <w:color w:val="000000" w:themeColor="text1"/>
          <w:szCs w:val="24"/>
        </w:rPr>
        <w:t>behaviour</w:t>
      </w:r>
      <w:proofErr w:type="spellEnd"/>
      <w:r w:rsidRPr="00B24ED6">
        <w:rPr>
          <w:rFonts w:cs="Times New Roman"/>
          <w:color w:val="000000" w:themeColor="text1"/>
          <w:szCs w:val="24"/>
        </w:rPr>
        <w:t>, strengthen workplace physical activity, promote active transport, and address age- and gender-specific physical activity needs within university settings.</w:t>
      </w:r>
    </w:p>
    <w:p w14:paraId="474A5808" w14:textId="77777777" w:rsidR="00C2401C" w:rsidRPr="00C2401C" w:rsidRDefault="00C2401C" w:rsidP="00C2401C">
      <w:pPr>
        <w:spacing w:line="240" w:lineRule="auto"/>
        <w:rPr>
          <w:rFonts w:cs="Times New Roman"/>
          <w:color w:val="000000" w:themeColor="text1"/>
          <w:szCs w:val="24"/>
        </w:rPr>
      </w:pPr>
    </w:p>
    <w:p w14:paraId="6DA87711" w14:textId="46EFE7F8" w:rsidR="005E386E" w:rsidRPr="005E386E" w:rsidRDefault="00C2401C" w:rsidP="00C2401C">
      <w:pPr>
        <w:spacing w:line="240" w:lineRule="auto"/>
        <w:rPr>
          <w:rFonts w:cs="Times New Roman"/>
          <w:color w:val="000000" w:themeColor="text1"/>
          <w:szCs w:val="24"/>
        </w:rPr>
      </w:pPr>
      <w:r w:rsidRPr="00C2401C">
        <w:rPr>
          <w:rFonts w:cs="Times New Roman"/>
          <w:b/>
          <w:bCs/>
          <w:color w:val="000000" w:themeColor="text1"/>
          <w:szCs w:val="24"/>
        </w:rPr>
        <w:t>Key Words</w:t>
      </w:r>
      <w:r>
        <w:rPr>
          <w:rFonts w:cs="Times New Roman"/>
          <w:b/>
          <w:bCs/>
          <w:color w:val="000000" w:themeColor="text1"/>
          <w:szCs w:val="24"/>
        </w:rPr>
        <w:t xml:space="preserve">: </w:t>
      </w:r>
      <w:r w:rsidR="00B24ED6" w:rsidRPr="00B24ED6">
        <w:rPr>
          <w:rFonts w:cs="Times New Roman"/>
          <w:i/>
          <w:iCs/>
          <w:color w:val="000000" w:themeColor="text1"/>
          <w:szCs w:val="24"/>
        </w:rPr>
        <w:t xml:space="preserve">Physical activity </w:t>
      </w:r>
      <w:proofErr w:type="spellStart"/>
      <w:r w:rsidR="00B24ED6" w:rsidRPr="00B24ED6">
        <w:rPr>
          <w:rFonts w:cs="Times New Roman"/>
          <w:i/>
          <w:iCs/>
          <w:color w:val="000000" w:themeColor="text1"/>
          <w:szCs w:val="24"/>
        </w:rPr>
        <w:t>behaviour</w:t>
      </w:r>
      <w:proofErr w:type="spellEnd"/>
      <w:r w:rsidR="00B24ED6" w:rsidRPr="00B24ED6">
        <w:rPr>
          <w:rFonts w:cs="Times New Roman"/>
          <w:i/>
          <w:iCs/>
          <w:color w:val="000000" w:themeColor="text1"/>
          <w:szCs w:val="24"/>
        </w:rPr>
        <w:t xml:space="preserve">; University students; University staff; Sedentary </w:t>
      </w:r>
      <w:proofErr w:type="spellStart"/>
      <w:r w:rsidR="00B24ED6" w:rsidRPr="00B24ED6">
        <w:rPr>
          <w:rFonts w:cs="Times New Roman"/>
          <w:i/>
          <w:iCs/>
          <w:color w:val="000000" w:themeColor="text1"/>
          <w:szCs w:val="24"/>
        </w:rPr>
        <w:t>behaviour</w:t>
      </w:r>
      <w:proofErr w:type="spellEnd"/>
      <w:r w:rsidR="00B24ED6" w:rsidRPr="00B24ED6">
        <w:rPr>
          <w:rFonts w:cs="Times New Roman"/>
          <w:i/>
          <w:iCs/>
          <w:color w:val="000000" w:themeColor="text1"/>
          <w:szCs w:val="24"/>
        </w:rPr>
        <w:t>; Active transport; World Health Organization recommendations; University of Rwanda</w:t>
      </w:r>
      <w:r w:rsidR="005E386E" w:rsidRPr="00C2401C">
        <w:rPr>
          <w:rFonts w:cs="Times New Roman"/>
          <w:i/>
          <w:iCs/>
          <w:color w:val="000000" w:themeColor="text1"/>
          <w:szCs w:val="24"/>
        </w:rPr>
        <w:t>.</w:t>
      </w:r>
    </w:p>
    <w:p w14:paraId="73B850E8" w14:textId="77777777" w:rsidR="004261F9" w:rsidRPr="004261F9" w:rsidRDefault="004261F9" w:rsidP="004261F9">
      <w:pPr>
        <w:spacing w:line="240" w:lineRule="auto"/>
        <w:rPr>
          <w:rFonts w:cs="Times New Roman"/>
          <w:color w:val="000000" w:themeColor="text1"/>
          <w:szCs w:val="24"/>
        </w:rPr>
      </w:pPr>
    </w:p>
    <w:p w14:paraId="60C890DF" w14:textId="77777777" w:rsidR="00055D83" w:rsidRPr="007A56B8" w:rsidRDefault="00055D83" w:rsidP="00055D83">
      <w:pPr>
        <w:shd w:val="clear" w:color="auto" w:fill="FFFFFF"/>
        <w:spacing w:line="240" w:lineRule="auto"/>
        <w:rPr>
          <w:rFonts w:eastAsia="Times New Roman" w:cs="Times New Roman"/>
          <w:b/>
          <w:bCs/>
          <w:color w:val="000000" w:themeColor="text1"/>
          <w:sz w:val="28"/>
          <w:szCs w:val="28"/>
        </w:rPr>
      </w:pPr>
      <w:r w:rsidRPr="007A56B8">
        <w:rPr>
          <w:rFonts w:eastAsia="Times New Roman" w:cs="Times New Roman"/>
          <w:b/>
          <w:bCs/>
          <w:color w:val="000000" w:themeColor="text1"/>
          <w:sz w:val="28"/>
          <w:szCs w:val="28"/>
        </w:rPr>
        <w:t>1.0 INTRODUCTION</w:t>
      </w:r>
    </w:p>
    <w:p w14:paraId="790963B8" w14:textId="77777777" w:rsidR="00736EB6" w:rsidRPr="00736EB6" w:rsidRDefault="00736EB6" w:rsidP="00736EB6">
      <w:pPr>
        <w:shd w:val="clear" w:color="auto" w:fill="FFFFFF"/>
        <w:spacing w:line="240" w:lineRule="auto"/>
        <w:rPr>
          <w:rFonts w:cs="Times New Roman"/>
          <w:color w:val="000000" w:themeColor="text1"/>
          <w:szCs w:val="24"/>
        </w:rPr>
      </w:pPr>
      <w:r w:rsidRPr="00736EB6">
        <w:rPr>
          <w:rFonts w:cs="Times New Roman"/>
          <w:color w:val="000000" w:themeColor="text1"/>
          <w:szCs w:val="24"/>
        </w:rPr>
        <w:t>Physical inactivity has emerged as a major global public health challenge due to its contribution to the increasing prevalence of non-communicable diseases (NCDs), including cardiovascular diseases, diabetes, cancer, and osteoporosis (</w:t>
      </w:r>
      <w:proofErr w:type="spellStart"/>
      <w:r w:rsidRPr="00736EB6">
        <w:rPr>
          <w:rFonts w:cs="Times New Roman"/>
          <w:color w:val="000000" w:themeColor="text1"/>
          <w:szCs w:val="24"/>
        </w:rPr>
        <w:t>Ediriweera</w:t>
      </w:r>
      <w:proofErr w:type="spellEnd"/>
      <w:r w:rsidRPr="00736EB6">
        <w:rPr>
          <w:rFonts w:cs="Times New Roman"/>
          <w:color w:val="000000" w:themeColor="text1"/>
          <w:szCs w:val="24"/>
        </w:rPr>
        <w:t xml:space="preserve"> et al., 2018; </w:t>
      </w:r>
      <w:proofErr w:type="spellStart"/>
      <w:r w:rsidRPr="00736EB6">
        <w:rPr>
          <w:rFonts w:cs="Times New Roman"/>
          <w:color w:val="000000" w:themeColor="text1"/>
          <w:szCs w:val="24"/>
        </w:rPr>
        <w:t>Dhuli</w:t>
      </w:r>
      <w:proofErr w:type="spellEnd"/>
      <w:r w:rsidRPr="00736EB6">
        <w:rPr>
          <w:rFonts w:cs="Times New Roman"/>
          <w:color w:val="000000" w:themeColor="text1"/>
          <w:szCs w:val="24"/>
        </w:rPr>
        <w:t xml:space="preserve"> et al., 2022). The World Health Organization (WHO, 2020) identifies physical inactivity as the fourth leading cause of premature mortality worldwide, with sedentary individuals facing a 20–30% higher risk of death than those who are sufficiently active. Physical activity (PA), defined as any skeletal muscle movement requiring energy expenditure, is therefore recognized as one of the most effective and affordable strategies for preventing NCDs and promoting overall health (Reiner et al., 2013).</w:t>
      </w:r>
    </w:p>
    <w:p w14:paraId="4E25AD5F" w14:textId="77777777" w:rsidR="00736EB6" w:rsidRPr="00736EB6" w:rsidRDefault="00736EB6" w:rsidP="00736EB6">
      <w:pPr>
        <w:shd w:val="clear" w:color="auto" w:fill="FFFFFF"/>
        <w:spacing w:line="240" w:lineRule="auto"/>
        <w:rPr>
          <w:rFonts w:cs="Times New Roman"/>
          <w:color w:val="000000" w:themeColor="text1"/>
          <w:szCs w:val="24"/>
        </w:rPr>
      </w:pPr>
      <w:r w:rsidRPr="00736EB6">
        <w:rPr>
          <w:rFonts w:cs="Times New Roman"/>
          <w:color w:val="000000" w:themeColor="text1"/>
          <w:szCs w:val="24"/>
        </w:rPr>
        <w:t xml:space="preserve">The WHO recommends that adults accumulate 150–300 minutes of moderate-intensity aerobic PA, 75–150 minutes of vigorous-intensity aerobic PA, or an equivalent combination each week (Bull et al., 2020). Meeting these recommendations reduces the risk of chronic diseases while improving physical, mental, and social well-being. Nevertheless, global evidence indicates that approximately one in four adults and over three-quarters of adolescents aged 11–17 years fail to attain the recommended PA levels (Uddin et al., 2020). Beyond physical health benefits, </w:t>
      </w:r>
      <w:r w:rsidRPr="00736EB6">
        <w:rPr>
          <w:rFonts w:cs="Times New Roman"/>
          <w:color w:val="000000" w:themeColor="text1"/>
          <w:szCs w:val="24"/>
        </w:rPr>
        <w:lastRenderedPageBreak/>
        <w:t>regular PA has been associated with improved cognitive function, academic performance, psychological well-being, social interaction, and reduced symptoms of stress and depression (</w:t>
      </w:r>
      <w:proofErr w:type="spellStart"/>
      <w:r w:rsidRPr="00736EB6">
        <w:rPr>
          <w:rFonts w:cs="Times New Roman"/>
          <w:color w:val="000000" w:themeColor="text1"/>
          <w:szCs w:val="24"/>
        </w:rPr>
        <w:t>Pengpid</w:t>
      </w:r>
      <w:proofErr w:type="spellEnd"/>
      <w:r w:rsidRPr="00736EB6">
        <w:rPr>
          <w:rFonts w:cs="Times New Roman"/>
          <w:color w:val="000000" w:themeColor="text1"/>
          <w:szCs w:val="24"/>
        </w:rPr>
        <w:t xml:space="preserve"> &amp; Peltzer, 2019; Chan et al., 2019; Sember et al., 2020; Khoury et al., 2023). Participation in leisure-time PA has also been shown to reduce maladaptive and antisocial </w:t>
      </w:r>
      <w:proofErr w:type="spellStart"/>
      <w:r w:rsidRPr="00736EB6">
        <w:rPr>
          <w:rFonts w:cs="Times New Roman"/>
          <w:color w:val="000000" w:themeColor="text1"/>
          <w:szCs w:val="24"/>
        </w:rPr>
        <w:t>behaviours</w:t>
      </w:r>
      <w:proofErr w:type="spellEnd"/>
      <w:r w:rsidRPr="00736EB6">
        <w:rPr>
          <w:rFonts w:cs="Times New Roman"/>
          <w:color w:val="000000" w:themeColor="text1"/>
          <w:szCs w:val="24"/>
        </w:rPr>
        <w:t xml:space="preserve"> while enhancing positive </w:t>
      </w:r>
      <w:proofErr w:type="spellStart"/>
      <w:r w:rsidRPr="00736EB6">
        <w:rPr>
          <w:rFonts w:cs="Times New Roman"/>
          <w:color w:val="000000" w:themeColor="text1"/>
          <w:szCs w:val="24"/>
        </w:rPr>
        <w:t>behavioural</w:t>
      </w:r>
      <w:proofErr w:type="spellEnd"/>
      <w:r w:rsidRPr="00736EB6">
        <w:rPr>
          <w:rFonts w:cs="Times New Roman"/>
          <w:color w:val="000000" w:themeColor="text1"/>
          <w:szCs w:val="24"/>
        </w:rPr>
        <w:t xml:space="preserve"> outcomes (</w:t>
      </w:r>
      <w:proofErr w:type="spellStart"/>
      <w:r w:rsidRPr="00736EB6">
        <w:rPr>
          <w:rFonts w:cs="Times New Roman"/>
          <w:color w:val="000000" w:themeColor="text1"/>
          <w:szCs w:val="24"/>
        </w:rPr>
        <w:t>Alamdari</w:t>
      </w:r>
      <w:proofErr w:type="spellEnd"/>
      <w:r w:rsidRPr="00736EB6">
        <w:rPr>
          <w:rFonts w:cs="Times New Roman"/>
          <w:color w:val="000000" w:themeColor="text1"/>
          <w:szCs w:val="24"/>
        </w:rPr>
        <w:t xml:space="preserve"> &amp; Abdi, 2019).</w:t>
      </w:r>
    </w:p>
    <w:p w14:paraId="372FF0A1" w14:textId="77777777" w:rsidR="00736EB6" w:rsidRPr="00736EB6" w:rsidRDefault="00736EB6" w:rsidP="00736EB6">
      <w:pPr>
        <w:shd w:val="clear" w:color="auto" w:fill="FFFFFF"/>
        <w:spacing w:line="240" w:lineRule="auto"/>
        <w:rPr>
          <w:rFonts w:cs="Times New Roman"/>
          <w:color w:val="000000" w:themeColor="text1"/>
          <w:szCs w:val="24"/>
        </w:rPr>
      </w:pPr>
      <w:r w:rsidRPr="00736EB6">
        <w:rPr>
          <w:rFonts w:cs="Times New Roman"/>
          <w:color w:val="000000" w:themeColor="text1"/>
          <w:szCs w:val="24"/>
        </w:rPr>
        <w:t>Rapid urbanization and technological advancement have contributed to increasingly sedentary lifestyles, particularly in sub-Saharan Africa (Wachira, 2021). In response, governments have implemented policies aimed at promoting active living (</w:t>
      </w:r>
      <w:proofErr w:type="spellStart"/>
      <w:r w:rsidRPr="00736EB6">
        <w:rPr>
          <w:rFonts w:cs="Times New Roman"/>
          <w:color w:val="000000" w:themeColor="text1"/>
          <w:szCs w:val="24"/>
        </w:rPr>
        <w:t>Weggemans</w:t>
      </w:r>
      <w:proofErr w:type="spellEnd"/>
      <w:r w:rsidRPr="00736EB6">
        <w:rPr>
          <w:rFonts w:cs="Times New Roman"/>
          <w:color w:val="000000" w:themeColor="text1"/>
          <w:szCs w:val="24"/>
        </w:rPr>
        <w:t xml:space="preserve"> et al., 2018). In Rwanda, initiatives such as mandatory Friday afternoon exercise sessions for public employees and monthly car-free days have been introduced to encourage regular PA and active transportation (Ministry of Sports, 2017). Despite these efforts, empirical evidence on the effectiveness of such initiatives, particularly within higher education institutions, remains limited.</w:t>
      </w:r>
    </w:p>
    <w:p w14:paraId="0B54AE1D" w14:textId="3B89406F" w:rsidR="00533290" w:rsidRPr="00533290" w:rsidRDefault="00736EB6" w:rsidP="00736EB6">
      <w:pPr>
        <w:shd w:val="clear" w:color="auto" w:fill="FFFFFF"/>
        <w:spacing w:line="240" w:lineRule="auto"/>
        <w:rPr>
          <w:rFonts w:cs="Times New Roman"/>
          <w:color w:val="000000" w:themeColor="text1"/>
          <w:szCs w:val="24"/>
        </w:rPr>
      </w:pPr>
      <w:r w:rsidRPr="00736EB6">
        <w:rPr>
          <w:rFonts w:cs="Times New Roman"/>
          <w:color w:val="000000" w:themeColor="text1"/>
          <w:szCs w:val="24"/>
        </w:rPr>
        <w:t xml:space="preserve">Universities provide an important setting for promoting healthy lifestyles because they comprise large populations of young adults and employees who are at a critical stage for developing lifelong health </w:t>
      </w:r>
      <w:proofErr w:type="spellStart"/>
      <w:r w:rsidRPr="00736EB6">
        <w:rPr>
          <w:rFonts w:cs="Times New Roman"/>
          <w:color w:val="000000" w:themeColor="text1"/>
          <w:szCs w:val="24"/>
        </w:rPr>
        <w:t>behaviours</w:t>
      </w:r>
      <w:proofErr w:type="spellEnd"/>
      <w:r w:rsidRPr="00736EB6">
        <w:rPr>
          <w:rFonts w:cs="Times New Roman"/>
          <w:color w:val="000000" w:themeColor="text1"/>
          <w:szCs w:val="24"/>
        </w:rPr>
        <w:t xml:space="preserve"> (</w:t>
      </w:r>
      <w:proofErr w:type="spellStart"/>
      <w:r w:rsidRPr="00736EB6">
        <w:rPr>
          <w:rFonts w:cs="Times New Roman"/>
          <w:color w:val="000000" w:themeColor="text1"/>
          <w:szCs w:val="24"/>
        </w:rPr>
        <w:t>Biktagirova</w:t>
      </w:r>
      <w:proofErr w:type="spellEnd"/>
      <w:r w:rsidRPr="00736EB6">
        <w:rPr>
          <w:rFonts w:cs="Times New Roman"/>
          <w:color w:val="000000" w:themeColor="text1"/>
          <w:szCs w:val="24"/>
        </w:rPr>
        <w:t xml:space="preserve"> &amp; Kasimova, 2016; Rocca &amp; Schultes, 2020). The International University Sports Federation recognizes university campuses as strategic environments for fostering regular PA and healthy habits (FISU, 2020). Although studies have examined PA </w:t>
      </w:r>
      <w:proofErr w:type="spellStart"/>
      <w:r w:rsidRPr="00736EB6">
        <w:rPr>
          <w:rFonts w:cs="Times New Roman"/>
          <w:color w:val="000000" w:themeColor="text1"/>
          <w:szCs w:val="24"/>
        </w:rPr>
        <w:t>behaviours</w:t>
      </w:r>
      <w:proofErr w:type="spellEnd"/>
      <w:r w:rsidRPr="00736EB6">
        <w:rPr>
          <w:rFonts w:cs="Times New Roman"/>
          <w:color w:val="000000" w:themeColor="text1"/>
          <w:szCs w:val="24"/>
        </w:rPr>
        <w:t xml:space="preserve"> among university populations in other countries (Abdullah &amp; Mohamad, 2016; Li et al., 2009; Alkhateeb et al., 2019; Mazzoni et al., 2020; </w:t>
      </w:r>
      <w:proofErr w:type="spellStart"/>
      <w:r w:rsidRPr="00736EB6">
        <w:rPr>
          <w:rFonts w:cs="Times New Roman"/>
          <w:color w:val="000000" w:themeColor="text1"/>
          <w:szCs w:val="24"/>
        </w:rPr>
        <w:t>Chukhlantseva</w:t>
      </w:r>
      <w:proofErr w:type="spellEnd"/>
      <w:r w:rsidRPr="00736EB6">
        <w:rPr>
          <w:rFonts w:cs="Times New Roman"/>
          <w:color w:val="000000" w:themeColor="text1"/>
          <w:szCs w:val="24"/>
        </w:rPr>
        <w:t xml:space="preserve">, 2022), comparable evidence is lacking in Rwanda. As the country's only public university, established through the merger of six higher education institutions in 2013 and serving approximately 30,000 students alongside a substantial workforce (Government of Rwanda, 2013), the University of Rwanda provides an ideal context for establishing physical activity </w:t>
      </w:r>
      <w:proofErr w:type="spellStart"/>
      <w:r w:rsidRPr="00736EB6">
        <w:rPr>
          <w:rFonts w:cs="Times New Roman"/>
          <w:color w:val="000000" w:themeColor="text1"/>
          <w:szCs w:val="24"/>
        </w:rPr>
        <w:t>behaviour</w:t>
      </w:r>
      <w:proofErr w:type="spellEnd"/>
      <w:r w:rsidRPr="00736EB6">
        <w:rPr>
          <w:rFonts w:cs="Times New Roman"/>
          <w:color w:val="000000" w:themeColor="text1"/>
          <w:szCs w:val="24"/>
        </w:rPr>
        <w:t xml:space="preserve"> among students and staff and determining whether they meet the WHO-recommended PA guidelines.</w:t>
      </w:r>
    </w:p>
    <w:p w14:paraId="48C38FDC" w14:textId="4C473802" w:rsidR="00055D83" w:rsidRPr="007A56B8" w:rsidRDefault="00055D83" w:rsidP="00CE4C91">
      <w:pPr>
        <w:shd w:val="clear" w:color="auto" w:fill="FFFFFF"/>
        <w:spacing w:line="240" w:lineRule="auto"/>
        <w:rPr>
          <w:rFonts w:eastAsia="Times New Roman" w:cs="Times New Roman"/>
          <w:b/>
          <w:bCs/>
          <w:color w:val="000000" w:themeColor="text1"/>
          <w:sz w:val="28"/>
          <w:szCs w:val="28"/>
        </w:rPr>
      </w:pPr>
      <w:r w:rsidRPr="007A56B8">
        <w:rPr>
          <w:rFonts w:eastAsia="Times New Roman" w:cs="Times New Roman"/>
          <w:b/>
          <w:bCs/>
          <w:color w:val="000000" w:themeColor="text1"/>
          <w:sz w:val="28"/>
          <w:szCs w:val="28"/>
        </w:rPr>
        <w:t>1.1 Research Problem</w:t>
      </w:r>
    </w:p>
    <w:p w14:paraId="27FDC211" w14:textId="5DB43589" w:rsidR="00BD15A0" w:rsidRPr="007A56B8" w:rsidRDefault="00736EB6" w:rsidP="003E21E7">
      <w:pPr>
        <w:spacing w:after="240" w:line="240" w:lineRule="auto"/>
        <w:rPr>
          <w:rFonts w:cs="Times New Roman"/>
          <w:b/>
          <w:szCs w:val="24"/>
        </w:rPr>
      </w:pPr>
      <w:r w:rsidRPr="00736EB6">
        <w:rPr>
          <w:rFonts w:cs="Times New Roman"/>
          <w:color w:val="000000" w:themeColor="text1"/>
          <w:szCs w:val="24"/>
        </w:rPr>
        <w:t>The increasing burden of non-communicable diseases (NCDs) has made physical activity (PA) a global public health priority. The World Health Organization (WHO) recommends that adults engage in 150–300 minutes of moderate-intensity or 75–150 minutes of vigorous-intensity physical activity per week to reduce the risk of NCDs (WHO, 2020). In response, the Government of Rwanda has introduced policies promoting physically active lifestyles, including within higher education institutions (</w:t>
      </w:r>
      <w:proofErr w:type="spellStart"/>
      <w:r w:rsidRPr="00736EB6">
        <w:rPr>
          <w:rFonts w:cs="Times New Roman"/>
          <w:color w:val="000000" w:themeColor="text1"/>
          <w:szCs w:val="24"/>
        </w:rPr>
        <w:t>Turikumwe</w:t>
      </w:r>
      <w:proofErr w:type="spellEnd"/>
      <w:r w:rsidRPr="00736EB6">
        <w:rPr>
          <w:rFonts w:cs="Times New Roman"/>
          <w:color w:val="000000" w:themeColor="text1"/>
          <w:szCs w:val="24"/>
        </w:rPr>
        <w:t>, 2020). As the country's largest public university, with approximately 30,000 students and staff drawn from diverse backgrounds, the University of Rwanda provides an ideal setting for assessing PA behavior (University of Rwanda, 2019). Despite these initiatives, there is limited empirical evidence on PA participation and adherence to WHO recommendations among the university community. This knowledge gap constrains evidence-based interventions and policy development aimed at improving health outcomes and preventing NCDs (Reiner et al., 2013). Therefore, this study established physical activity behavior among students and staff of the University of Rwanda.</w:t>
      </w:r>
      <w:r w:rsidR="00BD15A0" w:rsidRPr="007A56B8">
        <w:rPr>
          <w:rFonts w:cs="Times New Roman"/>
          <w:b/>
          <w:szCs w:val="24"/>
        </w:rPr>
        <w:t xml:space="preserve"> </w:t>
      </w:r>
    </w:p>
    <w:p w14:paraId="1BFD2AEA" w14:textId="33ECFC65" w:rsidR="00736EB6" w:rsidRPr="00736EB6" w:rsidRDefault="00736EB6" w:rsidP="00736EB6">
      <w:pPr>
        <w:spacing w:before="0" w:line="240" w:lineRule="auto"/>
        <w:rPr>
          <w:rFonts w:cs="Times New Roman"/>
          <w:b/>
          <w:bCs/>
          <w:color w:val="000000" w:themeColor="text1"/>
          <w:sz w:val="28"/>
          <w:szCs w:val="28"/>
        </w:rPr>
      </w:pPr>
      <w:r w:rsidRPr="00736EB6">
        <w:rPr>
          <w:rFonts w:cs="Times New Roman"/>
          <w:b/>
          <w:bCs/>
          <w:color w:val="000000" w:themeColor="text1"/>
          <w:sz w:val="28"/>
          <w:szCs w:val="28"/>
        </w:rPr>
        <w:t>1.2 Purpose of the Study</w:t>
      </w:r>
    </w:p>
    <w:p w14:paraId="5A6417B7" w14:textId="77777777" w:rsidR="00736EB6" w:rsidRPr="00736EB6" w:rsidRDefault="00736EB6" w:rsidP="00736EB6">
      <w:pPr>
        <w:spacing w:line="240" w:lineRule="auto"/>
        <w:rPr>
          <w:rFonts w:cs="Times New Roman"/>
          <w:color w:val="000000" w:themeColor="text1"/>
          <w:szCs w:val="24"/>
        </w:rPr>
      </w:pPr>
      <w:r w:rsidRPr="00736EB6">
        <w:rPr>
          <w:rFonts w:cs="Times New Roman"/>
          <w:color w:val="000000" w:themeColor="text1"/>
          <w:szCs w:val="24"/>
        </w:rPr>
        <w:t xml:space="preserve">The purpose of this study was to determine the PA </w:t>
      </w:r>
      <w:proofErr w:type="spellStart"/>
      <w:r w:rsidRPr="00736EB6">
        <w:rPr>
          <w:rFonts w:cs="Times New Roman"/>
          <w:color w:val="000000" w:themeColor="text1"/>
          <w:szCs w:val="24"/>
        </w:rPr>
        <w:t>behaviour</w:t>
      </w:r>
      <w:proofErr w:type="spellEnd"/>
      <w:r w:rsidRPr="00736EB6">
        <w:rPr>
          <w:rFonts w:cs="Times New Roman"/>
          <w:color w:val="000000" w:themeColor="text1"/>
          <w:szCs w:val="24"/>
        </w:rPr>
        <w:t xml:space="preserve"> among students and staff of University of Rwanda.  Thereafter, to establish whether they met the PA recommendation of 150 to 300 minutes of moderate physical activities or 75 to 150 minutes of vigorous Physical activities per week as set by WHO.</w:t>
      </w:r>
    </w:p>
    <w:p w14:paraId="44C4BA73" w14:textId="3C3BA149" w:rsidR="00736EB6" w:rsidRDefault="00736EB6" w:rsidP="00736EB6">
      <w:pPr>
        <w:spacing w:before="0" w:line="240" w:lineRule="auto"/>
        <w:rPr>
          <w:rFonts w:cs="Times New Roman"/>
          <w:color w:val="000000" w:themeColor="text1"/>
          <w:szCs w:val="24"/>
        </w:rPr>
      </w:pPr>
    </w:p>
    <w:p w14:paraId="4CEEB6F9" w14:textId="650470E7" w:rsidR="00736EB6" w:rsidRPr="00736EB6" w:rsidRDefault="00736EB6" w:rsidP="00736EB6">
      <w:pPr>
        <w:spacing w:before="0" w:line="240" w:lineRule="auto"/>
        <w:rPr>
          <w:rFonts w:cs="Times New Roman"/>
          <w:b/>
          <w:bCs/>
          <w:color w:val="000000" w:themeColor="text1"/>
          <w:szCs w:val="24"/>
        </w:rPr>
      </w:pPr>
      <w:r w:rsidRPr="00736EB6">
        <w:rPr>
          <w:rFonts w:cs="Times New Roman"/>
          <w:b/>
          <w:bCs/>
          <w:color w:val="000000" w:themeColor="text1"/>
          <w:szCs w:val="24"/>
        </w:rPr>
        <w:t>Objectives of the Study</w:t>
      </w:r>
    </w:p>
    <w:p w14:paraId="7CEE5315" w14:textId="63211624" w:rsidR="00736EB6" w:rsidRPr="00736EB6" w:rsidRDefault="00736EB6" w:rsidP="00736EB6">
      <w:pPr>
        <w:spacing w:before="0" w:line="240" w:lineRule="auto"/>
        <w:rPr>
          <w:rFonts w:cs="Times New Roman"/>
          <w:color w:val="000000" w:themeColor="text1"/>
          <w:szCs w:val="24"/>
        </w:rPr>
      </w:pPr>
      <w:r w:rsidRPr="00736EB6">
        <w:rPr>
          <w:rFonts w:cs="Times New Roman"/>
          <w:color w:val="000000" w:themeColor="text1"/>
          <w:szCs w:val="24"/>
        </w:rPr>
        <w:t>The objectives of the study were to:</w:t>
      </w:r>
    </w:p>
    <w:p w14:paraId="5DF64AA8" w14:textId="082A96A6" w:rsidR="00736EB6" w:rsidRPr="00736EB6" w:rsidRDefault="00736EB6" w:rsidP="00736EB6">
      <w:pPr>
        <w:pStyle w:val="ListParagraph"/>
        <w:numPr>
          <w:ilvl w:val="0"/>
          <w:numId w:val="26"/>
        </w:numPr>
        <w:spacing w:before="0" w:line="240" w:lineRule="auto"/>
        <w:rPr>
          <w:rFonts w:ascii="Times New Roman" w:hAnsi="Times New Roman"/>
          <w:color w:val="000000" w:themeColor="text1"/>
          <w:sz w:val="24"/>
          <w:szCs w:val="28"/>
        </w:rPr>
      </w:pPr>
      <w:r w:rsidRPr="00736EB6">
        <w:rPr>
          <w:rFonts w:ascii="Times New Roman" w:hAnsi="Times New Roman"/>
          <w:color w:val="000000" w:themeColor="text1"/>
          <w:sz w:val="24"/>
          <w:szCs w:val="28"/>
        </w:rPr>
        <w:t>Determine the PA levels among students and staff of the University of Rwanda (UR).</w:t>
      </w:r>
    </w:p>
    <w:p w14:paraId="4C9AFCF3" w14:textId="1D55373A" w:rsidR="00736EB6" w:rsidRPr="00736EB6" w:rsidRDefault="00736EB6" w:rsidP="00736EB6">
      <w:pPr>
        <w:pStyle w:val="ListParagraph"/>
        <w:numPr>
          <w:ilvl w:val="0"/>
          <w:numId w:val="26"/>
        </w:numPr>
        <w:spacing w:before="0" w:line="240" w:lineRule="auto"/>
        <w:rPr>
          <w:rFonts w:ascii="Times New Roman" w:hAnsi="Times New Roman"/>
          <w:color w:val="000000" w:themeColor="text1"/>
          <w:sz w:val="24"/>
          <w:szCs w:val="28"/>
        </w:rPr>
      </w:pPr>
      <w:r w:rsidRPr="00736EB6">
        <w:rPr>
          <w:rFonts w:ascii="Times New Roman" w:hAnsi="Times New Roman"/>
          <w:color w:val="000000" w:themeColor="text1"/>
          <w:sz w:val="24"/>
          <w:szCs w:val="28"/>
        </w:rPr>
        <w:t>Identify the predominant types of physical activities engaged in by students and staff of UR.</w:t>
      </w:r>
    </w:p>
    <w:p w14:paraId="12F9E844" w14:textId="6014592D" w:rsidR="006E018D" w:rsidRPr="006E018D" w:rsidRDefault="00736EB6" w:rsidP="00736EB6">
      <w:pPr>
        <w:pStyle w:val="ListParagraph"/>
        <w:numPr>
          <w:ilvl w:val="0"/>
          <w:numId w:val="26"/>
        </w:numPr>
        <w:spacing w:before="0" w:line="240" w:lineRule="auto"/>
        <w:rPr>
          <w:color w:val="000000" w:themeColor="text1"/>
        </w:rPr>
      </w:pPr>
      <w:r w:rsidRPr="00736EB6">
        <w:rPr>
          <w:rFonts w:ascii="Times New Roman" w:hAnsi="Times New Roman"/>
          <w:color w:val="000000" w:themeColor="text1"/>
          <w:sz w:val="24"/>
          <w:szCs w:val="28"/>
        </w:rPr>
        <w:t>Establish differences in PA levels and types based on age and gender among students and staff of UR.</w:t>
      </w:r>
    </w:p>
    <w:p w14:paraId="645654E7" w14:textId="6351EFEF" w:rsidR="006E018D" w:rsidRDefault="006E018D" w:rsidP="006E018D">
      <w:pPr>
        <w:spacing w:before="0" w:line="240" w:lineRule="auto"/>
        <w:rPr>
          <w:color w:val="000000" w:themeColor="text1"/>
        </w:rPr>
      </w:pPr>
    </w:p>
    <w:p w14:paraId="13D75C22" w14:textId="77777777" w:rsidR="006E018D" w:rsidRDefault="006E018D" w:rsidP="006E018D">
      <w:pPr>
        <w:spacing w:before="0" w:line="240" w:lineRule="auto"/>
        <w:rPr>
          <w:b/>
          <w:bCs/>
        </w:rPr>
      </w:pPr>
      <w:r w:rsidRPr="006E018D">
        <w:rPr>
          <w:b/>
          <w:bCs/>
        </w:rPr>
        <w:lastRenderedPageBreak/>
        <w:t>Conceptual Framework</w:t>
      </w:r>
    </w:p>
    <w:p w14:paraId="3CA0BEE7" w14:textId="48B4C805" w:rsidR="006E018D" w:rsidRDefault="006E018D" w:rsidP="006E018D">
      <w:pPr>
        <w:spacing w:before="0" w:line="240" w:lineRule="auto"/>
        <w:rPr>
          <w:color w:val="000000" w:themeColor="text1"/>
        </w:rPr>
      </w:pPr>
      <w:r w:rsidRPr="006E018D">
        <w:rPr>
          <w:color w:val="000000" w:themeColor="text1"/>
        </w:rPr>
        <w:t xml:space="preserve">The study was guided by the Social Ecological Model (SEM), focusing on the individual (intrapersonal) level, where demographic factors, particularly age and gender, influence physical activity (PA) </w:t>
      </w:r>
      <w:proofErr w:type="spellStart"/>
      <w:r w:rsidRPr="006E018D">
        <w:rPr>
          <w:color w:val="000000" w:themeColor="text1"/>
        </w:rPr>
        <w:t>behaviour</w:t>
      </w:r>
      <w:proofErr w:type="spellEnd"/>
      <w:r w:rsidRPr="006E018D">
        <w:rPr>
          <w:color w:val="000000" w:themeColor="text1"/>
        </w:rPr>
        <w:t>. Evidence indicates that these factors significantly determine PA participation (</w:t>
      </w:r>
      <w:proofErr w:type="spellStart"/>
      <w:r w:rsidRPr="006E018D">
        <w:rPr>
          <w:color w:val="000000" w:themeColor="text1"/>
        </w:rPr>
        <w:t>Molanorouzi</w:t>
      </w:r>
      <w:proofErr w:type="spellEnd"/>
      <w:r w:rsidRPr="006E018D">
        <w:rPr>
          <w:color w:val="000000" w:themeColor="text1"/>
        </w:rPr>
        <w:t>, Morris, &amp; Tony, 2015). Age affects physical capacity, energy, and health awareness, while gender influences PA type and participation through biological and socio-cultural factors. Although SEM includes interpersonal, community, institutional, and policy levels, this study deliberately concentrated on the individual level to examine PA patterns among University of Rwanda students and staff based on age and gender.</w:t>
      </w:r>
    </w:p>
    <w:p w14:paraId="21B017C9" w14:textId="77777777" w:rsidR="00227309" w:rsidRDefault="00227309" w:rsidP="00227309">
      <w:pPr>
        <w:spacing w:before="0" w:line="240" w:lineRule="auto"/>
        <w:rPr>
          <w:b/>
          <w:bCs/>
        </w:rPr>
      </w:pPr>
      <w:r>
        <w:rPr>
          <w:color w:val="000000" w:themeColor="text1"/>
        </w:rPr>
        <w:t xml:space="preserve">Fig 1: </w:t>
      </w:r>
      <w:r w:rsidRPr="006E018D">
        <w:rPr>
          <w:b/>
          <w:bCs/>
        </w:rPr>
        <w:t>Conceptual Framework</w:t>
      </w:r>
    </w:p>
    <w:p w14:paraId="798A00F7" w14:textId="7B8D48EA" w:rsidR="00227309" w:rsidRDefault="00227309" w:rsidP="006E018D">
      <w:pPr>
        <w:spacing w:before="0" w:line="240" w:lineRule="auto"/>
        <w:rPr>
          <w:color w:val="000000" w:themeColor="text1"/>
        </w:rPr>
      </w:pPr>
    </w:p>
    <w:p w14:paraId="108D21A4" w14:textId="3CE541CB" w:rsidR="006E018D" w:rsidRDefault="006E018D" w:rsidP="006E018D">
      <w:pPr>
        <w:spacing w:before="0" w:line="240" w:lineRule="auto"/>
        <w:rPr>
          <w:color w:val="000000" w:themeColor="text1"/>
        </w:rPr>
      </w:pPr>
    </w:p>
    <w:p w14:paraId="01448711" w14:textId="5A6A30DF" w:rsidR="001E21F0" w:rsidRPr="006E018D" w:rsidRDefault="006E018D" w:rsidP="006E018D">
      <w:pPr>
        <w:spacing w:before="0" w:line="240" w:lineRule="auto"/>
        <w:rPr>
          <w:color w:val="000000" w:themeColor="text1"/>
        </w:rPr>
      </w:pPr>
      <w:r>
        <w:rPr>
          <w:rFonts w:cs="Times New Roman"/>
          <w:b/>
          <w:noProof/>
          <w:color w:val="000000" w:themeColor="text1"/>
          <w:szCs w:val="24"/>
        </w:rPr>
        <mc:AlternateContent>
          <mc:Choice Requires="wpg">
            <w:drawing>
              <wp:anchor distT="0" distB="0" distL="114300" distR="114300" simplePos="0" relativeHeight="251659264" behindDoc="0" locked="0" layoutInCell="1" allowOverlap="1" wp14:anchorId="3758982E" wp14:editId="7B625CF9">
                <wp:simplePos x="0" y="0"/>
                <wp:positionH relativeFrom="column">
                  <wp:posOffset>349250</wp:posOffset>
                </wp:positionH>
                <wp:positionV relativeFrom="paragraph">
                  <wp:posOffset>210185</wp:posOffset>
                </wp:positionV>
                <wp:extent cx="5864580" cy="2844800"/>
                <wp:effectExtent l="0" t="0" r="22225" b="12700"/>
                <wp:wrapNone/>
                <wp:docPr id="54495748" name="Group 12"/>
                <wp:cNvGraphicFramePr/>
                <a:graphic xmlns:a="http://schemas.openxmlformats.org/drawingml/2006/main">
                  <a:graphicData uri="http://schemas.microsoft.com/office/word/2010/wordprocessingGroup">
                    <wpg:wgp>
                      <wpg:cNvGrpSpPr/>
                      <wpg:grpSpPr>
                        <a:xfrm>
                          <a:off x="0" y="0"/>
                          <a:ext cx="5864580" cy="2844800"/>
                          <a:chOff x="0" y="0"/>
                          <a:chExt cx="5864580" cy="2844800"/>
                        </a:xfrm>
                      </wpg:grpSpPr>
                      <wps:wsp>
                        <wps:cNvPr id="1775653256" name="Rectangle 1775653256"/>
                        <wps:cNvSpPr/>
                        <wps:spPr>
                          <a:xfrm>
                            <a:off x="0" y="0"/>
                            <a:ext cx="2499360" cy="1400175"/>
                          </a:xfrm>
                          <a:prstGeom prst="rect">
                            <a:avLst/>
                          </a:prstGeom>
                          <a:solidFill>
                            <a:sysClr val="window" lastClr="FFFFFF"/>
                          </a:solidFill>
                          <a:ln w="25400" cap="flat" cmpd="sng" algn="ctr">
                            <a:solidFill>
                              <a:sysClr val="windowText" lastClr="000000"/>
                            </a:solidFill>
                            <a:prstDash val="solid"/>
                          </a:ln>
                          <a:effectLst/>
                        </wps:spPr>
                        <wps:txbx>
                          <w:txbxContent>
                            <w:p w14:paraId="51C8024E" w14:textId="77777777" w:rsidR="006E018D" w:rsidRDefault="006E018D" w:rsidP="006E018D">
                              <w:pPr>
                                <w:spacing w:before="0" w:line="240" w:lineRule="auto"/>
                                <w:rPr>
                                  <w:rFonts w:cs="Times New Roman"/>
                                  <w:b/>
                                  <w:szCs w:val="24"/>
                                </w:rPr>
                              </w:pPr>
                              <w:r>
                                <w:rPr>
                                  <w:rFonts w:cs="Times New Roman"/>
                                  <w:b/>
                                  <w:szCs w:val="24"/>
                                </w:rPr>
                                <w:t xml:space="preserve">Age </w:t>
                              </w:r>
                            </w:p>
                            <w:p w14:paraId="010D51D1"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participation in PA</w:t>
                              </w:r>
                            </w:p>
                            <w:p w14:paraId="77086C7B" w14:textId="77777777" w:rsidR="006E018D" w:rsidRDefault="006E018D" w:rsidP="006E018D">
                              <w:pPr>
                                <w:spacing w:before="0" w:line="240" w:lineRule="auto"/>
                                <w:rPr>
                                  <w:rFonts w:cs="Times New Roman"/>
                                  <w:b/>
                                  <w:szCs w:val="24"/>
                                </w:rPr>
                              </w:pPr>
                              <w:r>
                                <w:rPr>
                                  <w:rFonts w:cs="Times New Roman"/>
                                  <w:b/>
                                  <w:szCs w:val="24"/>
                                </w:rPr>
                                <w:t xml:space="preserve">Gender </w:t>
                              </w:r>
                            </w:p>
                            <w:p w14:paraId="1936954F"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w:t>
                              </w:r>
                            </w:p>
                            <w:p w14:paraId="5E0AC8FF" w14:textId="77777777" w:rsidR="006E018D" w:rsidRDefault="006E018D" w:rsidP="006E018D">
                              <w:pPr>
                                <w:spacing w:before="0" w:line="240" w:lineRule="auto"/>
                                <w:rPr>
                                  <w:rFonts w:cs="Times New Roman"/>
                                  <w:b/>
                                  <w:szCs w:val="24"/>
                                </w:rPr>
                              </w:pPr>
                              <w:r>
                                <w:rPr>
                                  <w:rFonts w:cs="Times New Roman"/>
                                  <w:b/>
                                  <w:szCs w:val="24"/>
                                </w:rPr>
                                <w:t xml:space="preserve">Occupation </w:t>
                              </w:r>
                            </w:p>
                            <w:p w14:paraId="5ECDBB8C" w14:textId="77777777" w:rsidR="006E018D" w:rsidRPr="00843B00" w:rsidRDefault="006E018D" w:rsidP="006E018D">
                              <w:pPr>
                                <w:spacing w:before="0" w:line="240" w:lineRule="auto"/>
                                <w:rPr>
                                  <w:rFonts w:cs="Times New Roman"/>
                                  <w:bCs/>
                                  <w:szCs w:val="24"/>
                                </w:rPr>
                              </w:pPr>
                              <w:r w:rsidRPr="00843B00">
                                <w:rPr>
                                  <w:rFonts w:cs="Times New Roman"/>
                                  <w:bCs/>
                                  <w:szCs w:val="24"/>
                                </w:rPr>
                                <w:t>Occupational re</w:t>
                              </w:r>
                              <w:r>
                                <w:rPr>
                                  <w:rFonts w:cs="Times New Roman"/>
                                  <w:bCs/>
                                  <w:szCs w:val="24"/>
                                </w:rPr>
                                <w:t>lated</w:t>
                              </w:r>
                              <w:r w:rsidRPr="00843B00">
                                <w:rPr>
                                  <w:rFonts w:cs="Times New Roman"/>
                                  <w:bCs/>
                                  <w:szCs w:val="24"/>
                                </w:rPr>
                                <w:t xml:space="preserve"> PA difference </w:t>
                              </w:r>
                            </w:p>
                            <w:p w14:paraId="15A0CCB1" w14:textId="77777777" w:rsidR="006E018D" w:rsidRDefault="006E018D" w:rsidP="006E01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031511" name="Rectangle 1512031511"/>
                        <wps:cNvSpPr/>
                        <wps:spPr>
                          <a:xfrm>
                            <a:off x="3780967" y="133350"/>
                            <a:ext cx="1714500" cy="1038226"/>
                          </a:xfrm>
                          <a:prstGeom prst="rect">
                            <a:avLst/>
                          </a:prstGeom>
                          <a:solidFill>
                            <a:sysClr val="window" lastClr="FFFFFF"/>
                          </a:solidFill>
                          <a:ln w="25400" cap="flat" cmpd="sng" algn="ctr">
                            <a:solidFill>
                              <a:sysClr val="windowText" lastClr="000000"/>
                            </a:solidFill>
                            <a:prstDash val="solid"/>
                          </a:ln>
                          <a:effectLst/>
                        </wps:spPr>
                        <wps:txbx>
                          <w:txbxContent>
                            <w:p w14:paraId="3417FE4C" w14:textId="77777777" w:rsidR="006E018D" w:rsidRPr="001510F4" w:rsidRDefault="006E018D" w:rsidP="006E018D">
                              <w:pPr>
                                <w:spacing w:before="0" w:line="240" w:lineRule="auto"/>
                                <w:rPr>
                                  <w:rFonts w:cs="Times New Roman"/>
                                  <w:b/>
                                  <w:szCs w:val="24"/>
                                </w:rPr>
                              </w:pPr>
                              <w:r>
                                <w:rPr>
                                  <w:rFonts w:cs="Times New Roman"/>
                                  <w:b/>
                                  <w:szCs w:val="24"/>
                                </w:rPr>
                                <w:t>P</w:t>
                              </w:r>
                              <w:r w:rsidRPr="001510F4">
                                <w:rPr>
                                  <w:rFonts w:cs="Times New Roman"/>
                                  <w:b/>
                                  <w:szCs w:val="24"/>
                                </w:rPr>
                                <w:t>hysical activit</w:t>
                              </w:r>
                              <w:r>
                                <w:rPr>
                                  <w:rFonts w:cs="Times New Roman"/>
                                  <w:b/>
                                  <w:szCs w:val="24"/>
                                </w:rPr>
                                <w:t>y</w:t>
                              </w:r>
                            </w:p>
                            <w:p w14:paraId="17837E6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Frequency of </w:t>
                              </w:r>
                              <w:r>
                                <w:rPr>
                                  <w:rFonts w:ascii="Times New Roman" w:hAnsi="Times New Roman"/>
                                  <w:sz w:val="24"/>
                                  <w:szCs w:val="24"/>
                                </w:rPr>
                                <w:t>PA</w:t>
                              </w:r>
                            </w:p>
                            <w:p w14:paraId="2A960D1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Duration</w:t>
                              </w:r>
                              <w:r w:rsidRPr="001510F4">
                                <w:rPr>
                                  <w:rFonts w:ascii="Times New Roman" w:hAnsi="Times New Roman"/>
                                  <w:sz w:val="24"/>
                                  <w:szCs w:val="24"/>
                                </w:rPr>
                                <w:t xml:space="preserve"> of </w:t>
                              </w:r>
                              <w:r>
                                <w:rPr>
                                  <w:rFonts w:ascii="Times New Roman" w:hAnsi="Times New Roman"/>
                                  <w:sz w:val="24"/>
                                  <w:szCs w:val="24"/>
                                </w:rPr>
                                <w:t>PA</w:t>
                              </w:r>
                            </w:p>
                            <w:p w14:paraId="5981F27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 xml:space="preserve">Type of PA </w:t>
                              </w:r>
                            </w:p>
                            <w:p w14:paraId="6940A742"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Intensity of </w:t>
                              </w:r>
                              <w:r>
                                <w:rPr>
                                  <w:rFonts w:ascii="Times New Roman" w:hAnsi="Times New Roman"/>
                                  <w:sz w:val="24"/>
                                  <w:szCs w:val="24"/>
                                </w:rPr>
                                <w:t xml:space="preserve">PA </w:t>
                              </w:r>
                            </w:p>
                            <w:p w14:paraId="705D86DC" w14:textId="77777777" w:rsidR="006E018D" w:rsidRDefault="006E018D" w:rsidP="006E018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96528" name="Rectangle 14796528"/>
                        <wps:cNvSpPr/>
                        <wps:spPr>
                          <a:xfrm>
                            <a:off x="3448050" y="2057400"/>
                            <a:ext cx="2416530" cy="787400"/>
                          </a:xfrm>
                          <a:prstGeom prst="rect">
                            <a:avLst/>
                          </a:prstGeom>
                          <a:solidFill>
                            <a:sysClr val="window" lastClr="FFFFFF"/>
                          </a:solidFill>
                          <a:ln w="25400" cap="flat" cmpd="sng" algn="ctr">
                            <a:solidFill>
                              <a:sysClr val="windowText" lastClr="000000"/>
                            </a:solidFill>
                            <a:prstDash val="solid"/>
                          </a:ln>
                          <a:effectLst/>
                        </wps:spPr>
                        <wps:txbx>
                          <w:txbxContent>
                            <w:p w14:paraId="0AC90435" w14:textId="65618D69" w:rsidR="006E018D" w:rsidRPr="0067534C" w:rsidRDefault="006E018D" w:rsidP="006E018D">
                              <w:pPr>
                                <w:spacing w:before="0" w:line="240" w:lineRule="auto"/>
                              </w:pPr>
                              <w:r>
                                <w:rPr>
                                  <w:rFonts w:cs="Times New Roman"/>
                                  <w:b/>
                                  <w:szCs w:val="24"/>
                                </w:rPr>
                                <w:t xml:space="preserve">Meeting the WHO PA recommendations </w:t>
                              </w:r>
                              <w:r w:rsidR="006947C4">
                                <w:rPr>
                                  <w:rFonts w:cs="Times New Roman"/>
                                  <w:b/>
                                  <w:szCs w:val="24"/>
                                </w:rPr>
                                <w:t>(Yes</w:t>
                              </w:r>
                              <w:r>
                                <w:rPr>
                                  <w:rFonts w:cs="Times New Roman"/>
                                  <w:b/>
                                  <w:szCs w:val="24"/>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3871185" name="Straight Arrow Connector 12"/>
                        <wps:cNvCnPr/>
                        <wps:spPr>
                          <a:xfrm>
                            <a:off x="2495550" y="666750"/>
                            <a:ext cx="12788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7297924" name="Straight Arrow Connector 13"/>
                        <wps:cNvCnPr/>
                        <wps:spPr>
                          <a:xfrm>
                            <a:off x="4638675" y="1219200"/>
                            <a:ext cx="0" cy="8172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3758982E" id="Group 12" o:spid="_x0000_s1026" style="position:absolute;left:0;text-align:left;margin-left:27.5pt;margin-top:16.55pt;width:461.8pt;height:224pt;z-index:251659264;mso-height-relative:margin" coordsize="58645,28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">
                <v:rect id="Rectangle 1775653256" o:spid="_x0000_s1027" style="position:absolute;width:24993;height:14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" fillcolor="window" strokecolor="windowText" strokeweight="2pt">
                  <v:textbox>
                    <w:txbxContent>
                      <w:p w14:paraId="51C8024E" w14:textId="77777777" w:rsidR="006E018D" w:rsidRDefault="006E018D" w:rsidP="006E018D">
                        <w:pPr>
                          <w:spacing w:before="0" w:line="240" w:lineRule="auto"/>
                          <w:rPr>
                            <w:rFonts w:cs="Times New Roman"/>
                            <w:b/>
                            <w:szCs w:val="24"/>
                          </w:rPr>
                        </w:pPr>
                        <w:r>
                          <w:rPr>
                            <w:rFonts w:cs="Times New Roman"/>
                            <w:b/>
                            <w:szCs w:val="24"/>
                          </w:rPr>
                          <w:t xml:space="preserve">Age </w:t>
                        </w:r>
                      </w:p>
                      <w:p w14:paraId="010D51D1"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participation in PA</w:t>
                        </w:r>
                      </w:p>
                      <w:p w14:paraId="77086C7B" w14:textId="77777777" w:rsidR="006E018D" w:rsidRDefault="006E018D" w:rsidP="006E018D">
                        <w:pPr>
                          <w:spacing w:before="0" w:line="240" w:lineRule="auto"/>
                          <w:rPr>
                            <w:rFonts w:cs="Times New Roman"/>
                            <w:b/>
                            <w:szCs w:val="24"/>
                          </w:rPr>
                        </w:pPr>
                        <w:r>
                          <w:rPr>
                            <w:rFonts w:cs="Times New Roman"/>
                            <w:b/>
                            <w:szCs w:val="24"/>
                          </w:rPr>
                          <w:t xml:space="preserve">Gender </w:t>
                        </w:r>
                      </w:p>
                      <w:p w14:paraId="1936954F" w14:textId="77777777" w:rsidR="006E018D" w:rsidRPr="00843B00" w:rsidRDefault="006E018D" w:rsidP="006E018D">
                        <w:pPr>
                          <w:spacing w:before="0" w:line="240" w:lineRule="auto"/>
                          <w:rPr>
                            <w:rFonts w:cs="Times New Roman"/>
                            <w:szCs w:val="24"/>
                          </w:rPr>
                        </w:pPr>
                        <w:r w:rsidRPr="00843B00">
                          <w:rPr>
                            <w:rFonts w:cs="Times New Roman"/>
                            <w:szCs w:val="24"/>
                          </w:rPr>
                          <w:t>Age-related differences</w:t>
                        </w:r>
                        <w:r>
                          <w:rPr>
                            <w:rFonts w:cs="Times New Roman"/>
                            <w:szCs w:val="24"/>
                          </w:rPr>
                          <w:t xml:space="preserve"> in PA</w:t>
                        </w:r>
                      </w:p>
                      <w:p w14:paraId="5E0AC8FF" w14:textId="77777777" w:rsidR="006E018D" w:rsidRDefault="006E018D" w:rsidP="006E018D">
                        <w:pPr>
                          <w:spacing w:before="0" w:line="240" w:lineRule="auto"/>
                          <w:rPr>
                            <w:rFonts w:cs="Times New Roman"/>
                            <w:b/>
                            <w:szCs w:val="24"/>
                          </w:rPr>
                        </w:pPr>
                        <w:r>
                          <w:rPr>
                            <w:rFonts w:cs="Times New Roman"/>
                            <w:b/>
                            <w:szCs w:val="24"/>
                          </w:rPr>
                          <w:t xml:space="preserve">Occupation </w:t>
                        </w:r>
                      </w:p>
                      <w:p w14:paraId="5ECDBB8C" w14:textId="77777777" w:rsidR="006E018D" w:rsidRPr="00843B00" w:rsidRDefault="006E018D" w:rsidP="006E018D">
                        <w:pPr>
                          <w:spacing w:before="0" w:line="240" w:lineRule="auto"/>
                          <w:rPr>
                            <w:rFonts w:cs="Times New Roman"/>
                            <w:bCs/>
                            <w:szCs w:val="24"/>
                          </w:rPr>
                        </w:pPr>
                        <w:r w:rsidRPr="00843B00">
                          <w:rPr>
                            <w:rFonts w:cs="Times New Roman"/>
                            <w:bCs/>
                            <w:szCs w:val="24"/>
                          </w:rPr>
                          <w:t>Occupational re</w:t>
                        </w:r>
                        <w:r>
                          <w:rPr>
                            <w:rFonts w:cs="Times New Roman"/>
                            <w:bCs/>
                            <w:szCs w:val="24"/>
                          </w:rPr>
                          <w:t>lated</w:t>
                        </w:r>
                        <w:r w:rsidRPr="00843B00">
                          <w:rPr>
                            <w:rFonts w:cs="Times New Roman"/>
                            <w:bCs/>
                            <w:szCs w:val="24"/>
                          </w:rPr>
                          <w:t xml:space="preserve"> PA difference </w:t>
                        </w:r>
                      </w:p>
                      <w:p w14:paraId="15A0CCB1" w14:textId="77777777" w:rsidR="006E018D" w:rsidRDefault="006E018D" w:rsidP="006E018D">
                        <w:pPr>
                          <w:jc w:val="center"/>
                        </w:pPr>
                      </w:p>
                    </w:txbxContent>
                  </v:textbox>
                </v:rect>
                <v:rect id="Rectangle 1512031511" o:spid="_x0000_s1028" style="position:absolute;left:37809;top:1333;width:17145;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" fillcolor="window" strokecolor="windowText" strokeweight="2pt">
                  <v:textbox>
                    <w:txbxContent>
                      <w:p w14:paraId="3417FE4C" w14:textId="77777777" w:rsidR="006E018D" w:rsidRPr="001510F4" w:rsidRDefault="006E018D" w:rsidP="006E018D">
                        <w:pPr>
                          <w:spacing w:before="0" w:line="240" w:lineRule="auto"/>
                          <w:rPr>
                            <w:rFonts w:cs="Times New Roman"/>
                            <w:b/>
                            <w:szCs w:val="24"/>
                          </w:rPr>
                        </w:pPr>
                        <w:r>
                          <w:rPr>
                            <w:rFonts w:cs="Times New Roman"/>
                            <w:b/>
                            <w:szCs w:val="24"/>
                          </w:rPr>
                          <w:t>P</w:t>
                        </w:r>
                        <w:r w:rsidRPr="001510F4">
                          <w:rPr>
                            <w:rFonts w:cs="Times New Roman"/>
                            <w:b/>
                            <w:szCs w:val="24"/>
                          </w:rPr>
                          <w:t>hysical activit</w:t>
                        </w:r>
                        <w:r>
                          <w:rPr>
                            <w:rFonts w:cs="Times New Roman"/>
                            <w:b/>
                            <w:szCs w:val="24"/>
                          </w:rPr>
                          <w:t>y</w:t>
                        </w:r>
                      </w:p>
                      <w:p w14:paraId="17837E6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Frequency of </w:t>
                        </w:r>
                        <w:r>
                          <w:rPr>
                            <w:rFonts w:ascii="Times New Roman" w:hAnsi="Times New Roman"/>
                            <w:sz w:val="24"/>
                            <w:szCs w:val="24"/>
                          </w:rPr>
                          <w:t>PA</w:t>
                        </w:r>
                      </w:p>
                      <w:p w14:paraId="2A960D1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Duration</w:t>
                        </w:r>
                        <w:r w:rsidRPr="001510F4">
                          <w:rPr>
                            <w:rFonts w:ascii="Times New Roman" w:hAnsi="Times New Roman"/>
                            <w:sz w:val="24"/>
                            <w:szCs w:val="24"/>
                          </w:rPr>
                          <w:t xml:space="preserve"> of </w:t>
                        </w:r>
                        <w:r>
                          <w:rPr>
                            <w:rFonts w:ascii="Times New Roman" w:hAnsi="Times New Roman"/>
                            <w:sz w:val="24"/>
                            <w:szCs w:val="24"/>
                          </w:rPr>
                          <w:t>PA</w:t>
                        </w:r>
                      </w:p>
                      <w:p w14:paraId="5981F27E"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Pr>
                            <w:rFonts w:ascii="Times New Roman" w:hAnsi="Times New Roman"/>
                            <w:sz w:val="24"/>
                            <w:szCs w:val="24"/>
                          </w:rPr>
                          <w:t xml:space="preserve">Type of PA </w:t>
                        </w:r>
                      </w:p>
                      <w:p w14:paraId="6940A742" w14:textId="77777777" w:rsidR="006E018D" w:rsidRDefault="006E018D" w:rsidP="006E018D">
                        <w:pPr>
                          <w:pStyle w:val="ListParagraph"/>
                          <w:numPr>
                            <w:ilvl w:val="0"/>
                            <w:numId w:val="27"/>
                          </w:numPr>
                          <w:spacing w:before="0" w:after="0" w:line="240" w:lineRule="auto"/>
                          <w:rPr>
                            <w:rFonts w:ascii="Times New Roman" w:hAnsi="Times New Roman"/>
                            <w:sz w:val="24"/>
                            <w:szCs w:val="24"/>
                          </w:rPr>
                        </w:pPr>
                        <w:r w:rsidRPr="001510F4">
                          <w:rPr>
                            <w:rFonts w:ascii="Times New Roman" w:hAnsi="Times New Roman"/>
                            <w:sz w:val="24"/>
                            <w:szCs w:val="24"/>
                          </w:rPr>
                          <w:t xml:space="preserve">Intensity of </w:t>
                        </w:r>
                        <w:r>
                          <w:rPr>
                            <w:rFonts w:ascii="Times New Roman" w:hAnsi="Times New Roman"/>
                            <w:sz w:val="24"/>
                            <w:szCs w:val="24"/>
                          </w:rPr>
                          <w:t xml:space="preserve">PA </w:t>
                        </w:r>
                      </w:p>
                      <w:p w14:paraId="705D86DC" w14:textId="77777777" w:rsidR="006E018D" w:rsidRDefault="006E018D" w:rsidP="006E018D"/>
                    </w:txbxContent>
                  </v:textbox>
                </v:rect>
                <v:rect id="Rectangle 14796528" o:spid="_x0000_s1029" style="position:absolute;left:34480;top:20574;width:24165;height:7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" fillcolor="window" strokecolor="windowText" strokeweight="2pt">
                  <v:textbox>
                    <w:txbxContent>
                      <w:p w14:paraId="0AC90435" w14:textId="65618D69" w:rsidR="006E018D" w:rsidRPr="0067534C" w:rsidRDefault="006E018D" w:rsidP="006E018D">
                        <w:pPr>
                          <w:spacing w:before="0" w:line="240" w:lineRule="auto"/>
                        </w:pPr>
                        <w:r>
                          <w:rPr>
                            <w:rFonts w:cs="Times New Roman"/>
                            <w:b/>
                            <w:szCs w:val="24"/>
                          </w:rPr>
                          <w:t xml:space="preserve">Meeting the WHO PA recommendations </w:t>
                        </w:r>
                        <w:r w:rsidR="006947C4">
                          <w:rPr>
                            <w:rFonts w:cs="Times New Roman"/>
                            <w:b/>
                            <w:szCs w:val="24"/>
                          </w:rPr>
                          <w:t>(Yes</w:t>
                        </w:r>
                        <w:r>
                          <w:rPr>
                            <w:rFonts w:cs="Times New Roman"/>
                            <w:b/>
                            <w:szCs w:val="24"/>
                          </w:rPr>
                          <w:t>/No)</w:t>
                        </w:r>
                      </w:p>
                    </w:txbxContent>
                  </v:textbox>
                </v:rect>
                <v:shapetype id="_x0000_t32" coordsize="21600,21600" o:spt="32" o:oned="t" path="m,l21600,21600e" filled="f">
                  <v:path arrowok="t" fillok="f" o:connecttype="none"/>
                  <o:lock v:ext="edit" shapetype="t"/>
                </v:shapetype>
                <v:shape id="Straight Arrow Connector 12" o:spid="_x0000_s1030" type="#_x0000_t32" style="position:absolute;left:24955;top:6667;width:127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" strokecolor="black [3200]" strokeweight=".5pt">
                  <v:stroke endarrow="block" joinstyle="miter"/>
                </v:shape>
                <v:shape id="Straight Arrow Connector 13" o:spid="_x0000_s1031" type="#_x0000_t32" style="position:absolute;left:46386;top:12192;width:0;height:8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" strokecolor="black [3200]" strokeweight=".5pt">
                  <v:stroke endarrow="block" joinstyle="miter"/>
                </v:shape>
              </v:group>
            </w:pict>
          </mc:Fallback>
        </mc:AlternateContent>
      </w:r>
      <w:r w:rsidR="001E21F0" w:rsidRPr="006E018D">
        <w:rPr>
          <w:color w:val="000000" w:themeColor="text1"/>
        </w:rPr>
        <w:br w:type="page"/>
      </w:r>
    </w:p>
    <w:p w14:paraId="60555E06" w14:textId="2D326474" w:rsidR="00055D83" w:rsidRPr="007A56B8"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7A56B8">
        <w:rPr>
          <w:rFonts w:ascii="Times New Roman" w:hAnsi="Times New Roman"/>
          <w:b/>
          <w:color w:val="000000" w:themeColor="text1"/>
          <w:sz w:val="28"/>
          <w:szCs w:val="28"/>
          <w:lang w:val="en-GB"/>
        </w:rPr>
        <w:lastRenderedPageBreak/>
        <w:t xml:space="preserve">2.0 LITERATURE REVIEW  </w:t>
      </w:r>
    </w:p>
    <w:p w14:paraId="3568ED6F" w14:textId="607F79A1" w:rsidR="00E61E76" w:rsidRPr="00E61E76" w:rsidRDefault="00E61E76" w:rsidP="00E61E76">
      <w:pPr>
        <w:spacing w:before="0" w:after="160" w:line="259" w:lineRule="auto"/>
        <w:rPr>
          <w:rFonts w:cs="Times New Roman"/>
          <w:b/>
          <w:i/>
          <w:iCs/>
          <w:color w:val="000000" w:themeColor="text1"/>
          <w:kern w:val="2"/>
          <w:szCs w:val="24"/>
          <w:lang w:val="en-GB"/>
        </w:rPr>
      </w:pPr>
      <w:r w:rsidRPr="00E61E76">
        <w:rPr>
          <w:rFonts w:cs="Times New Roman"/>
          <w:b/>
          <w:i/>
          <w:iCs/>
          <w:color w:val="000000" w:themeColor="text1"/>
          <w:kern w:val="2"/>
          <w:szCs w:val="24"/>
          <w:lang w:val="en-GB"/>
        </w:rPr>
        <w:t>Physical Activity: Definition, Benefits, Assessment and Context</w:t>
      </w:r>
    </w:p>
    <w:p w14:paraId="0B226540"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Physical activity (PA) refers to any bodily movement produced by skeletal muscles that requires energy expenditure and encompasses sports, exercise, occupational activities, household tasks, transportation, and leisure pursuits (Chaput et al., 2020). The effectiveness of PA is commonly explained using the FITT principle, which comprises frequency, intensity, time, and type of activity. Frequency refers to how often an individual engages in PA, intensity denotes the level of effort or energy expenditure, time refers to the duration of each activity session, while type describes the nature of the activity, including aerobic and anaerobic exercise. Aerobic activities rely on oxygen to produce energy and generally involve rhythmic, repetitive movements using large muscle groups over prolonged periods, whereas anaerobic activities involve short, high-intensity movements powered by limited oxygen reserves, such as sprinting, jumping, throwing, or resistance training (Bland et al., 2021).</w:t>
      </w:r>
    </w:p>
    <w:p w14:paraId="3CC4B7C8"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Regular participation in PA contributes significantly to physical, psychological, and social well-being across the lifespan. Early engagement in PA promotes healthy growth and development, supports cognitive and emotional development among children, and establishes lifelong active lifestyles that continue into adulthood (</w:t>
      </w:r>
      <w:proofErr w:type="spellStart"/>
      <w:r w:rsidRPr="00E61E76">
        <w:rPr>
          <w:rFonts w:cs="Times New Roman"/>
          <w:bCs/>
          <w:color w:val="000000" w:themeColor="text1"/>
          <w:kern w:val="2"/>
          <w:szCs w:val="24"/>
          <w:lang w:val="en-GB"/>
        </w:rPr>
        <w:t>Opstoel</w:t>
      </w:r>
      <w:proofErr w:type="spellEnd"/>
      <w:r w:rsidRPr="00E61E76">
        <w:rPr>
          <w:rFonts w:cs="Times New Roman"/>
          <w:bCs/>
          <w:color w:val="000000" w:themeColor="text1"/>
          <w:kern w:val="2"/>
          <w:szCs w:val="24"/>
          <w:lang w:val="en-GB"/>
        </w:rPr>
        <w:t xml:space="preserve"> et al., 2020). Physical activity also enhances learning through play, making it an important component of educational development (Whitlock et al., 2023). Among adolescents and young adults, participation in PA has been associated with improved self-esteem, enhanced self-confidence, reduced antisocial behaviour, improved mental health, and lower risks of substance abuse (van Sluijs et al., 2021). Despite these documented benefits, empirical evidence regarding PA behaviour among university communities in Rwanda remains limited, highlighting the need for comprehensive investigations within this context.</w:t>
      </w:r>
    </w:p>
    <w:p w14:paraId="4CC27154"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 xml:space="preserve">The health benefits of PA extend to improvements in body composition, cardiovascular health, mental well-being, and cognitive functioning. Regular PA increases energy expenditure, reduces excess body fat, and promotes healthy body composition (Johar et al., 2019; Shivani et al., 2019). Numerous studies have demonstrated that physically active individuals experience lower risks of hypertension, coronary heart disease, stroke, and other cardiovascular conditions compared to inactive individuals (Shiroma &amp; Lee, 2010). Regular PA also contributes to blood pressure regulation and decreases the likelihood of developing hypertension (Chinyere &amp; </w:t>
      </w:r>
      <w:proofErr w:type="spellStart"/>
      <w:r w:rsidRPr="00E61E76">
        <w:rPr>
          <w:rFonts w:cs="Times New Roman"/>
          <w:bCs/>
          <w:color w:val="000000" w:themeColor="text1"/>
          <w:kern w:val="2"/>
          <w:szCs w:val="24"/>
          <w:lang w:val="en-GB"/>
        </w:rPr>
        <w:t>Aondoyima</w:t>
      </w:r>
      <w:proofErr w:type="spellEnd"/>
      <w:r w:rsidRPr="00E61E76">
        <w:rPr>
          <w:rFonts w:cs="Times New Roman"/>
          <w:bCs/>
          <w:color w:val="000000" w:themeColor="text1"/>
          <w:kern w:val="2"/>
          <w:szCs w:val="24"/>
          <w:lang w:val="en-GB"/>
        </w:rPr>
        <w:t>, 2018), whereas inactivity substantially increases cardiovascular risks (Alves et al., 2016).</w:t>
      </w:r>
    </w:p>
    <w:p w14:paraId="5D04073A"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Beyond physical health, PA plays an important role in promoting mental and emotional well-being. Regular exercise stimulates the release of endorphins, serotonin, and dopamine, thereby enhancing mood, reducing stress, and promoting emotional stability (</w:t>
      </w:r>
      <w:proofErr w:type="spellStart"/>
      <w:r w:rsidRPr="00E61E76">
        <w:rPr>
          <w:rFonts w:cs="Times New Roman"/>
          <w:bCs/>
          <w:color w:val="000000" w:themeColor="text1"/>
          <w:kern w:val="2"/>
          <w:szCs w:val="24"/>
          <w:lang w:val="en-GB"/>
        </w:rPr>
        <w:t>Mahindru</w:t>
      </w:r>
      <w:proofErr w:type="spellEnd"/>
      <w:r w:rsidRPr="00E61E76">
        <w:rPr>
          <w:rFonts w:cs="Times New Roman"/>
          <w:bCs/>
          <w:color w:val="000000" w:themeColor="text1"/>
          <w:kern w:val="2"/>
          <w:szCs w:val="24"/>
          <w:lang w:val="en-GB"/>
        </w:rPr>
        <w:t xml:space="preserve"> et al., 2023). Physical activity also lowers cortisol levels, contributing to stress reduction and relaxation (Robert-McComb et al., 2004). Furthermore, consistent participation in PA improves memory, attention, executive functioning, and overall cognitive performance while reducing the risk of age-related cognitive decline (Dostálová et al., 2021). Exercise has also emerged as an effective complementary intervention for anxiety and depression, with therapeutic benefits comparable to several conventional treatment approaches (</w:t>
      </w:r>
      <w:proofErr w:type="spellStart"/>
      <w:r w:rsidRPr="00E61E76">
        <w:rPr>
          <w:rFonts w:cs="Times New Roman"/>
          <w:bCs/>
          <w:color w:val="000000" w:themeColor="text1"/>
          <w:kern w:val="2"/>
          <w:szCs w:val="24"/>
          <w:lang w:val="en-GB"/>
        </w:rPr>
        <w:t>Ingyu</w:t>
      </w:r>
      <w:proofErr w:type="spellEnd"/>
      <w:r w:rsidRPr="00E61E76">
        <w:rPr>
          <w:rFonts w:cs="Times New Roman"/>
          <w:bCs/>
          <w:color w:val="000000" w:themeColor="text1"/>
          <w:kern w:val="2"/>
          <w:szCs w:val="24"/>
          <w:lang w:val="en-GB"/>
        </w:rPr>
        <w:t xml:space="preserve"> et al., 2020; </w:t>
      </w:r>
      <w:proofErr w:type="spellStart"/>
      <w:r w:rsidRPr="00E61E76">
        <w:rPr>
          <w:rFonts w:cs="Times New Roman"/>
          <w:bCs/>
          <w:color w:val="000000" w:themeColor="text1"/>
          <w:kern w:val="2"/>
          <w:szCs w:val="24"/>
          <w:lang w:val="en-GB"/>
        </w:rPr>
        <w:t>Orhani</w:t>
      </w:r>
      <w:proofErr w:type="spellEnd"/>
      <w:r w:rsidRPr="00E61E76">
        <w:rPr>
          <w:rFonts w:cs="Times New Roman"/>
          <w:bCs/>
          <w:color w:val="000000" w:themeColor="text1"/>
          <w:kern w:val="2"/>
          <w:szCs w:val="24"/>
          <w:lang w:val="en-GB"/>
        </w:rPr>
        <w:t xml:space="preserve"> &amp; Shehu, 2017).</w:t>
      </w:r>
    </w:p>
    <w:p w14:paraId="608849A8"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Conversely, physical inactivity represents one of the leading modifiable risk factors for non-communicable diseases (NCDs). Inadequate PA has been associated with obesity, type II diabetes, cardiovascular disease, selected cancers, increased anxiety, depression, and poor body composition characterized by increased fat mass and reduced muscle strength (Langhammer et al., 2018; Pilipović-</w:t>
      </w:r>
      <w:proofErr w:type="spellStart"/>
      <w:r w:rsidRPr="00E61E76">
        <w:rPr>
          <w:rFonts w:cs="Times New Roman"/>
          <w:bCs/>
          <w:color w:val="000000" w:themeColor="text1"/>
          <w:kern w:val="2"/>
          <w:szCs w:val="24"/>
          <w:lang w:val="en-GB"/>
        </w:rPr>
        <w:t>Spasojević</w:t>
      </w:r>
      <w:proofErr w:type="spellEnd"/>
      <w:r w:rsidRPr="00E61E76">
        <w:rPr>
          <w:rFonts w:cs="Times New Roman"/>
          <w:bCs/>
          <w:color w:val="000000" w:themeColor="text1"/>
          <w:kern w:val="2"/>
          <w:szCs w:val="24"/>
          <w:lang w:val="en-GB"/>
        </w:rPr>
        <w:t xml:space="preserve"> et al., 2020; WHO, 2018). Globally, physical inactivity imposes enormous economic burdens through increased healthcare expenditure and productivity losses (Ding et al., 2016; Aslesh et al., 2016). The World Health Organization estimates that treatment costs associated with preventable </w:t>
      </w:r>
      <w:r w:rsidRPr="00E61E76">
        <w:rPr>
          <w:rFonts w:cs="Times New Roman"/>
          <w:bCs/>
          <w:color w:val="000000" w:themeColor="text1"/>
          <w:kern w:val="2"/>
          <w:szCs w:val="24"/>
          <w:lang w:val="en-GB"/>
        </w:rPr>
        <w:lastRenderedPageBreak/>
        <w:t>NCDs attributable to physical inactivity continue to exceed billions of dollars annually (WHO, 2022), emphasizing the public health importance of promoting active lifestyles.</w:t>
      </w:r>
    </w:p>
    <w:p w14:paraId="009A0FB8"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 xml:space="preserve">Accurate assessment of PA is essential for surveillance and research. Objective methods include pedometers, which measure daily step counts, and accelerometers, which quantify sedentary behaviour and different PA intensity levels (Wise &amp; </w:t>
      </w:r>
      <w:proofErr w:type="spellStart"/>
      <w:r w:rsidRPr="00E61E76">
        <w:rPr>
          <w:rFonts w:cs="Times New Roman"/>
          <w:bCs/>
          <w:color w:val="000000" w:themeColor="text1"/>
          <w:kern w:val="2"/>
          <w:szCs w:val="24"/>
          <w:lang w:val="en-GB"/>
        </w:rPr>
        <w:t>Hongu</w:t>
      </w:r>
      <w:proofErr w:type="spellEnd"/>
      <w:r w:rsidRPr="00E61E76">
        <w:rPr>
          <w:rFonts w:cs="Times New Roman"/>
          <w:bCs/>
          <w:color w:val="000000" w:themeColor="text1"/>
          <w:kern w:val="2"/>
          <w:szCs w:val="24"/>
          <w:lang w:val="en-GB"/>
        </w:rPr>
        <w:t>, 2014). Subjective assessment methods rely primarily on standardized questionnaires. Two widely accepted instruments are the International Physical Activity Questionnaire (IPAQ), which measures self-reported PA over the previous seven days (</w:t>
      </w:r>
      <w:proofErr w:type="spellStart"/>
      <w:r w:rsidRPr="00E61E76">
        <w:rPr>
          <w:rFonts w:cs="Times New Roman"/>
          <w:bCs/>
          <w:color w:val="000000" w:themeColor="text1"/>
          <w:kern w:val="2"/>
          <w:szCs w:val="24"/>
          <w:lang w:val="en-GB"/>
        </w:rPr>
        <w:t>Wanner</w:t>
      </w:r>
      <w:proofErr w:type="spellEnd"/>
      <w:r w:rsidRPr="00E61E76">
        <w:rPr>
          <w:rFonts w:cs="Times New Roman"/>
          <w:bCs/>
          <w:color w:val="000000" w:themeColor="text1"/>
          <w:kern w:val="2"/>
          <w:szCs w:val="24"/>
          <w:lang w:val="en-GB"/>
        </w:rPr>
        <w:t xml:space="preserve"> et al., 2016), and the Global Physical Activity Questionnaire (GPAQ), developed by the World Health Organization to assess PA across work, transportation, and leisure domains (WHO, 2009). The GPAQ has demonstrated acceptable reliability and validity across multiple countries (Bull et al., 2009) and has been successfully applied in diverse occupational settings, including mining workers in Indonesia (Lubis et al., 2023). Owing to its international acceptance and comprehensive coverage of PA domains, the GPAQ provides an appropriate instrument for assessing PA behaviour among University of Rwanda students and staff.</w:t>
      </w:r>
    </w:p>
    <w:p w14:paraId="5713B3E5"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Recognizing the importance of PA in disease prevention, the World Health Organization recommends that adults accumulate between **150 and 300 minutes of moderate-intensity PA or between 75 and 150 minutes of vigorous-intensity PA per week** (WHO, 2022). These guidelines are supported by extensive scientific evidence demonstrating significant reductions in morbidity and mortality associated with regular PA participation (Chaput et al., 2020). However, compliance with these recommendations varies considerably across Sub-Saharan Africa. Urbanization, changing occupational patterns, limited recreational facilities, and socioeconomic challenges have contributed to increasing physical inactivity, particularly in urban populations (</w:t>
      </w:r>
      <w:proofErr w:type="spellStart"/>
      <w:r w:rsidRPr="00E61E76">
        <w:rPr>
          <w:rFonts w:cs="Times New Roman"/>
          <w:bCs/>
          <w:color w:val="000000" w:themeColor="text1"/>
          <w:kern w:val="2"/>
          <w:szCs w:val="24"/>
          <w:lang w:val="en-GB"/>
        </w:rPr>
        <w:t>Guthold</w:t>
      </w:r>
      <w:proofErr w:type="spellEnd"/>
      <w:r w:rsidRPr="00E61E76">
        <w:rPr>
          <w:rFonts w:cs="Times New Roman"/>
          <w:bCs/>
          <w:color w:val="000000" w:themeColor="text1"/>
          <w:kern w:val="2"/>
          <w:szCs w:val="24"/>
          <w:lang w:val="en-GB"/>
        </w:rPr>
        <w:t xml:space="preserve"> et al., 2018; Hallal et al., 2012; </w:t>
      </w:r>
      <w:proofErr w:type="spellStart"/>
      <w:r w:rsidRPr="00E61E76">
        <w:rPr>
          <w:rFonts w:cs="Times New Roman"/>
          <w:bCs/>
          <w:color w:val="000000" w:themeColor="text1"/>
          <w:kern w:val="2"/>
          <w:szCs w:val="24"/>
          <w:lang w:val="en-GB"/>
        </w:rPr>
        <w:t>Onywera</w:t>
      </w:r>
      <w:proofErr w:type="spellEnd"/>
      <w:r w:rsidRPr="00E61E76">
        <w:rPr>
          <w:rFonts w:cs="Times New Roman"/>
          <w:bCs/>
          <w:color w:val="000000" w:themeColor="text1"/>
          <w:kern w:val="2"/>
          <w:szCs w:val="24"/>
          <w:lang w:val="en-GB"/>
        </w:rPr>
        <w:t>, 2013).</w:t>
      </w:r>
    </w:p>
    <w:p w14:paraId="76574ED4"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 xml:space="preserve">Existing literature demonstrates considerable variation in adult PA levels across countries and population groups. In Rwanda, available evidence remains scarce. Uwamahoro et al. (2021) found that most physiotherapy students met WHO recommendations during the COVID-19 lockdown, although female students residing in urban areas reported lower activity levels. Similarly, Frantz and </w:t>
      </w:r>
      <w:proofErr w:type="spellStart"/>
      <w:r w:rsidRPr="00E61E76">
        <w:rPr>
          <w:rFonts w:cs="Times New Roman"/>
          <w:bCs/>
          <w:color w:val="000000" w:themeColor="text1"/>
          <w:kern w:val="2"/>
          <w:szCs w:val="24"/>
          <w:lang w:val="en-GB"/>
        </w:rPr>
        <w:t>Ngabare</w:t>
      </w:r>
      <w:proofErr w:type="spellEnd"/>
      <w:r w:rsidRPr="00E61E76">
        <w:rPr>
          <w:rFonts w:cs="Times New Roman"/>
          <w:bCs/>
          <w:color w:val="000000" w:themeColor="text1"/>
          <w:kern w:val="2"/>
          <w:szCs w:val="24"/>
          <w:lang w:val="en-GB"/>
        </w:rPr>
        <w:t xml:space="preserve"> (2013) reported positive PA promotion strategies among physiotherapists despite several implementation barriers. While these studies provide valuable insights, they focused on specialized populations and therefore do not adequately represent the broader university community. Consequently, there remains a lack of comprehensive evidence regarding PA behaviour among students and staff from multiple disciplines within the University of Rwanda.</w:t>
      </w:r>
    </w:p>
    <w:p w14:paraId="2D326DB3"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Several demographic characteristics influence PA participation, particularly age and gender. Numerous studies indicate that PA declines progressively with advancing age because of reduced muscle mass, declining cardiovascular function, mobility limitations, and chronic health conditions (Bauman et al., 2012; Langhammer et al., 2018; McPhee et al., 2016). Gender differences have also been widely documented. Men generally participate more frequently in vigorous sports and competitive activities, whereas women often engage in moderate-intensity activities such as walking, dancing, and fitness classes (Corder et al., 2010). These differences are influenced by cultural expectations, safety concerns, facility accessibility, and traditional gender roles that shape participation opportunities (Sallis et al., 2000; WHO, 2010).</w:t>
      </w:r>
    </w:p>
    <w:p w14:paraId="659D8DEA"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University populations present unique PA characteristics because students and staff experience competing academic, occupational, and personal responsibilities. Although universities often provide sports facilities, recreational programmes, and organized sporting activities, barriers such as heavy workloads, academic stress, financial limitations, and insufficient time frequently reduce participation (Keating et al., 2005). Previous studies have shown that physically active university students demonstrate better emotional intelligence (</w:t>
      </w:r>
      <w:proofErr w:type="spellStart"/>
      <w:r w:rsidRPr="00E61E76">
        <w:rPr>
          <w:rFonts w:cs="Times New Roman"/>
          <w:bCs/>
          <w:color w:val="000000" w:themeColor="text1"/>
          <w:kern w:val="2"/>
          <w:szCs w:val="24"/>
          <w:lang w:val="en-GB"/>
        </w:rPr>
        <w:t>Bhochhibhoya</w:t>
      </w:r>
      <w:proofErr w:type="spellEnd"/>
      <w:r w:rsidRPr="00E61E76">
        <w:rPr>
          <w:rFonts w:cs="Times New Roman"/>
          <w:bCs/>
          <w:color w:val="000000" w:themeColor="text1"/>
          <w:kern w:val="2"/>
          <w:szCs w:val="24"/>
          <w:lang w:val="en-GB"/>
        </w:rPr>
        <w:t xml:space="preserve"> et al., 2020) and improved quality of life (Ge et al., 2019). Nevertheless, studies from Brazil and Poland reported notable levels of physical inactivity among university students, particularly among females and students outside health-related </w:t>
      </w:r>
      <w:r w:rsidRPr="00E61E76">
        <w:rPr>
          <w:rFonts w:cs="Times New Roman"/>
          <w:bCs/>
          <w:color w:val="000000" w:themeColor="text1"/>
          <w:kern w:val="2"/>
          <w:szCs w:val="24"/>
          <w:lang w:val="en-GB"/>
        </w:rPr>
        <w:lastRenderedPageBreak/>
        <w:t>disciplines (</w:t>
      </w:r>
      <w:proofErr w:type="spellStart"/>
      <w:r w:rsidRPr="00E61E76">
        <w:rPr>
          <w:rFonts w:cs="Times New Roman"/>
          <w:bCs/>
          <w:color w:val="000000" w:themeColor="text1"/>
          <w:kern w:val="2"/>
          <w:szCs w:val="24"/>
          <w:lang w:val="en-GB"/>
        </w:rPr>
        <w:t>Dębrowska</w:t>
      </w:r>
      <w:proofErr w:type="spellEnd"/>
      <w:r w:rsidRPr="00E61E76">
        <w:rPr>
          <w:rFonts w:cs="Times New Roman"/>
          <w:bCs/>
          <w:color w:val="000000" w:themeColor="text1"/>
          <w:kern w:val="2"/>
          <w:szCs w:val="24"/>
          <w:lang w:val="en-GB"/>
        </w:rPr>
        <w:t>-Galas et al., 2013; Quadros et al., 2009). Research involving university staff similarly found high levels of sedentary behaviour and identified barriers including low motivation, fear of injury, and embarrassment during exercise, leading researchers to recommend institutional PA policies and supportive environments (Cruz, 2019; Hristova, 2019).</w:t>
      </w:r>
    </w:p>
    <w:p w14:paraId="67CD2599"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Participation in PA is influenced by multiple interacting factors. Personal characteristics including age, gender, education, occupation, and economic status affect PA engagement (</w:t>
      </w:r>
      <w:proofErr w:type="spellStart"/>
      <w:r w:rsidRPr="00E61E76">
        <w:rPr>
          <w:rFonts w:cs="Times New Roman"/>
          <w:bCs/>
          <w:color w:val="000000" w:themeColor="text1"/>
          <w:kern w:val="2"/>
          <w:szCs w:val="24"/>
          <w:lang w:val="en-GB"/>
        </w:rPr>
        <w:t>Molanorouzi</w:t>
      </w:r>
      <w:proofErr w:type="spellEnd"/>
      <w:r w:rsidRPr="00E61E76">
        <w:rPr>
          <w:rFonts w:cs="Times New Roman"/>
          <w:bCs/>
          <w:color w:val="000000" w:themeColor="text1"/>
          <w:kern w:val="2"/>
          <w:szCs w:val="24"/>
          <w:lang w:val="en-GB"/>
        </w:rPr>
        <w:t xml:space="preserve"> et al., 2015). Environmental conditions such as climate, walkability, transportation systems, and availability of recreational facilities also influence participation (Ball et al., 2015; Chan &amp; Ryan, 2009). Social support from family and peers, together with cultural values and community norms, further shape individuals' willingness and opportunities to remain physically active (Lindsay et al., 2017; WHO, 2010).</w:t>
      </w:r>
    </w:p>
    <w:p w14:paraId="567C53BB" w14:textId="77777777" w:rsidR="00E61E76" w:rsidRPr="00E61E76" w:rsidRDefault="00E61E76" w:rsidP="00E61E76">
      <w:pPr>
        <w:spacing w:before="0" w:after="160" w:line="259" w:lineRule="auto"/>
        <w:rPr>
          <w:rFonts w:cs="Times New Roman"/>
          <w:bCs/>
          <w:color w:val="000000" w:themeColor="text1"/>
          <w:kern w:val="2"/>
          <w:szCs w:val="24"/>
          <w:lang w:val="en-GB"/>
        </w:rPr>
      </w:pPr>
      <w:r w:rsidRPr="00E61E76">
        <w:rPr>
          <w:rFonts w:cs="Times New Roman"/>
          <w:bCs/>
          <w:color w:val="000000" w:themeColor="text1"/>
          <w:kern w:val="2"/>
          <w:szCs w:val="24"/>
          <w:lang w:val="en-GB"/>
        </w:rPr>
        <w:t>Rwanda has demonstrated commitment to promoting PA through national sports and health policies. The Ministry of Sports and Culture emphasizes sports participation, health promotion, infrastructure development, talent identification, gender equality, and inclusive participation as central policy objectives (Ministry of Sports and Culture, 2017). Complementary investments in sports facilities and recreational infrastructure seek to increase access to PA opportunities nationwide (Rwanda Development Board, 2018), while talent development initiatives are supported through grassroots programmes and sports academies (Rwanda Olympic Committee, 2019).</w:t>
      </w:r>
    </w:p>
    <w:p w14:paraId="7A67400B" w14:textId="2BFB3DD2" w:rsidR="00AF0AC2" w:rsidRPr="00AF0AC2" w:rsidRDefault="00E61E76" w:rsidP="00E61E76">
      <w:pPr>
        <w:spacing w:before="0" w:after="160" w:line="259" w:lineRule="auto"/>
        <w:rPr>
          <w:rFonts w:cs="Times New Roman"/>
          <w:color w:val="000000" w:themeColor="text1"/>
          <w:szCs w:val="24"/>
        </w:rPr>
      </w:pPr>
      <w:r w:rsidRPr="00E61E76">
        <w:rPr>
          <w:rFonts w:cs="Times New Roman"/>
          <w:bCs/>
          <w:color w:val="000000" w:themeColor="text1"/>
          <w:kern w:val="2"/>
          <w:szCs w:val="24"/>
          <w:lang w:val="en-GB"/>
        </w:rPr>
        <w:t xml:space="preserve">Within this national policy framework, the University of Rwanda provides an appropriate environment for promoting PA through sports competitions, gymnasiums, recreational facilities, and infrastructure that encourages active transportation and inclusive participation (University of Rwanda, 2020). Many students and staff commute on foot, and university facilities encourage stair use while maintaining accessibility for persons with disabilities. Nevertheless, empirical evidence on PA behaviour within the broader University of Rwanda community remains limited. Existing studies have concentrated mainly on physiotherapy students or professionals (Frantz &amp; </w:t>
      </w:r>
      <w:proofErr w:type="spellStart"/>
      <w:r w:rsidRPr="00E61E76">
        <w:rPr>
          <w:rFonts w:cs="Times New Roman"/>
          <w:bCs/>
          <w:color w:val="000000" w:themeColor="text1"/>
          <w:kern w:val="2"/>
          <w:szCs w:val="24"/>
          <w:lang w:val="en-GB"/>
        </w:rPr>
        <w:t>Ngabare</w:t>
      </w:r>
      <w:proofErr w:type="spellEnd"/>
      <w:r w:rsidRPr="00E61E76">
        <w:rPr>
          <w:rFonts w:cs="Times New Roman"/>
          <w:bCs/>
          <w:color w:val="000000" w:themeColor="text1"/>
          <w:kern w:val="2"/>
          <w:szCs w:val="24"/>
          <w:lang w:val="en-GB"/>
        </w:rPr>
        <w:t>, 2013; Uwamahoro et al., 2021), leaving substantial knowledge gaps regarding PA levels, activity types, age and gender differences, and compliance with WHO recommendations among the wider university population. Addressing these gaps is essential for informing institutional health promotion strategies and guiding interventions aimed at increasing PA participation among University of Rwanda students and staff.</w:t>
      </w:r>
    </w:p>
    <w:p w14:paraId="15DF2B03" w14:textId="1D7B0E5D" w:rsidR="00E32139" w:rsidRDefault="00E32139">
      <w:pPr>
        <w:spacing w:before="0" w:after="160" w:line="259" w:lineRule="auto"/>
        <w:jc w:val="left"/>
        <w:rPr>
          <w:rFonts w:cs="Times New Roman"/>
          <w:b/>
          <w:bCs/>
          <w:color w:val="000000" w:themeColor="text1"/>
          <w:sz w:val="28"/>
          <w:szCs w:val="28"/>
        </w:rPr>
      </w:pPr>
    </w:p>
    <w:p w14:paraId="35BCEF5F" w14:textId="7127907E" w:rsidR="00055D83" w:rsidRPr="007A56B8" w:rsidRDefault="00055D83" w:rsidP="002C6F25">
      <w:pPr>
        <w:spacing w:line="240" w:lineRule="auto"/>
        <w:rPr>
          <w:rFonts w:cs="Times New Roman"/>
          <w:b/>
          <w:bCs/>
          <w:color w:val="000000" w:themeColor="text1"/>
          <w:sz w:val="28"/>
          <w:szCs w:val="28"/>
        </w:rPr>
      </w:pPr>
      <w:r w:rsidRPr="007A56B8">
        <w:rPr>
          <w:rFonts w:cs="Times New Roman"/>
          <w:b/>
          <w:bCs/>
          <w:color w:val="000000" w:themeColor="text1"/>
          <w:sz w:val="28"/>
          <w:szCs w:val="28"/>
        </w:rPr>
        <w:t>3.0 RESEARCH METHODOLOGY</w:t>
      </w:r>
    </w:p>
    <w:p w14:paraId="24BB4997"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This study adopted a cross-sectional descriptive survey design to establish physical activity (PA) </w:t>
      </w:r>
      <w:proofErr w:type="spellStart"/>
      <w:r w:rsidRPr="00281C9E">
        <w:rPr>
          <w:rFonts w:cs="Times New Roman"/>
          <w:color w:val="000000" w:themeColor="text1"/>
          <w:szCs w:val="24"/>
        </w:rPr>
        <w:t>behaviour</w:t>
      </w:r>
      <w:proofErr w:type="spellEnd"/>
      <w:r w:rsidRPr="00281C9E">
        <w:rPr>
          <w:rFonts w:cs="Times New Roman"/>
          <w:color w:val="000000" w:themeColor="text1"/>
          <w:szCs w:val="24"/>
        </w:rPr>
        <w:t xml:space="preserve"> among students and staff of the University of Rwanda. A cross-sectional survey was considered appropriate because it enables the collection of quantitative data at a single point in time to describe existing </w:t>
      </w:r>
      <w:proofErr w:type="spellStart"/>
      <w:r w:rsidRPr="00281C9E">
        <w:rPr>
          <w:rFonts w:cs="Times New Roman"/>
          <w:color w:val="000000" w:themeColor="text1"/>
          <w:szCs w:val="24"/>
        </w:rPr>
        <w:t>behaviours</w:t>
      </w:r>
      <w:proofErr w:type="spellEnd"/>
      <w:r w:rsidRPr="00281C9E">
        <w:rPr>
          <w:rFonts w:cs="Times New Roman"/>
          <w:color w:val="000000" w:themeColor="text1"/>
          <w:szCs w:val="24"/>
        </w:rPr>
        <w:t xml:space="preserve"> and population characteristics (Pandey &amp; Pandey, 2015). The design enabled the researcher to determine PA levels, identify the types of physical activities undertaken, and assess whether participants achieved the World Health Organization (WHO) recommendations of 150–300 minutes of moderate-intensity or 75–150 minutes of vigorous-intensity physical activity per week.</w:t>
      </w:r>
    </w:p>
    <w:p w14:paraId="4AF065AD"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The independent variables included age, gender, year of study for students, and years of employment for staff, all obtained through self-reported demographic information. The dependent variable was physical activity level, measured using the Global Physical Activity Questionnaire (GPAQ). Physical activity was assessed using the FITT principle, which captures frequency, intensity, time (duration), and type of activity. Frequency represented the number of activity sessions per week, intensity referred to the level of exertion, duration measured the time spent during each activity session, and type described the nature of the activity performed. Participants were subsequently </w:t>
      </w:r>
      <w:r w:rsidRPr="00281C9E">
        <w:rPr>
          <w:rFonts w:cs="Times New Roman"/>
          <w:color w:val="000000" w:themeColor="text1"/>
          <w:szCs w:val="24"/>
        </w:rPr>
        <w:lastRenderedPageBreak/>
        <w:t>classified according to whether they met the WHO physical activity recommendations. Vigorous physical activity referred to activities requiring substantial physical effort that markedly increased heart rate or breathing, whereas moderate physical activity involved activities requiring moderate effort and producing slight increases in heart rate or respiration, consistent with GPAQ operational guidelines.</w:t>
      </w:r>
    </w:p>
    <w:p w14:paraId="66F14119"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The study was conducted at the University of Rwanda, the country's largest and only public university, comprising nine campuses distributed across the five provinces. Six campuses with the largest student populations were purposively selected: </w:t>
      </w:r>
      <w:proofErr w:type="spellStart"/>
      <w:r w:rsidRPr="00281C9E">
        <w:rPr>
          <w:rFonts w:cs="Times New Roman"/>
          <w:color w:val="000000" w:themeColor="text1"/>
          <w:szCs w:val="24"/>
        </w:rPr>
        <w:t>Busogo</w:t>
      </w:r>
      <w:proofErr w:type="spellEnd"/>
      <w:r w:rsidRPr="00281C9E">
        <w:rPr>
          <w:rFonts w:cs="Times New Roman"/>
          <w:color w:val="000000" w:themeColor="text1"/>
          <w:szCs w:val="24"/>
        </w:rPr>
        <w:t xml:space="preserve">, Huye, Nyarugenge, Remera, Rukara, and </w:t>
      </w:r>
      <w:proofErr w:type="spellStart"/>
      <w:r w:rsidRPr="00281C9E">
        <w:rPr>
          <w:rFonts w:cs="Times New Roman"/>
          <w:color w:val="000000" w:themeColor="text1"/>
          <w:szCs w:val="24"/>
        </w:rPr>
        <w:t>Nyagatare</w:t>
      </w:r>
      <w:proofErr w:type="spellEnd"/>
      <w:r w:rsidRPr="00281C9E">
        <w:rPr>
          <w:rFonts w:cs="Times New Roman"/>
          <w:color w:val="000000" w:themeColor="text1"/>
          <w:szCs w:val="24"/>
        </w:rPr>
        <w:t>. These campuses represented diverse geographical and environmental settings, including mountainous, hilly, flat, rural, and urban environments, thereby providing variation in contextual factors that may influence physical activity participation.</w:t>
      </w:r>
    </w:p>
    <w:p w14:paraId="58A5F415"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The target population comprised all fully registered undergraduate students and full-time teaching and non-teaching staff of the University of Rwanda. Students were included because university years represent an important stage for establishing lifelong physical activity </w:t>
      </w:r>
      <w:proofErr w:type="spellStart"/>
      <w:r w:rsidRPr="00281C9E">
        <w:rPr>
          <w:rFonts w:cs="Times New Roman"/>
          <w:color w:val="000000" w:themeColor="text1"/>
          <w:szCs w:val="24"/>
        </w:rPr>
        <w:t>behaviours</w:t>
      </w:r>
      <w:proofErr w:type="spellEnd"/>
      <w:r w:rsidRPr="00281C9E">
        <w:rPr>
          <w:rFonts w:cs="Times New Roman"/>
          <w:color w:val="000000" w:themeColor="text1"/>
          <w:szCs w:val="24"/>
        </w:rPr>
        <w:t xml:space="preserve">, while staff were included to provide a comprehensive assessment of PA </w:t>
      </w:r>
      <w:proofErr w:type="spellStart"/>
      <w:r w:rsidRPr="00281C9E">
        <w:rPr>
          <w:rFonts w:cs="Times New Roman"/>
          <w:color w:val="000000" w:themeColor="text1"/>
          <w:szCs w:val="24"/>
        </w:rPr>
        <w:t>behaviour</w:t>
      </w:r>
      <w:proofErr w:type="spellEnd"/>
      <w:r w:rsidRPr="00281C9E">
        <w:rPr>
          <w:rFonts w:cs="Times New Roman"/>
          <w:color w:val="000000" w:themeColor="text1"/>
          <w:szCs w:val="24"/>
        </w:rPr>
        <w:t xml:space="preserve"> within the university community. At the time of the study, the University of Rwanda had 30,445 undergraduate students (44% female and 56% male) and 2,847 full-time staff members (43% female and 57% male) occupying academic and administrative positions.</w:t>
      </w:r>
    </w:p>
    <w:p w14:paraId="7DE2459D"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Eligible participants included all consenting full-time undergraduate students and full-time staff regardless of gender, including individuals with physical disabilities whose activity could be assessed within their functional abilities. Excluded from the study were non-consenting participants, part-time students and staff, contractual employees, active university sports team members, students enrolled in </w:t>
      </w:r>
      <w:proofErr w:type="spellStart"/>
      <w:r w:rsidRPr="00281C9E">
        <w:rPr>
          <w:rFonts w:cs="Times New Roman"/>
          <w:color w:val="000000" w:themeColor="text1"/>
          <w:szCs w:val="24"/>
        </w:rPr>
        <w:t>programmes</w:t>
      </w:r>
      <w:proofErr w:type="spellEnd"/>
      <w:r w:rsidRPr="00281C9E">
        <w:rPr>
          <w:rFonts w:cs="Times New Roman"/>
          <w:color w:val="000000" w:themeColor="text1"/>
          <w:szCs w:val="24"/>
        </w:rPr>
        <w:t xml:space="preserve"> with compulsory physical activity components such as physical education, and individuals whose medical conditions severely restricted participation in physical activity. These criteria minimized potential sources of bias that could influence the measurement of habitual physical activity.</w:t>
      </w:r>
    </w:p>
    <w:p w14:paraId="3F4C4CF2"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Purposive sampling was first used to select the six largest campuses, ensuring representation across Rwanda's geographical regions and both rural and urban environments. Stratified random sampling was subsequently employed to select student participants according to year of study and gender. Each campus contributed at least 120 students, with proportional representation across the four undergraduate years while striving for balanced gender representation. Staff participants were selected using purposive sampling to ensure inclusion of both academic and administrative personnel, followed by random selection within each category.</w:t>
      </w:r>
    </w:p>
    <w:p w14:paraId="010DF5E5"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Sample size determination was conducted using the SurveyMonkey sample size calculator (SurveyMonkey, 2016), based on a target population of 33,292 individuals, a 95% confidence level, a 5% margin of error, and a population proportion of 0.5. The minimum required sample was calculated at 404 participants. To compensate for anticipated non-response and incomplete questionnaires, particularly given the constraints associated with COVID-19 telephone surveys, the student sample was increased to 735 participants, guided by evidence from Sub-Saharan African studies reporting high attrition rates (Mthembu et al., 2020). A separate calculation for the staff population yielded a minimum sample of 74, which was increased to 120 to ensure adequate representation across staff categories. Ultimately, completed questionnaires were obtained from 735 students and 106 staff members.</w:t>
      </w:r>
    </w:p>
    <w:p w14:paraId="6030DF3F"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Data were collected using a telephone-administered questionnaire because COVID-19 restrictions prohibited face-to-face interactions. The questionnaire consisted of two sections: demographic information and the English version of the Global Physical Activity Questionnaire (GPAQ). Developed by the World Health Organization, the GPAQ comprises 16 structured questions measuring physical activity in three domains: work, transport, and leisure (WHO, 2009). The instrument has demonstrated satisfactory validity and reliability across multiple countries and has been </w:t>
      </w:r>
      <w:r w:rsidRPr="00281C9E">
        <w:rPr>
          <w:rFonts w:cs="Times New Roman"/>
          <w:color w:val="000000" w:themeColor="text1"/>
          <w:szCs w:val="24"/>
        </w:rPr>
        <w:lastRenderedPageBreak/>
        <w:t>successfully applied within African populations, including Kenya and South Africa (Oyeyemi et al., 2014; Keating et al., 2018).</w:t>
      </w:r>
    </w:p>
    <w:p w14:paraId="3CCB3F85"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Data collection was undertaken between April and May 2021 following approval from the University of Rwanda administration. Class representatives and academic offices facilitated participant recruitment while adhering to institutional privacy procedures. Research assistants contacted consenting participants by telephone, explained the objectives of the study, read the informed consent statement, addressed participants' questions, obtained verbal consent, and administered the GPAQ. Responses were recorded directly during the interviews.</w:t>
      </w:r>
    </w:p>
    <w:p w14:paraId="1A7B94F8"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Data processing involved cleaning and coding responses using </w:t>
      </w:r>
      <w:proofErr w:type="spellStart"/>
      <w:r w:rsidRPr="00281C9E">
        <w:rPr>
          <w:rFonts w:cs="Times New Roman"/>
          <w:color w:val="000000" w:themeColor="text1"/>
          <w:szCs w:val="24"/>
        </w:rPr>
        <w:t>EpiInfo</w:t>
      </w:r>
      <w:proofErr w:type="spellEnd"/>
      <w:r w:rsidRPr="00281C9E">
        <w:rPr>
          <w:rFonts w:cs="Times New Roman"/>
          <w:color w:val="000000" w:themeColor="text1"/>
          <w:szCs w:val="24"/>
        </w:rPr>
        <w:t xml:space="preserve"> software developed by the World Health Organization. Physical activity data were converted into Metabolic Equivalent of Task (MET)-minutes following GPAQ scoring guidelines (WHO, 2020). Standard MET values of 8.0, 4.0, 3.0, and 1.0 were assigned to vigorous, moderate, light, and sedentary activities, respectively. Weekly MET scores were computed by aggregating activities across work, transport, and leisure domains for each participant before generating summary measures.</w:t>
      </w:r>
    </w:p>
    <w:p w14:paraId="5864582C" w14:textId="77777777" w:rsidR="00281C9E" w:rsidRPr="00281C9E"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 xml:space="preserve">Statistical analysis was conducted using </w:t>
      </w:r>
      <w:proofErr w:type="spellStart"/>
      <w:r w:rsidRPr="00281C9E">
        <w:rPr>
          <w:rFonts w:cs="Times New Roman"/>
          <w:color w:val="000000" w:themeColor="text1"/>
          <w:szCs w:val="24"/>
        </w:rPr>
        <w:t>DataTab</w:t>
      </w:r>
      <w:proofErr w:type="spellEnd"/>
      <w:r w:rsidRPr="00281C9E">
        <w:rPr>
          <w:rFonts w:cs="Times New Roman"/>
          <w:color w:val="000000" w:themeColor="text1"/>
          <w:szCs w:val="24"/>
        </w:rPr>
        <w:t xml:space="preserve"> software. Descriptive statistics, including frequencies, percentages, means, and standard deviations, summarized physical activity levels and activity types. Chi-square tests examined associations between gender and categorical physical activity levels, while independent samples t-tests compared mean physical activity levels between male and female participants. One-way analysis of variance (ANOVA) was used to examine differences in physical activity levels across age groups, year of study, and staff categories. These statistical procedures directly addressed the study objectives and corresponding hypotheses.</w:t>
      </w:r>
    </w:p>
    <w:p w14:paraId="565CBB96" w14:textId="22E1120D" w:rsidR="00E32139" w:rsidRPr="00E32139" w:rsidRDefault="00281C9E" w:rsidP="00281C9E">
      <w:pPr>
        <w:spacing w:after="160" w:line="259" w:lineRule="auto"/>
        <w:rPr>
          <w:rFonts w:cs="Times New Roman"/>
          <w:color w:val="000000" w:themeColor="text1"/>
          <w:szCs w:val="24"/>
        </w:rPr>
      </w:pPr>
      <w:r w:rsidRPr="00281C9E">
        <w:rPr>
          <w:rFonts w:cs="Times New Roman"/>
          <w:color w:val="000000" w:themeColor="text1"/>
          <w:szCs w:val="24"/>
        </w:rPr>
        <w:t>Ethical approval was obtained from the Kenyatta University Graduate School, the University of Rwanda College of Education, and the Rwanda National Council of Science and Technology before commencement of the study. Participants were informed about the purpose of the research, assured that participation was voluntary, and advised that all information would remain confidential and be used solely for research and publication purposes. Verbal informed consent was obtained before every telephone interview, while all personal contact information collected during recruitment was securely handled in accordance with institutional data protection requirements.</w:t>
      </w:r>
    </w:p>
    <w:p w14:paraId="68ECED9B" w14:textId="14448FF0" w:rsidR="009B3203" w:rsidRPr="007A56B8" w:rsidRDefault="009B3203" w:rsidP="0018246F">
      <w:pPr>
        <w:spacing w:after="160" w:line="259" w:lineRule="auto"/>
        <w:rPr>
          <w:rFonts w:cs="Times New Roman"/>
          <w:color w:val="000000" w:themeColor="text1"/>
          <w:szCs w:val="24"/>
        </w:rPr>
      </w:pPr>
    </w:p>
    <w:p w14:paraId="7C961926" w14:textId="77777777" w:rsidR="00B55CEF" w:rsidRPr="007A56B8" w:rsidRDefault="00B55CEF">
      <w:pPr>
        <w:spacing w:before="0" w:after="160" w:line="259" w:lineRule="auto"/>
        <w:jc w:val="left"/>
        <w:rPr>
          <w:b/>
          <w:bCs/>
          <w:color w:val="000000" w:themeColor="text1"/>
          <w:sz w:val="28"/>
          <w:szCs w:val="24"/>
        </w:rPr>
      </w:pPr>
      <w:r w:rsidRPr="007A56B8">
        <w:rPr>
          <w:b/>
          <w:bCs/>
          <w:color w:val="000000" w:themeColor="text1"/>
          <w:sz w:val="28"/>
          <w:szCs w:val="24"/>
        </w:rPr>
        <w:br w:type="page"/>
      </w:r>
    </w:p>
    <w:p w14:paraId="14C2E9C9" w14:textId="41B94B9A" w:rsidR="00055D83" w:rsidRPr="007A56B8" w:rsidRDefault="002B2D3C" w:rsidP="002B2D3C">
      <w:pPr>
        <w:rPr>
          <w:b/>
          <w:bCs/>
          <w:color w:val="000000" w:themeColor="text1"/>
          <w:sz w:val="28"/>
          <w:szCs w:val="24"/>
        </w:rPr>
      </w:pPr>
      <w:r w:rsidRPr="007A56B8">
        <w:rPr>
          <w:b/>
          <w:bCs/>
          <w:color w:val="000000" w:themeColor="text1"/>
          <w:sz w:val="28"/>
          <w:szCs w:val="24"/>
        </w:rPr>
        <w:lastRenderedPageBreak/>
        <w:t xml:space="preserve">4.0 </w:t>
      </w:r>
      <w:r w:rsidR="00055D83" w:rsidRPr="007A56B8">
        <w:rPr>
          <w:b/>
          <w:bCs/>
          <w:color w:val="000000" w:themeColor="text1"/>
          <w:sz w:val="28"/>
          <w:szCs w:val="24"/>
        </w:rPr>
        <w:t>RESULTS AND DISCUSSION</w:t>
      </w:r>
    </w:p>
    <w:p w14:paraId="0CC7FDF8"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4.1 Demographic Characteristics of Participants</w:t>
      </w:r>
    </w:p>
    <w:p w14:paraId="6F66DBFF" w14:textId="77777777" w:rsidR="00206250" w:rsidRPr="00206250" w:rsidRDefault="00206250" w:rsidP="00206250">
      <w:pPr>
        <w:spacing w:line="240" w:lineRule="auto"/>
      </w:pPr>
      <w:r w:rsidRPr="00206250">
        <w:t>The study included 870 participants, comprising 135 staff members and 735 students from the University of Rwanda (UR). Among staff, 67 (49.6%) were academic staff while 68 (50.4%) were administrative personnel. The sample consisted of 89 (65.9%) males and 46 (34.1%) females, with a mean age of 38.43 ± 7.72 years (range: 21–61 years). Although the institutional workforce is predominantly male (75.3%) according to the University of Rwanda Facts and Figures (UR, 2022), the study achieved representation across both academic and administrative staff categories.</w:t>
      </w:r>
    </w:p>
    <w:p w14:paraId="5812BBB9" w14:textId="77777777" w:rsidR="00206250" w:rsidRPr="00206250" w:rsidRDefault="00206250" w:rsidP="00206250">
      <w:pPr>
        <w:spacing w:line="240" w:lineRule="auto"/>
      </w:pPr>
      <w:r w:rsidRPr="00206250">
        <w:t xml:space="preserve">Among students, 486 (66.1%) were male and 249 (33.9%) were female, drawn from six UR campuses. Participants were distributed across all four years of study, ensuring broad institutional representation. The students had a mean age of 22.76 ± 1.85 years, with the majority aged between 21 and 23 years. Students aged 22 years constituted the largest age group (21.1%), followed by those aged 21 years (18.8%) and 23 years (17.3%). Overall, the demographic profile provided adequate representation for examining physical activity (PA) </w:t>
      </w:r>
      <w:proofErr w:type="spellStart"/>
      <w:r w:rsidRPr="00206250">
        <w:t>behaviours</w:t>
      </w:r>
      <w:proofErr w:type="spellEnd"/>
      <w:r w:rsidRPr="00206250">
        <w:t xml:space="preserve"> among both staff and students.</w:t>
      </w:r>
    </w:p>
    <w:p w14:paraId="61B88C3C" w14:textId="179C4A24"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b/>
          <w:bCs/>
          <w:color w:val="auto"/>
          <w:szCs w:val="24"/>
          <w14:ligatures w14:val="none"/>
        </w:rPr>
        <w:t>Table 1. Demographic Characteristics of Participants</w:t>
      </w:r>
    </w:p>
    <w:tbl>
      <w:tblPr>
        <w:tblStyle w:val="TableGrid1"/>
        <w:tblW w:w="0" w:type="auto"/>
        <w:tblLook w:val="04A0" w:firstRow="1" w:lastRow="0" w:firstColumn="1" w:lastColumn="0" w:noHBand="0" w:noVBand="1"/>
      </w:tblPr>
      <w:tblGrid>
        <w:gridCol w:w="1683"/>
        <w:gridCol w:w="1560"/>
        <w:gridCol w:w="1960"/>
      </w:tblGrid>
      <w:tr w:rsidR="00206250" w:rsidRPr="00206250" w14:paraId="113E988D" w14:textId="77777777" w:rsidTr="00206250">
        <w:tc>
          <w:tcPr>
            <w:tcW w:w="0" w:type="auto"/>
            <w:hideMark/>
          </w:tcPr>
          <w:p w14:paraId="7FE8C670" w14:textId="77777777" w:rsidR="00206250" w:rsidRPr="00206250" w:rsidRDefault="00206250" w:rsidP="00206250">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Variable</w:t>
            </w:r>
          </w:p>
        </w:tc>
        <w:tc>
          <w:tcPr>
            <w:tcW w:w="0" w:type="auto"/>
            <w:hideMark/>
          </w:tcPr>
          <w:p w14:paraId="2011C56E" w14:textId="77777777" w:rsidR="00206250" w:rsidRPr="00206250" w:rsidRDefault="00206250" w:rsidP="00206250">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Staff (n=135)</w:t>
            </w:r>
          </w:p>
        </w:tc>
        <w:tc>
          <w:tcPr>
            <w:tcW w:w="0" w:type="auto"/>
            <w:hideMark/>
          </w:tcPr>
          <w:p w14:paraId="64CFC17C" w14:textId="77777777" w:rsidR="00206250" w:rsidRPr="00206250" w:rsidRDefault="00206250" w:rsidP="00206250">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Students (n=735)</w:t>
            </w:r>
          </w:p>
        </w:tc>
      </w:tr>
      <w:tr w:rsidR="00206250" w:rsidRPr="00206250" w14:paraId="74BB0561" w14:textId="77777777" w:rsidTr="00206250">
        <w:tc>
          <w:tcPr>
            <w:tcW w:w="0" w:type="auto"/>
            <w:hideMark/>
          </w:tcPr>
          <w:p w14:paraId="296F1F48"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Male</w:t>
            </w:r>
          </w:p>
        </w:tc>
        <w:tc>
          <w:tcPr>
            <w:tcW w:w="0" w:type="auto"/>
            <w:hideMark/>
          </w:tcPr>
          <w:p w14:paraId="270FE0A1"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89 (65.9%)</w:t>
            </w:r>
          </w:p>
        </w:tc>
        <w:tc>
          <w:tcPr>
            <w:tcW w:w="0" w:type="auto"/>
            <w:hideMark/>
          </w:tcPr>
          <w:p w14:paraId="2729414E"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486 (66.1%)</w:t>
            </w:r>
          </w:p>
        </w:tc>
      </w:tr>
      <w:tr w:rsidR="00206250" w:rsidRPr="00206250" w14:paraId="2EED6410" w14:textId="77777777" w:rsidTr="00206250">
        <w:tc>
          <w:tcPr>
            <w:tcW w:w="0" w:type="auto"/>
            <w:hideMark/>
          </w:tcPr>
          <w:p w14:paraId="45CA5558"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Female</w:t>
            </w:r>
          </w:p>
        </w:tc>
        <w:tc>
          <w:tcPr>
            <w:tcW w:w="0" w:type="auto"/>
            <w:hideMark/>
          </w:tcPr>
          <w:p w14:paraId="7E38FB97"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46 (34.1%)</w:t>
            </w:r>
          </w:p>
        </w:tc>
        <w:tc>
          <w:tcPr>
            <w:tcW w:w="0" w:type="auto"/>
            <w:hideMark/>
          </w:tcPr>
          <w:p w14:paraId="6B18BBE6"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249 (33.9%)</w:t>
            </w:r>
          </w:p>
        </w:tc>
      </w:tr>
      <w:tr w:rsidR="00206250" w:rsidRPr="00206250" w14:paraId="726B47FF" w14:textId="77777777" w:rsidTr="00206250">
        <w:tc>
          <w:tcPr>
            <w:tcW w:w="0" w:type="auto"/>
            <w:hideMark/>
          </w:tcPr>
          <w:p w14:paraId="642476E1"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Mean age (SD)</w:t>
            </w:r>
          </w:p>
        </w:tc>
        <w:tc>
          <w:tcPr>
            <w:tcW w:w="0" w:type="auto"/>
            <w:hideMark/>
          </w:tcPr>
          <w:p w14:paraId="65F17100"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38.43 (7.72)</w:t>
            </w:r>
          </w:p>
        </w:tc>
        <w:tc>
          <w:tcPr>
            <w:tcW w:w="0" w:type="auto"/>
            <w:hideMark/>
          </w:tcPr>
          <w:p w14:paraId="7A88EFFA"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22.76 (1.85)</w:t>
            </w:r>
          </w:p>
        </w:tc>
      </w:tr>
      <w:tr w:rsidR="00206250" w:rsidRPr="00206250" w14:paraId="43C3DA86" w14:textId="77777777" w:rsidTr="00206250">
        <w:tc>
          <w:tcPr>
            <w:tcW w:w="0" w:type="auto"/>
            <w:hideMark/>
          </w:tcPr>
          <w:p w14:paraId="18B5FD59"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Age range</w:t>
            </w:r>
          </w:p>
        </w:tc>
        <w:tc>
          <w:tcPr>
            <w:tcW w:w="0" w:type="auto"/>
            <w:hideMark/>
          </w:tcPr>
          <w:p w14:paraId="18C4EE9D"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21–61 years</w:t>
            </w:r>
          </w:p>
        </w:tc>
        <w:tc>
          <w:tcPr>
            <w:tcW w:w="0" w:type="auto"/>
            <w:hideMark/>
          </w:tcPr>
          <w:p w14:paraId="5602C81D" w14:textId="77777777" w:rsidR="00206250" w:rsidRPr="00206250" w:rsidRDefault="00206250" w:rsidP="00206250">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19–27 years</w:t>
            </w:r>
          </w:p>
        </w:tc>
      </w:tr>
    </w:tbl>
    <w:p w14:paraId="4BA3264A"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i/>
          <w:iCs/>
          <w:color w:val="auto"/>
          <w:szCs w:val="24"/>
          <w14:ligatures w14:val="none"/>
        </w:rPr>
        <w:t>Source: Study Data; UR (2022).</w:t>
      </w:r>
    </w:p>
    <w:p w14:paraId="2F541FE2"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 xml:space="preserve">4.2 Physical Activity </w:t>
      </w:r>
      <w:proofErr w:type="spellStart"/>
      <w:r w:rsidRPr="00206250">
        <w:rPr>
          <w:rFonts w:eastAsia="Times New Roman" w:cs="Times New Roman"/>
          <w:b/>
          <w:bCs/>
          <w:color w:val="auto"/>
          <w:szCs w:val="24"/>
          <w14:ligatures w14:val="none"/>
        </w:rPr>
        <w:t>Behaviour</w:t>
      </w:r>
      <w:proofErr w:type="spellEnd"/>
      <w:r w:rsidRPr="00206250">
        <w:rPr>
          <w:rFonts w:eastAsia="Times New Roman" w:cs="Times New Roman"/>
          <w:b/>
          <w:bCs/>
          <w:color w:val="auto"/>
          <w:szCs w:val="24"/>
          <w14:ligatures w14:val="none"/>
        </w:rPr>
        <w:t xml:space="preserve"> among Staff and Students</w:t>
      </w:r>
    </w:p>
    <w:p w14:paraId="4957E5D0"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The study examined participation in vigorous physical activity (VPA), moderate physical activity (MPA), vigorous and moderate exercise, active transport,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and compliance with the WHO recommendation of accumulating at least 600 MET-minutes per week, equivalent to 150–300 minutes of moderate-intensity activity or 75–150 minutes of vigorous-intensity activity.</w:t>
      </w:r>
    </w:p>
    <w:p w14:paraId="4C1825B1"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Staff Physical Activity</w:t>
      </w:r>
    </w:p>
    <w:p w14:paraId="556ADBEE"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Among staff, only 31.9% participated in vigorous work-related physical activity, while 57.8% reported engaging in moderate work-related activity. Participation in structured exercise was considerably higher, with 79.3% reporting vigorous exercise and 78.5% reporting moderate exercise. Active transport was also common, involving 61.5% of staff.</w:t>
      </w:r>
    </w:p>
    <w:p w14:paraId="7F841120"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Analysis of weekly physical activity indicated that approximately 67.4% of staff accumulated at least 600 MET-minutes per week, suggesting that about one-third did not achieve the minimum WHO recommendation. Staff also reported substantial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averaging 2,168 minutes per week, equivalent to approximately 5.2 hours daily.</w:t>
      </w:r>
    </w:p>
    <w:p w14:paraId="0891E666"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Gender comparisons showed that males participated more frequently in vigorous work-related activities than females, whereas females were relatively more involved in moderate work-related activities. A statistically significant gender difference was observed only for moderate work-related physical activity (χ² = 4.21,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.040). No significant gender differences were observed in vigorous exercise, moderate exercise or active transport.</w:t>
      </w:r>
    </w:p>
    <w:p w14:paraId="60408E93"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lastRenderedPageBreak/>
        <w:t>Student Physical Activity</w:t>
      </w:r>
    </w:p>
    <w:p w14:paraId="27AA8E19"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Students demonstrated considerably higher levels of physical activity than staff. Participation in work-related physical activity was low, with only 10.1% reporting either vigorous or moderate work-related activity, reflecting the academic nature of university life.</w:t>
      </w:r>
    </w:p>
    <w:p w14:paraId="551A0FC0"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However, recreational exercise was widespread. Approximately 80.7% of students participated in vigorous exercise, while 67.9% engaged in moderate exercise. Active transport emerged as the predominant form of physical activity, with 92.4% reporting walking or cycling as part of their daily travel.</w:t>
      </w:r>
    </w:p>
    <w:p w14:paraId="63DB1B34"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Overall physical activity levels were high, with 94.0% of students achieving at least 600 MET-minutes per week, indicating widespread compliance with WHO recommendations. Despite these encouraging findings, students also exhibited considerable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averaging 3,972 minutes per week, which exceeds the average sedentary time reported among staff.</w:t>
      </w:r>
    </w:p>
    <w:p w14:paraId="67AF8DA7" w14:textId="3494BD01"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b/>
          <w:bCs/>
          <w:color w:val="auto"/>
          <w:szCs w:val="24"/>
          <w14:ligatures w14:val="none"/>
        </w:rPr>
        <w:t>Table 2. Summary of Physical Activity Participation</w:t>
      </w:r>
    </w:p>
    <w:tbl>
      <w:tblPr>
        <w:tblStyle w:val="TableGrid1"/>
        <w:tblW w:w="0" w:type="auto"/>
        <w:tblLook w:val="04A0" w:firstRow="1" w:lastRow="0" w:firstColumn="1" w:lastColumn="0" w:noHBand="0" w:noVBand="1"/>
      </w:tblPr>
      <w:tblGrid>
        <w:gridCol w:w="3281"/>
        <w:gridCol w:w="1170"/>
        <w:gridCol w:w="1570"/>
      </w:tblGrid>
      <w:tr w:rsidR="00206250" w:rsidRPr="00206250" w14:paraId="30651D0A" w14:textId="77777777" w:rsidTr="00206250">
        <w:tc>
          <w:tcPr>
            <w:tcW w:w="0" w:type="auto"/>
            <w:hideMark/>
          </w:tcPr>
          <w:p w14:paraId="54DA31DC" w14:textId="77777777" w:rsidR="00206250" w:rsidRPr="00206250" w:rsidRDefault="00206250" w:rsidP="00206250">
            <w:pPr>
              <w:shd w:val="clear" w:color="auto" w:fill="FFFFFF"/>
              <w:spacing w:line="240" w:lineRule="auto"/>
              <w:rPr>
                <w:rFonts w:eastAsia="Times New Roman" w:cs="Times New Roman"/>
                <w:b/>
                <w:bCs/>
                <w:color w:val="auto"/>
                <w:szCs w:val="24"/>
              </w:rPr>
            </w:pPr>
            <w:r w:rsidRPr="00206250">
              <w:rPr>
                <w:rFonts w:eastAsia="Times New Roman" w:cs="Times New Roman"/>
                <w:b/>
                <w:bCs/>
                <w:color w:val="auto"/>
                <w:szCs w:val="24"/>
              </w:rPr>
              <w:t>Physical Activity Indicator</w:t>
            </w:r>
          </w:p>
        </w:tc>
        <w:tc>
          <w:tcPr>
            <w:tcW w:w="0" w:type="auto"/>
            <w:hideMark/>
          </w:tcPr>
          <w:p w14:paraId="51B797DE" w14:textId="77777777" w:rsidR="00206250" w:rsidRPr="00206250" w:rsidRDefault="00206250" w:rsidP="00206250">
            <w:pPr>
              <w:shd w:val="clear" w:color="auto" w:fill="FFFFFF"/>
              <w:spacing w:line="240" w:lineRule="auto"/>
              <w:rPr>
                <w:rFonts w:eastAsia="Times New Roman" w:cs="Times New Roman"/>
                <w:b/>
                <w:bCs/>
                <w:color w:val="auto"/>
                <w:szCs w:val="24"/>
              </w:rPr>
            </w:pPr>
            <w:r w:rsidRPr="00206250">
              <w:rPr>
                <w:rFonts w:eastAsia="Times New Roman" w:cs="Times New Roman"/>
                <w:b/>
                <w:bCs/>
                <w:color w:val="auto"/>
                <w:szCs w:val="24"/>
              </w:rPr>
              <w:t>Staff (%)</w:t>
            </w:r>
          </w:p>
        </w:tc>
        <w:tc>
          <w:tcPr>
            <w:tcW w:w="0" w:type="auto"/>
            <w:hideMark/>
          </w:tcPr>
          <w:p w14:paraId="0B49FC6A" w14:textId="77777777" w:rsidR="00206250" w:rsidRPr="00206250" w:rsidRDefault="00206250" w:rsidP="00206250">
            <w:pPr>
              <w:shd w:val="clear" w:color="auto" w:fill="FFFFFF"/>
              <w:spacing w:line="240" w:lineRule="auto"/>
              <w:rPr>
                <w:rFonts w:eastAsia="Times New Roman" w:cs="Times New Roman"/>
                <w:b/>
                <w:bCs/>
                <w:color w:val="auto"/>
                <w:szCs w:val="24"/>
              </w:rPr>
            </w:pPr>
            <w:r w:rsidRPr="00206250">
              <w:rPr>
                <w:rFonts w:eastAsia="Times New Roman" w:cs="Times New Roman"/>
                <w:b/>
                <w:bCs/>
                <w:color w:val="auto"/>
                <w:szCs w:val="24"/>
              </w:rPr>
              <w:t>Students (%)</w:t>
            </w:r>
          </w:p>
        </w:tc>
      </w:tr>
      <w:tr w:rsidR="00206250" w:rsidRPr="00206250" w14:paraId="7B99EB13" w14:textId="77777777" w:rsidTr="00206250">
        <w:tc>
          <w:tcPr>
            <w:tcW w:w="0" w:type="auto"/>
            <w:hideMark/>
          </w:tcPr>
          <w:p w14:paraId="3217DAC1"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Vigorous PA at work</w:t>
            </w:r>
          </w:p>
        </w:tc>
        <w:tc>
          <w:tcPr>
            <w:tcW w:w="0" w:type="auto"/>
            <w:hideMark/>
          </w:tcPr>
          <w:p w14:paraId="582FFAF3"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31.9</w:t>
            </w:r>
          </w:p>
        </w:tc>
        <w:tc>
          <w:tcPr>
            <w:tcW w:w="0" w:type="auto"/>
            <w:hideMark/>
          </w:tcPr>
          <w:p w14:paraId="43BB1824"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10.1</w:t>
            </w:r>
          </w:p>
        </w:tc>
      </w:tr>
      <w:tr w:rsidR="00206250" w:rsidRPr="00206250" w14:paraId="3EFA8541" w14:textId="77777777" w:rsidTr="00206250">
        <w:tc>
          <w:tcPr>
            <w:tcW w:w="0" w:type="auto"/>
            <w:hideMark/>
          </w:tcPr>
          <w:p w14:paraId="5ADC3B7A"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Moderate PA at work</w:t>
            </w:r>
          </w:p>
        </w:tc>
        <w:tc>
          <w:tcPr>
            <w:tcW w:w="0" w:type="auto"/>
            <w:hideMark/>
          </w:tcPr>
          <w:p w14:paraId="4DE28FA9"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57.8</w:t>
            </w:r>
          </w:p>
        </w:tc>
        <w:tc>
          <w:tcPr>
            <w:tcW w:w="0" w:type="auto"/>
            <w:hideMark/>
          </w:tcPr>
          <w:p w14:paraId="07AE2628"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10.1</w:t>
            </w:r>
          </w:p>
        </w:tc>
      </w:tr>
      <w:tr w:rsidR="00206250" w:rsidRPr="00206250" w14:paraId="5592824F" w14:textId="77777777" w:rsidTr="00206250">
        <w:tc>
          <w:tcPr>
            <w:tcW w:w="0" w:type="auto"/>
            <w:hideMark/>
          </w:tcPr>
          <w:p w14:paraId="2BD6D559"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Vigorous exercise</w:t>
            </w:r>
          </w:p>
        </w:tc>
        <w:tc>
          <w:tcPr>
            <w:tcW w:w="0" w:type="auto"/>
            <w:hideMark/>
          </w:tcPr>
          <w:p w14:paraId="6BC37CCA"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79.3</w:t>
            </w:r>
          </w:p>
        </w:tc>
        <w:tc>
          <w:tcPr>
            <w:tcW w:w="0" w:type="auto"/>
            <w:hideMark/>
          </w:tcPr>
          <w:p w14:paraId="459739D5"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80.7</w:t>
            </w:r>
          </w:p>
        </w:tc>
      </w:tr>
      <w:tr w:rsidR="00206250" w:rsidRPr="00206250" w14:paraId="5AF45A36" w14:textId="77777777" w:rsidTr="00206250">
        <w:tc>
          <w:tcPr>
            <w:tcW w:w="0" w:type="auto"/>
            <w:hideMark/>
          </w:tcPr>
          <w:p w14:paraId="709DFA0C"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Moderate exercise</w:t>
            </w:r>
          </w:p>
        </w:tc>
        <w:tc>
          <w:tcPr>
            <w:tcW w:w="0" w:type="auto"/>
            <w:hideMark/>
          </w:tcPr>
          <w:p w14:paraId="778E8708"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78.5</w:t>
            </w:r>
          </w:p>
        </w:tc>
        <w:tc>
          <w:tcPr>
            <w:tcW w:w="0" w:type="auto"/>
            <w:hideMark/>
          </w:tcPr>
          <w:p w14:paraId="31DF34AB"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67.9</w:t>
            </w:r>
          </w:p>
        </w:tc>
      </w:tr>
      <w:tr w:rsidR="00206250" w:rsidRPr="00206250" w14:paraId="31FBCDF5" w14:textId="77777777" w:rsidTr="00206250">
        <w:tc>
          <w:tcPr>
            <w:tcW w:w="0" w:type="auto"/>
            <w:hideMark/>
          </w:tcPr>
          <w:p w14:paraId="6B35BE81"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Active transport</w:t>
            </w:r>
          </w:p>
        </w:tc>
        <w:tc>
          <w:tcPr>
            <w:tcW w:w="0" w:type="auto"/>
            <w:hideMark/>
          </w:tcPr>
          <w:p w14:paraId="07DA427E"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61.5</w:t>
            </w:r>
          </w:p>
        </w:tc>
        <w:tc>
          <w:tcPr>
            <w:tcW w:w="0" w:type="auto"/>
            <w:hideMark/>
          </w:tcPr>
          <w:p w14:paraId="5B359757"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92.4</w:t>
            </w:r>
          </w:p>
        </w:tc>
      </w:tr>
      <w:tr w:rsidR="00206250" w:rsidRPr="00206250" w14:paraId="4BC8CD3A" w14:textId="77777777" w:rsidTr="00206250">
        <w:tc>
          <w:tcPr>
            <w:tcW w:w="0" w:type="auto"/>
            <w:hideMark/>
          </w:tcPr>
          <w:p w14:paraId="2418F251"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Achieved ≥600 MET-min/week</w:t>
            </w:r>
          </w:p>
        </w:tc>
        <w:tc>
          <w:tcPr>
            <w:tcW w:w="0" w:type="auto"/>
            <w:hideMark/>
          </w:tcPr>
          <w:p w14:paraId="6C14DDBF"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67.4</w:t>
            </w:r>
          </w:p>
        </w:tc>
        <w:tc>
          <w:tcPr>
            <w:tcW w:w="0" w:type="auto"/>
            <w:hideMark/>
          </w:tcPr>
          <w:p w14:paraId="778BDDCC" w14:textId="77777777" w:rsidR="00206250" w:rsidRPr="00206250" w:rsidRDefault="00206250" w:rsidP="00206250">
            <w:pPr>
              <w:shd w:val="clear" w:color="auto" w:fill="FFFFFF"/>
              <w:spacing w:line="240" w:lineRule="auto"/>
              <w:rPr>
                <w:rFonts w:eastAsia="Times New Roman" w:cs="Times New Roman"/>
                <w:color w:val="auto"/>
                <w:szCs w:val="24"/>
              </w:rPr>
            </w:pPr>
            <w:r w:rsidRPr="00206250">
              <w:rPr>
                <w:rFonts w:eastAsia="Times New Roman" w:cs="Times New Roman"/>
                <w:color w:val="auto"/>
                <w:szCs w:val="24"/>
              </w:rPr>
              <w:t>94.0</w:t>
            </w:r>
          </w:p>
        </w:tc>
      </w:tr>
    </w:tbl>
    <w:p w14:paraId="556FEB1D"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4.3 Predominant Forms of Physical Activity</w:t>
      </w:r>
    </w:p>
    <w:p w14:paraId="419B8815"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The findings indicate notable differences in the predominant forms of physical activity between staff and students.</w:t>
      </w:r>
    </w:p>
    <w:p w14:paraId="06C07196"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Among students, active transport represented the most common form of activity (92.4%), followed by vigorous exercise (80.7%) and moderate exercise (67.9%). Work-related physical activity contributed minimally to students' total physical activity because most academic activities require prolonged sitting.</w:t>
      </w:r>
    </w:p>
    <w:p w14:paraId="60F33955" w14:textId="764726F5"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Among staff, participation was highest in vigorous and moderate exercise (approximately 79%), followed by moderate work-related activity (57.8%) and active transport (61.5%). Vigorous occupational activity remained relatively uncommon (31.9%), suggesting that most university occupations are predominantly sedentary.</w:t>
      </w:r>
      <w:r>
        <w:rPr>
          <w:rFonts w:eastAsia="Times New Roman" w:cs="Times New Roman"/>
          <w:color w:val="auto"/>
          <w:szCs w:val="24"/>
          <w14:ligatures w14:val="none"/>
        </w:rPr>
        <w:t xml:space="preserve"> </w:t>
      </w:r>
      <w:r w:rsidRPr="00206250">
        <w:rPr>
          <w:rFonts w:eastAsia="Times New Roman" w:cs="Times New Roman"/>
          <w:color w:val="auto"/>
          <w:szCs w:val="24"/>
          <w14:ligatures w14:val="none"/>
        </w:rPr>
        <w:t>Overall, recreational exercise and active transport constituted the principal contributors to physical activity among the University of Rwanda community.</w:t>
      </w:r>
    </w:p>
    <w:p w14:paraId="76DBA27A"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4.4 Age and Gender Differences in Physical Activity</w:t>
      </w:r>
    </w:p>
    <w:p w14:paraId="62F5279E"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The study further examined whether physical activity differed according to gender and age.</w:t>
      </w:r>
    </w:p>
    <w:p w14:paraId="71FDB7A1"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Gender Differences among Staff</w:t>
      </w:r>
    </w:p>
    <w:p w14:paraId="2D7A9686"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lastRenderedPageBreak/>
        <w:t>Chi-square analyses showed that gender was significantly associated only with participation in moderate work-related physical activity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.040). Independent sample </w:t>
      </w:r>
      <w:r w:rsidRPr="00206250">
        <w:rPr>
          <w:rFonts w:eastAsia="Times New Roman" w:cs="Times New Roman"/>
          <w:i/>
          <w:iCs/>
          <w:color w:val="auto"/>
          <w:szCs w:val="24"/>
          <w14:ligatures w14:val="none"/>
        </w:rPr>
        <w:t>t</w:t>
      </w:r>
      <w:r w:rsidRPr="00206250">
        <w:rPr>
          <w:rFonts w:eastAsia="Times New Roman" w:cs="Times New Roman"/>
          <w:color w:val="auto"/>
          <w:szCs w:val="24"/>
          <w14:ligatures w14:val="none"/>
        </w:rPr>
        <w:t>-tests further demonstrated that male staff spent significantly more time performing vigorous work-related activity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.029), moderate work-related activity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.030), and accumulated significantly higher weekly MET-minutes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.028). No significant gender differences were observed for vigorous exercise, moderate exercise or active transport.</w:t>
      </w:r>
    </w:p>
    <w:p w14:paraId="52ED500C"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Gender Differences among Students</w:t>
      </w:r>
    </w:p>
    <w:p w14:paraId="7524AD21"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Among students, gender differences were generally minimal. Participation in vigorous work activity, moderate work activity, vigorous exercise, moderate exercise and active transport did not differ significantly between males and females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&gt; .05). However,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xml:space="preserve"> differed significantly (</w:t>
      </w:r>
      <w:r w:rsidRPr="00206250">
        <w:rPr>
          <w:rFonts w:eastAsia="Times New Roman" w:cs="Times New Roman"/>
          <w:i/>
          <w:iCs/>
          <w:color w:val="auto"/>
          <w:szCs w:val="24"/>
          <w14:ligatures w14:val="none"/>
        </w:rPr>
        <w:t>t</w:t>
      </w:r>
      <w:r w:rsidRPr="00206250">
        <w:rPr>
          <w:rFonts w:eastAsia="Times New Roman" w:cs="Times New Roman"/>
          <w:color w:val="auto"/>
          <w:szCs w:val="24"/>
          <w14:ligatures w14:val="none"/>
        </w:rPr>
        <w:t xml:space="preserve"> = −2.10,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.036), indicating unequal sitting time between genders. Nevertheless, both male and female students accumulated similar weekly MET-minutes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.445).</w:t>
      </w:r>
    </w:p>
    <w:p w14:paraId="39F03539" w14:textId="77777777" w:rsidR="00206250" w:rsidRPr="00206250" w:rsidRDefault="00206250" w:rsidP="00206250">
      <w:pPr>
        <w:shd w:val="clear" w:color="auto" w:fill="FFFFFF"/>
        <w:spacing w:line="240" w:lineRule="auto"/>
        <w:rPr>
          <w:rFonts w:eastAsia="Times New Roman" w:cs="Times New Roman"/>
          <w:b/>
          <w:bCs/>
          <w:color w:val="auto"/>
          <w:szCs w:val="24"/>
          <w14:ligatures w14:val="none"/>
        </w:rPr>
      </w:pPr>
      <w:r w:rsidRPr="00206250">
        <w:rPr>
          <w:rFonts w:eastAsia="Times New Roman" w:cs="Times New Roman"/>
          <w:b/>
          <w:bCs/>
          <w:color w:val="auto"/>
          <w:szCs w:val="24"/>
          <w14:ligatures w14:val="none"/>
        </w:rPr>
        <w:t>4.5 Age Differences in Physical Activity</w:t>
      </w:r>
    </w:p>
    <w:p w14:paraId="4F3699EE"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Age demonstrated differing relationships with physical activity among staff and students.</w:t>
      </w:r>
    </w:p>
    <w:p w14:paraId="7CBC3193"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Among staff, age was negatively associated with vigorous physical activity (</w:t>
      </w:r>
      <w:r w:rsidRPr="00206250">
        <w:rPr>
          <w:rFonts w:eastAsia="Times New Roman" w:cs="Times New Roman"/>
          <w:i/>
          <w:iCs/>
          <w:color w:val="auto"/>
          <w:szCs w:val="24"/>
          <w14:ligatures w14:val="none"/>
        </w:rPr>
        <w:t>r</w:t>
      </w:r>
      <w:r w:rsidRPr="00206250">
        <w:rPr>
          <w:rFonts w:eastAsia="Times New Roman" w:cs="Times New Roman"/>
          <w:color w:val="auto"/>
          <w:szCs w:val="24"/>
          <w14:ligatures w14:val="none"/>
        </w:rPr>
        <w:t xml:space="preserve"> = −0.31,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&lt; .001), indicating declining participation in vigorous activity as age increased. No meaningful relationships were observed between age and moderate physical activity (</w:t>
      </w:r>
      <w:r w:rsidRPr="00206250">
        <w:rPr>
          <w:rFonts w:eastAsia="Times New Roman" w:cs="Times New Roman"/>
          <w:i/>
          <w:iCs/>
          <w:color w:val="auto"/>
          <w:szCs w:val="24"/>
          <w14:ligatures w14:val="none"/>
        </w:rPr>
        <w:t>r</w:t>
      </w:r>
      <w:r w:rsidRPr="00206250">
        <w:rPr>
          <w:rFonts w:eastAsia="Times New Roman" w:cs="Times New Roman"/>
          <w:color w:val="auto"/>
          <w:szCs w:val="24"/>
          <w14:ligatures w14:val="none"/>
        </w:rPr>
        <w:t xml:space="preserve"> = −0.04,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.611) or active transport (</w:t>
      </w:r>
      <w:r w:rsidRPr="00206250">
        <w:rPr>
          <w:rFonts w:eastAsia="Times New Roman" w:cs="Times New Roman"/>
          <w:i/>
          <w:iCs/>
          <w:color w:val="auto"/>
          <w:szCs w:val="24"/>
          <w14:ligatures w14:val="none"/>
        </w:rPr>
        <w:t>r</w:t>
      </w:r>
      <w:r w:rsidRPr="00206250">
        <w:rPr>
          <w:rFonts w:eastAsia="Times New Roman" w:cs="Times New Roman"/>
          <w:color w:val="auto"/>
          <w:szCs w:val="24"/>
          <w14:ligatures w14:val="none"/>
        </w:rPr>
        <w:t xml:space="preserve"> = −0.02,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.777).</w:t>
      </w:r>
    </w:p>
    <w:p w14:paraId="5AC6C6BE"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Further analyses revealed statistically significant age differences in participation in vigorous exercise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.032) and active transport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.047), with younger staff participating more frequently than older staff.</w:t>
      </w:r>
    </w:p>
    <w:p w14:paraId="16C3480F"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Among students, age showed no significant relationship with vigorous work activity, moderate work activity, vigorous exercise, moderate exercise, active transport or total weekly MET-minutes (all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&gt; .05). The only significant association involved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xml:space="preserve"> (</w:t>
      </w:r>
      <w:r w:rsidRPr="00206250">
        <w:rPr>
          <w:rFonts w:eastAsia="Times New Roman" w:cs="Times New Roman"/>
          <w:i/>
          <w:iCs/>
          <w:color w:val="auto"/>
          <w:szCs w:val="24"/>
          <w14:ligatures w14:val="none"/>
        </w:rPr>
        <w:t>r</w:t>
      </w:r>
      <w:r w:rsidRPr="00206250">
        <w:rPr>
          <w:rFonts w:eastAsia="Times New Roman" w:cs="Times New Roman"/>
          <w:color w:val="auto"/>
          <w:szCs w:val="24"/>
          <w14:ligatures w14:val="none"/>
        </w:rPr>
        <w:t xml:space="preserve"> = −0.10, </w:t>
      </w:r>
      <w:r w:rsidRPr="00206250">
        <w:rPr>
          <w:rFonts w:eastAsia="Times New Roman" w:cs="Times New Roman"/>
          <w:i/>
          <w:iCs/>
          <w:color w:val="auto"/>
          <w:szCs w:val="24"/>
          <w14:ligatures w14:val="none"/>
        </w:rPr>
        <w:t>p</w:t>
      </w:r>
      <w:r w:rsidRPr="00206250">
        <w:rPr>
          <w:rFonts w:eastAsia="Times New Roman" w:cs="Times New Roman"/>
          <w:color w:val="auto"/>
          <w:szCs w:val="24"/>
          <w14:ligatures w14:val="none"/>
        </w:rPr>
        <w:t xml:space="preserve"> = .005), indicating differences in sedentary time across age groups.</w:t>
      </w:r>
    </w:p>
    <w:p w14:paraId="5CB0238A" w14:textId="1D9B37C8"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b/>
          <w:bCs/>
          <w:color w:val="auto"/>
          <w:szCs w:val="24"/>
          <w14:ligatures w14:val="none"/>
        </w:rPr>
        <w:t>Table 3. Summary of Significant Statistical Findings</w:t>
      </w:r>
    </w:p>
    <w:tbl>
      <w:tblPr>
        <w:tblStyle w:val="TableGrid1"/>
        <w:tblW w:w="0" w:type="auto"/>
        <w:tblLook w:val="04A0" w:firstRow="1" w:lastRow="0" w:firstColumn="1" w:lastColumn="0" w:noHBand="0" w:noVBand="1"/>
      </w:tblPr>
      <w:tblGrid>
        <w:gridCol w:w="3962"/>
        <w:gridCol w:w="2076"/>
        <w:gridCol w:w="2156"/>
      </w:tblGrid>
      <w:tr w:rsidR="00206250" w:rsidRPr="00206250" w14:paraId="2D50649F" w14:textId="77777777" w:rsidTr="005923C3">
        <w:tc>
          <w:tcPr>
            <w:tcW w:w="0" w:type="auto"/>
            <w:hideMark/>
          </w:tcPr>
          <w:p w14:paraId="6C5058E5" w14:textId="77777777" w:rsidR="00206250" w:rsidRPr="00206250" w:rsidRDefault="00206250" w:rsidP="005923C3">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Variable</w:t>
            </w:r>
          </w:p>
        </w:tc>
        <w:tc>
          <w:tcPr>
            <w:tcW w:w="0" w:type="auto"/>
            <w:hideMark/>
          </w:tcPr>
          <w:p w14:paraId="616F3B61" w14:textId="77777777" w:rsidR="00206250" w:rsidRPr="00206250" w:rsidRDefault="00206250" w:rsidP="005923C3">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Statistical Test</w:t>
            </w:r>
          </w:p>
        </w:tc>
        <w:tc>
          <w:tcPr>
            <w:tcW w:w="0" w:type="auto"/>
            <w:hideMark/>
          </w:tcPr>
          <w:p w14:paraId="0345F18D" w14:textId="77777777" w:rsidR="00206250" w:rsidRPr="00206250" w:rsidRDefault="00206250" w:rsidP="005923C3">
            <w:pPr>
              <w:shd w:val="clear" w:color="auto" w:fill="FFFFFF"/>
              <w:spacing w:before="0" w:line="240" w:lineRule="auto"/>
              <w:rPr>
                <w:rFonts w:eastAsia="Times New Roman" w:cs="Times New Roman"/>
                <w:b/>
                <w:bCs/>
                <w:color w:val="auto"/>
                <w:szCs w:val="24"/>
              </w:rPr>
            </w:pPr>
            <w:r w:rsidRPr="00206250">
              <w:rPr>
                <w:rFonts w:eastAsia="Times New Roman" w:cs="Times New Roman"/>
                <w:b/>
                <w:bCs/>
                <w:color w:val="auto"/>
                <w:szCs w:val="24"/>
              </w:rPr>
              <w:t>Result</w:t>
            </w:r>
          </w:p>
        </w:tc>
      </w:tr>
      <w:tr w:rsidR="00206250" w:rsidRPr="00206250" w14:paraId="0F14F10C" w14:textId="77777777" w:rsidTr="005923C3">
        <w:tc>
          <w:tcPr>
            <w:tcW w:w="0" w:type="auto"/>
            <w:hideMark/>
          </w:tcPr>
          <w:p w14:paraId="0030FCA9"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gender vs moderate work PA</w:t>
            </w:r>
          </w:p>
        </w:tc>
        <w:tc>
          <w:tcPr>
            <w:tcW w:w="0" w:type="auto"/>
            <w:hideMark/>
          </w:tcPr>
          <w:p w14:paraId="7259A227"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χ²</w:t>
            </w:r>
          </w:p>
        </w:tc>
        <w:tc>
          <w:tcPr>
            <w:tcW w:w="0" w:type="auto"/>
            <w:hideMark/>
          </w:tcPr>
          <w:p w14:paraId="73AEAC4D"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.040*</w:t>
            </w:r>
          </w:p>
        </w:tc>
      </w:tr>
      <w:tr w:rsidR="00206250" w:rsidRPr="00206250" w14:paraId="30398695" w14:textId="77777777" w:rsidTr="005923C3">
        <w:tc>
          <w:tcPr>
            <w:tcW w:w="0" w:type="auto"/>
            <w:hideMark/>
          </w:tcPr>
          <w:p w14:paraId="31702291"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vigorous PA duration</w:t>
            </w:r>
          </w:p>
        </w:tc>
        <w:tc>
          <w:tcPr>
            <w:tcW w:w="0" w:type="auto"/>
            <w:hideMark/>
          </w:tcPr>
          <w:p w14:paraId="35EAD9E9"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0DB69331"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.029*</w:t>
            </w:r>
          </w:p>
        </w:tc>
      </w:tr>
      <w:tr w:rsidR="00206250" w:rsidRPr="00206250" w14:paraId="34D928BD" w14:textId="77777777" w:rsidTr="005923C3">
        <w:tc>
          <w:tcPr>
            <w:tcW w:w="0" w:type="auto"/>
            <w:hideMark/>
          </w:tcPr>
          <w:p w14:paraId="29ECDC6B"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moderate PA duration</w:t>
            </w:r>
          </w:p>
        </w:tc>
        <w:tc>
          <w:tcPr>
            <w:tcW w:w="0" w:type="auto"/>
            <w:hideMark/>
          </w:tcPr>
          <w:p w14:paraId="7ED0C9FC"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2AE1D5F0"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.030*</w:t>
            </w:r>
          </w:p>
        </w:tc>
      </w:tr>
      <w:tr w:rsidR="00206250" w:rsidRPr="00206250" w14:paraId="5F3EA5A8" w14:textId="77777777" w:rsidTr="005923C3">
        <w:tc>
          <w:tcPr>
            <w:tcW w:w="0" w:type="auto"/>
            <w:hideMark/>
          </w:tcPr>
          <w:p w14:paraId="09FC9841"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total METs</w:t>
            </w:r>
          </w:p>
        </w:tc>
        <w:tc>
          <w:tcPr>
            <w:tcW w:w="0" w:type="auto"/>
            <w:hideMark/>
          </w:tcPr>
          <w:p w14:paraId="3A69B4EE"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044ED499"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.028*</w:t>
            </w:r>
          </w:p>
        </w:tc>
      </w:tr>
      <w:tr w:rsidR="00206250" w:rsidRPr="00206250" w14:paraId="5D48DF5C" w14:textId="77777777" w:rsidTr="005923C3">
        <w:tc>
          <w:tcPr>
            <w:tcW w:w="0" w:type="auto"/>
            <w:hideMark/>
          </w:tcPr>
          <w:p w14:paraId="01660117"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age vs vigorous PA</w:t>
            </w:r>
          </w:p>
        </w:tc>
        <w:tc>
          <w:tcPr>
            <w:tcW w:w="0" w:type="auto"/>
            <w:hideMark/>
          </w:tcPr>
          <w:p w14:paraId="414487C7"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Pearson correlation</w:t>
            </w:r>
          </w:p>
        </w:tc>
        <w:tc>
          <w:tcPr>
            <w:tcW w:w="0" w:type="auto"/>
            <w:hideMark/>
          </w:tcPr>
          <w:p w14:paraId="7D19AE83"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r</w:t>
            </w:r>
            <w:r w:rsidRPr="00206250">
              <w:rPr>
                <w:rFonts w:eastAsia="Times New Roman" w:cs="Times New Roman"/>
                <w:color w:val="auto"/>
                <w:szCs w:val="24"/>
              </w:rPr>
              <w:t xml:space="preserve"> = −0.31, </w:t>
            </w:r>
            <w:r w:rsidRPr="00206250">
              <w:rPr>
                <w:rFonts w:eastAsia="Times New Roman" w:cs="Times New Roman"/>
                <w:i/>
                <w:iCs/>
                <w:color w:val="auto"/>
                <w:szCs w:val="24"/>
              </w:rPr>
              <w:t>p</w:t>
            </w:r>
            <w:r w:rsidRPr="00206250">
              <w:rPr>
                <w:rFonts w:eastAsia="Times New Roman" w:cs="Times New Roman"/>
                <w:color w:val="auto"/>
                <w:szCs w:val="24"/>
              </w:rPr>
              <w:t xml:space="preserve"> &lt; .001*</w:t>
            </w:r>
          </w:p>
        </w:tc>
      </w:tr>
      <w:tr w:rsidR="00206250" w:rsidRPr="00206250" w14:paraId="1BF420B3" w14:textId="77777777" w:rsidTr="005923C3">
        <w:tc>
          <w:tcPr>
            <w:tcW w:w="0" w:type="auto"/>
            <w:hideMark/>
          </w:tcPr>
          <w:p w14:paraId="4FADAB5B"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age vs vigorous exercise</w:t>
            </w:r>
          </w:p>
        </w:tc>
        <w:tc>
          <w:tcPr>
            <w:tcW w:w="0" w:type="auto"/>
            <w:hideMark/>
          </w:tcPr>
          <w:p w14:paraId="5493A137"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3E9CAF0B"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.032*</w:t>
            </w:r>
          </w:p>
        </w:tc>
      </w:tr>
      <w:tr w:rsidR="00206250" w:rsidRPr="00206250" w14:paraId="462D2C6A" w14:textId="77777777" w:rsidTr="005923C3">
        <w:tc>
          <w:tcPr>
            <w:tcW w:w="0" w:type="auto"/>
            <w:hideMark/>
          </w:tcPr>
          <w:p w14:paraId="7F97357C"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Staff age vs active transport</w:t>
            </w:r>
          </w:p>
        </w:tc>
        <w:tc>
          <w:tcPr>
            <w:tcW w:w="0" w:type="auto"/>
            <w:hideMark/>
          </w:tcPr>
          <w:p w14:paraId="66EBDAAB"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0130BF72"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.047*</w:t>
            </w:r>
          </w:p>
        </w:tc>
      </w:tr>
      <w:tr w:rsidR="00206250" w:rsidRPr="00206250" w14:paraId="7CD90CB1" w14:textId="77777777" w:rsidTr="005923C3">
        <w:tc>
          <w:tcPr>
            <w:tcW w:w="0" w:type="auto"/>
            <w:hideMark/>
          </w:tcPr>
          <w:p w14:paraId="4E0DBA98"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 xml:space="preserve">Student sedentary </w:t>
            </w:r>
            <w:proofErr w:type="spellStart"/>
            <w:r w:rsidRPr="00206250">
              <w:rPr>
                <w:rFonts w:eastAsia="Times New Roman" w:cs="Times New Roman"/>
                <w:color w:val="auto"/>
                <w:szCs w:val="24"/>
              </w:rPr>
              <w:t>behaviour</w:t>
            </w:r>
            <w:proofErr w:type="spellEnd"/>
            <w:r w:rsidRPr="00206250">
              <w:rPr>
                <w:rFonts w:eastAsia="Times New Roman" w:cs="Times New Roman"/>
                <w:color w:val="auto"/>
                <w:szCs w:val="24"/>
              </w:rPr>
              <w:t xml:space="preserve"> by gender</w:t>
            </w:r>
          </w:p>
        </w:tc>
        <w:tc>
          <w:tcPr>
            <w:tcW w:w="0" w:type="auto"/>
            <w:hideMark/>
          </w:tcPr>
          <w:p w14:paraId="7FBC4796"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t</w:t>
            </w:r>
            <w:r w:rsidRPr="00206250">
              <w:rPr>
                <w:rFonts w:eastAsia="Times New Roman" w:cs="Times New Roman"/>
                <w:color w:val="auto"/>
                <w:szCs w:val="24"/>
              </w:rPr>
              <w:t>-test</w:t>
            </w:r>
          </w:p>
        </w:tc>
        <w:tc>
          <w:tcPr>
            <w:tcW w:w="0" w:type="auto"/>
            <w:hideMark/>
          </w:tcPr>
          <w:p w14:paraId="751334AF"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p</w:t>
            </w:r>
            <w:r w:rsidRPr="00206250">
              <w:rPr>
                <w:rFonts w:eastAsia="Times New Roman" w:cs="Times New Roman"/>
                <w:color w:val="auto"/>
                <w:szCs w:val="24"/>
              </w:rPr>
              <w:t xml:space="preserve"> = .036*</w:t>
            </w:r>
          </w:p>
        </w:tc>
      </w:tr>
      <w:tr w:rsidR="00206250" w:rsidRPr="00206250" w14:paraId="37439920" w14:textId="77777777" w:rsidTr="005923C3">
        <w:tc>
          <w:tcPr>
            <w:tcW w:w="0" w:type="auto"/>
            <w:hideMark/>
          </w:tcPr>
          <w:p w14:paraId="2DC8CA87"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 xml:space="preserve">Student age vs sedentary </w:t>
            </w:r>
            <w:proofErr w:type="spellStart"/>
            <w:r w:rsidRPr="00206250">
              <w:rPr>
                <w:rFonts w:eastAsia="Times New Roman" w:cs="Times New Roman"/>
                <w:color w:val="auto"/>
                <w:szCs w:val="24"/>
              </w:rPr>
              <w:t>behaviour</w:t>
            </w:r>
            <w:proofErr w:type="spellEnd"/>
          </w:p>
        </w:tc>
        <w:tc>
          <w:tcPr>
            <w:tcW w:w="0" w:type="auto"/>
            <w:hideMark/>
          </w:tcPr>
          <w:p w14:paraId="0B0E69FF"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color w:val="auto"/>
                <w:szCs w:val="24"/>
              </w:rPr>
              <w:t>Pearson correlation</w:t>
            </w:r>
          </w:p>
        </w:tc>
        <w:tc>
          <w:tcPr>
            <w:tcW w:w="0" w:type="auto"/>
            <w:hideMark/>
          </w:tcPr>
          <w:p w14:paraId="43052405" w14:textId="77777777" w:rsidR="00206250" w:rsidRPr="00206250" w:rsidRDefault="00206250" w:rsidP="005923C3">
            <w:pPr>
              <w:shd w:val="clear" w:color="auto" w:fill="FFFFFF"/>
              <w:spacing w:before="0" w:line="240" w:lineRule="auto"/>
              <w:rPr>
                <w:rFonts w:eastAsia="Times New Roman" w:cs="Times New Roman"/>
                <w:color w:val="auto"/>
                <w:szCs w:val="24"/>
              </w:rPr>
            </w:pPr>
            <w:r w:rsidRPr="00206250">
              <w:rPr>
                <w:rFonts w:eastAsia="Times New Roman" w:cs="Times New Roman"/>
                <w:i/>
                <w:iCs/>
                <w:color w:val="auto"/>
                <w:szCs w:val="24"/>
              </w:rPr>
              <w:t>r</w:t>
            </w:r>
            <w:r w:rsidRPr="00206250">
              <w:rPr>
                <w:rFonts w:eastAsia="Times New Roman" w:cs="Times New Roman"/>
                <w:color w:val="auto"/>
                <w:szCs w:val="24"/>
              </w:rPr>
              <w:t xml:space="preserve"> = −0.10, </w:t>
            </w:r>
            <w:r w:rsidRPr="00206250">
              <w:rPr>
                <w:rFonts w:eastAsia="Times New Roman" w:cs="Times New Roman"/>
                <w:i/>
                <w:iCs/>
                <w:color w:val="auto"/>
                <w:szCs w:val="24"/>
              </w:rPr>
              <w:t>p</w:t>
            </w:r>
            <w:r w:rsidRPr="00206250">
              <w:rPr>
                <w:rFonts w:eastAsia="Times New Roman" w:cs="Times New Roman"/>
                <w:color w:val="auto"/>
                <w:szCs w:val="24"/>
              </w:rPr>
              <w:t xml:space="preserve"> = .005*</w:t>
            </w:r>
          </w:p>
        </w:tc>
      </w:tr>
    </w:tbl>
    <w:p w14:paraId="37563B24"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i/>
          <w:iCs/>
          <w:color w:val="auto"/>
          <w:szCs w:val="24"/>
          <w14:ligatures w14:val="none"/>
        </w:rPr>
        <w:t>Significant at p &lt; .05.</w:t>
      </w:r>
    </w:p>
    <w:p w14:paraId="2A4D29C1" w14:textId="77777777" w:rsidR="00206250" w:rsidRPr="00206250" w:rsidRDefault="00206250" w:rsidP="00206250">
      <w:pPr>
        <w:shd w:val="clear" w:color="auto" w:fill="FFFFFF"/>
        <w:spacing w:line="240" w:lineRule="auto"/>
        <w:rPr>
          <w:rFonts w:eastAsia="Times New Roman" w:cs="Times New Roman"/>
          <w:color w:val="auto"/>
          <w:szCs w:val="24"/>
          <w14:ligatures w14:val="none"/>
        </w:rPr>
      </w:pPr>
      <w:r w:rsidRPr="00206250">
        <w:rPr>
          <w:rFonts w:eastAsia="Times New Roman" w:cs="Times New Roman"/>
          <w:color w:val="auto"/>
          <w:szCs w:val="24"/>
          <w14:ligatures w14:val="none"/>
        </w:rPr>
        <w:t xml:space="preserve">The findings demonstrate that students at the University of Rwanda generally exhibited higher overall physical activity levels than staff, with 94.0% of students compared with 67.4% of staff achieving the WHO physical activity recommendations. Active transport and recreational exercise emerged as the principal contributors to total physical activity, whereas work-related physical activity contributed minimally, particularly among students. Gender differences were limited, although male staff accumulated significantly higher levels of vigorous activity and weekly METs. Age was associated with declining vigorous physical activity among staff but had limited influence on students' overall activity levels. These findings suggest that interventions aimed at increasing vigorous physical </w:t>
      </w:r>
      <w:r w:rsidRPr="00206250">
        <w:rPr>
          <w:rFonts w:eastAsia="Times New Roman" w:cs="Times New Roman"/>
          <w:color w:val="auto"/>
          <w:szCs w:val="24"/>
          <w14:ligatures w14:val="none"/>
        </w:rPr>
        <w:lastRenderedPageBreak/>
        <w:t xml:space="preserve">activity among older staff and reducing sedentary </w:t>
      </w:r>
      <w:proofErr w:type="spellStart"/>
      <w:r w:rsidRPr="00206250">
        <w:rPr>
          <w:rFonts w:eastAsia="Times New Roman" w:cs="Times New Roman"/>
          <w:color w:val="auto"/>
          <w:szCs w:val="24"/>
          <w14:ligatures w14:val="none"/>
        </w:rPr>
        <w:t>behaviour</w:t>
      </w:r>
      <w:proofErr w:type="spellEnd"/>
      <w:r w:rsidRPr="00206250">
        <w:rPr>
          <w:rFonts w:eastAsia="Times New Roman" w:cs="Times New Roman"/>
          <w:color w:val="auto"/>
          <w:szCs w:val="24"/>
          <w14:ligatures w14:val="none"/>
        </w:rPr>
        <w:t xml:space="preserve"> across the university community could further improve compliance with WHO physical activity recommendations (WHO, 2020; UR, 2022).</w:t>
      </w:r>
    </w:p>
    <w:p w14:paraId="5134BD71" w14:textId="00EBBADC" w:rsidR="00B3455A" w:rsidRDefault="00B3455A" w:rsidP="00B3455A">
      <w:pPr>
        <w:shd w:val="clear" w:color="auto" w:fill="FFFFFF"/>
        <w:spacing w:line="240" w:lineRule="auto"/>
        <w:rPr>
          <w:rFonts w:eastAsia="Times New Roman" w:cs="Times New Roman"/>
          <w:color w:val="auto"/>
          <w:szCs w:val="24"/>
          <w14:ligatures w14:val="none"/>
        </w:rPr>
      </w:pPr>
    </w:p>
    <w:p w14:paraId="359E84B3" w14:textId="0E82A427" w:rsidR="00055D83" w:rsidRPr="007A56B8" w:rsidRDefault="00055D83" w:rsidP="00055D83">
      <w:pPr>
        <w:shd w:val="clear" w:color="auto" w:fill="FFFFFF"/>
        <w:spacing w:line="240" w:lineRule="auto"/>
        <w:rPr>
          <w:rFonts w:eastAsia="Times New Roman" w:cs="Times New Roman"/>
          <w:b/>
          <w:bCs/>
          <w:color w:val="000000" w:themeColor="text1"/>
          <w:sz w:val="28"/>
          <w:szCs w:val="28"/>
        </w:rPr>
      </w:pPr>
      <w:r w:rsidRPr="007A56B8">
        <w:rPr>
          <w:rFonts w:eastAsia="Times New Roman" w:cs="Times New Roman"/>
          <w:b/>
          <w:bCs/>
          <w:color w:val="000000" w:themeColor="text1"/>
          <w:sz w:val="28"/>
          <w:szCs w:val="28"/>
        </w:rPr>
        <w:t xml:space="preserve">5.0 CONCLUSIONS </w:t>
      </w:r>
    </w:p>
    <w:p w14:paraId="19F06372" w14:textId="77777777" w:rsidR="005923C3" w:rsidRPr="005923C3" w:rsidRDefault="005923C3" w:rsidP="005923C3">
      <w:pPr>
        <w:spacing w:line="240" w:lineRule="auto"/>
        <w:rPr>
          <w:rFonts w:cs="Times New Roman"/>
          <w:color w:val="000000" w:themeColor="text1"/>
          <w:szCs w:val="24"/>
        </w:rPr>
      </w:pPr>
      <w:r w:rsidRPr="005923C3">
        <w:rPr>
          <w:rFonts w:cs="Times New Roman"/>
          <w:color w:val="000000" w:themeColor="text1"/>
          <w:szCs w:val="24"/>
        </w:rPr>
        <w:t xml:space="preserve">This study examined physical activity (PA) </w:t>
      </w:r>
      <w:proofErr w:type="spellStart"/>
      <w:r w:rsidRPr="005923C3">
        <w:rPr>
          <w:rFonts w:cs="Times New Roman"/>
          <w:color w:val="000000" w:themeColor="text1"/>
          <w:szCs w:val="24"/>
        </w:rPr>
        <w:t>behaviours</w:t>
      </w:r>
      <w:proofErr w:type="spellEnd"/>
      <w:r w:rsidRPr="005923C3">
        <w:rPr>
          <w:rFonts w:cs="Times New Roman"/>
          <w:color w:val="000000" w:themeColor="text1"/>
          <w:szCs w:val="24"/>
        </w:rPr>
        <w:t xml:space="preserve"> among students and staff of the University of Rwanda, with emphasis on adherence to the World Health Organization (WHO) recommendations, patterns of participation, and demographic differences. The findings indicate that the majority of participants achieved the recommended PA levels, although students demonstrated higher compliance than staff. Specifically, 94.0% of students and 79.1% of staff met the WHO recommendation of at least 150–300 minutes of moderate-intensity or 75–150 minutes of vigorous-intensity physical activity per week, suggesting generally </w:t>
      </w:r>
      <w:proofErr w:type="spellStart"/>
      <w:r w:rsidRPr="005923C3">
        <w:rPr>
          <w:rFonts w:cs="Times New Roman"/>
          <w:color w:val="000000" w:themeColor="text1"/>
          <w:szCs w:val="24"/>
        </w:rPr>
        <w:t>favourable</w:t>
      </w:r>
      <w:proofErr w:type="spellEnd"/>
      <w:r w:rsidRPr="005923C3">
        <w:rPr>
          <w:rFonts w:cs="Times New Roman"/>
          <w:color w:val="000000" w:themeColor="text1"/>
          <w:szCs w:val="24"/>
        </w:rPr>
        <w:t xml:space="preserve"> PA </w:t>
      </w:r>
      <w:proofErr w:type="spellStart"/>
      <w:r w:rsidRPr="005923C3">
        <w:rPr>
          <w:rFonts w:cs="Times New Roman"/>
          <w:color w:val="000000" w:themeColor="text1"/>
          <w:szCs w:val="24"/>
        </w:rPr>
        <w:t>behaviours</w:t>
      </w:r>
      <w:proofErr w:type="spellEnd"/>
      <w:r w:rsidRPr="005923C3">
        <w:rPr>
          <w:rFonts w:cs="Times New Roman"/>
          <w:color w:val="000000" w:themeColor="text1"/>
          <w:szCs w:val="24"/>
        </w:rPr>
        <w:t xml:space="preserve"> within the university community while highlighting comparatively lower participation among staff.</w:t>
      </w:r>
    </w:p>
    <w:p w14:paraId="15ECAF56" w14:textId="77777777" w:rsidR="005923C3" w:rsidRPr="005923C3" w:rsidRDefault="005923C3" w:rsidP="005923C3">
      <w:pPr>
        <w:spacing w:line="240" w:lineRule="auto"/>
        <w:rPr>
          <w:rFonts w:cs="Times New Roman"/>
          <w:color w:val="000000" w:themeColor="text1"/>
          <w:szCs w:val="24"/>
        </w:rPr>
      </w:pPr>
      <w:r w:rsidRPr="005923C3">
        <w:rPr>
          <w:rFonts w:cs="Times New Roman"/>
          <w:color w:val="000000" w:themeColor="text1"/>
          <w:szCs w:val="24"/>
        </w:rPr>
        <w:t>Active transport, particularly walking and cycling, emerged as the predominant source of physical activity among students, with over 90% reporting engagement in these activities. In contrast, participation in work-related physical activity was relatively low for both students and staff, reflecting the predominantly sedentary nature of academic and administrative responsibilities. These findings underscore the importance of promoting workplace and campus-based initiatives that integrate physical activity into daily routines.</w:t>
      </w:r>
    </w:p>
    <w:p w14:paraId="47F94466" w14:textId="77777777" w:rsidR="005923C3" w:rsidRPr="005923C3" w:rsidRDefault="005923C3" w:rsidP="005923C3">
      <w:pPr>
        <w:spacing w:line="240" w:lineRule="auto"/>
        <w:rPr>
          <w:rFonts w:cs="Times New Roman"/>
          <w:color w:val="000000" w:themeColor="text1"/>
          <w:szCs w:val="24"/>
        </w:rPr>
      </w:pPr>
      <w:r w:rsidRPr="005923C3">
        <w:rPr>
          <w:rFonts w:cs="Times New Roman"/>
          <w:color w:val="000000" w:themeColor="text1"/>
          <w:szCs w:val="24"/>
        </w:rPr>
        <w:t>The study further established that demographic characteristics influenced specific patterns of physical activity rather than overall compliance with WHO recommendations. Male students participated more frequently in vigorous physical activities than female students, while male staff reported higher involvement in moderate work-related activities than their female counterparts. Nevertheless, there were no significant gender differences in overall compliance with WHO PA recommendations, indicating that males and females attained comparable total activity levels through different forms of physical activity.</w:t>
      </w:r>
    </w:p>
    <w:p w14:paraId="6846B663" w14:textId="77777777" w:rsidR="005923C3" w:rsidRPr="005923C3" w:rsidRDefault="005923C3" w:rsidP="005923C3">
      <w:pPr>
        <w:spacing w:line="240" w:lineRule="auto"/>
        <w:rPr>
          <w:rFonts w:cs="Times New Roman"/>
          <w:color w:val="000000" w:themeColor="text1"/>
          <w:szCs w:val="24"/>
        </w:rPr>
      </w:pPr>
      <w:r w:rsidRPr="005923C3">
        <w:rPr>
          <w:rFonts w:cs="Times New Roman"/>
          <w:color w:val="000000" w:themeColor="text1"/>
          <w:szCs w:val="24"/>
        </w:rPr>
        <w:t xml:space="preserve">Age-related differences were more pronounced among staff than among students. Among students, physical activity levels remained relatively consistent across age groups, although sedentary </w:t>
      </w:r>
      <w:proofErr w:type="spellStart"/>
      <w:r w:rsidRPr="005923C3">
        <w:rPr>
          <w:rFonts w:cs="Times New Roman"/>
          <w:color w:val="000000" w:themeColor="text1"/>
          <w:szCs w:val="24"/>
        </w:rPr>
        <w:t>behaviour</w:t>
      </w:r>
      <w:proofErr w:type="spellEnd"/>
      <w:r w:rsidRPr="005923C3">
        <w:rPr>
          <w:rFonts w:cs="Times New Roman"/>
          <w:color w:val="000000" w:themeColor="text1"/>
          <w:szCs w:val="24"/>
        </w:rPr>
        <w:t xml:space="preserve"> increased slightly with age. Conversely, older staff members exhibited lower participation in vigorous physical activity and reduced compliance with WHO recommendations. Active transport also declined with increasing age among staff, suggesting that occupational demands, lifestyle changes, and age-related factors may limit participation in regular physical activity.</w:t>
      </w:r>
    </w:p>
    <w:p w14:paraId="50F0BC2F" w14:textId="6FBDB67F" w:rsidR="00A27439" w:rsidRPr="007A56B8" w:rsidRDefault="005923C3" w:rsidP="005923C3">
      <w:pPr>
        <w:spacing w:line="240" w:lineRule="auto"/>
        <w:rPr>
          <w:rFonts w:cs="Times New Roman"/>
          <w:color w:val="000000" w:themeColor="text1"/>
          <w:szCs w:val="24"/>
        </w:rPr>
      </w:pPr>
      <w:r w:rsidRPr="005923C3">
        <w:rPr>
          <w:rFonts w:cs="Times New Roman"/>
          <w:color w:val="000000" w:themeColor="text1"/>
          <w:szCs w:val="24"/>
        </w:rPr>
        <w:t xml:space="preserve">The study also revealed that sedentary </w:t>
      </w:r>
      <w:proofErr w:type="spellStart"/>
      <w:r w:rsidRPr="005923C3">
        <w:rPr>
          <w:rFonts w:cs="Times New Roman"/>
          <w:color w:val="000000" w:themeColor="text1"/>
          <w:szCs w:val="24"/>
        </w:rPr>
        <w:t>behaviour</w:t>
      </w:r>
      <w:proofErr w:type="spellEnd"/>
      <w:r w:rsidRPr="005923C3">
        <w:rPr>
          <w:rFonts w:cs="Times New Roman"/>
          <w:color w:val="000000" w:themeColor="text1"/>
          <w:szCs w:val="24"/>
        </w:rPr>
        <w:t xml:space="preserve"> was considerably higher among staff than students, exposing staff to greater risks associated with prolonged sitting, including chronic diseases and reduced physical fitness. Additionally, male students reported slightly lower sedentary time than female students. Overall, the findings demonstrate that although physical activity participation at the University of Rwanda is generally satisfactory, targeted interventions are required to reduce sedentary </w:t>
      </w:r>
      <w:proofErr w:type="spellStart"/>
      <w:r w:rsidRPr="005923C3">
        <w:rPr>
          <w:rFonts w:cs="Times New Roman"/>
          <w:color w:val="000000" w:themeColor="text1"/>
          <w:szCs w:val="24"/>
        </w:rPr>
        <w:t>behaviour</w:t>
      </w:r>
      <w:proofErr w:type="spellEnd"/>
      <w:r w:rsidRPr="005923C3">
        <w:rPr>
          <w:rFonts w:cs="Times New Roman"/>
          <w:color w:val="000000" w:themeColor="text1"/>
          <w:szCs w:val="24"/>
        </w:rPr>
        <w:t xml:space="preserve"> among staff, promote active commuting among older employees, address gender-specific participation patterns, and strengthen workplace and campus environments that support lifelong physical activity and healthy lifestyles.</w:t>
      </w:r>
      <w:r w:rsidR="00E05059" w:rsidRPr="00E05059">
        <w:rPr>
          <w:rFonts w:cs="Times New Roman"/>
          <w:color w:val="000000" w:themeColor="text1"/>
          <w:szCs w:val="24"/>
        </w:rPr>
        <w:t xml:space="preserve"> </w:t>
      </w:r>
    </w:p>
    <w:p w14:paraId="750144BF" w14:textId="7E52FE3F" w:rsidR="00055D83" w:rsidRPr="007A56B8" w:rsidRDefault="00055D83" w:rsidP="00D26C8B">
      <w:pPr>
        <w:spacing w:line="240" w:lineRule="auto"/>
        <w:rPr>
          <w:rFonts w:cs="Times New Roman"/>
          <w:b/>
          <w:bCs/>
          <w:color w:val="000000" w:themeColor="text1"/>
          <w:sz w:val="28"/>
          <w:szCs w:val="28"/>
        </w:rPr>
      </w:pPr>
      <w:r w:rsidRPr="007A56B8">
        <w:rPr>
          <w:rFonts w:cs="Times New Roman"/>
          <w:b/>
          <w:bCs/>
          <w:color w:val="000000" w:themeColor="text1"/>
          <w:sz w:val="28"/>
          <w:szCs w:val="28"/>
        </w:rPr>
        <w:t>6.0 RECOMMENDATIONS</w:t>
      </w:r>
    </w:p>
    <w:p w14:paraId="1A3CE6A8" w14:textId="44CC1457" w:rsidR="00B515C5" w:rsidRDefault="00B515C5" w:rsidP="00B515C5">
      <w:pPr>
        <w:spacing w:before="0" w:after="160" w:line="259" w:lineRule="auto"/>
      </w:pPr>
      <w:r>
        <w:t xml:space="preserve">The findings highlight the need for institutional strategies that promote and sustain physical activity (PA) among students and staff at the University of Rwanda. The university should strengthen structured PA opportunities by expanding fitness programs, recreational sports, and organized exercise sessions tailored to different age groups and gender to encourage equitable participation. Given the significant contribution of active commuting, particularly among students, improvements in campus infrastructure such as safe walkways, cycling lanes, and secure bicycle parking should be prioritized to support active transport. The integration of PA into academic and work schedules through initiatives such as movement breaks, walking meetings, standing workstations, and workplace wellness </w:t>
      </w:r>
      <w:r>
        <w:lastRenderedPageBreak/>
        <w:t xml:space="preserve">programs would help reduce sedentary </w:t>
      </w:r>
      <w:proofErr w:type="spellStart"/>
      <w:r>
        <w:t>behaviour</w:t>
      </w:r>
      <w:proofErr w:type="spellEnd"/>
      <w:r>
        <w:t xml:space="preserve">, especially among staff. Age-sensitive interventions, including low-impact exercises, yoga, and mobility training, should be introduced to address the decline in PA among older staff, while gender-responsive programs should target barriers limiting female participation in vigorous and moderate activities. The university should also encourage balanced participation across work-related, transport, and recreational activities to enhance overall energy expenditure. Furthermore, routine monitoring of PA and sedentary </w:t>
      </w:r>
      <w:proofErr w:type="spellStart"/>
      <w:r>
        <w:t>behaviour</w:t>
      </w:r>
      <w:proofErr w:type="spellEnd"/>
      <w:r>
        <w:t xml:space="preserve"> using periodic surveys or digital tracking systems should be institutionalized to assess compliance with WHO recommendations and guide evidence-based interventions.</w:t>
      </w:r>
    </w:p>
    <w:p w14:paraId="38ACF2C4" w14:textId="7A44E4DC" w:rsidR="007A56B8" w:rsidRDefault="00B515C5" w:rsidP="00B515C5">
      <w:pPr>
        <w:spacing w:before="0" w:after="160" w:line="259" w:lineRule="auto"/>
      </w:pPr>
      <w:r>
        <w:t xml:space="preserve">Future research should investigate barriers to participation in moderate and vigorous PA within academic and workplace settings, including time constraints, organizational culture, and environmental factors. Additional studies should examine the context and determinants of sedentary </w:t>
      </w:r>
      <w:proofErr w:type="spellStart"/>
      <w:r>
        <w:t>behaviour</w:t>
      </w:r>
      <w:proofErr w:type="spellEnd"/>
      <w:r>
        <w:t xml:space="preserve">, the influence of campus infrastructure on active transport, and the long-term effects of ageing on PA through longitudinal research. Qualitative studies exploring gender-specific motivations and barriers to PA are also recommended. Further research should evaluate the relationships between PA, sedentary </w:t>
      </w:r>
      <w:proofErr w:type="spellStart"/>
      <w:r>
        <w:t>behaviour</w:t>
      </w:r>
      <w:proofErr w:type="spellEnd"/>
      <w:r>
        <w:t xml:space="preserve">, and health outcomes such as body mass index, cardiovascular fitness, and mental health, while assessing the effectiveness of workplace and campus-based PA interventions. Finally, studies examining the influence of cultural norms, social support, and peer networks on PA </w:t>
      </w:r>
      <w:proofErr w:type="spellStart"/>
      <w:r>
        <w:t>behaviours</w:t>
      </w:r>
      <w:proofErr w:type="spellEnd"/>
      <w:r>
        <w:t xml:space="preserve"> would provide valuable evidence for developing context-specific health promotion strategies within higher education institutions in Rwanda</w:t>
      </w:r>
      <w:r w:rsidR="001618DC">
        <w:t>.</w:t>
      </w:r>
    </w:p>
    <w:p w14:paraId="68BC1754" w14:textId="77777777" w:rsidR="00227309" w:rsidRDefault="00227309" w:rsidP="00B515C5">
      <w:pPr>
        <w:spacing w:before="0" w:after="160" w:line="259" w:lineRule="auto"/>
      </w:pPr>
    </w:p>
    <w:p w14:paraId="22E83D9B" w14:textId="77777777" w:rsidR="00227309" w:rsidRPr="000839CE" w:rsidRDefault="00227309" w:rsidP="00227309">
      <w:pPr>
        <w:rPr>
          <w:rFonts w:cs="Times New Roman"/>
          <w:b/>
        </w:rPr>
      </w:pPr>
      <w:r w:rsidRPr="000839CE">
        <w:rPr>
          <w:rFonts w:cs="Times New Roman"/>
          <w:b/>
        </w:rPr>
        <w:t>Declaration of AI Use</w:t>
      </w:r>
    </w:p>
    <w:p w14:paraId="42901A3B" w14:textId="77777777" w:rsidR="00227309" w:rsidRPr="000839CE" w:rsidRDefault="00227309" w:rsidP="00227309">
      <w:pPr>
        <w:rPr>
          <w:rFonts w:cs="Times New Roman"/>
        </w:rPr>
      </w:pPr>
    </w:p>
    <w:p w14:paraId="2D4B28BE" w14:textId="77777777" w:rsidR="00227309" w:rsidRPr="000839CE" w:rsidRDefault="00227309" w:rsidP="00227309">
      <w:pPr>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C114EAF" w14:textId="77777777" w:rsidR="00227309" w:rsidRPr="007A56B8" w:rsidRDefault="00227309" w:rsidP="00B515C5">
      <w:pPr>
        <w:spacing w:before="0" w:after="160" w:line="259" w:lineRule="auto"/>
        <w:rPr>
          <w:rFonts w:eastAsia="Times New Roman" w:cs="Times New Roman"/>
          <w:b/>
          <w:bCs/>
          <w:color w:val="000000" w:themeColor="text1"/>
          <w:sz w:val="28"/>
          <w:szCs w:val="28"/>
        </w:rPr>
      </w:pPr>
    </w:p>
    <w:p w14:paraId="5A202687" w14:textId="2912289E" w:rsidR="00B55CEF" w:rsidRDefault="00055D83" w:rsidP="002151BA">
      <w:pPr>
        <w:shd w:val="clear" w:color="auto" w:fill="FFFFFF"/>
        <w:spacing w:line="240" w:lineRule="auto"/>
        <w:rPr>
          <w:rFonts w:eastAsia="Times New Roman" w:cs="Times New Roman"/>
          <w:b/>
          <w:bCs/>
          <w:color w:val="000000" w:themeColor="text1"/>
          <w:sz w:val="28"/>
          <w:szCs w:val="28"/>
        </w:rPr>
      </w:pPr>
      <w:r w:rsidRPr="007A56B8">
        <w:rPr>
          <w:rFonts w:eastAsia="Times New Roman" w:cs="Times New Roman"/>
          <w:b/>
          <w:bCs/>
          <w:color w:val="000000" w:themeColor="text1"/>
          <w:sz w:val="28"/>
          <w:szCs w:val="28"/>
        </w:rPr>
        <w:t>REFERENCES</w:t>
      </w:r>
    </w:p>
    <w:p w14:paraId="2304FF9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Abdullah, N., &amp; Mohamad, N. (2016). Physical activity levels and sedentary behavior among university students. </w:t>
      </w:r>
      <w:r w:rsidRPr="00450081">
        <w:rPr>
          <w:rStyle w:val="bzpyqfadein"/>
          <w:rFonts w:eastAsiaTheme="majorEastAsia"/>
          <w:i/>
          <w:iCs/>
          <w:color w:val="000000" w:themeColor="text1"/>
        </w:rPr>
        <w:t>Journal of Sports Science &amp; Medicine, 15</w:t>
      </w:r>
      <w:r w:rsidRPr="00450081">
        <w:rPr>
          <w:rStyle w:val="bzpyqfadein"/>
          <w:rFonts w:eastAsiaTheme="majorEastAsia"/>
          <w:color w:val="000000" w:themeColor="text1"/>
        </w:rPr>
        <w:t>(4), 722–728.</w:t>
      </w:r>
    </w:p>
    <w:p w14:paraId="11CD6F57"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lastRenderedPageBreak/>
        <w:t>Alakhateeb</w:t>
      </w:r>
      <w:proofErr w:type="spellEnd"/>
      <w:r w:rsidRPr="00450081">
        <w:rPr>
          <w:rStyle w:val="bzpyqfadein"/>
          <w:rFonts w:eastAsiaTheme="majorEastAsia"/>
          <w:color w:val="000000" w:themeColor="text1"/>
        </w:rPr>
        <w:t xml:space="preserve">, S. A., Al Shafei, Z., &amp; Abdalrahman, H. A. (2019). University students’ physical activity behavior. </w:t>
      </w:r>
      <w:r w:rsidRPr="00450081">
        <w:rPr>
          <w:rStyle w:val="bzpyqfadein"/>
          <w:rFonts w:eastAsiaTheme="majorEastAsia"/>
          <w:i/>
          <w:iCs/>
          <w:color w:val="000000" w:themeColor="text1"/>
        </w:rPr>
        <w:t>International Journal of Health Sciences, 13</w:t>
      </w:r>
      <w:r w:rsidRPr="00450081">
        <w:rPr>
          <w:rStyle w:val="bzpyqfadein"/>
          <w:rFonts w:eastAsiaTheme="majorEastAsia"/>
          <w:color w:val="000000" w:themeColor="text1"/>
        </w:rPr>
        <w:t>(4), 1–8.</w:t>
      </w:r>
    </w:p>
    <w:p w14:paraId="11351448"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Alamdari</w:t>
      </w:r>
      <w:proofErr w:type="spellEnd"/>
      <w:r w:rsidRPr="00450081">
        <w:rPr>
          <w:rStyle w:val="bzpyqfadein"/>
          <w:rFonts w:eastAsiaTheme="majorEastAsia"/>
          <w:color w:val="000000" w:themeColor="text1"/>
        </w:rPr>
        <w:t xml:space="preserve">, A., &amp; Abdi, H. (2019). Effects of leisure-time physical activity on maladaptive behaviors. </w:t>
      </w:r>
      <w:r w:rsidRPr="00450081">
        <w:rPr>
          <w:rStyle w:val="bzpyqfadein"/>
          <w:rFonts w:eastAsiaTheme="majorEastAsia"/>
          <w:i/>
          <w:iCs/>
          <w:color w:val="000000" w:themeColor="text1"/>
        </w:rPr>
        <w:t>Journal of Behavioral Health, 8</w:t>
      </w:r>
      <w:r w:rsidRPr="00450081">
        <w:rPr>
          <w:rStyle w:val="bzpyqfadein"/>
          <w:rFonts w:eastAsiaTheme="majorEastAsia"/>
          <w:color w:val="000000" w:themeColor="text1"/>
        </w:rPr>
        <w:t>(2), 45–53.</w:t>
      </w:r>
    </w:p>
    <w:p w14:paraId="3C57C00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Alemu, S., Tadesse, T., &amp; Bekele, T. (2021). Physical activity patterns among health professionals in Ethiopia: A cross-sectional study. </w:t>
      </w:r>
      <w:r w:rsidRPr="00450081">
        <w:rPr>
          <w:rStyle w:val="bzpyqfadein"/>
          <w:rFonts w:eastAsiaTheme="majorEastAsia"/>
          <w:i/>
          <w:iCs/>
          <w:color w:val="000000" w:themeColor="text1"/>
        </w:rPr>
        <w:t>BMC Public Health, 21</w:t>
      </w:r>
      <w:r w:rsidRPr="00450081">
        <w:rPr>
          <w:rStyle w:val="bzpyqfadein"/>
          <w:rFonts w:eastAsiaTheme="majorEastAsia"/>
          <w:color w:val="000000" w:themeColor="text1"/>
        </w:rPr>
        <w:t xml:space="preserve">(1), 1123. </w:t>
      </w:r>
      <w:hyperlink r:id="rId7" w:tgtFrame="_new" w:history="1">
        <w:r w:rsidRPr="00450081">
          <w:rPr>
            <w:rStyle w:val="bzpyqfadein"/>
            <w:rFonts w:eastAsiaTheme="majorEastAsia"/>
            <w:color w:val="000000" w:themeColor="text1"/>
            <w:u w:val="single"/>
          </w:rPr>
          <w:t>https://doi.org/10.1186/s12889-021-11123-4</w:t>
        </w:r>
      </w:hyperlink>
    </w:p>
    <w:p w14:paraId="0D6FD83E"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Al-</w:t>
      </w:r>
      <w:proofErr w:type="spellStart"/>
      <w:r w:rsidRPr="00450081">
        <w:rPr>
          <w:rStyle w:val="bzpyqfadein"/>
          <w:rFonts w:eastAsiaTheme="majorEastAsia"/>
          <w:color w:val="000000" w:themeColor="text1"/>
        </w:rPr>
        <w:t>Hazzaa</w:t>
      </w:r>
      <w:proofErr w:type="spellEnd"/>
      <w:r w:rsidRPr="00450081">
        <w:rPr>
          <w:rStyle w:val="bzpyqfadein"/>
          <w:rFonts w:eastAsiaTheme="majorEastAsia"/>
          <w:color w:val="000000" w:themeColor="text1"/>
        </w:rPr>
        <w:t xml:space="preserve">, H. M., Alahmadi, M. A., Al-Sobayel, H. I., </w:t>
      </w:r>
      <w:proofErr w:type="spellStart"/>
      <w:r w:rsidRPr="00450081">
        <w:rPr>
          <w:rStyle w:val="bzpyqfadein"/>
          <w:rFonts w:eastAsiaTheme="majorEastAsia"/>
          <w:color w:val="000000" w:themeColor="text1"/>
        </w:rPr>
        <w:t>Qahwaji</w:t>
      </w:r>
      <w:proofErr w:type="spellEnd"/>
      <w:r w:rsidRPr="00450081">
        <w:rPr>
          <w:rStyle w:val="bzpyqfadein"/>
          <w:rFonts w:eastAsiaTheme="majorEastAsia"/>
          <w:color w:val="000000" w:themeColor="text1"/>
        </w:rPr>
        <w:t xml:space="preserve">, D. M., &amp; </w:t>
      </w:r>
      <w:proofErr w:type="spellStart"/>
      <w:r w:rsidRPr="00450081">
        <w:rPr>
          <w:rStyle w:val="bzpyqfadein"/>
          <w:rFonts w:eastAsiaTheme="majorEastAsia"/>
          <w:color w:val="000000" w:themeColor="text1"/>
        </w:rPr>
        <w:t>Musaiger</w:t>
      </w:r>
      <w:proofErr w:type="spellEnd"/>
      <w:r w:rsidRPr="00450081">
        <w:rPr>
          <w:rStyle w:val="bzpyqfadein"/>
          <w:rFonts w:eastAsiaTheme="majorEastAsia"/>
          <w:color w:val="000000" w:themeColor="text1"/>
        </w:rPr>
        <w:t xml:space="preserve">, A. O. (2021). Physical activity and sedentary behavior among Saudi university students: Prevalence, patterns, and correlates. </w:t>
      </w:r>
      <w:r w:rsidRPr="00450081">
        <w:rPr>
          <w:rStyle w:val="bzpyqfadein"/>
          <w:rFonts w:eastAsiaTheme="majorEastAsia"/>
          <w:i/>
          <w:iCs/>
          <w:color w:val="000000" w:themeColor="text1"/>
        </w:rPr>
        <w:t>Journal of Physical Activity and Health, 18</w:t>
      </w:r>
      <w:r w:rsidRPr="00450081">
        <w:rPr>
          <w:rStyle w:val="bzpyqfadein"/>
          <w:rFonts w:eastAsiaTheme="majorEastAsia"/>
          <w:color w:val="000000" w:themeColor="text1"/>
        </w:rPr>
        <w:t xml:space="preserve">(3), 345–353. </w:t>
      </w:r>
      <w:hyperlink r:id="rId8" w:tgtFrame="_new" w:history="1">
        <w:r w:rsidRPr="00450081">
          <w:rPr>
            <w:rStyle w:val="bzpyqfadein"/>
            <w:rFonts w:eastAsiaTheme="majorEastAsia"/>
            <w:color w:val="000000" w:themeColor="text1"/>
            <w:u w:val="single"/>
          </w:rPr>
          <w:t>https://doi.org/10.1123/jpah.2020-0578</w:t>
        </w:r>
      </w:hyperlink>
    </w:p>
    <w:p w14:paraId="16C77F5E"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Alves, C., et al. (2016). Physical inactivity and cardiovascular risk: A review. </w:t>
      </w:r>
      <w:r w:rsidRPr="00450081">
        <w:rPr>
          <w:rStyle w:val="bzpyqfadein"/>
          <w:rFonts w:eastAsiaTheme="majorEastAsia"/>
          <w:i/>
          <w:iCs/>
          <w:color w:val="000000" w:themeColor="text1"/>
        </w:rPr>
        <w:t>Journal of Cardiovascular Nursing, 31</w:t>
      </w:r>
      <w:r w:rsidRPr="00450081">
        <w:rPr>
          <w:rStyle w:val="bzpyqfadein"/>
          <w:rFonts w:eastAsiaTheme="majorEastAsia"/>
          <w:color w:val="000000" w:themeColor="text1"/>
        </w:rPr>
        <w:t xml:space="preserve">(3), 240–247. </w:t>
      </w:r>
      <w:hyperlink r:id="rId9" w:tgtFrame="_new" w:history="1">
        <w:r w:rsidRPr="00450081">
          <w:rPr>
            <w:rStyle w:val="bzpyqfadein"/>
            <w:rFonts w:eastAsiaTheme="majorEastAsia"/>
            <w:color w:val="000000" w:themeColor="text1"/>
            <w:u w:val="single"/>
          </w:rPr>
          <w:t>https://doi.org/10.1097/JCN.0000000000000289</w:t>
        </w:r>
      </w:hyperlink>
    </w:p>
    <w:p w14:paraId="7E6DFF81"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Amoako, E., Mensah, F., &amp; Owusu, A. (2021). Active transport and physical activity levels among university students in Ghana. </w:t>
      </w:r>
      <w:r w:rsidRPr="00450081">
        <w:rPr>
          <w:rStyle w:val="bzpyqfadein"/>
          <w:rFonts w:eastAsiaTheme="majorEastAsia"/>
          <w:i/>
          <w:iCs/>
          <w:color w:val="000000" w:themeColor="text1"/>
        </w:rPr>
        <w:t>International Journal of Environmental Research and Public Health, 18</w:t>
      </w:r>
      <w:r w:rsidRPr="00450081">
        <w:rPr>
          <w:rStyle w:val="bzpyqfadein"/>
          <w:rFonts w:eastAsiaTheme="majorEastAsia"/>
          <w:color w:val="000000" w:themeColor="text1"/>
        </w:rPr>
        <w:t xml:space="preserve">(12), 6372. </w:t>
      </w:r>
      <w:hyperlink r:id="rId10" w:tgtFrame="_new" w:history="1">
        <w:r w:rsidRPr="00450081">
          <w:rPr>
            <w:rStyle w:val="bzpyqfadein"/>
            <w:rFonts w:eastAsiaTheme="majorEastAsia"/>
            <w:color w:val="000000" w:themeColor="text1"/>
            <w:u w:val="single"/>
          </w:rPr>
          <w:t>https://doi.org/10.3390/ijerph18126372</w:t>
        </w:r>
      </w:hyperlink>
    </w:p>
    <w:p w14:paraId="5CEFE735"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Aslesh, O., et al. (2016). Physical inactivity: Global health burden and economic costs. </w:t>
      </w:r>
      <w:r w:rsidRPr="00450081">
        <w:rPr>
          <w:rStyle w:val="bzpyqfadein"/>
          <w:rFonts w:eastAsiaTheme="majorEastAsia"/>
          <w:i/>
          <w:iCs/>
          <w:color w:val="000000" w:themeColor="text1"/>
        </w:rPr>
        <w:t>Global Health Journal, 10</w:t>
      </w:r>
      <w:r w:rsidRPr="00450081">
        <w:rPr>
          <w:rStyle w:val="bzpyqfadein"/>
          <w:rFonts w:eastAsiaTheme="majorEastAsia"/>
          <w:color w:val="000000" w:themeColor="text1"/>
        </w:rPr>
        <w:t>(2), 45–53.</w:t>
      </w:r>
    </w:p>
    <w:p w14:paraId="7A85B318"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Ball, K., et al. (2015). Environmental and social influences on physical activity. </w:t>
      </w:r>
      <w:r w:rsidRPr="00450081">
        <w:rPr>
          <w:rStyle w:val="bzpyqfadein"/>
          <w:rFonts w:eastAsiaTheme="majorEastAsia"/>
          <w:i/>
          <w:iCs/>
          <w:color w:val="000000" w:themeColor="text1"/>
        </w:rPr>
        <w:t>Annual Review of Public Health, 36</w:t>
      </w:r>
      <w:r w:rsidRPr="00450081">
        <w:rPr>
          <w:rStyle w:val="bzpyqfadein"/>
          <w:rFonts w:eastAsiaTheme="majorEastAsia"/>
          <w:color w:val="000000" w:themeColor="text1"/>
        </w:rPr>
        <w:t>, 91–110.</w:t>
      </w:r>
    </w:p>
    <w:p w14:paraId="76348D90"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Barkley, J. E., Lepp, A., Glickman, E. L., &amp; Diaz, K. M. (2021). Workplace sedentary behavior and physical activity: Patterns, determinants, and health implications. </w:t>
      </w:r>
      <w:r w:rsidRPr="00450081">
        <w:rPr>
          <w:rStyle w:val="bzpyqfadein"/>
          <w:rFonts w:eastAsiaTheme="majorEastAsia"/>
          <w:i/>
          <w:iCs/>
          <w:color w:val="000000" w:themeColor="text1"/>
        </w:rPr>
        <w:t>American Journal of Health Promotion, 35</w:t>
      </w:r>
      <w:r w:rsidRPr="00450081">
        <w:rPr>
          <w:rStyle w:val="bzpyqfadein"/>
          <w:rFonts w:eastAsiaTheme="majorEastAsia"/>
          <w:color w:val="000000" w:themeColor="text1"/>
        </w:rPr>
        <w:t xml:space="preserve">(6), 795–804. </w:t>
      </w:r>
      <w:hyperlink r:id="rId11" w:tgtFrame="_new" w:history="1">
        <w:r w:rsidRPr="00450081">
          <w:rPr>
            <w:rStyle w:val="bzpyqfadein"/>
            <w:rFonts w:eastAsiaTheme="majorEastAsia"/>
            <w:color w:val="000000" w:themeColor="text1"/>
            <w:u w:val="single"/>
          </w:rPr>
          <w:t>https://doi.org/10.1177/0890117121999421</w:t>
        </w:r>
      </w:hyperlink>
    </w:p>
    <w:p w14:paraId="5927B23D"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Bauman, A. E., Reis, R. S., Sallis, J. F., Wells, J. C., Loos, R. J., &amp; Martin, B. W. (2012). Correlates of physical activity: Why are some people physically active and others not? </w:t>
      </w:r>
      <w:r w:rsidRPr="00450081">
        <w:rPr>
          <w:rStyle w:val="bzpyqfadein"/>
          <w:rFonts w:eastAsiaTheme="majorEastAsia"/>
          <w:i/>
          <w:iCs/>
          <w:color w:val="000000" w:themeColor="text1"/>
        </w:rPr>
        <w:t>The Lancet, 380</w:t>
      </w:r>
      <w:r w:rsidRPr="00450081">
        <w:rPr>
          <w:rStyle w:val="bzpyqfadein"/>
          <w:rFonts w:eastAsiaTheme="majorEastAsia"/>
          <w:color w:val="000000" w:themeColor="text1"/>
        </w:rPr>
        <w:t xml:space="preserve">(9838), 258–271. </w:t>
      </w:r>
      <w:hyperlink r:id="rId12" w:tgtFrame="_new" w:history="1">
        <w:r w:rsidRPr="00450081">
          <w:rPr>
            <w:rStyle w:val="bzpyqfadein"/>
            <w:rFonts w:eastAsiaTheme="majorEastAsia"/>
            <w:color w:val="000000" w:themeColor="text1"/>
            <w:u w:val="single"/>
          </w:rPr>
          <w:t>https://doi.org/10.1016/S0140-6736(12)60735-1</w:t>
        </w:r>
      </w:hyperlink>
    </w:p>
    <w:p w14:paraId="62EDC1C6"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Bhochhibhoya</w:t>
      </w:r>
      <w:proofErr w:type="spellEnd"/>
      <w:r w:rsidRPr="00450081">
        <w:rPr>
          <w:rStyle w:val="bzpyqfadein"/>
          <w:rFonts w:eastAsiaTheme="majorEastAsia"/>
          <w:color w:val="000000" w:themeColor="text1"/>
        </w:rPr>
        <w:t xml:space="preserve">, A., et al. (2020). Physical activity and emotional intelligence in university students. </w:t>
      </w:r>
      <w:r w:rsidRPr="00450081">
        <w:rPr>
          <w:rStyle w:val="bzpyqfadein"/>
          <w:rFonts w:eastAsiaTheme="majorEastAsia"/>
          <w:i/>
          <w:iCs/>
          <w:color w:val="000000" w:themeColor="text1"/>
        </w:rPr>
        <w:t>Journal of Educational Health, 8</w:t>
      </w:r>
      <w:r w:rsidRPr="00450081">
        <w:rPr>
          <w:rStyle w:val="bzpyqfadein"/>
          <w:rFonts w:eastAsiaTheme="majorEastAsia"/>
          <w:color w:val="000000" w:themeColor="text1"/>
        </w:rPr>
        <w:t>(1), 22–31.</w:t>
      </w:r>
    </w:p>
    <w:p w14:paraId="562FAD2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Biddle, S. J., &amp; Asare, M. (2011). Physical activity and mental health in children and adolescents: A review of reviews. </w:t>
      </w:r>
      <w:r w:rsidRPr="00450081">
        <w:rPr>
          <w:rStyle w:val="bzpyqfadein"/>
          <w:rFonts w:eastAsiaTheme="majorEastAsia"/>
          <w:i/>
          <w:iCs/>
          <w:color w:val="000000" w:themeColor="text1"/>
        </w:rPr>
        <w:t>British Journal of Sports Medicine, 45</w:t>
      </w:r>
      <w:r w:rsidRPr="00450081">
        <w:rPr>
          <w:rStyle w:val="bzpyqfadein"/>
          <w:rFonts w:eastAsiaTheme="majorEastAsia"/>
          <w:color w:val="000000" w:themeColor="text1"/>
        </w:rPr>
        <w:t xml:space="preserve">(11), 886–895. </w:t>
      </w:r>
      <w:hyperlink r:id="rId13" w:tgtFrame="_new" w:history="1">
        <w:r w:rsidRPr="00450081">
          <w:rPr>
            <w:rStyle w:val="bzpyqfadein"/>
            <w:rFonts w:eastAsiaTheme="majorEastAsia"/>
            <w:color w:val="000000" w:themeColor="text1"/>
            <w:u w:val="single"/>
          </w:rPr>
          <w:t>https://doi.org/10.1136/bjsports-2011-090185</w:t>
        </w:r>
      </w:hyperlink>
    </w:p>
    <w:p w14:paraId="7E13BF42"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Biktagirova</w:t>
      </w:r>
      <w:proofErr w:type="spellEnd"/>
      <w:r w:rsidRPr="00450081">
        <w:rPr>
          <w:rStyle w:val="bzpyqfadein"/>
          <w:rFonts w:eastAsiaTheme="majorEastAsia"/>
          <w:color w:val="000000" w:themeColor="text1"/>
        </w:rPr>
        <w:t xml:space="preserve">, G. F., &amp; Kasimova, D. R. (2016). University environment and physical activity. </w:t>
      </w:r>
      <w:r w:rsidRPr="00450081">
        <w:rPr>
          <w:rStyle w:val="bzpyqfadein"/>
          <w:rFonts w:eastAsiaTheme="majorEastAsia"/>
          <w:i/>
          <w:iCs/>
          <w:color w:val="000000" w:themeColor="text1"/>
        </w:rPr>
        <w:t>Higher Education Studies, 6</w:t>
      </w:r>
      <w:r w:rsidRPr="00450081">
        <w:rPr>
          <w:rStyle w:val="bzpyqfadein"/>
          <w:rFonts w:eastAsiaTheme="majorEastAsia"/>
          <w:color w:val="000000" w:themeColor="text1"/>
        </w:rPr>
        <w:t>(2), 48–55.</w:t>
      </w:r>
    </w:p>
    <w:p w14:paraId="569D495A"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lastRenderedPageBreak/>
        <w:t xml:space="preserve">Biswas, A., Oh, P. I., Faulkner, G. E., Bajaj, R. R., Silver, M. A., Mitchell, M. S., &amp; Alter, D. A. (2015). Sedentary time and its association with risk for disease incidence, mortality, and hospitalization in adults: A systematic review and meta-analysis. </w:t>
      </w:r>
      <w:r w:rsidRPr="00450081">
        <w:rPr>
          <w:rStyle w:val="bzpyqfadein"/>
          <w:rFonts w:eastAsiaTheme="majorEastAsia"/>
          <w:i/>
          <w:iCs/>
          <w:color w:val="000000" w:themeColor="text1"/>
        </w:rPr>
        <w:t>Annals of Internal Medicine, 162</w:t>
      </w:r>
      <w:r w:rsidRPr="00450081">
        <w:rPr>
          <w:rStyle w:val="bzpyqfadein"/>
          <w:rFonts w:eastAsiaTheme="majorEastAsia"/>
          <w:color w:val="000000" w:themeColor="text1"/>
        </w:rPr>
        <w:t xml:space="preserve">(2), 123–132. </w:t>
      </w:r>
      <w:hyperlink r:id="rId14" w:tgtFrame="_new" w:history="1">
        <w:r w:rsidRPr="00450081">
          <w:rPr>
            <w:rStyle w:val="bzpyqfadein"/>
            <w:rFonts w:eastAsiaTheme="majorEastAsia"/>
            <w:color w:val="000000" w:themeColor="text1"/>
            <w:u w:val="single"/>
          </w:rPr>
          <w:t>https://doi.org/10.7326/M14-1651</w:t>
        </w:r>
      </w:hyperlink>
    </w:p>
    <w:p w14:paraId="6B13DDA1"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Bland, S., et al. (2021). Aerobic and anaerobic exercise: Physiological foundations. </w:t>
      </w:r>
      <w:r w:rsidRPr="00450081">
        <w:rPr>
          <w:rStyle w:val="bzpyqfadein"/>
          <w:rFonts w:eastAsiaTheme="majorEastAsia"/>
          <w:i/>
          <w:iCs/>
          <w:color w:val="000000" w:themeColor="text1"/>
        </w:rPr>
        <w:t>Sports Medicine Review, 19</w:t>
      </w:r>
      <w:r w:rsidRPr="00450081">
        <w:rPr>
          <w:rStyle w:val="bzpyqfadein"/>
          <w:rFonts w:eastAsiaTheme="majorEastAsia"/>
          <w:color w:val="000000" w:themeColor="text1"/>
        </w:rPr>
        <w:t>(2), 101–115.</w:t>
      </w:r>
    </w:p>
    <w:p w14:paraId="742A64D1"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Buková</w:t>
      </w:r>
      <w:proofErr w:type="spellEnd"/>
      <w:r w:rsidRPr="00450081">
        <w:rPr>
          <w:rStyle w:val="bzpyqfadein"/>
          <w:rFonts w:eastAsiaTheme="majorEastAsia"/>
          <w:color w:val="000000" w:themeColor="text1"/>
        </w:rPr>
        <w:t xml:space="preserve">, A., </w:t>
      </w:r>
      <w:proofErr w:type="spellStart"/>
      <w:r w:rsidRPr="00450081">
        <w:rPr>
          <w:rStyle w:val="bzpyqfadein"/>
          <w:rFonts w:eastAsiaTheme="majorEastAsia"/>
          <w:color w:val="000000" w:themeColor="text1"/>
        </w:rPr>
        <w:t>Krzepota</w:t>
      </w:r>
      <w:proofErr w:type="spellEnd"/>
      <w:r w:rsidRPr="00450081">
        <w:rPr>
          <w:rStyle w:val="bzpyqfadein"/>
          <w:rFonts w:eastAsiaTheme="majorEastAsia"/>
          <w:color w:val="000000" w:themeColor="text1"/>
        </w:rPr>
        <w:t xml:space="preserve">, J., Sadowska, D., </w:t>
      </w:r>
      <w:proofErr w:type="spellStart"/>
      <w:r w:rsidRPr="00450081">
        <w:rPr>
          <w:rStyle w:val="bzpyqfadein"/>
          <w:rFonts w:eastAsiaTheme="majorEastAsia"/>
          <w:color w:val="000000" w:themeColor="text1"/>
        </w:rPr>
        <w:t>Kimáková</w:t>
      </w:r>
      <w:proofErr w:type="spellEnd"/>
      <w:r w:rsidRPr="00450081">
        <w:rPr>
          <w:rStyle w:val="bzpyqfadein"/>
          <w:rFonts w:eastAsiaTheme="majorEastAsia"/>
          <w:color w:val="000000" w:themeColor="text1"/>
        </w:rPr>
        <w:t xml:space="preserve">, T., &amp; Melicharová, P. (2025). The relationship between physical activity, sedentary behavior, and subjective well-being: Gender differences among Slovak university students. </w:t>
      </w:r>
      <w:r w:rsidRPr="00450081">
        <w:rPr>
          <w:rStyle w:val="bzpyqfadein"/>
          <w:rFonts w:eastAsiaTheme="majorEastAsia"/>
          <w:i/>
          <w:iCs/>
          <w:color w:val="000000" w:themeColor="text1"/>
        </w:rPr>
        <w:t>Healthcare, 13</w:t>
      </w:r>
      <w:r w:rsidRPr="00450081">
        <w:rPr>
          <w:rStyle w:val="bzpyqfadein"/>
          <w:rFonts w:eastAsiaTheme="majorEastAsia"/>
          <w:color w:val="000000" w:themeColor="text1"/>
        </w:rPr>
        <w:t xml:space="preserve">(24), 3274. </w:t>
      </w:r>
      <w:hyperlink r:id="rId15" w:tgtFrame="_new" w:history="1">
        <w:r w:rsidRPr="00450081">
          <w:rPr>
            <w:rStyle w:val="bzpyqfadein"/>
            <w:rFonts w:eastAsiaTheme="majorEastAsia"/>
            <w:color w:val="000000" w:themeColor="text1"/>
            <w:u w:val="single"/>
          </w:rPr>
          <w:t>https://doi.org/10.3390/healthcare13243274</w:t>
        </w:r>
      </w:hyperlink>
    </w:p>
    <w:p w14:paraId="196AA588"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Buková</w:t>
      </w:r>
      <w:proofErr w:type="spellEnd"/>
      <w:r w:rsidRPr="00450081">
        <w:rPr>
          <w:rStyle w:val="bzpyqfadein"/>
          <w:rFonts w:eastAsiaTheme="majorEastAsia"/>
          <w:color w:val="000000" w:themeColor="text1"/>
        </w:rPr>
        <w:t xml:space="preserve">, A., </w:t>
      </w:r>
      <w:proofErr w:type="spellStart"/>
      <w:r w:rsidRPr="00450081">
        <w:rPr>
          <w:rStyle w:val="bzpyqfadein"/>
          <w:rFonts w:eastAsiaTheme="majorEastAsia"/>
          <w:color w:val="000000" w:themeColor="text1"/>
        </w:rPr>
        <w:t>Krzepota</w:t>
      </w:r>
      <w:proofErr w:type="spellEnd"/>
      <w:r w:rsidRPr="00450081">
        <w:rPr>
          <w:rStyle w:val="bzpyqfadein"/>
          <w:rFonts w:eastAsiaTheme="majorEastAsia"/>
          <w:color w:val="000000" w:themeColor="text1"/>
        </w:rPr>
        <w:t xml:space="preserve">, J., Sadowska, D., </w:t>
      </w:r>
      <w:proofErr w:type="spellStart"/>
      <w:r w:rsidRPr="00450081">
        <w:rPr>
          <w:rStyle w:val="bzpyqfadein"/>
          <w:rFonts w:eastAsiaTheme="majorEastAsia"/>
          <w:color w:val="000000" w:themeColor="text1"/>
        </w:rPr>
        <w:t>Kimáková</w:t>
      </w:r>
      <w:proofErr w:type="spellEnd"/>
      <w:r w:rsidRPr="00450081">
        <w:rPr>
          <w:rStyle w:val="bzpyqfadein"/>
          <w:rFonts w:eastAsiaTheme="majorEastAsia"/>
          <w:color w:val="000000" w:themeColor="text1"/>
        </w:rPr>
        <w:t xml:space="preserve">, T., &amp; Melicharová, P. (2025). The relationship between physical activity, sedentary behavior, and subjective well-being: Gender differences among Slovak university students. </w:t>
      </w:r>
      <w:r w:rsidRPr="00450081">
        <w:rPr>
          <w:rStyle w:val="bzpyqfadein"/>
          <w:rFonts w:eastAsiaTheme="majorEastAsia"/>
          <w:i/>
          <w:iCs/>
          <w:color w:val="000000" w:themeColor="text1"/>
        </w:rPr>
        <w:t>Healthcare, 13</w:t>
      </w:r>
      <w:r w:rsidRPr="00450081">
        <w:rPr>
          <w:rStyle w:val="bzpyqfadein"/>
          <w:rFonts w:eastAsiaTheme="majorEastAsia"/>
          <w:color w:val="000000" w:themeColor="text1"/>
        </w:rPr>
        <w:t xml:space="preserve">(24), 3274. </w:t>
      </w:r>
      <w:hyperlink r:id="rId16" w:tgtFrame="_new" w:history="1">
        <w:r w:rsidRPr="00450081">
          <w:rPr>
            <w:rStyle w:val="bzpyqfadein"/>
            <w:rFonts w:eastAsiaTheme="majorEastAsia"/>
            <w:color w:val="000000" w:themeColor="text1"/>
            <w:u w:val="single"/>
          </w:rPr>
          <w:t>https://doi.org/10.3390/healthcare13243274</w:t>
        </w:r>
      </w:hyperlink>
    </w:p>
    <w:p w14:paraId="2B5D12C5"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Bull, F. C., Al-Ansari, S. S., Biddle, S., </w:t>
      </w:r>
      <w:proofErr w:type="spellStart"/>
      <w:r w:rsidRPr="00450081">
        <w:rPr>
          <w:rStyle w:val="bzpyqfadein"/>
          <w:rFonts w:eastAsiaTheme="majorEastAsia"/>
          <w:color w:val="000000" w:themeColor="text1"/>
        </w:rPr>
        <w:t>Borodulin</w:t>
      </w:r>
      <w:proofErr w:type="spellEnd"/>
      <w:r w:rsidRPr="00450081">
        <w:rPr>
          <w:rStyle w:val="bzpyqfadein"/>
          <w:rFonts w:eastAsiaTheme="majorEastAsia"/>
          <w:color w:val="000000" w:themeColor="text1"/>
        </w:rPr>
        <w:t xml:space="preserve">, K., Buman, M. P., Cardon, G., … Willumsen, J. F. (2020). World Health Organization 2020 guidelines on physical activity and sedentary </w:t>
      </w:r>
      <w:proofErr w:type="spellStart"/>
      <w:r w:rsidRPr="00450081">
        <w:rPr>
          <w:rStyle w:val="bzpyqfadein"/>
          <w:rFonts w:eastAsiaTheme="majorEastAsia"/>
          <w:color w:val="000000" w:themeColor="text1"/>
        </w:rPr>
        <w:t>behaviour</w:t>
      </w:r>
      <w:proofErr w:type="spellEnd"/>
      <w:r w:rsidRPr="00450081">
        <w:rPr>
          <w:rStyle w:val="bzpyqfadein"/>
          <w:rFonts w:eastAsiaTheme="majorEastAsia"/>
          <w:color w:val="000000" w:themeColor="text1"/>
        </w:rPr>
        <w:t xml:space="preserve">. </w:t>
      </w:r>
      <w:r w:rsidRPr="00450081">
        <w:rPr>
          <w:rStyle w:val="bzpyqfadein"/>
          <w:rFonts w:eastAsiaTheme="majorEastAsia"/>
          <w:i/>
          <w:iCs/>
          <w:color w:val="000000" w:themeColor="text1"/>
        </w:rPr>
        <w:t>British Journal of Sports Medicine, 54</w:t>
      </w:r>
      <w:r w:rsidRPr="00450081">
        <w:rPr>
          <w:rStyle w:val="bzpyqfadein"/>
          <w:rFonts w:eastAsiaTheme="majorEastAsia"/>
          <w:color w:val="000000" w:themeColor="text1"/>
        </w:rPr>
        <w:t xml:space="preserve">(24), 1451–1462. </w:t>
      </w:r>
      <w:hyperlink r:id="rId17" w:tgtFrame="_new" w:history="1">
        <w:r w:rsidRPr="00450081">
          <w:rPr>
            <w:rStyle w:val="bzpyqfadein"/>
            <w:rFonts w:eastAsiaTheme="majorEastAsia"/>
            <w:color w:val="000000" w:themeColor="text1"/>
            <w:u w:val="single"/>
          </w:rPr>
          <w:t>https://doi.org/10.1136/bjsports-2020-102955</w:t>
        </w:r>
      </w:hyperlink>
    </w:p>
    <w:p w14:paraId="2CA5EA88"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Bull, F. C., Maslin, T. S., &amp; Armstrong, T. (2009). Global Physical Activity Questionnaire (GPAQ): Nine-country reliability and validity study. </w:t>
      </w:r>
      <w:r w:rsidRPr="00450081">
        <w:rPr>
          <w:rStyle w:val="bzpyqfadein"/>
          <w:rFonts w:eastAsiaTheme="majorEastAsia"/>
          <w:i/>
          <w:iCs/>
          <w:color w:val="000000" w:themeColor="text1"/>
        </w:rPr>
        <w:t>Journal of Physical Activity and Health, 6</w:t>
      </w:r>
      <w:r w:rsidRPr="00450081">
        <w:rPr>
          <w:rStyle w:val="bzpyqfadein"/>
          <w:rFonts w:eastAsiaTheme="majorEastAsia"/>
          <w:color w:val="000000" w:themeColor="text1"/>
        </w:rPr>
        <w:t>(6), 790–804.</w:t>
      </w:r>
    </w:p>
    <w:p w14:paraId="74232A8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Caspersen, C. J., Powell, K. E., &amp; Christenson, G. M. (1985). Definitions and distinctions of physical activity, exercise, and physical fitness for health-related research. </w:t>
      </w:r>
      <w:r w:rsidRPr="00450081">
        <w:rPr>
          <w:rStyle w:val="bzpyqfadein"/>
          <w:rFonts w:eastAsiaTheme="majorEastAsia"/>
          <w:i/>
          <w:iCs/>
          <w:color w:val="000000" w:themeColor="text1"/>
        </w:rPr>
        <w:t>Public Health Reports, 100</w:t>
      </w:r>
      <w:r w:rsidRPr="00450081">
        <w:rPr>
          <w:rStyle w:val="bzpyqfadein"/>
          <w:rFonts w:eastAsiaTheme="majorEastAsia"/>
          <w:color w:val="000000" w:themeColor="text1"/>
        </w:rPr>
        <w:t>(2), 126–131.</w:t>
      </w:r>
    </w:p>
    <w:p w14:paraId="0422CBE5"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Castro, O., Bennie, J., Vergeer, I., &amp; Biddle, S. (2020). Sedentary </w:t>
      </w:r>
      <w:proofErr w:type="spellStart"/>
      <w:r w:rsidRPr="00450081">
        <w:rPr>
          <w:rStyle w:val="bzpyqfadein"/>
          <w:rFonts w:eastAsiaTheme="majorEastAsia"/>
          <w:color w:val="000000" w:themeColor="text1"/>
        </w:rPr>
        <w:t>behaviour</w:t>
      </w:r>
      <w:proofErr w:type="spellEnd"/>
      <w:r w:rsidRPr="00450081">
        <w:rPr>
          <w:rStyle w:val="bzpyqfadein"/>
          <w:rFonts w:eastAsiaTheme="majorEastAsia"/>
          <w:color w:val="000000" w:themeColor="text1"/>
        </w:rPr>
        <w:t xml:space="preserve"> and physical activity in university students: A systematic review. </w:t>
      </w:r>
      <w:r w:rsidRPr="00450081">
        <w:rPr>
          <w:rStyle w:val="bzpyqfadein"/>
          <w:rFonts w:eastAsiaTheme="majorEastAsia"/>
          <w:i/>
          <w:iCs/>
          <w:color w:val="000000" w:themeColor="text1"/>
        </w:rPr>
        <w:t>Preventive Medicine, 136</w:t>
      </w:r>
      <w:r w:rsidRPr="00450081">
        <w:rPr>
          <w:rStyle w:val="bzpyqfadein"/>
          <w:rFonts w:eastAsiaTheme="majorEastAsia"/>
          <w:color w:val="000000" w:themeColor="text1"/>
        </w:rPr>
        <w:t xml:space="preserve">, 106114. </w:t>
      </w:r>
      <w:hyperlink r:id="rId18" w:tgtFrame="_new" w:history="1">
        <w:r w:rsidRPr="00450081">
          <w:rPr>
            <w:rStyle w:val="bzpyqfadein"/>
            <w:rFonts w:eastAsiaTheme="majorEastAsia"/>
            <w:color w:val="000000" w:themeColor="text1"/>
            <w:u w:val="single"/>
          </w:rPr>
          <w:t>https://doi.org/10.1016/j.ypmed.2020.106114</w:t>
        </w:r>
      </w:hyperlink>
    </w:p>
    <w:p w14:paraId="45F4BDAC"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Chan, K., &amp; Ryan, D. (2009). Assessing the influence of environmental factors on physical activity participation. </w:t>
      </w:r>
      <w:r w:rsidRPr="00450081">
        <w:rPr>
          <w:rStyle w:val="bzpyqfadein"/>
          <w:rFonts w:eastAsiaTheme="majorEastAsia"/>
          <w:i/>
          <w:iCs/>
          <w:color w:val="000000" w:themeColor="text1"/>
        </w:rPr>
        <w:t>Journal of Physical Activity and Health, 6</w:t>
      </w:r>
      <w:r w:rsidRPr="00450081">
        <w:rPr>
          <w:rStyle w:val="bzpyqfadein"/>
          <w:rFonts w:eastAsiaTheme="majorEastAsia"/>
          <w:color w:val="000000" w:themeColor="text1"/>
        </w:rPr>
        <w:t>(Suppl 2), S180–S192.</w:t>
      </w:r>
    </w:p>
    <w:p w14:paraId="591D532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Chan, K., Ryan, D., &amp; Tudor-Locke, C. (2019). Associations of physical activity with stress and depression among youth. </w:t>
      </w:r>
      <w:r w:rsidRPr="00450081">
        <w:rPr>
          <w:rStyle w:val="bzpyqfadein"/>
          <w:rFonts w:eastAsiaTheme="majorEastAsia"/>
          <w:i/>
          <w:iCs/>
          <w:color w:val="000000" w:themeColor="text1"/>
        </w:rPr>
        <w:t>Journal of Adolescent Health, 65</w:t>
      </w:r>
      <w:r w:rsidRPr="00450081">
        <w:rPr>
          <w:rStyle w:val="bzpyqfadein"/>
          <w:rFonts w:eastAsiaTheme="majorEastAsia"/>
          <w:color w:val="000000" w:themeColor="text1"/>
        </w:rPr>
        <w:t>(1), 122–129.</w:t>
      </w:r>
    </w:p>
    <w:p w14:paraId="550B55E2"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Chaput, J.-P., et al. (2020). Physical activity guidelines for health. </w:t>
      </w:r>
      <w:r w:rsidRPr="00450081">
        <w:rPr>
          <w:rStyle w:val="bzpyqfadein"/>
          <w:rFonts w:eastAsiaTheme="majorEastAsia"/>
          <w:i/>
          <w:iCs/>
          <w:color w:val="000000" w:themeColor="text1"/>
        </w:rPr>
        <w:t>Applied Physiology, Nutrition, and Metabolism, 45</w:t>
      </w:r>
      <w:r w:rsidRPr="00450081">
        <w:rPr>
          <w:rStyle w:val="bzpyqfadein"/>
          <w:rFonts w:eastAsiaTheme="majorEastAsia"/>
          <w:color w:val="000000" w:themeColor="text1"/>
        </w:rPr>
        <w:t>(9), S1–S74.</w:t>
      </w:r>
    </w:p>
    <w:p w14:paraId="2EEA95B8"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Chau, J. Y., van der Ploeg, H. P., van Uffelen, J. G., Wong, J., </w:t>
      </w:r>
      <w:proofErr w:type="spellStart"/>
      <w:r w:rsidRPr="00450081">
        <w:rPr>
          <w:rStyle w:val="bzpyqfadein"/>
          <w:rFonts w:eastAsiaTheme="majorEastAsia"/>
          <w:color w:val="000000" w:themeColor="text1"/>
        </w:rPr>
        <w:t>Riphagen</w:t>
      </w:r>
      <w:proofErr w:type="spellEnd"/>
      <w:r w:rsidRPr="00450081">
        <w:rPr>
          <w:rStyle w:val="bzpyqfadein"/>
          <w:rFonts w:eastAsiaTheme="majorEastAsia"/>
          <w:color w:val="000000" w:themeColor="text1"/>
        </w:rPr>
        <w:t xml:space="preserve">, I., Healy, G. N., … Owen, N. (2020). Are workplace interventions to reduce sitting effective? A systematic review. </w:t>
      </w:r>
      <w:r w:rsidRPr="00450081">
        <w:rPr>
          <w:rStyle w:val="bzpyqfadein"/>
          <w:rFonts w:eastAsiaTheme="majorEastAsia"/>
          <w:i/>
          <w:iCs/>
          <w:color w:val="000000" w:themeColor="text1"/>
        </w:rPr>
        <w:t>Preventive Medicine, 122</w:t>
      </w:r>
      <w:r w:rsidRPr="00450081">
        <w:rPr>
          <w:rStyle w:val="bzpyqfadein"/>
          <w:rFonts w:eastAsiaTheme="majorEastAsia"/>
          <w:color w:val="000000" w:themeColor="text1"/>
        </w:rPr>
        <w:t xml:space="preserve">, 113–123. </w:t>
      </w:r>
      <w:hyperlink r:id="rId19" w:tgtFrame="_new" w:history="1">
        <w:r w:rsidRPr="00450081">
          <w:rPr>
            <w:rStyle w:val="bzpyqfadein"/>
            <w:rFonts w:eastAsiaTheme="majorEastAsia"/>
            <w:color w:val="000000" w:themeColor="text1"/>
            <w:u w:val="single"/>
          </w:rPr>
          <w:t>https://doi.org/10.1016/j.ypmed.2019.09.025</w:t>
        </w:r>
      </w:hyperlink>
    </w:p>
    <w:p w14:paraId="787E8CC8"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Chinyere, C., &amp; </w:t>
      </w:r>
      <w:proofErr w:type="spellStart"/>
      <w:r w:rsidRPr="00450081">
        <w:rPr>
          <w:rStyle w:val="bzpyqfadein"/>
          <w:rFonts w:eastAsiaTheme="majorEastAsia"/>
          <w:color w:val="000000" w:themeColor="text1"/>
        </w:rPr>
        <w:t>Aondoyima</w:t>
      </w:r>
      <w:proofErr w:type="spellEnd"/>
      <w:r w:rsidRPr="00450081">
        <w:rPr>
          <w:rStyle w:val="bzpyqfadein"/>
          <w:rFonts w:eastAsiaTheme="majorEastAsia"/>
          <w:color w:val="000000" w:themeColor="text1"/>
        </w:rPr>
        <w:t xml:space="preserve">, I. (2018). Physical activity and cardiovascular health: Evidence from adult populations. </w:t>
      </w:r>
      <w:r w:rsidRPr="00450081">
        <w:rPr>
          <w:rStyle w:val="bzpyqfadein"/>
          <w:rFonts w:eastAsiaTheme="majorEastAsia"/>
          <w:i/>
          <w:iCs/>
          <w:color w:val="000000" w:themeColor="text1"/>
        </w:rPr>
        <w:t>Cardiovascular Journal of Africa, 29</w:t>
      </w:r>
      <w:r w:rsidRPr="00450081">
        <w:rPr>
          <w:rStyle w:val="bzpyqfadein"/>
          <w:rFonts w:eastAsiaTheme="majorEastAsia"/>
          <w:color w:val="000000" w:themeColor="text1"/>
        </w:rPr>
        <w:t>(6), 365–371.</w:t>
      </w:r>
    </w:p>
    <w:p w14:paraId="29EBC5CD"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lastRenderedPageBreak/>
        <w:t>Chukhlantseva</w:t>
      </w:r>
      <w:proofErr w:type="spellEnd"/>
      <w:r w:rsidRPr="00450081">
        <w:rPr>
          <w:rStyle w:val="bzpyqfadein"/>
          <w:rFonts w:eastAsiaTheme="majorEastAsia"/>
          <w:color w:val="000000" w:themeColor="text1"/>
        </w:rPr>
        <w:t xml:space="preserve">, O. (2022). Study on university physical activity patterns. </w:t>
      </w:r>
      <w:r w:rsidRPr="00450081">
        <w:rPr>
          <w:rStyle w:val="bzpyqfadein"/>
          <w:rFonts w:eastAsiaTheme="majorEastAsia"/>
          <w:i/>
          <w:iCs/>
          <w:color w:val="000000" w:themeColor="text1"/>
        </w:rPr>
        <w:t>European Journal of Sport Studies.</w:t>
      </w:r>
    </w:p>
    <w:p w14:paraId="551007BD"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Corder, K., et al. (2010). Gender differences in physical activity levels among youth. </w:t>
      </w:r>
      <w:r w:rsidRPr="00450081">
        <w:rPr>
          <w:rStyle w:val="bzpyqfadein"/>
          <w:rFonts w:eastAsiaTheme="majorEastAsia"/>
          <w:i/>
          <w:iCs/>
          <w:color w:val="000000" w:themeColor="text1"/>
        </w:rPr>
        <w:t>Pediatric Exercise Science, 22</w:t>
      </w:r>
      <w:r w:rsidRPr="00450081">
        <w:rPr>
          <w:rStyle w:val="bzpyqfadein"/>
          <w:rFonts w:eastAsiaTheme="majorEastAsia"/>
          <w:color w:val="000000" w:themeColor="text1"/>
        </w:rPr>
        <w:t>(1), 14–26.</w:t>
      </w:r>
    </w:p>
    <w:p w14:paraId="6305B55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Cruz, J. (2019). Barriers and preferences for physical activity among university staff. </w:t>
      </w:r>
      <w:r w:rsidRPr="00450081">
        <w:rPr>
          <w:rStyle w:val="bzpyqfadein"/>
          <w:rFonts w:eastAsiaTheme="majorEastAsia"/>
          <w:i/>
          <w:iCs/>
          <w:color w:val="000000" w:themeColor="text1"/>
        </w:rPr>
        <w:t>Philippine Journal of Health, 9</w:t>
      </w:r>
      <w:r w:rsidRPr="00450081">
        <w:rPr>
          <w:rStyle w:val="bzpyqfadein"/>
          <w:rFonts w:eastAsiaTheme="majorEastAsia"/>
          <w:color w:val="000000" w:themeColor="text1"/>
        </w:rPr>
        <w:t>(2), 45–57.</w:t>
      </w:r>
    </w:p>
    <w:p w14:paraId="6D0A1EEB"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Dąbrowska</w:t>
      </w:r>
      <w:proofErr w:type="spellEnd"/>
      <w:r w:rsidRPr="00450081">
        <w:rPr>
          <w:rStyle w:val="bzpyqfadein"/>
          <w:rFonts w:eastAsiaTheme="majorEastAsia"/>
          <w:color w:val="000000" w:themeColor="text1"/>
        </w:rPr>
        <w:t xml:space="preserve">-Galas, M., et al. (2013). Physical activity levels among medical students. </w:t>
      </w:r>
      <w:r w:rsidRPr="00450081">
        <w:rPr>
          <w:rStyle w:val="bzpyqfadein"/>
          <w:rFonts w:eastAsiaTheme="majorEastAsia"/>
          <w:i/>
          <w:iCs/>
          <w:color w:val="000000" w:themeColor="text1"/>
        </w:rPr>
        <w:t>Medical Science Monitor, 19</w:t>
      </w:r>
      <w:r w:rsidRPr="00450081">
        <w:rPr>
          <w:rStyle w:val="bzpyqfadein"/>
          <w:rFonts w:eastAsiaTheme="majorEastAsia"/>
          <w:color w:val="000000" w:themeColor="text1"/>
        </w:rPr>
        <w:t>, 1102–1109.</w:t>
      </w:r>
    </w:p>
    <w:p w14:paraId="3851218C"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Deliens</w:t>
      </w:r>
      <w:proofErr w:type="spellEnd"/>
      <w:r w:rsidRPr="00450081">
        <w:rPr>
          <w:rStyle w:val="bzpyqfadein"/>
          <w:rFonts w:eastAsiaTheme="majorEastAsia"/>
          <w:color w:val="000000" w:themeColor="text1"/>
        </w:rPr>
        <w:t xml:space="preserve">, T., Clarys, P., </w:t>
      </w:r>
      <w:proofErr w:type="spellStart"/>
      <w:r w:rsidRPr="00450081">
        <w:rPr>
          <w:rStyle w:val="bzpyqfadein"/>
          <w:rFonts w:eastAsiaTheme="majorEastAsia"/>
          <w:color w:val="000000" w:themeColor="text1"/>
        </w:rPr>
        <w:t>Bourdeaudhuij</w:t>
      </w:r>
      <w:proofErr w:type="spellEnd"/>
      <w:r w:rsidRPr="00450081">
        <w:rPr>
          <w:rStyle w:val="bzpyqfadein"/>
          <w:rFonts w:eastAsiaTheme="majorEastAsia"/>
          <w:color w:val="000000" w:themeColor="text1"/>
        </w:rPr>
        <w:t xml:space="preserve">, I. D., &amp; </w:t>
      </w:r>
      <w:proofErr w:type="spellStart"/>
      <w:r w:rsidRPr="00450081">
        <w:rPr>
          <w:rStyle w:val="bzpyqfadein"/>
          <w:rFonts w:eastAsiaTheme="majorEastAsia"/>
          <w:color w:val="000000" w:themeColor="text1"/>
        </w:rPr>
        <w:t>Deforche</w:t>
      </w:r>
      <w:proofErr w:type="spellEnd"/>
      <w:r w:rsidRPr="00450081">
        <w:rPr>
          <w:rStyle w:val="bzpyqfadein"/>
          <w:rFonts w:eastAsiaTheme="majorEastAsia"/>
          <w:color w:val="000000" w:themeColor="text1"/>
        </w:rPr>
        <w:t xml:space="preserve">, B. (2015). Determinants of physical activity and sedentary </w:t>
      </w:r>
      <w:proofErr w:type="spellStart"/>
      <w:r w:rsidRPr="00450081">
        <w:rPr>
          <w:rStyle w:val="bzpyqfadein"/>
          <w:rFonts w:eastAsiaTheme="majorEastAsia"/>
          <w:color w:val="000000" w:themeColor="text1"/>
        </w:rPr>
        <w:t>behaviour</w:t>
      </w:r>
      <w:proofErr w:type="spellEnd"/>
      <w:r w:rsidRPr="00450081">
        <w:rPr>
          <w:rStyle w:val="bzpyqfadein"/>
          <w:rFonts w:eastAsiaTheme="majorEastAsia"/>
          <w:color w:val="000000" w:themeColor="text1"/>
        </w:rPr>
        <w:t xml:space="preserve"> in university students: A qualitative study using focus group discussions. </w:t>
      </w:r>
      <w:r w:rsidRPr="00450081">
        <w:rPr>
          <w:rStyle w:val="bzpyqfadein"/>
          <w:rFonts w:eastAsiaTheme="majorEastAsia"/>
          <w:i/>
          <w:iCs/>
          <w:color w:val="000000" w:themeColor="text1"/>
        </w:rPr>
        <w:t>BMC Public Health, 15</w:t>
      </w:r>
      <w:r w:rsidRPr="00450081">
        <w:rPr>
          <w:rStyle w:val="bzpyqfadein"/>
          <w:rFonts w:eastAsiaTheme="majorEastAsia"/>
          <w:color w:val="000000" w:themeColor="text1"/>
        </w:rPr>
        <w:t xml:space="preserve">, 201. </w:t>
      </w:r>
      <w:hyperlink r:id="rId20" w:tgtFrame="_new" w:history="1">
        <w:r w:rsidRPr="00450081">
          <w:rPr>
            <w:rStyle w:val="bzpyqfadein"/>
            <w:rFonts w:eastAsiaTheme="majorEastAsia"/>
            <w:color w:val="000000" w:themeColor="text1"/>
            <w:u w:val="single"/>
          </w:rPr>
          <w:t>https://doi.org/10.1186/s12889-015-1553-4</w:t>
        </w:r>
      </w:hyperlink>
    </w:p>
    <w:p w14:paraId="1B80BB39"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Dhuli</w:t>
      </w:r>
      <w:proofErr w:type="spellEnd"/>
      <w:r w:rsidRPr="00450081">
        <w:rPr>
          <w:rStyle w:val="bzpyqfadein"/>
          <w:rFonts w:eastAsiaTheme="majorEastAsia"/>
          <w:color w:val="000000" w:themeColor="text1"/>
        </w:rPr>
        <w:t xml:space="preserve">, R., et al. (2022). Physical activity and non-communicable disease prevention. </w:t>
      </w:r>
      <w:r w:rsidRPr="00450081">
        <w:rPr>
          <w:rStyle w:val="bzpyqfadein"/>
          <w:rFonts w:eastAsiaTheme="majorEastAsia"/>
          <w:i/>
          <w:iCs/>
          <w:color w:val="000000" w:themeColor="text1"/>
        </w:rPr>
        <w:t>Global Health Journal, 16</w:t>
      </w:r>
      <w:r w:rsidRPr="00450081">
        <w:rPr>
          <w:rStyle w:val="bzpyqfadein"/>
          <w:rFonts w:eastAsiaTheme="majorEastAsia"/>
          <w:color w:val="000000" w:themeColor="text1"/>
        </w:rPr>
        <w:t>(3), 210–220.</w:t>
      </w:r>
    </w:p>
    <w:p w14:paraId="349B387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Ding, D., et al. (2016). The economic burden of physical inactivity: Global estimates. </w:t>
      </w:r>
      <w:r w:rsidRPr="00450081">
        <w:rPr>
          <w:rStyle w:val="bzpyqfadein"/>
          <w:rFonts w:eastAsiaTheme="majorEastAsia"/>
          <w:i/>
          <w:iCs/>
          <w:color w:val="000000" w:themeColor="text1"/>
        </w:rPr>
        <w:t>Lancet Global Health, 4</w:t>
      </w:r>
      <w:r w:rsidRPr="00450081">
        <w:rPr>
          <w:rStyle w:val="bzpyqfadein"/>
          <w:rFonts w:eastAsiaTheme="majorEastAsia"/>
          <w:color w:val="000000" w:themeColor="text1"/>
        </w:rPr>
        <w:t>(7), e473–e484.</w:t>
      </w:r>
    </w:p>
    <w:p w14:paraId="41D34238"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Ding, D., Gebel, K., &amp; Bauman, A. (2019). Active transport in university students: International trends, patterns, and determinants. </w:t>
      </w:r>
      <w:r w:rsidRPr="00450081">
        <w:rPr>
          <w:rStyle w:val="bzpyqfadein"/>
          <w:rFonts w:eastAsiaTheme="majorEastAsia"/>
          <w:i/>
          <w:iCs/>
          <w:color w:val="000000" w:themeColor="text1"/>
        </w:rPr>
        <w:t>Journal of Transport &amp; Health, 12</w:t>
      </w:r>
      <w:r w:rsidRPr="00450081">
        <w:rPr>
          <w:rStyle w:val="bzpyqfadein"/>
          <w:rFonts w:eastAsiaTheme="majorEastAsia"/>
          <w:color w:val="000000" w:themeColor="text1"/>
        </w:rPr>
        <w:t xml:space="preserve">, 161–170. </w:t>
      </w:r>
      <w:hyperlink r:id="rId21" w:tgtFrame="_new" w:history="1">
        <w:r w:rsidRPr="00450081">
          <w:rPr>
            <w:rStyle w:val="bzpyqfadein"/>
            <w:rFonts w:eastAsiaTheme="majorEastAsia"/>
            <w:color w:val="000000" w:themeColor="text1"/>
            <w:u w:val="single"/>
          </w:rPr>
          <w:t>https://doi.org/10.1016/j.jth.2018.11.001</w:t>
        </w:r>
      </w:hyperlink>
    </w:p>
    <w:p w14:paraId="60A02F44"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Dostálová, J., et al. (2021). Physical activity and cognitive function: A systematic review. </w:t>
      </w:r>
      <w:r w:rsidRPr="00450081">
        <w:rPr>
          <w:rStyle w:val="bzpyqfadein"/>
          <w:rFonts w:eastAsiaTheme="majorEastAsia"/>
          <w:i/>
          <w:iCs/>
          <w:color w:val="000000" w:themeColor="text1"/>
        </w:rPr>
        <w:t>Neuroscience &amp; Biobehavioral Reviews, 120</w:t>
      </w:r>
      <w:r w:rsidRPr="00450081">
        <w:rPr>
          <w:rStyle w:val="bzpyqfadein"/>
          <w:rFonts w:eastAsiaTheme="majorEastAsia"/>
          <w:color w:val="000000" w:themeColor="text1"/>
        </w:rPr>
        <w:t>, 1–12.</w:t>
      </w:r>
    </w:p>
    <w:p w14:paraId="7C422422"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Dumith</w:t>
      </w:r>
      <w:proofErr w:type="spellEnd"/>
      <w:r w:rsidRPr="00450081">
        <w:rPr>
          <w:rStyle w:val="bzpyqfadein"/>
          <w:rFonts w:eastAsiaTheme="majorEastAsia"/>
          <w:color w:val="000000" w:themeColor="text1"/>
        </w:rPr>
        <w:t xml:space="preserve">, S. C., Hallal, P. C., Reis, R. S., &amp; Kohl, H. W. (2011). Worldwide prevalence of physical inactivity and its association with human development index in 76 countries. </w:t>
      </w:r>
      <w:r w:rsidRPr="00450081">
        <w:rPr>
          <w:rStyle w:val="bzpyqfadein"/>
          <w:rFonts w:eastAsiaTheme="majorEastAsia"/>
          <w:i/>
          <w:iCs/>
          <w:color w:val="000000" w:themeColor="text1"/>
        </w:rPr>
        <w:t>Preventive Medicine, 53</w:t>
      </w:r>
      <w:r w:rsidRPr="00450081">
        <w:rPr>
          <w:rStyle w:val="bzpyqfadein"/>
          <w:rFonts w:eastAsiaTheme="majorEastAsia"/>
          <w:color w:val="000000" w:themeColor="text1"/>
        </w:rPr>
        <w:t xml:space="preserve">(1–2), 24–28. </w:t>
      </w:r>
      <w:hyperlink r:id="rId22" w:tgtFrame="_new" w:history="1">
        <w:r w:rsidRPr="00450081">
          <w:rPr>
            <w:rStyle w:val="bzpyqfadein"/>
            <w:rFonts w:eastAsiaTheme="majorEastAsia"/>
            <w:color w:val="000000" w:themeColor="text1"/>
            <w:u w:val="single"/>
          </w:rPr>
          <w:t>https://doi.org/10.1016/j.ypmed.2011.03.010</w:t>
        </w:r>
      </w:hyperlink>
    </w:p>
    <w:p w14:paraId="107123CA"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Edwardson, C. L., Maylor, B. D., Biddle, S. J. H., Davies, M. J., Dunstan, D. W., Healy, G. N., … </w:t>
      </w:r>
      <w:proofErr w:type="spellStart"/>
      <w:r w:rsidRPr="00450081">
        <w:rPr>
          <w:rStyle w:val="bzpyqfadein"/>
          <w:rFonts w:eastAsiaTheme="majorEastAsia"/>
          <w:color w:val="000000" w:themeColor="text1"/>
        </w:rPr>
        <w:t>Gorely</w:t>
      </w:r>
      <w:proofErr w:type="spellEnd"/>
      <w:r w:rsidRPr="00450081">
        <w:rPr>
          <w:rStyle w:val="bzpyqfadein"/>
          <w:rFonts w:eastAsiaTheme="majorEastAsia"/>
          <w:color w:val="000000" w:themeColor="text1"/>
        </w:rPr>
        <w:t xml:space="preserve">, T. (2023). Participant and workplace champion experiences of an intervention designed to reduce sitting time in </w:t>
      </w:r>
      <w:proofErr w:type="gramStart"/>
      <w:r w:rsidRPr="00450081">
        <w:rPr>
          <w:rStyle w:val="bzpyqfadein"/>
          <w:rFonts w:eastAsiaTheme="majorEastAsia"/>
          <w:color w:val="000000" w:themeColor="text1"/>
        </w:rPr>
        <w:t>desk based</w:t>
      </w:r>
      <w:proofErr w:type="gramEnd"/>
      <w:r w:rsidRPr="00450081">
        <w:rPr>
          <w:rStyle w:val="bzpyqfadein"/>
          <w:rFonts w:eastAsiaTheme="majorEastAsia"/>
          <w:color w:val="000000" w:themeColor="text1"/>
        </w:rPr>
        <w:t xml:space="preserve"> workers: SMART work &amp; life. </w:t>
      </w:r>
      <w:r w:rsidRPr="00450081">
        <w:rPr>
          <w:rStyle w:val="bzpyqfadein"/>
          <w:rFonts w:eastAsiaTheme="majorEastAsia"/>
          <w:i/>
          <w:iCs/>
          <w:color w:val="000000" w:themeColor="text1"/>
        </w:rPr>
        <w:t>International Journal of Behavioral Nutrition and Physical Activity, 20</w:t>
      </w:r>
      <w:r w:rsidRPr="00450081">
        <w:rPr>
          <w:rStyle w:val="bzpyqfadein"/>
          <w:rFonts w:eastAsiaTheme="majorEastAsia"/>
          <w:color w:val="000000" w:themeColor="text1"/>
        </w:rPr>
        <w:t xml:space="preserve">, 142. </w:t>
      </w:r>
      <w:hyperlink r:id="rId23" w:tgtFrame="_new" w:history="1">
        <w:r w:rsidRPr="00450081">
          <w:rPr>
            <w:rStyle w:val="bzpyqfadein"/>
            <w:rFonts w:eastAsiaTheme="majorEastAsia"/>
            <w:color w:val="000000" w:themeColor="text1"/>
            <w:u w:val="single"/>
          </w:rPr>
          <w:t>https://doi.org/10.1186/s12966-023-01539-6</w:t>
        </w:r>
      </w:hyperlink>
    </w:p>
    <w:p w14:paraId="5F76C48A"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Edwardson, C. L., Yates, T., Biddle, S. J., Davies, M. J., Dunstan, D. W., </w:t>
      </w:r>
      <w:proofErr w:type="spellStart"/>
      <w:r w:rsidRPr="00450081">
        <w:rPr>
          <w:rStyle w:val="bzpyqfadein"/>
          <w:rFonts w:eastAsiaTheme="majorEastAsia"/>
          <w:color w:val="000000" w:themeColor="text1"/>
        </w:rPr>
        <w:t>Esliger</w:t>
      </w:r>
      <w:proofErr w:type="spellEnd"/>
      <w:r w:rsidRPr="00450081">
        <w:rPr>
          <w:rStyle w:val="bzpyqfadein"/>
          <w:rFonts w:eastAsiaTheme="majorEastAsia"/>
          <w:color w:val="000000" w:themeColor="text1"/>
        </w:rPr>
        <w:t xml:space="preserve">, D. W., … </w:t>
      </w:r>
      <w:proofErr w:type="spellStart"/>
      <w:r w:rsidRPr="00450081">
        <w:rPr>
          <w:rStyle w:val="bzpyqfadein"/>
          <w:rFonts w:eastAsiaTheme="majorEastAsia"/>
          <w:color w:val="000000" w:themeColor="text1"/>
        </w:rPr>
        <w:t>Gorely</w:t>
      </w:r>
      <w:proofErr w:type="spellEnd"/>
      <w:r w:rsidRPr="00450081">
        <w:rPr>
          <w:rStyle w:val="bzpyqfadein"/>
          <w:rFonts w:eastAsiaTheme="majorEastAsia"/>
          <w:color w:val="000000" w:themeColor="text1"/>
        </w:rPr>
        <w:t xml:space="preserve">, T. (2018). Effects of breaks in sedentary time on cardiometabolic risk markers: A systematic review. </w:t>
      </w:r>
      <w:r w:rsidRPr="00450081">
        <w:rPr>
          <w:rStyle w:val="bzpyqfadein"/>
          <w:rFonts w:eastAsiaTheme="majorEastAsia"/>
          <w:i/>
          <w:iCs/>
          <w:color w:val="000000" w:themeColor="text1"/>
        </w:rPr>
        <w:t>Preventive Medicine, 113</w:t>
      </w:r>
      <w:r w:rsidRPr="00450081">
        <w:rPr>
          <w:rStyle w:val="bzpyqfadein"/>
          <w:rFonts w:eastAsiaTheme="majorEastAsia"/>
          <w:color w:val="000000" w:themeColor="text1"/>
        </w:rPr>
        <w:t xml:space="preserve">, 138–149. </w:t>
      </w:r>
      <w:hyperlink r:id="rId24" w:tgtFrame="_new" w:history="1">
        <w:r w:rsidRPr="00450081">
          <w:rPr>
            <w:rStyle w:val="bzpyqfadein"/>
            <w:rFonts w:eastAsiaTheme="majorEastAsia"/>
            <w:color w:val="000000" w:themeColor="text1"/>
            <w:u w:val="single"/>
          </w:rPr>
          <w:t>https://doi.org/10.1016/j.ypmed.2018.05.016</w:t>
        </w:r>
      </w:hyperlink>
    </w:p>
    <w:p w14:paraId="6A5EB8E6"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Ekelund, U., Tarp, J., Steene Johannessen, J., Hansen, B. H., Jefferis, B. J., Fagerland, M. W., … Lee, I. M. (2019). Dose response associations between accelerometry measured physical activity and sedentary time and </w:t>
      </w:r>
      <w:proofErr w:type="spellStart"/>
      <w:r w:rsidRPr="00450081">
        <w:rPr>
          <w:rStyle w:val="bzpyqfadein"/>
          <w:rFonts w:eastAsiaTheme="majorEastAsia"/>
          <w:color w:val="000000" w:themeColor="text1"/>
        </w:rPr>
        <w:t>all cause</w:t>
      </w:r>
      <w:proofErr w:type="spellEnd"/>
      <w:r w:rsidRPr="00450081">
        <w:rPr>
          <w:rStyle w:val="bzpyqfadein"/>
          <w:rFonts w:eastAsiaTheme="majorEastAsia"/>
          <w:color w:val="000000" w:themeColor="text1"/>
        </w:rPr>
        <w:t xml:space="preserve"> mortality: Systematic review and </w:t>
      </w:r>
      <w:proofErr w:type="spellStart"/>
      <w:r w:rsidRPr="00450081">
        <w:rPr>
          <w:rStyle w:val="bzpyqfadein"/>
          <w:rFonts w:eastAsiaTheme="majorEastAsia"/>
          <w:color w:val="000000" w:themeColor="text1"/>
        </w:rPr>
        <w:t>harmonised</w:t>
      </w:r>
      <w:proofErr w:type="spellEnd"/>
      <w:r w:rsidRPr="00450081">
        <w:rPr>
          <w:rStyle w:val="bzpyqfadein"/>
          <w:rFonts w:eastAsiaTheme="majorEastAsia"/>
          <w:color w:val="000000" w:themeColor="text1"/>
        </w:rPr>
        <w:t xml:space="preserve"> </w:t>
      </w:r>
      <w:proofErr w:type="spellStart"/>
      <w:proofErr w:type="gramStart"/>
      <w:r w:rsidRPr="00450081">
        <w:rPr>
          <w:rStyle w:val="bzpyqfadein"/>
          <w:rFonts w:eastAsiaTheme="majorEastAsia"/>
          <w:color w:val="000000" w:themeColor="text1"/>
        </w:rPr>
        <w:t>meta analysis</w:t>
      </w:r>
      <w:proofErr w:type="spellEnd"/>
      <w:proofErr w:type="gramEnd"/>
      <w:r w:rsidRPr="00450081">
        <w:rPr>
          <w:rStyle w:val="bzpyqfadein"/>
          <w:rFonts w:eastAsiaTheme="majorEastAsia"/>
          <w:color w:val="000000" w:themeColor="text1"/>
        </w:rPr>
        <w:t xml:space="preserve">. </w:t>
      </w:r>
      <w:r w:rsidRPr="00450081">
        <w:rPr>
          <w:rStyle w:val="bzpyqfadein"/>
          <w:rFonts w:eastAsiaTheme="majorEastAsia"/>
          <w:i/>
          <w:iCs/>
          <w:color w:val="000000" w:themeColor="text1"/>
        </w:rPr>
        <w:t>BMJ, 366</w:t>
      </w:r>
      <w:r w:rsidRPr="00450081">
        <w:rPr>
          <w:rStyle w:val="bzpyqfadein"/>
          <w:rFonts w:eastAsiaTheme="majorEastAsia"/>
          <w:color w:val="000000" w:themeColor="text1"/>
        </w:rPr>
        <w:t xml:space="preserve">, l4570. </w:t>
      </w:r>
      <w:hyperlink r:id="rId25" w:tgtFrame="_new" w:history="1">
        <w:r w:rsidRPr="00450081">
          <w:rPr>
            <w:rStyle w:val="bzpyqfadein"/>
            <w:rFonts w:eastAsiaTheme="majorEastAsia"/>
            <w:color w:val="000000" w:themeColor="text1"/>
            <w:u w:val="single"/>
          </w:rPr>
          <w:t>https://doi.org/10.1136/bmj.l4570</w:t>
        </w:r>
      </w:hyperlink>
    </w:p>
    <w:p w14:paraId="4EE8366E"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lastRenderedPageBreak/>
        <w:t xml:space="preserve">Elmahgoub, S., Osman, M., &amp; Ahmed, E. (2025). Occupational physical activity and health outcomes among university staff. </w:t>
      </w:r>
      <w:r w:rsidRPr="00450081">
        <w:rPr>
          <w:rStyle w:val="bzpyqfadein"/>
          <w:rFonts w:eastAsiaTheme="majorEastAsia"/>
          <w:i/>
          <w:iCs/>
          <w:color w:val="000000" w:themeColor="text1"/>
        </w:rPr>
        <w:t>African Journal of Physical Activity and Health Sciences, 31</w:t>
      </w:r>
      <w:r w:rsidRPr="00450081">
        <w:rPr>
          <w:rStyle w:val="bzpyqfadein"/>
          <w:rFonts w:eastAsiaTheme="majorEastAsia"/>
          <w:color w:val="000000" w:themeColor="text1"/>
        </w:rPr>
        <w:t xml:space="preserve">(1), 45–59. </w:t>
      </w:r>
      <w:hyperlink r:id="rId26" w:tgtFrame="_new" w:history="1">
        <w:r w:rsidRPr="00450081">
          <w:rPr>
            <w:rStyle w:val="bzpyqfadein"/>
            <w:rFonts w:eastAsiaTheme="majorEastAsia"/>
            <w:color w:val="000000" w:themeColor="text1"/>
            <w:u w:val="single"/>
          </w:rPr>
          <w:t>https://doi.org/10.1007/afjphs2025-045</w:t>
        </w:r>
      </w:hyperlink>
    </w:p>
    <w:p w14:paraId="3D7D02DC"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Espada, J. P., Lopez-Sanchez, G. F., Perez-Sousa, M. A., Martinez-Madrid, M., &amp; Chillon, P. (2023). Gender differences in physical activity, motivation, and sedentary behavior in university students. </w:t>
      </w:r>
      <w:r w:rsidRPr="00450081">
        <w:rPr>
          <w:rStyle w:val="bzpyqfadein"/>
          <w:rFonts w:eastAsiaTheme="majorEastAsia"/>
          <w:i/>
          <w:iCs/>
          <w:color w:val="000000" w:themeColor="text1"/>
        </w:rPr>
        <w:t>Journal of Sport and Health Science, 12</w:t>
      </w:r>
      <w:r w:rsidRPr="00450081">
        <w:rPr>
          <w:rStyle w:val="bzpyqfadein"/>
          <w:rFonts w:eastAsiaTheme="majorEastAsia"/>
          <w:color w:val="000000" w:themeColor="text1"/>
        </w:rPr>
        <w:t xml:space="preserve">(1), 85–94. </w:t>
      </w:r>
      <w:hyperlink r:id="rId27" w:tgtFrame="_new" w:history="1">
        <w:r w:rsidRPr="00450081">
          <w:rPr>
            <w:rStyle w:val="bzpyqfadein"/>
            <w:rFonts w:eastAsiaTheme="majorEastAsia"/>
            <w:color w:val="000000" w:themeColor="text1"/>
            <w:u w:val="single"/>
          </w:rPr>
          <w:t>https://doi.org/10.1016/j.jshs.2022.07.005</w:t>
        </w:r>
      </w:hyperlink>
    </w:p>
    <w:p w14:paraId="7FE39725"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FISU. (2020). University sports and physical activity promotion. </w:t>
      </w:r>
      <w:r w:rsidRPr="00450081">
        <w:rPr>
          <w:rStyle w:val="bzpyqfadein"/>
          <w:rFonts w:eastAsiaTheme="majorEastAsia"/>
          <w:i/>
          <w:iCs/>
          <w:color w:val="000000" w:themeColor="text1"/>
        </w:rPr>
        <w:t>International University Sports Federation.</w:t>
      </w:r>
    </w:p>
    <w:p w14:paraId="592A75DA"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Fizikal</w:t>
      </w:r>
      <w:proofErr w:type="spellEnd"/>
      <w:r w:rsidRPr="00450081">
        <w:rPr>
          <w:rStyle w:val="bzpyqfadein"/>
          <w:rFonts w:eastAsiaTheme="majorEastAsia"/>
          <w:color w:val="000000" w:themeColor="text1"/>
        </w:rPr>
        <w:t xml:space="preserve">, R., et al. (2015). Physical activity and quality of life among university staff in Malaysia. </w:t>
      </w:r>
      <w:r w:rsidRPr="00450081">
        <w:rPr>
          <w:rStyle w:val="bzpyqfadein"/>
          <w:rFonts w:eastAsiaTheme="majorEastAsia"/>
          <w:i/>
          <w:iCs/>
          <w:color w:val="000000" w:themeColor="text1"/>
        </w:rPr>
        <w:t>International Journal of Academic Research, 7</w:t>
      </w:r>
      <w:r w:rsidRPr="00450081">
        <w:rPr>
          <w:rStyle w:val="bzpyqfadein"/>
          <w:rFonts w:eastAsiaTheme="majorEastAsia"/>
          <w:color w:val="000000" w:themeColor="text1"/>
        </w:rPr>
        <w:t>(3), 45–56.</w:t>
      </w:r>
    </w:p>
    <w:p w14:paraId="4CF81F82"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Fountaine, C., Piacentini, M., &amp; Liguori, G. (2014). Occupational physical activity among university staff: Challenges and health implications. </w:t>
      </w:r>
      <w:r w:rsidRPr="00450081">
        <w:rPr>
          <w:rStyle w:val="bzpyqfadein"/>
          <w:rFonts w:eastAsiaTheme="majorEastAsia"/>
          <w:i/>
          <w:iCs/>
          <w:color w:val="000000" w:themeColor="text1"/>
        </w:rPr>
        <w:t>Journal of Occupational Health, 56</w:t>
      </w:r>
      <w:r w:rsidRPr="00450081">
        <w:rPr>
          <w:rStyle w:val="bzpyqfadein"/>
          <w:rFonts w:eastAsiaTheme="majorEastAsia"/>
          <w:color w:val="000000" w:themeColor="text1"/>
        </w:rPr>
        <w:t xml:space="preserve">(3), 202–209. </w:t>
      </w:r>
      <w:hyperlink r:id="rId28" w:tgtFrame="_new" w:history="1">
        <w:r w:rsidRPr="00450081">
          <w:rPr>
            <w:rStyle w:val="bzpyqfadein"/>
            <w:rFonts w:eastAsiaTheme="majorEastAsia"/>
            <w:color w:val="000000" w:themeColor="text1"/>
            <w:u w:val="single"/>
          </w:rPr>
          <w:t>https://doi.org/10.1539/joh.13-0227</w:t>
        </w:r>
      </w:hyperlink>
    </w:p>
    <w:p w14:paraId="65DDACF8" w14:textId="77777777" w:rsidR="006947C4" w:rsidRPr="00450081" w:rsidRDefault="006947C4" w:rsidP="006947C4">
      <w:pPr>
        <w:pStyle w:val="NormalWeb"/>
        <w:spacing w:line="276" w:lineRule="auto"/>
        <w:ind w:left="720" w:hanging="720"/>
        <w:jc w:val="both"/>
        <w:rPr>
          <w:rStyle w:val="bzpyqfadein"/>
          <w:rFonts w:eastAsiaTheme="majorEastAsia"/>
          <w:color w:val="000000" w:themeColor="text1"/>
        </w:rPr>
      </w:pPr>
      <w:r w:rsidRPr="00450081">
        <w:rPr>
          <w:rStyle w:val="bzpyqfadein"/>
          <w:rFonts w:eastAsiaTheme="majorEastAsia"/>
          <w:color w:val="000000" w:themeColor="text1"/>
        </w:rPr>
        <w:t xml:space="preserve">Frantz, J., &amp; </w:t>
      </w:r>
      <w:proofErr w:type="spellStart"/>
      <w:r w:rsidRPr="00450081">
        <w:rPr>
          <w:rStyle w:val="bzpyqfadein"/>
          <w:rFonts w:eastAsiaTheme="majorEastAsia"/>
          <w:color w:val="000000" w:themeColor="text1"/>
        </w:rPr>
        <w:t>Ngabare</w:t>
      </w:r>
      <w:proofErr w:type="spellEnd"/>
      <w:r w:rsidRPr="00450081">
        <w:rPr>
          <w:rStyle w:val="bzpyqfadein"/>
          <w:rFonts w:eastAsiaTheme="majorEastAsia"/>
          <w:color w:val="000000" w:themeColor="text1"/>
        </w:rPr>
        <w:t xml:space="preserve">, D. (2013). Physical activity strategies among physiotherapists in Rwanda. </w:t>
      </w:r>
      <w:r w:rsidRPr="00450081">
        <w:rPr>
          <w:rStyle w:val="bzpyqfadein"/>
          <w:rFonts w:eastAsiaTheme="majorEastAsia"/>
          <w:i/>
          <w:iCs/>
          <w:color w:val="000000" w:themeColor="text1"/>
        </w:rPr>
        <w:t>Rwanda Journal of Health Sciences, 2</w:t>
      </w:r>
      <w:r w:rsidRPr="00450081">
        <w:rPr>
          <w:rStyle w:val="bzpyqfadein"/>
          <w:rFonts w:eastAsiaTheme="majorEastAsia"/>
          <w:color w:val="000000" w:themeColor="text1"/>
        </w:rPr>
        <w:t>(1), 12–21.</w:t>
      </w:r>
    </w:p>
    <w:p w14:paraId="044191C5"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Ge, X., et al. (2019). Physical activity and health-related quality of life among Chinese university students. </w:t>
      </w:r>
      <w:r w:rsidRPr="00450081">
        <w:rPr>
          <w:rStyle w:val="bzpyqfadein"/>
          <w:rFonts w:eastAsiaTheme="majorEastAsia"/>
          <w:i/>
          <w:iCs/>
          <w:color w:val="000000" w:themeColor="text1"/>
        </w:rPr>
        <w:t>Frontiers in Public Health, 7</w:t>
      </w:r>
      <w:r w:rsidRPr="00450081">
        <w:rPr>
          <w:rStyle w:val="bzpyqfadein"/>
          <w:rFonts w:eastAsiaTheme="majorEastAsia"/>
          <w:color w:val="000000" w:themeColor="text1"/>
        </w:rPr>
        <w:t>, 319.</w:t>
      </w:r>
    </w:p>
    <w:p w14:paraId="6281E6B7"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Gibson, A. L., Wagner, D. R., &amp; Heyward, V. H. (2021). Sedentary behavior and health outcomes in university students: A longitudinal study. </w:t>
      </w:r>
      <w:r w:rsidRPr="00450081">
        <w:rPr>
          <w:rStyle w:val="bzpyqfadein"/>
          <w:rFonts w:eastAsiaTheme="majorEastAsia"/>
          <w:i/>
          <w:iCs/>
          <w:color w:val="000000" w:themeColor="text1"/>
        </w:rPr>
        <w:t>Journal of American College Health, 69</w:t>
      </w:r>
      <w:r w:rsidRPr="00450081">
        <w:rPr>
          <w:rStyle w:val="bzpyqfadein"/>
          <w:rFonts w:eastAsiaTheme="majorEastAsia"/>
          <w:color w:val="000000" w:themeColor="text1"/>
        </w:rPr>
        <w:t xml:space="preserve">(6), 658–666. </w:t>
      </w:r>
      <w:hyperlink r:id="rId29" w:tgtFrame="_new" w:history="1">
        <w:r w:rsidRPr="00450081">
          <w:rPr>
            <w:rStyle w:val="bzpyqfadein"/>
            <w:rFonts w:eastAsiaTheme="majorEastAsia"/>
            <w:color w:val="000000" w:themeColor="text1"/>
            <w:u w:val="single"/>
          </w:rPr>
          <w:t>https://doi.org/10.1080/07448481.2019.1675460</w:t>
        </w:r>
      </w:hyperlink>
    </w:p>
    <w:p w14:paraId="2C7CE481"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Government of Rwanda. (2013). Law establishing the University of Rwanda. Kigali: Republic of Rwanda Official Gazette.</w:t>
      </w:r>
    </w:p>
    <w:p w14:paraId="4E570387"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Guthold</w:t>
      </w:r>
      <w:proofErr w:type="spellEnd"/>
      <w:r w:rsidRPr="00450081">
        <w:rPr>
          <w:rStyle w:val="bzpyqfadein"/>
          <w:rFonts w:eastAsiaTheme="majorEastAsia"/>
          <w:color w:val="000000" w:themeColor="text1"/>
        </w:rPr>
        <w:t xml:space="preserve">, R., Stevens, G. A., Riley, L. M., &amp; Bull, F. C. (2018). Worldwide trends in insufficient physical activity from 2001 to 2016: A pooled analysis of 358 population-based surveys with 1.9 million participants. </w:t>
      </w:r>
      <w:r w:rsidRPr="00450081">
        <w:rPr>
          <w:rStyle w:val="bzpyqfadein"/>
          <w:rFonts w:eastAsiaTheme="majorEastAsia"/>
          <w:i/>
          <w:iCs/>
          <w:color w:val="000000" w:themeColor="text1"/>
        </w:rPr>
        <w:t>The Lancet Global Health, 6</w:t>
      </w:r>
      <w:r w:rsidRPr="00450081">
        <w:rPr>
          <w:rStyle w:val="bzpyqfadein"/>
          <w:rFonts w:eastAsiaTheme="majorEastAsia"/>
          <w:color w:val="000000" w:themeColor="text1"/>
        </w:rPr>
        <w:t xml:space="preserve">(10), e1077–e1086. </w:t>
      </w:r>
      <w:hyperlink r:id="rId30" w:tgtFrame="_new" w:history="1">
        <w:r w:rsidRPr="00450081">
          <w:rPr>
            <w:rStyle w:val="bzpyqfadein"/>
            <w:rFonts w:eastAsiaTheme="majorEastAsia"/>
            <w:color w:val="000000" w:themeColor="text1"/>
            <w:u w:val="single"/>
          </w:rPr>
          <w:t>https://doi.org/10.1016/S2214-109X(18)30357-7</w:t>
        </w:r>
      </w:hyperlink>
    </w:p>
    <w:p w14:paraId="7B2F23A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Hallal, P. C., Andersen, L. B., Bull, F. C., Guthold, R., Haskell, W., &amp; Ekelund, U. (2012). Global physical activity levels: Surveillance progress, pitfalls, and prospects. </w:t>
      </w:r>
      <w:r w:rsidRPr="00450081">
        <w:rPr>
          <w:rStyle w:val="bzpyqfadein"/>
          <w:rFonts w:eastAsiaTheme="majorEastAsia"/>
          <w:i/>
          <w:iCs/>
          <w:color w:val="000000" w:themeColor="text1"/>
        </w:rPr>
        <w:t>The Lancet, 380</w:t>
      </w:r>
      <w:r w:rsidRPr="00450081">
        <w:rPr>
          <w:rStyle w:val="bzpyqfadein"/>
          <w:rFonts w:eastAsiaTheme="majorEastAsia"/>
          <w:color w:val="000000" w:themeColor="text1"/>
        </w:rPr>
        <w:t xml:space="preserve">(9838), 247–257. </w:t>
      </w:r>
      <w:hyperlink r:id="rId31" w:tgtFrame="_new" w:history="1">
        <w:r w:rsidRPr="00450081">
          <w:rPr>
            <w:rStyle w:val="bzpyqfadein"/>
            <w:rFonts w:eastAsiaTheme="majorEastAsia"/>
            <w:color w:val="000000" w:themeColor="text1"/>
            <w:u w:val="single"/>
          </w:rPr>
          <w:t>https://doi.org/10.1016/S0140-6736(12)60646-1</w:t>
        </w:r>
      </w:hyperlink>
    </w:p>
    <w:p w14:paraId="5A771CF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Hirvensalo, M., Lintunen, T., &amp; Rantanen, T. (2018). Motivators and barriers to physical activity in young adults: A focus on environmental factors. </w:t>
      </w:r>
      <w:r w:rsidRPr="00450081">
        <w:rPr>
          <w:rStyle w:val="bzpyqfadein"/>
          <w:rFonts w:eastAsiaTheme="majorEastAsia"/>
          <w:i/>
          <w:iCs/>
          <w:color w:val="000000" w:themeColor="text1"/>
        </w:rPr>
        <w:t>Scandinavian Journal of Medicine &amp; Science in Sports, 28</w:t>
      </w:r>
      <w:r w:rsidRPr="00450081">
        <w:rPr>
          <w:rStyle w:val="bzpyqfadein"/>
          <w:rFonts w:eastAsiaTheme="majorEastAsia"/>
          <w:color w:val="000000" w:themeColor="text1"/>
        </w:rPr>
        <w:t xml:space="preserve">(1), 103–114. </w:t>
      </w:r>
      <w:hyperlink r:id="rId32" w:tgtFrame="_new" w:history="1">
        <w:r w:rsidRPr="00450081">
          <w:rPr>
            <w:rStyle w:val="bzpyqfadein"/>
            <w:rFonts w:eastAsiaTheme="majorEastAsia"/>
            <w:color w:val="000000" w:themeColor="text1"/>
            <w:u w:val="single"/>
          </w:rPr>
          <w:t>https://doi.org/10.1111/sms.12976</w:t>
        </w:r>
      </w:hyperlink>
    </w:p>
    <w:p w14:paraId="26A05B59"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Hristova, R. (2019). Physical activity and sedentary behavior among university staff. </w:t>
      </w:r>
      <w:r w:rsidRPr="00450081">
        <w:rPr>
          <w:rStyle w:val="bzpyqfadein"/>
          <w:rFonts w:eastAsiaTheme="majorEastAsia"/>
          <w:i/>
          <w:iCs/>
          <w:color w:val="000000" w:themeColor="text1"/>
        </w:rPr>
        <w:t>European Journal of Sport Science, 19</w:t>
      </w:r>
      <w:r w:rsidRPr="00450081">
        <w:rPr>
          <w:rStyle w:val="bzpyqfadein"/>
          <w:rFonts w:eastAsiaTheme="majorEastAsia"/>
          <w:color w:val="000000" w:themeColor="text1"/>
        </w:rPr>
        <w:t>(7), 876–885.</w:t>
      </w:r>
    </w:p>
    <w:p w14:paraId="70DD30B5"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lastRenderedPageBreak/>
        <w:t>Ingyu</w:t>
      </w:r>
      <w:proofErr w:type="spellEnd"/>
      <w:r w:rsidRPr="00450081">
        <w:rPr>
          <w:rStyle w:val="bzpyqfadein"/>
          <w:rFonts w:eastAsiaTheme="majorEastAsia"/>
          <w:color w:val="000000" w:themeColor="text1"/>
        </w:rPr>
        <w:t xml:space="preserve">, K., et al. (2020). Exercise as treatment for depression and anxiety disorders. </w:t>
      </w:r>
      <w:r w:rsidRPr="00450081">
        <w:rPr>
          <w:rStyle w:val="bzpyqfadein"/>
          <w:rFonts w:eastAsiaTheme="majorEastAsia"/>
          <w:i/>
          <w:iCs/>
          <w:color w:val="000000" w:themeColor="text1"/>
        </w:rPr>
        <w:t>Current Opinion in Psychiatry, 33</w:t>
      </w:r>
      <w:r w:rsidRPr="00450081">
        <w:rPr>
          <w:rStyle w:val="bzpyqfadein"/>
          <w:rFonts w:eastAsiaTheme="majorEastAsia"/>
          <w:color w:val="000000" w:themeColor="text1"/>
        </w:rPr>
        <w:t>(6), 510–518.</w:t>
      </w:r>
    </w:p>
    <w:p w14:paraId="70A2859D"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Johar, S., et al. (2019). Physical activity and body composition: Mechanisms and benefits. </w:t>
      </w:r>
      <w:r w:rsidRPr="00450081">
        <w:rPr>
          <w:rStyle w:val="bzpyqfadein"/>
          <w:rFonts w:eastAsiaTheme="majorEastAsia"/>
          <w:i/>
          <w:iCs/>
          <w:color w:val="000000" w:themeColor="text1"/>
        </w:rPr>
        <w:t>Journal of Exercise Science and Fitness, 17</w:t>
      </w:r>
      <w:r w:rsidRPr="00450081">
        <w:rPr>
          <w:rStyle w:val="bzpyqfadein"/>
          <w:rFonts w:eastAsiaTheme="majorEastAsia"/>
          <w:color w:val="000000" w:themeColor="text1"/>
        </w:rPr>
        <w:t>(2), 45–53.</w:t>
      </w:r>
    </w:p>
    <w:p w14:paraId="25ECCD99"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Keating, X. D., et al. (2005). University environment and physical activity participation. </w:t>
      </w:r>
      <w:r w:rsidRPr="00450081">
        <w:rPr>
          <w:rStyle w:val="bzpyqfadein"/>
          <w:rFonts w:eastAsiaTheme="majorEastAsia"/>
          <w:i/>
          <w:iCs/>
          <w:color w:val="000000" w:themeColor="text1"/>
        </w:rPr>
        <w:t>Research Quarterly for Exercise and Sport, 76</w:t>
      </w:r>
      <w:r w:rsidRPr="00450081">
        <w:rPr>
          <w:rStyle w:val="bzpyqfadein"/>
          <w:rFonts w:eastAsiaTheme="majorEastAsia"/>
          <w:color w:val="000000" w:themeColor="text1"/>
        </w:rPr>
        <w:t>(3), 234–243.</w:t>
      </w:r>
    </w:p>
    <w:p w14:paraId="08984046"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Keating, X. D., et al. (2019). Global Physical Activity Questionnaire (GPAQ) reliability and validity. </w:t>
      </w:r>
      <w:r w:rsidRPr="00450081">
        <w:rPr>
          <w:rStyle w:val="bzpyqfadein"/>
          <w:rFonts w:eastAsiaTheme="majorEastAsia"/>
          <w:i/>
          <w:iCs/>
          <w:color w:val="000000" w:themeColor="text1"/>
        </w:rPr>
        <w:t>Journal of Physical Activity &amp; Health, 16</w:t>
      </w:r>
      <w:r w:rsidRPr="00450081">
        <w:rPr>
          <w:rStyle w:val="bzpyqfadein"/>
          <w:rFonts w:eastAsiaTheme="majorEastAsia"/>
          <w:color w:val="000000" w:themeColor="text1"/>
        </w:rPr>
        <w:t>(6), 478–486.</w:t>
      </w:r>
    </w:p>
    <w:p w14:paraId="53E6812A"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Keating, X. D., Guan, J., Piñero, J. C., &amp; Bridges, D. M. (2018). A meta-analysis of college students' physical activity behaviors in Sub-Saharan Africa. </w:t>
      </w:r>
      <w:r w:rsidRPr="00450081">
        <w:rPr>
          <w:rStyle w:val="bzpyqfadein"/>
          <w:rFonts w:eastAsiaTheme="majorEastAsia"/>
          <w:i/>
          <w:iCs/>
          <w:color w:val="000000" w:themeColor="text1"/>
        </w:rPr>
        <w:t>Journal of American College Health, 66</w:t>
      </w:r>
      <w:r w:rsidRPr="00450081">
        <w:rPr>
          <w:rStyle w:val="bzpyqfadein"/>
          <w:rFonts w:eastAsiaTheme="majorEastAsia"/>
          <w:color w:val="000000" w:themeColor="text1"/>
        </w:rPr>
        <w:t>(2), 85–95.</w:t>
      </w:r>
    </w:p>
    <w:p w14:paraId="4CF609E4"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Khoury, B., et al. (2023). Physical activity and cognitive function: Evidence from recent studies. </w:t>
      </w:r>
      <w:r w:rsidRPr="00450081">
        <w:rPr>
          <w:rStyle w:val="bzpyqfadein"/>
          <w:rFonts w:eastAsiaTheme="majorEastAsia"/>
          <w:i/>
          <w:iCs/>
          <w:color w:val="000000" w:themeColor="text1"/>
        </w:rPr>
        <w:t>Neuroscience &amp; Biobehavioral Reviews, 150</w:t>
      </w:r>
      <w:r w:rsidRPr="00450081">
        <w:rPr>
          <w:rStyle w:val="bzpyqfadein"/>
          <w:rFonts w:eastAsiaTheme="majorEastAsia"/>
          <w:color w:val="000000" w:themeColor="text1"/>
        </w:rPr>
        <w:t>, 105–119.</w:t>
      </w:r>
    </w:p>
    <w:p w14:paraId="15E63D4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Langhammer, B., et al. (2018). Effects of age on physical activity and physical fitness. </w:t>
      </w:r>
      <w:r w:rsidRPr="00450081">
        <w:rPr>
          <w:rStyle w:val="bzpyqfadein"/>
          <w:rFonts w:eastAsiaTheme="majorEastAsia"/>
          <w:i/>
          <w:iCs/>
          <w:color w:val="000000" w:themeColor="text1"/>
        </w:rPr>
        <w:t>European Journal of Sport Science, 18</w:t>
      </w:r>
      <w:r w:rsidRPr="00450081">
        <w:rPr>
          <w:rStyle w:val="bzpyqfadein"/>
          <w:rFonts w:eastAsiaTheme="majorEastAsia"/>
          <w:color w:val="000000" w:themeColor="text1"/>
        </w:rPr>
        <w:t>(1), 11–19.</w:t>
      </w:r>
    </w:p>
    <w:p w14:paraId="3CCAAC22"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Lee, I. M., Shiroma, E. J., </w:t>
      </w:r>
      <w:proofErr w:type="spellStart"/>
      <w:r w:rsidRPr="00450081">
        <w:rPr>
          <w:rStyle w:val="bzpyqfadein"/>
          <w:rFonts w:eastAsiaTheme="majorEastAsia"/>
          <w:color w:val="000000" w:themeColor="text1"/>
        </w:rPr>
        <w:t>Lobelo</w:t>
      </w:r>
      <w:proofErr w:type="spellEnd"/>
      <w:r w:rsidRPr="00450081">
        <w:rPr>
          <w:rStyle w:val="bzpyqfadein"/>
          <w:rFonts w:eastAsiaTheme="majorEastAsia"/>
          <w:color w:val="000000" w:themeColor="text1"/>
        </w:rPr>
        <w:t xml:space="preserve">, F., Puska, P., Blair, S. N., &amp; Katzmarzyk, P. T. (2012). Effect of physical inactivity on major non-communicable diseases worldwide: An analysis of burden of disease and life expectancy. </w:t>
      </w:r>
      <w:r w:rsidRPr="00450081">
        <w:rPr>
          <w:rStyle w:val="bzpyqfadein"/>
          <w:rFonts w:eastAsiaTheme="majorEastAsia"/>
          <w:i/>
          <w:iCs/>
          <w:color w:val="000000" w:themeColor="text1"/>
        </w:rPr>
        <w:t>The Lancet, 380</w:t>
      </w:r>
      <w:r w:rsidRPr="00450081">
        <w:rPr>
          <w:rStyle w:val="bzpyqfadein"/>
          <w:rFonts w:eastAsiaTheme="majorEastAsia"/>
          <w:color w:val="000000" w:themeColor="text1"/>
        </w:rPr>
        <w:t xml:space="preserve">(9838), 219–229. </w:t>
      </w:r>
      <w:hyperlink r:id="rId33" w:tgtFrame="_new" w:history="1">
        <w:r w:rsidRPr="00450081">
          <w:rPr>
            <w:rStyle w:val="bzpyqfadein"/>
            <w:rFonts w:eastAsiaTheme="majorEastAsia"/>
            <w:color w:val="000000" w:themeColor="text1"/>
            <w:u w:val="single"/>
          </w:rPr>
          <w:t>https://doi.org/10.1016/S0140-6736(12)61031-9</w:t>
        </w:r>
      </w:hyperlink>
    </w:p>
    <w:p w14:paraId="463A632D"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Li, M., et al. (2009). Physical activity patterns among young adults. </w:t>
      </w:r>
      <w:r w:rsidRPr="00450081">
        <w:rPr>
          <w:rStyle w:val="bzpyqfadein"/>
          <w:rFonts w:eastAsiaTheme="majorEastAsia"/>
          <w:i/>
          <w:iCs/>
          <w:color w:val="000000" w:themeColor="text1"/>
        </w:rPr>
        <w:t>Journal of American College Health, 57</w:t>
      </w:r>
      <w:r w:rsidRPr="00450081">
        <w:rPr>
          <w:rStyle w:val="bzpyqfadein"/>
          <w:rFonts w:eastAsiaTheme="majorEastAsia"/>
          <w:color w:val="000000" w:themeColor="text1"/>
        </w:rPr>
        <w:t>(4), 347–354.</w:t>
      </w:r>
    </w:p>
    <w:p w14:paraId="48FB927C"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Lindsay, K., et al. (2017). Social support and physical activity among older adults. </w:t>
      </w:r>
      <w:r w:rsidRPr="00450081">
        <w:rPr>
          <w:rStyle w:val="bzpyqfadein"/>
          <w:rFonts w:eastAsiaTheme="majorEastAsia"/>
          <w:i/>
          <w:iCs/>
          <w:color w:val="000000" w:themeColor="text1"/>
        </w:rPr>
        <w:t>Journal of Aging and Physical Activity, 25</w:t>
      </w:r>
      <w:r w:rsidRPr="00450081">
        <w:rPr>
          <w:rStyle w:val="bzpyqfadein"/>
          <w:rFonts w:eastAsiaTheme="majorEastAsia"/>
          <w:color w:val="000000" w:themeColor="text1"/>
        </w:rPr>
        <w:t>(1), 63–72.</w:t>
      </w:r>
    </w:p>
    <w:p w14:paraId="762F706B"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Lubis, S., et al. (2023). Profiling physical activity among mining workers in Indonesia using GPAQ. </w:t>
      </w:r>
      <w:r w:rsidRPr="00450081">
        <w:rPr>
          <w:rStyle w:val="bzpyqfadein"/>
          <w:rFonts w:eastAsiaTheme="majorEastAsia"/>
          <w:i/>
          <w:iCs/>
          <w:color w:val="000000" w:themeColor="text1"/>
        </w:rPr>
        <w:t>Journal of Occupational Health, 65</w:t>
      </w:r>
      <w:r w:rsidRPr="00450081">
        <w:rPr>
          <w:rStyle w:val="bzpyqfadein"/>
          <w:rFonts w:eastAsiaTheme="majorEastAsia"/>
          <w:color w:val="000000" w:themeColor="text1"/>
        </w:rPr>
        <w:t>(1), e12345.</w:t>
      </w:r>
    </w:p>
    <w:p w14:paraId="14F89CC1"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Mahindru, S., et al. (2023). Physical activity and mental health: Neurochemical and cognitive perspectives. </w:t>
      </w:r>
      <w:r w:rsidRPr="00450081">
        <w:rPr>
          <w:rStyle w:val="bzpyqfadein"/>
          <w:rFonts w:eastAsiaTheme="majorEastAsia"/>
          <w:i/>
          <w:iCs/>
          <w:color w:val="000000" w:themeColor="text1"/>
        </w:rPr>
        <w:t>Frontiers in Psychology, 14</w:t>
      </w:r>
      <w:r w:rsidRPr="00450081">
        <w:rPr>
          <w:rStyle w:val="bzpyqfadein"/>
          <w:rFonts w:eastAsiaTheme="majorEastAsia"/>
          <w:color w:val="000000" w:themeColor="text1"/>
        </w:rPr>
        <w:t>, 112233.</w:t>
      </w:r>
    </w:p>
    <w:p w14:paraId="20A25089"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Mazzoni, V., et al. (2020). Cross-national university student physical activity comparison. </w:t>
      </w:r>
      <w:proofErr w:type="spellStart"/>
      <w:r w:rsidRPr="00450081">
        <w:rPr>
          <w:rStyle w:val="bzpyqfadein"/>
          <w:rFonts w:eastAsiaTheme="majorEastAsia"/>
          <w:i/>
          <w:iCs/>
          <w:color w:val="000000" w:themeColor="text1"/>
        </w:rPr>
        <w:t>PLoS</w:t>
      </w:r>
      <w:proofErr w:type="spellEnd"/>
      <w:r w:rsidRPr="00450081">
        <w:rPr>
          <w:rStyle w:val="bzpyqfadein"/>
          <w:rFonts w:eastAsiaTheme="majorEastAsia"/>
          <w:i/>
          <w:iCs/>
          <w:color w:val="000000" w:themeColor="text1"/>
        </w:rPr>
        <w:t xml:space="preserve"> One, 15</w:t>
      </w:r>
      <w:r w:rsidRPr="00450081">
        <w:rPr>
          <w:rStyle w:val="bzpyqfadein"/>
          <w:rFonts w:eastAsiaTheme="majorEastAsia"/>
          <w:color w:val="000000" w:themeColor="text1"/>
        </w:rPr>
        <w:t>(10), e0241547.</w:t>
      </w:r>
    </w:p>
    <w:p w14:paraId="0DF868F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McPhee, J. S., et al. (2016). Age-related changes in physical performance and muscle mass. </w:t>
      </w:r>
      <w:r w:rsidRPr="00450081">
        <w:rPr>
          <w:rStyle w:val="bzpyqfadein"/>
          <w:rFonts w:eastAsiaTheme="majorEastAsia"/>
          <w:i/>
          <w:iCs/>
          <w:color w:val="000000" w:themeColor="text1"/>
        </w:rPr>
        <w:t>Journal of Gerontology, 71</w:t>
      </w:r>
      <w:r w:rsidRPr="00450081">
        <w:rPr>
          <w:rStyle w:val="bzpyqfadein"/>
          <w:rFonts w:eastAsiaTheme="majorEastAsia"/>
          <w:color w:val="000000" w:themeColor="text1"/>
        </w:rPr>
        <w:t>(7), 879–888.</w:t>
      </w:r>
    </w:p>
    <w:p w14:paraId="0DE0AE38"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lastRenderedPageBreak/>
        <w:t>Micklesfield</w:t>
      </w:r>
      <w:proofErr w:type="spellEnd"/>
      <w:r w:rsidRPr="00450081">
        <w:rPr>
          <w:rStyle w:val="bzpyqfadein"/>
          <w:rFonts w:eastAsiaTheme="majorEastAsia"/>
          <w:color w:val="000000" w:themeColor="text1"/>
        </w:rPr>
        <w:t xml:space="preserve">, L. K., Lambert, E. V., &amp; Goedecke, J. H. (2019). Physical activity and sedentary </w:t>
      </w:r>
      <w:proofErr w:type="spellStart"/>
      <w:r w:rsidRPr="00450081">
        <w:rPr>
          <w:rStyle w:val="bzpyqfadein"/>
          <w:rFonts w:eastAsiaTheme="majorEastAsia"/>
          <w:color w:val="000000" w:themeColor="text1"/>
        </w:rPr>
        <w:t>behaviour</w:t>
      </w:r>
      <w:proofErr w:type="spellEnd"/>
      <w:r w:rsidRPr="00450081">
        <w:rPr>
          <w:rStyle w:val="bzpyqfadein"/>
          <w:rFonts w:eastAsiaTheme="majorEastAsia"/>
          <w:color w:val="000000" w:themeColor="text1"/>
        </w:rPr>
        <w:t xml:space="preserve"> in African university populations. </w:t>
      </w:r>
      <w:r w:rsidRPr="00450081">
        <w:rPr>
          <w:rStyle w:val="bzpyqfadein"/>
          <w:rFonts w:eastAsiaTheme="majorEastAsia"/>
          <w:i/>
          <w:iCs/>
          <w:color w:val="000000" w:themeColor="text1"/>
        </w:rPr>
        <w:t>South African Journal of Sports Medicine, 31</w:t>
      </w:r>
      <w:r w:rsidRPr="00450081">
        <w:rPr>
          <w:rStyle w:val="bzpyqfadein"/>
          <w:rFonts w:eastAsiaTheme="majorEastAsia"/>
          <w:color w:val="000000" w:themeColor="text1"/>
        </w:rPr>
        <w:t xml:space="preserve">(1), 1–10. </w:t>
      </w:r>
      <w:hyperlink r:id="rId34" w:tgtFrame="_new" w:history="1">
        <w:r w:rsidRPr="00450081">
          <w:rPr>
            <w:rStyle w:val="bzpyqfadein"/>
            <w:rFonts w:eastAsiaTheme="majorEastAsia"/>
            <w:color w:val="000000" w:themeColor="text1"/>
            <w:u w:val="single"/>
          </w:rPr>
          <w:t>https://doi.org/10.17159/2078-516X/2019/v31i1a6521</w:t>
        </w:r>
      </w:hyperlink>
    </w:p>
    <w:p w14:paraId="7F885AEE"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Ministry of Sports and Culture. (2017). National sports policy of Rwanda. Kigali: Republic of Rwanda.</w:t>
      </w:r>
    </w:p>
    <w:p w14:paraId="2D154C55" w14:textId="77777777" w:rsidR="006947C4" w:rsidRPr="00450081" w:rsidRDefault="006947C4" w:rsidP="006947C4">
      <w:pPr>
        <w:pStyle w:val="NormalWeb"/>
        <w:spacing w:line="276" w:lineRule="auto"/>
        <w:ind w:left="720" w:hanging="720"/>
        <w:jc w:val="both"/>
        <w:rPr>
          <w:color w:val="000000" w:themeColor="text1"/>
        </w:rPr>
      </w:pPr>
      <w:proofErr w:type="spellStart"/>
      <w:r w:rsidRPr="00450081">
        <w:rPr>
          <w:rStyle w:val="bzpyqfadein"/>
          <w:rFonts w:eastAsiaTheme="majorEastAsia"/>
          <w:color w:val="000000" w:themeColor="text1"/>
        </w:rPr>
        <w:t>Molanorouzi</w:t>
      </w:r>
      <w:proofErr w:type="spellEnd"/>
      <w:r w:rsidRPr="00450081">
        <w:rPr>
          <w:rStyle w:val="bzpyqfadein"/>
          <w:rFonts w:eastAsiaTheme="majorEastAsia"/>
          <w:color w:val="000000" w:themeColor="text1"/>
        </w:rPr>
        <w:t xml:space="preserve">, K., Morris, T., &amp; Tony, M. (2015). Factors influencing physical activity among university students: An application of the social ecological model. </w:t>
      </w:r>
      <w:r w:rsidRPr="00450081">
        <w:rPr>
          <w:rStyle w:val="bzpyqfadein"/>
          <w:rFonts w:eastAsiaTheme="majorEastAsia"/>
          <w:i/>
          <w:iCs/>
          <w:color w:val="000000" w:themeColor="text1"/>
        </w:rPr>
        <w:t>Health Education Journal, 74</w:t>
      </w:r>
      <w:r w:rsidRPr="00450081">
        <w:rPr>
          <w:rStyle w:val="bzpyqfadein"/>
          <w:rFonts w:eastAsiaTheme="majorEastAsia"/>
          <w:color w:val="000000" w:themeColor="text1"/>
        </w:rPr>
        <w:t>(6), 734–748.</w:t>
      </w:r>
    </w:p>
    <w:p w14:paraId="251E13B3"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Mthembu, N., Nkosi, Z., &amp; Dlamini, P. (2020). Survey sampling challenges and strategies in Sub-Saharan African universities during COVID-19. </w:t>
      </w:r>
      <w:r w:rsidRPr="00450081">
        <w:rPr>
          <w:rStyle w:val="bzpyqfadein"/>
          <w:rFonts w:eastAsiaTheme="majorEastAsia"/>
          <w:i/>
          <w:iCs/>
          <w:color w:val="000000" w:themeColor="text1"/>
        </w:rPr>
        <w:t>African Journal of Research Methodology, 12</w:t>
      </w:r>
      <w:r w:rsidRPr="00450081">
        <w:rPr>
          <w:rStyle w:val="bzpyqfadein"/>
          <w:rFonts w:eastAsiaTheme="majorEastAsia"/>
          <w:color w:val="000000" w:themeColor="text1"/>
        </w:rPr>
        <w:t>(1), 33–45.</w:t>
      </w:r>
    </w:p>
    <w:p w14:paraId="0DE6840F" w14:textId="77777777" w:rsidR="006947C4" w:rsidRPr="00450081" w:rsidRDefault="006947C4" w:rsidP="006947C4">
      <w:pPr>
        <w:pStyle w:val="NormalWeb"/>
        <w:spacing w:line="276" w:lineRule="auto"/>
        <w:ind w:left="720" w:hanging="720"/>
        <w:jc w:val="both"/>
        <w:rPr>
          <w:color w:val="000000" w:themeColor="text1"/>
        </w:rPr>
      </w:pPr>
      <w:r w:rsidRPr="00450081">
        <w:rPr>
          <w:rStyle w:val="bzpyqfadein"/>
          <w:rFonts w:eastAsiaTheme="majorEastAsia"/>
          <w:color w:val="000000" w:themeColor="text1"/>
        </w:rPr>
        <w:t xml:space="preserve">Murray, J., Grant, S., &amp; Cumming, G. (2021). Gender disparities in active transport: Evidence from university campuses. </w:t>
      </w:r>
      <w:r w:rsidRPr="00450081">
        <w:rPr>
          <w:rStyle w:val="bzpyqfadein"/>
          <w:rFonts w:eastAsiaTheme="majorEastAsia"/>
          <w:i/>
          <w:iCs/>
          <w:color w:val="000000" w:themeColor="text1"/>
        </w:rPr>
        <w:t>Transport Policy, 104</w:t>
      </w:r>
      <w:r w:rsidRPr="00450081">
        <w:rPr>
          <w:rStyle w:val="bzpyqfadein"/>
          <w:rFonts w:eastAsiaTheme="majorEastAsia"/>
          <w:color w:val="000000" w:themeColor="text1"/>
        </w:rPr>
        <w:t xml:space="preserve">, 109–117. </w:t>
      </w:r>
      <w:hyperlink r:id="rId35" w:tgtFrame="_new" w:history="1">
        <w:r w:rsidRPr="00450081">
          <w:rPr>
            <w:rStyle w:val="bzpyqfadein"/>
            <w:rFonts w:eastAsiaTheme="majorEastAsia"/>
            <w:color w:val="000000" w:themeColor="text1"/>
            <w:u w:val="single"/>
          </w:rPr>
          <w:t>https://doi.org/10.1016/j.tranpol.2021.03.009</w:t>
        </w:r>
      </w:hyperlink>
    </w:p>
    <w:p w14:paraId="5CECF4F1" w14:textId="1D716A3A" w:rsidR="00390D07" w:rsidRPr="009A40CE" w:rsidRDefault="00390D07" w:rsidP="003A1E48">
      <w:pPr>
        <w:spacing w:after="240" w:line="240" w:lineRule="auto"/>
        <w:ind w:left="720" w:hanging="720"/>
        <w:rPr>
          <w:rFonts w:cs="Times New Roman"/>
          <w:color w:val="222222"/>
          <w:szCs w:val="24"/>
          <w:shd w:val="clear" w:color="auto" w:fill="FFFFFF"/>
        </w:rPr>
      </w:pPr>
    </w:p>
    <w:sectPr w:rsidR="00390D07" w:rsidRPr="009A40CE" w:rsidSect="00055D83">
      <w:headerReference w:type="even" r:id="rId36"/>
      <w:headerReference w:type="default" r:id="rId37"/>
      <w:footerReference w:type="even" r:id="rId38"/>
      <w:footerReference w:type="default" r:id="rId39"/>
      <w:headerReference w:type="first" r:id="rId40"/>
      <w:footerReference w:type="first" r:id="rId41"/>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D85AB" w14:textId="77777777" w:rsidR="002375DC" w:rsidRDefault="002375DC">
      <w:pPr>
        <w:spacing w:before="0" w:line="240" w:lineRule="auto"/>
      </w:pPr>
      <w:r>
        <w:separator/>
      </w:r>
    </w:p>
  </w:endnote>
  <w:endnote w:type="continuationSeparator" w:id="0">
    <w:p w14:paraId="3E1B9CD3" w14:textId="77777777" w:rsidR="002375DC" w:rsidRDefault="002375D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14E3" w14:textId="44685476" w:rsidR="009E3D26" w:rsidRDefault="009E3D26">
    <w:pPr>
      <w:pStyle w:val="Footer"/>
    </w:pPr>
    <w:r>
      <w:rPr>
        <w:noProof/>
      </w:rPr>
      <mc:AlternateContent>
        <mc:Choice Requires="wps">
          <w:drawing>
            <wp:anchor distT="0" distB="0" distL="0" distR="0" simplePos="0" relativeHeight="251659264" behindDoc="0" locked="0" layoutInCell="1" allowOverlap="1" wp14:anchorId="717D1372" wp14:editId="2F124E48">
              <wp:simplePos x="635" y="635"/>
              <wp:positionH relativeFrom="page">
                <wp:align>center</wp:align>
              </wp:positionH>
              <wp:positionV relativeFrom="page">
                <wp:align>bottom</wp:align>
              </wp:positionV>
              <wp:extent cx="938530" cy="635000"/>
              <wp:effectExtent l="0" t="0" r="13970" b="0"/>
              <wp:wrapNone/>
              <wp:docPr id="263647457" name="Text Box 2" descr="---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8530" cy="635000"/>
                      </a:xfrm>
                      <a:prstGeom prst="rect">
                        <a:avLst/>
                      </a:prstGeom>
                      <a:noFill/>
                      <a:ln>
                        <a:noFill/>
                      </a:ln>
                    </wps:spPr>
                    <wps:txbx>
                      <w:txbxContent>
                        <w:p w14:paraId="5D8F1562" w14:textId="553438AD"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7D1372" id="_x0000_t202" coordsize="21600,21600" o:spt="202" path="m,l,21600r21600,l21600,xe">
              <v:stroke joinstyle="miter"/>
              <v:path gradientshapeok="t" o:connecttype="rect"/>
            </v:shapetype>
            <v:shape id="Text Box 2" o:spid="_x0000_s1032" type="#_x0000_t202" alt="---Internal Use--- " style="position:absolute;left:0;text-align:left;margin-left:0;margin-top:0;width:73.9pt;height:50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" filled="f" stroked="f">
              <v:textbox style="mso-fit-shape-to-text:t" inset="0,0,0,15pt">
                <w:txbxContent>
                  <w:p w14:paraId="5D8F1562" w14:textId="553438AD"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28D3" w14:textId="7D9E6AB6" w:rsidR="004A12F4" w:rsidRPr="008A0558" w:rsidRDefault="00000000">
    <w:pPr>
      <w:pStyle w:val="Footer"/>
      <w:jc w:val="center"/>
      <w:rPr>
        <w:sz w:val="20"/>
        <w:szCs w:val="18"/>
      </w:rPr>
    </w:pPr>
    <w:sdt>
      <w:sdtPr>
        <w:id w:val="-1882236679"/>
        <w:docPartObj>
          <w:docPartGallery w:val="Page Numbers (Bottom of Page)"/>
          <w:docPartUnique/>
        </w:docPartObj>
      </w:sdtPr>
      <w:sdtEndPr>
        <w:rPr>
          <w:noProof/>
          <w:sz w:val="20"/>
          <w:szCs w:val="18"/>
        </w:rPr>
      </w:sdtEndPr>
      <w:sdtContent>
        <w:r w:rsidR="00556C7C" w:rsidRPr="008A0558">
          <w:rPr>
            <w:sz w:val="20"/>
            <w:szCs w:val="18"/>
          </w:rPr>
          <w:fldChar w:fldCharType="begin"/>
        </w:r>
        <w:r w:rsidR="00556C7C" w:rsidRPr="008A0558">
          <w:rPr>
            <w:sz w:val="20"/>
            <w:szCs w:val="18"/>
          </w:rPr>
          <w:instrText xml:space="preserve"> PAGE   \* MERGEFORMAT </w:instrText>
        </w:r>
        <w:r w:rsidR="00556C7C" w:rsidRPr="008A0558">
          <w:rPr>
            <w:sz w:val="20"/>
            <w:szCs w:val="18"/>
          </w:rPr>
          <w:fldChar w:fldCharType="separate"/>
        </w:r>
        <w:r w:rsidR="00AB2FB7">
          <w:rPr>
            <w:noProof/>
            <w:sz w:val="20"/>
            <w:szCs w:val="18"/>
          </w:rPr>
          <w:t>1</w:t>
        </w:r>
        <w:r w:rsidR="00556C7C" w:rsidRPr="008A0558">
          <w:rPr>
            <w:noProof/>
            <w:sz w:val="20"/>
            <w:szCs w:val="18"/>
          </w:rPr>
          <w:fldChar w:fldCharType="end"/>
        </w:r>
      </w:sdtContent>
    </w:sdt>
  </w:p>
  <w:p w14:paraId="70E80D4D"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3AAD0" w14:textId="7CA455B1" w:rsidR="009E3D26" w:rsidRDefault="009E3D26">
    <w:pPr>
      <w:pStyle w:val="Footer"/>
    </w:pPr>
    <w:r>
      <w:rPr>
        <w:noProof/>
      </w:rPr>
      <mc:AlternateContent>
        <mc:Choice Requires="wps">
          <w:drawing>
            <wp:anchor distT="0" distB="0" distL="0" distR="0" simplePos="0" relativeHeight="251658240" behindDoc="0" locked="0" layoutInCell="1" allowOverlap="1" wp14:anchorId="47786DB9" wp14:editId="365A000E">
              <wp:simplePos x="635" y="635"/>
              <wp:positionH relativeFrom="page">
                <wp:align>center</wp:align>
              </wp:positionH>
              <wp:positionV relativeFrom="page">
                <wp:align>bottom</wp:align>
              </wp:positionV>
              <wp:extent cx="938530" cy="635000"/>
              <wp:effectExtent l="0" t="0" r="13970" b="0"/>
              <wp:wrapNone/>
              <wp:docPr id="1916076555" name="Text Box 1" descr="---Internal Use---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8530" cy="635000"/>
                      </a:xfrm>
                      <a:prstGeom prst="rect">
                        <a:avLst/>
                      </a:prstGeom>
                      <a:noFill/>
                      <a:ln>
                        <a:noFill/>
                      </a:ln>
                    </wps:spPr>
                    <wps:txbx>
                      <w:txbxContent>
                        <w:p w14:paraId="1601DDE2" w14:textId="60A9E9C9"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786DB9" id="_x0000_t202" coordsize="21600,21600" o:spt="202" path="m,l,21600r21600,l21600,xe">
              <v:stroke joinstyle="miter"/>
              <v:path gradientshapeok="t" o:connecttype="rect"/>
            </v:shapetype>
            <v:shape id="Text Box 1" o:spid="_x0000_s1033" type="#_x0000_t202" alt="---Internal Use--- " style="position:absolute;left:0;text-align:left;margin-left:0;margin-top:0;width:73.9pt;height:50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" filled="f" stroked="f">
              <v:textbox style="mso-fit-shape-to-text:t" inset="0,0,0,15pt">
                <w:txbxContent>
                  <w:p w14:paraId="1601DDE2" w14:textId="60A9E9C9" w:rsidR="009E3D26" w:rsidRPr="009E3D26" w:rsidRDefault="009E3D26" w:rsidP="009E3D26">
                    <w:pPr>
                      <w:rPr>
                        <w:rFonts w:ascii="Arial" w:eastAsia="Arial" w:hAnsi="Arial" w:cs="Arial"/>
                        <w:noProof/>
                        <w:sz w:val="20"/>
                        <w:szCs w:val="20"/>
                      </w:rPr>
                    </w:pPr>
                    <w:r w:rsidRPr="009E3D26">
                      <w:rPr>
                        <w:rFonts w:ascii="Arial" w:eastAsia="Arial" w:hAnsi="Arial" w:cs="Arial"/>
                        <w:noProof/>
                        <w:sz w:val="20"/>
                        <w:szCs w:val="20"/>
                      </w:rPr>
                      <w:t xml:space="preserve">---Internal Use---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4E461" w14:textId="77777777" w:rsidR="002375DC" w:rsidRDefault="002375DC">
      <w:pPr>
        <w:spacing w:before="0" w:line="240" w:lineRule="auto"/>
      </w:pPr>
      <w:r>
        <w:separator/>
      </w:r>
    </w:p>
  </w:footnote>
  <w:footnote w:type="continuationSeparator" w:id="0">
    <w:p w14:paraId="260B91E3" w14:textId="77777777" w:rsidR="002375DC" w:rsidRDefault="002375D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4637" w14:textId="7B170011" w:rsidR="00933CA2" w:rsidRDefault="00933CA2">
    <w:pPr>
      <w:pStyle w:val="Header"/>
    </w:pPr>
    <w:r>
      <w:rPr>
        <w:noProof/>
      </w:rPr>
      <w:pict w14:anchorId="1F9D9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7" o:spid="_x0000_s1026"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5691" w14:textId="4FDE245C" w:rsidR="00933CA2" w:rsidRDefault="00933CA2">
    <w:pPr>
      <w:pStyle w:val="Header"/>
    </w:pPr>
    <w:r>
      <w:rPr>
        <w:noProof/>
      </w:rPr>
      <w:pict w14:anchorId="5E647B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8" o:spid="_x0000_s1027" type="#_x0000_t136" style="position:absolute;left:0;text-align:left;margin-left:0;margin-top:0;width:699.8pt;height:77.7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8F98" w14:textId="38B19448" w:rsidR="00933CA2" w:rsidRDefault="00933CA2">
    <w:pPr>
      <w:pStyle w:val="Header"/>
    </w:pPr>
    <w:r>
      <w:rPr>
        <w:noProof/>
      </w:rPr>
      <w:pict w14:anchorId="2BF6DE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182406" o:spid="_x0000_s1025"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02F2E"/>
    <w:multiLevelType w:val="hybridMultilevel"/>
    <w:tmpl w:val="60806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7493F"/>
    <w:multiLevelType w:val="hybridMultilevel"/>
    <w:tmpl w:val="646CF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CF67FC"/>
    <w:multiLevelType w:val="hybridMultilevel"/>
    <w:tmpl w:val="4922F10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2" w15:restartNumberingAfterBreak="0">
    <w:nsid w:val="790C191B"/>
    <w:multiLevelType w:val="hybridMultilevel"/>
    <w:tmpl w:val="06B00824"/>
    <w:lvl w:ilvl="0" w:tplc="F1BC3844">
      <w:start w:val="1"/>
      <w:numFmt w:val="lowerLetter"/>
      <w:lvlText w:val="%1."/>
      <w:lvlJc w:val="left"/>
      <w:pPr>
        <w:ind w:left="750" w:hanging="39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abstractNum w:abstractNumId="25" w15:restartNumberingAfterBreak="0">
    <w:nsid w:val="7D73758E"/>
    <w:multiLevelType w:val="hybridMultilevel"/>
    <w:tmpl w:val="26ECAFA6"/>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71AA6"/>
    <w:multiLevelType w:val="hybridMultilevel"/>
    <w:tmpl w:val="FEAA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0209004">
    <w:abstractNumId w:val="4"/>
  </w:num>
  <w:num w:numId="2" w16cid:durableId="1469592331">
    <w:abstractNumId w:val="17"/>
  </w:num>
  <w:num w:numId="3" w16cid:durableId="105971824">
    <w:abstractNumId w:val="24"/>
  </w:num>
  <w:num w:numId="4" w16cid:durableId="1117872695">
    <w:abstractNumId w:val="23"/>
  </w:num>
  <w:num w:numId="5" w16cid:durableId="1488131112">
    <w:abstractNumId w:val="18"/>
  </w:num>
  <w:num w:numId="6" w16cid:durableId="413169510">
    <w:abstractNumId w:val="21"/>
  </w:num>
  <w:num w:numId="7" w16cid:durableId="604189625">
    <w:abstractNumId w:val="3"/>
  </w:num>
  <w:num w:numId="8" w16cid:durableId="2082408393">
    <w:abstractNumId w:val="0"/>
  </w:num>
  <w:num w:numId="9" w16cid:durableId="168563937">
    <w:abstractNumId w:val="13"/>
  </w:num>
  <w:num w:numId="10" w16cid:durableId="726221001">
    <w:abstractNumId w:val="6"/>
  </w:num>
  <w:num w:numId="11" w16cid:durableId="920022197">
    <w:abstractNumId w:val="1"/>
  </w:num>
  <w:num w:numId="12" w16cid:durableId="1247610796">
    <w:abstractNumId w:val="12"/>
  </w:num>
  <w:num w:numId="13" w16cid:durableId="678847747">
    <w:abstractNumId w:val="15"/>
  </w:num>
  <w:num w:numId="14" w16cid:durableId="34352008">
    <w:abstractNumId w:val="20"/>
  </w:num>
  <w:num w:numId="15" w16cid:durableId="981885123">
    <w:abstractNumId w:val="2"/>
  </w:num>
  <w:num w:numId="16" w16cid:durableId="1702977087">
    <w:abstractNumId w:val="11"/>
  </w:num>
  <w:num w:numId="17" w16cid:durableId="271594123">
    <w:abstractNumId w:val="8"/>
  </w:num>
  <w:num w:numId="18" w16cid:durableId="434863231">
    <w:abstractNumId w:val="16"/>
  </w:num>
  <w:num w:numId="19" w16cid:durableId="156846915">
    <w:abstractNumId w:val="14"/>
  </w:num>
  <w:num w:numId="20" w16cid:durableId="859323020">
    <w:abstractNumId w:val="7"/>
  </w:num>
  <w:num w:numId="21" w16cid:durableId="964844848">
    <w:abstractNumId w:val="9"/>
  </w:num>
  <w:num w:numId="22" w16cid:durableId="1716810712">
    <w:abstractNumId w:val="22"/>
  </w:num>
  <w:num w:numId="23" w16cid:durableId="126437936">
    <w:abstractNumId w:val="10"/>
  </w:num>
  <w:num w:numId="24" w16cid:durableId="1599948649">
    <w:abstractNumId w:val="19"/>
  </w:num>
  <w:num w:numId="25" w16cid:durableId="1118448298">
    <w:abstractNumId w:val="26"/>
  </w:num>
  <w:num w:numId="26" w16cid:durableId="401218790">
    <w:abstractNumId w:val="25"/>
  </w:num>
  <w:num w:numId="27" w16cid:durableId="1086533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5286"/>
    <w:rsid w:val="00014726"/>
    <w:rsid w:val="0001490C"/>
    <w:rsid w:val="00036654"/>
    <w:rsid w:val="000410EC"/>
    <w:rsid w:val="000443AB"/>
    <w:rsid w:val="000446E8"/>
    <w:rsid w:val="00046B95"/>
    <w:rsid w:val="00047D61"/>
    <w:rsid w:val="00055D83"/>
    <w:rsid w:val="000577EB"/>
    <w:rsid w:val="0006448B"/>
    <w:rsid w:val="00064933"/>
    <w:rsid w:val="000650BC"/>
    <w:rsid w:val="000661F9"/>
    <w:rsid w:val="00073097"/>
    <w:rsid w:val="000747C2"/>
    <w:rsid w:val="000750F8"/>
    <w:rsid w:val="00076BA5"/>
    <w:rsid w:val="000804D7"/>
    <w:rsid w:val="00082DAA"/>
    <w:rsid w:val="00087A1D"/>
    <w:rsid w:val="00096C2E"/>
    <w:rsid w:val="0009733F"/>
    <w:rsid w:val="000A02D8"/>
    <w:rsid w:val="000A3BD7"/>
    <w:rsid w:val="000A56D7"/>
    <w:rsid w:val="000A57EC"/>
    <w:rsid w:val="000A6884"/>
    <w:rsid w:val="000B496D"/>
    <w:rsid w:val="000C037E"/>
    <w:rsid w:val="000D075E"/>
    <w:rsid w:val="000D0F56"/>
    <w:rsid w:val="000D1B44"/>
    <w:rsid w:val="000D7152"/>
    <w:rsid w:val="000D7DAA"/>
    <w:rsid w:val="000E2349"/>
    <w:rsid w:val="000F4A65"/>
    <w:rsid w:val="00111B62"/>
    <w:rsid w:val="001163C7"/>
    <w:rsid w:val="00124253"/>
    <w:rsid w:val="00130874"/>
    <w:rsid w:val="00131EAA"/>
    <w:rsid w:val="001403AD"/>
    <w:rsid w:val="00142F60"/>
    <w:rsid w:val="001450C8"/>
    <w:rsid w:val="001452A3"/>
    <w:rsid w:val="00147E4C"/>
    <w:rsid w:val="00154669"/>
    <w:rsid w:val="001618DC"/>
    <w:rsid w:val="00162029"/>
    <w:rsid w:val="00167079"/>
    <w:rsid w:val="00167C75"/>
    <w:rsid w:val="0017796D"/>
    <w:rsid w:val="0018163F"/>
    <w:rsid w:val="0018246F"/>
    <w:rsid w:val="00185BCB"/>
    <w:rsid w:val="00185FFD"/>
    <w:rsid w:val="001938DE"/>
    <w:rsid w:val="001947AD"/>
    <w:rsid w:val="001A1E1C"/>
    <w:rsid w:val="001A5880"/>
    <w:rsid w:val="001C0412"/>
    <w:rsid w:val="001C0A34"/>
    <w:rsid w:val="001C35CA"/>
    <w:rsid w:val="001C4B7D"/>
    <w:rsid w:val="001D23A9"/>
    <w:rsid w:val="001D4A55"/>
    <w:rsid w:val="001D6A60"/>
    <w:rsid w:val="001E0043"/>
    <w:rsid w:val="001E052A"/>
    <w:rsid w:val="001E21F0"/>
    <w:rsid w:val="001E5289"/>
    <w:rsid w:val="001E649F"/>
    <w:rsid w:val="001F024F"/>
    <w:rsid w:val="001F27A6"/>
    <w:rsid w:val="001F2B0E"/>
    <w:rsid w:val="001F51C1"/>
    <w:rsid w:val="001F7468"/>
    <w:rsid w:val="00204AAD"/>
    <w:rsid w:val="00206250"/>
    <w:rsid w:val="0021142D"/>
    <w:rsid w:val="002151BA"/>
    <w:rsid w:val="0022048F"/>
    <w:rsid w:val="0022156B"/>
    <w:rsid w:val="00223099"/>
    <w:rsid w:val="00223A1A"/>
    <w:rsid w:val="0022500A"/>
    <w:rsid w:val="002254B1"/>
    <w:rsid w:val="00227309"/>
    <w:rsid w:val="002375DC"/>
    <w:rsid w:val="00243C69"/>
    <w:rsid w:val="0024737A"/>
    <w:rsid w:val="0025131C"/>
    <w:rsid w:val="0025160E"/>
    <w:rsid w:val="0025635B"/>
    <w:rsid w:val="00260B2D"/>
    <w:rsid w:val="002645C1"/>
    <w:rsid w:val="00270AED"/>
    <w:rsid w:val="00271CF6"/>
    <w:rsid w:val="00274AC6"/>
    <w:rsid w:val="00276CE5"/>
    <w:rsid w:val="002779A5"/>
    <w:rsid w:val="00281C9E"/>
    <w:rsid w:val="002856C7"/>
    <w:rsid w:val="002859D4"/>
    <w:rsid w:val="002860AE"/>
    <w:rsid w:val="002A562C"/>
    <w:rsid w:val="002B2D3C"/>
    <w:rsid w:val="002B5578"/>
    <w:rsid w:val="002C2F8F"/>
    <w:rsid w:val="002C5E15"/>
    <w:rsid w:val="002C6F25"/>
    <w:rsid w:val="002C72A3"/>
    <w:rsid w:val="002D1CB2"/>
    <w:rsid w:val="002D32ED"/>
    <w:rsid w:val="002D4259"/>
    <w:rsid w:val="002D6969"/>
    <w:rsid w:val="002D7340"/>
    <w:rsid w:val="002E3874"/>
    <w:rsid w:val="002E784F"/>
    <w:rsid w:val="002F03DA"/>
    <w:rsid w:val="002F3573"/>
    <w:rsid w:val="00300BE0"/>
    <w:rsid w:val="00301FD6"/>
    <w:rsid w:val="003029F0"/>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4733"/>
    <w:rsid w:val="003522D0"/>
    <w:rsid w:val="003607E2"/>
    <w:rsid w:val="0036344E"/>
    <w:rsid w:val="00370F8B"/>
    <w:rsid w:val="00371FF9"/>
    <w:rsid w:val="00372DCB"/>
    <w:rsid w:val="00374FD9"/>
    <w:rsid w:val="00376BF4"/>
    <w:rsid w:val="0038103F"/>
    <w:rsid w:val="003851AE"/>
    <w:rsid w:val="003853CB"/>
    <w:rsid w:val="00390D07"/>
    <w:rsid w:val="003A1E48"/>
    <w:rsid w:val="003A2387"/>
    <w:rsid w:val="003B03A5"/>
    <w:rsid w:val="003C4227"/>
    <w:rsid w:val="003C581F"/>
    <w:rsid w:val="003C59BB"/>
    <w:rsid w:val="003C7107"/>
    <w:rsid w:val="003D2541"/>
    <w:rsid w:val="003D39AB"/>
    <w:rsid w:val="003D4D6F"/>
    <w:rsid w:val="003D4FD6"/>
    <w:rsid w:val="003D7198"/>
    <w:rsid w:val="003E0D69"/>
    <w:rsid w:val="003E0FAD"/>
    <w:rsid w:val="003E21E7"/>
    <w:rsid w:val="003E38F0"/>
    <w:rsid w:val="003E7E33"/>
    <w:rsid w:val="003F01AE"/>
    <w:rsid w:val="003F72A0"/>
    <w:rsid w:val="00406845"/>
    <w:rsid w:val="004071F4"/>
    <w:rsid w:val="00407977"/>
    <w:rsid w:val="0041566F"/>
    <w:rsid w:val="00415ABE"/>
    <w:rsid w:val="004165B3"/>
    <w:rsid w:val="00416E73"/>
    <w:rsid w:val="00421CF2"/>
    <w:rsid w:val="0042251A"/>
    <w:rsid w:val="004261F9"/>
    <w:rsid w:val="00426201"/>
    <w:rsid w:val="00426617"/>
    <w:rsid w:val="00426CDB"/>
    <w:rsid w:val="00437393"/>
    <w:rsid w:val="00440EF7"/>
    <w:rsid w:val="00451ECC"/>
    <w:rsid w:val="00462C20"/>
    <w:rsid w:val="004737A8"/>
    <w:rsid w:val="00483FB5"/>
    <w:rsid w:val="004916BB"/>
    <w:rsid w:val="004963A4"/>
    <w:rsid w:val="00496991"/>
    <w:rsid w:val="004A12F4"/>
    <w:rsid w:val="004A3F7C"/>
    <w:rsid w:val="004A5357"/>
    <w:rsid w:val="004B7C71"/>
    <w:rsid w:val="004C3121"/>
    <w:rsid w:val="004C41F7"/>
    <w:rsid w:val="004C4596"/>
    <w:rsid w:val="004C7D5D"/>
    <w:rsid w:val="004D0812"/>
    <w:rsid w:val="004D081D"/>
    <w:rsid w:val="004D5CCD"/>
    <w:rsid w:val="004D7EEF"/>
    <w:rsid w:val="004E3D2D"/>
    <w:rsid w:val="004E4A2C"/>
    <w:rsid w:val="004F5A5D"/>
    <w:rsid w:val="00500683"/>
    <w:rsid w:val="00505972"/>
    <w:rsid w:val="00511FA2"/>
    <w:rsid w:val="0051495F"/>
    <w:rsid w:val="00526412"/>
    <w:rsid w:val="0052667E"/>
    <w:rsid w:val="00533290"/>
    <w:rsid w:val="005417F4"/>
    <w:rsid w:val="0054398C"/>
    <w:rsid w:val="00546369"/>
    <w:rsid w:val="00556C7C"/>
    <w:rsid w:val="00561737"/>
    <w:rsid w:val="00563CE7"/>
    <w:rsid w:val="00563F35"/>
    <w:rsid w:val="005666F9"/>
    <w:rsid w:val="005713C2"/>
    <w:rsid w:val="00571717"/>
    <w:rsid w:val="00571F99"/>
    <w:rsid w:val="005740B5"/>
    <w:rsid w:val="00575F00"/>
    <w:rsid w:val="00580F0A"/>
    <w:rsid w:val="00591DBD"/>
    <w:rsid w:val="005923C3"/>
    <w:rsid w:val="005926C9"/>
    <w:rsid w:val="00594F68"/>
    <w:rsid w:val="005B04D7"/>
    <w:rsid w:val="005B0558"/>
    <w:rsid w:val="005D3FE1"/>
    <w:rsid w:val="005D72F4"/>
    <w:rsid w:val="005E386E"/>
    <w:rsid w:val="005E3D2C"/>
    <w:rsid w:val="005F19B0"/>
    <w:rsid w:val="005F1DA5"/>
    <w:rsid w:val="005F2F50"/>
    <w:rsid w:val="0060683F"/>
    <w:rsid w:val="00610BEF"/>
    <w:rsid w:val="0061111A"/>
    <w:rsid w:val="00615B2D"/>
    <w:rsid w:val="00616E93"/>
    <w:rsid w:val="006177C4"/>
    <w:rsid w:val="006211E5"/>
    <w:rsid w:val="00622E5D"/>
    <w:rsid w:val="00623C02"/>
    <w:rsid w:val="00632E53"/>
    <w:rsid w:val="00652189"/>
    <w:rsid w:val="0065654C"/>
    <w:rsid w:val="00661AAF"/>
    <w:rsid w:val="006633DF"/>
    <w:rsid w:val="00675C16"/>
    <w:rsid w:val="006826A1"/>
    <w:rsid w:val="00683F32"/>
    <w:rsid w:val="00685965"/>
    <w:rsid w:val="0068692A"/>
    <w:rsid w:val="0068716E"/>
    <w:rsid w:val="00692CD7"/>
    <w:rsid w:val="006947C4"/>
    <w:rsid w:val="006A0520"/>
    <w:rsid w:val="006B1220"/>
    <w:rsid w:val="006B3C88"/>
    <w:rsid w:val="006B4626"/>
    <w:rsid w:val="006B5A8E"/>
    <w:rsid w:val="006B5CA2"/>
    <w:rsid w:val="006C3DFD"/>
    <w:rsid w:val="006C41A9"/>
    <w:rsid w:val="006C4D79"/>
    <w:rsid w:val="006D16E8"/>
    <w:rsid w:val="006E018D"/>
    <w:rsid w:val="006E1D74"/>
    <w:rsid w:val="006E3F3F"/>
    <w:rsid w:val="006E526B"/>
    <w:rsid w:val="0070085D"/>
    <w:rsid w:val="00714562"/>
    <w:rsid w:val="00715AA2"/>
    <w:rsid w:val="0071731F"/>
    <w:rsid w:val="007173FC"/>
    <w:rsid w:val="007205CE"/>
    <w:rsid w:val="00722A32"/>
    <w:rsid w:val="00723B81"/>
    <w:rsid w:val="007313ED"/>
    <w:rsid w:val="00731F76"/>
    <w:rsid w:val="00736EB6"/>
    <w:rsid w:val="007467C5"/>
    <w:rsid w:val="00750F50"/>
    <w:rsid w:val="0075698D"/>
    <w:rsid w:val="0076188C"/>
    <w:rsid w:val="00762807"/>
    <w:rsid w:val="007656A9"/>
    <w:rsid w:val="0077042C"/>
    <w:rsid w:val="00772A04"/>
    <w:rsid w:val="00774F84"/>
    <w:rsid w:val="007769D0"/>
    <w:rsid w:val="00777615"/>
    <w:rsid w:val="0078324B"/>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75C6"/>
    <w:rsid w:val="007C3182"/>
    <w:rsid w:val="007C6929"/>
    <w:rsid w:val="007D08AC"/>
    <w:rsid w:val="007D08BF"/>
    <w:rsid w:val="007D4F35"/>
    <w:rsid w:val="007E3458"/>
    <w:rsid w:val="007E5A6C"/>
    <w:rsid w:val="007F1318"/>
    <w:rsid w:val="007F4F3C"/>
    <w:rsid w:val="008003E7"/>
    <w:rsid w:val="0081762C"/>
    <w:rsid w:val="008209F0"/>
    <w:rsid w:val="00822A7E"/>
    <w:rsid w:val="008263C5"/>
    <w:rsid w:val="008456FF"/>
    <w:rsid w:val="00854FF7"/>
    <w:rsid w:val="00857BF9"/>
    <w:rsid w:val="00860F17"/>
    <w:rsid w:val="00863107"/>
    <w:rsid w:val="00870B4E"/>
    <w:rsid w:val="008718EE"/>
    <w:rsid w:val="00872612"/>
    <w:rsid w:val="00876501"/>
    <w:rsid w:val="00880213"/>
    <w:rsid w:val="00895281"/>
    <w:rsid w:val="008A5E87"/>
    <w:rsid w:val="008B0097"/>
    <w:rsid w:val="008B4F87"/>
    <w:rsid w:val="008B511B"/>
    <w:rsid w:val="008B630B"/>
    <w:rsid w:val="008B7836"/>
    <w:rsid w:val="008B7D65"/>
    <w:rsid w:val="008C0186"/>
    <w:rsid w:val="008C2098"/>
    <w:rsid w:val="008D0E99"/>
    <w:rsid w:val="008D43EA"/>
    <w:rsid w:val="008E2312"/>
    <w:rsid w:val="008E5566"/>
    <w:rsid w:val="008F4E62"/>
    <w:rsid w:val="00906288"/>
    <w:rsid w:val="00912F66"/>
    <w:rsid w:val="009179CC"/>
    <w:rsid w:val="0092006B"/>
    <w:rsid w:val="00925466"/>
    <w:rsid w:val="0092720B"/>
    <w:rsid w:val="00933567"/>
    <w:rsid w:val="00933CA2"/>
    <w:rsid w:val="00935ABF"/>
    <w:rsid w:val="00945F70"/>
    <w:rsid w:val="00961903"/>
    <w:rsid w:val="00963A57"/>
    <w:rsid w:val="00973355"/>
    <w:rsid w:val="009841F2"/>
    <w:rsid w:val="00984917"/>
    <w:rsid w:val="00993BED"/>
    <w:rsid w:val="009963FB"/>
    <w:rsid w:val="009A067C"/>
    <w:rsid w:val="009A1D5D"/>
    <w:rsid w:val="009A2D28"/>
    <w:rsid w:val="009B17C5"/>
    <w:rsid w:val="009B2CE5"/>
    <w:rsid w:val="009B3203"/>
    <w:rsid w:val="009B38E7"/>
    <w:rsid w:val="009B434B"/>
    <w:rsid w:val="009B7DE4"/>
    <w:rsid w:val="009C0C7F"/>
    <w:rsid w:val="009C11BB"/>
    <w:rsid w:val="009D5CE2"/>
    <w:rsid w:val="009E0B92"/>
    <w:rsid w:val="009E0CF9"/>
    <w:rsid w:val="009E3D26"/>
    <w:rsid w:val="009E40E7"/>
    <w:rsid w:val="009E457F"/>
    <w:rsid w:val="009E6944"/>
    <w:rsid w:val="009E783A"/>
    <w:rsid w:val="009F3871"/>
    <w:rsid w:val="009F5632"/>
    <w:rsid w:val="009F6D2D"/>
    <w:rsid w:val="00A00A05"/>
    <w:rsid w:val="00A0120F"/>
    <w:rsid w:val="00A01B25"/>
    <w:rsid w:val="00A01E19"/>
    <w:rsid w:val="00A15B6B"/>
    <w:rsid w:val="00A22EB7"/>
    <w:rsid w:val="00A27439"/>
    <w:rsid w:val="00A31119"/>
    <w:rsid w:val="00A40F08"/>
    <w:rsid w:val="00A42FF3"/>
    <w:rsid w:val="00A52C12"/>
    <w:rsid w:val="00A57832"/>
    <w:rsid w:val="00A616A9"/>
    <w:rsid w:val="00A6679B"/>
    <w:rsid w:val="00A67F40"/>
    <w:rsid w:val="00A73EDF"/>
    <w:rsid w:val="00A75341"/>
    <w:rsid w:val="00A81F27"/>
    <w:rsid w:val="00A82DFB"/>
    <w:rsid w:val="00A85593"/>
    <w:rsid w:val="00A85B82"/>
    <w:rsid w:val="00A91ACF"/>
    <w:rsid w:val="00A91C98"/>
    <w:rsid w:val="00A9253F"/>
    <w:rsid w:val="00A94D23"/>
    <w:rsid w:val="00A9586C"/>
    <w:rsid w:val="00A96A1E"/>
    <w:rsid w:val="00AB2FB7"/>
    <w:rsid w:val="00AC0D69"/>
    <w:rsid w:val="00AC2144"/>
    <w:rsid w:val="00AD0959"/>
    <w:rsid w:val="00AD4106"/>
    <w:rsid w:val="00AD50D3"/>
    <w:rsid w:val="00AD6429"/>
    <w:rsid w:val="00AE3911"/>
    <w:rsid w:val="00AE4AA5"/>
    <w:rsid w:val="00AE69E8"/>
    <w:rsid w:val="00AF0AC2"/>
    <w:rsid w:val="00AF253B"/>
    <w:rsid w:val="00AF2E26"/>
    <w:rsid w:val="00AF38F9"/>
    <w:rsid w:val="00AF46F3"/>
    <w:rsid w:val="00B00FCB"/>
    <w:rsid w:val="00B03327"/>
    <w:rsid w:val="00B04E6C"/>
    <w:rsid w:val="00B05A71"/>
    <w:rsid w:val="00B108BB"/>
    <w:rsid w:val="00B14085"/>
    <w:rsid w:val="00B14EAC"/>
    <w:rsid w:val="00B2188D"/>
    <w:rsid w:val="00B22173"/>
    <w:rsid w:val="00B24ED6"/>
    <w:rsid w:val="00B26084"/>
    <w:rsid w:val="00B3455A"/>
    <w:rsid w:val="00B3762C"/>
    <w:rsid w:val="00B40B7A"/>
    <w:rsid w:val="00B40DD3"/>
    <w:rsid w:val="00B423E1"/>
    <w:rsid w:val="00B449E1"/>
    <w:rsid w:val="00B44AE3"/>
    <w:rsid w:val="00B44B78"/>
    <w:rsid w:val="00B515C5"/>
    <w:rsid w:val="00B52DF3"/>
    <w:rsid w:val="00B55CEF"/>
    <w:rsid w:val="00B55DC9"/>
    <w:rsid w:val="00B67158"/>
    <w:rsid w:val="00B717D1"/>
    <w:rsid w:val="00B836B4"/>
    <w:rsid w:val="00B85E42"/>
    <w:rsid w:val="00B87A83"/>
    <w:rsid w:val="00B93488"/>
    <w:rsid w:val="00B9497F"/>
    <w:rsid w:val="00BA58DB"/>
    <w:rsid w:val="00BA790C"/>
    <w:rsid w:val="00BB1899"/>
    <w:rsid w:val="00BB3A83"/>
    <w:rsid w:val="00BC2524"/>
    <w:rsid w:val="00BC6A0A"/>
    <w:rsid w:val="00BC7830"/>
    <w:rsid w:val="00BD0E33"/>
    <w:rsid w:val="00BD15A0"/>
    <w:rsid w:val="00BD64EB"/>
    <w:rsid w:val="00BD7BE1"/>
    <w:rsid w:val="00BE1869"/>
    <w:rsid w:val="00BE24E1"/>
    <w:rsid w:val="00BF3C23"/>
    <w:rsid w:val="00BF6F97"/>
    <w:rsid w:val="00C01423"/>
    <w:rsid w:val="00C0320B"/>
    <w:rsid w:val="00C03297"/>
    <w:rsid w:val="00C053F5"/>
    <w:rsid w:val="00C06731"/>
    <w:rsid w:val="00C10FCA"/>
    <w:rsid w:val="00C1335A"/>
    <w:rsid w:val="00C21D61"/>
    <w:rsid w:val="00C237CE"/>
    <w:rsid w:val="00C2401C"/>
    <w:rsid w:val="00C25488"/>
    <w:rsid w:val="00C32AB8"/>
    <w:rsid w:val="00C4118B"/>
    <w:rsid w:val="00C54577"/>
    <w:rsid w:val="00C67694"/>
    <w:rsid w:val="00C864EE"/>
    <w:rsid w:val="00C9348C"/>
    <w:rsid w:val="00C937F1"/>
    <w:rsid w:val="00C95979"/>
    <w:rsid w:val="00CA2418"/>
    <w:rsid w:val="00CA37C0"/>
    <w:rsid w:val="00CA6BD4"/>
    <w:rsid w:val="00CB6E82"/>
    <w:rsid w:val="00CD4379"/>
    <w:rsid w:val="00CD7331"/>
    <w:rsid w:val="00CE0AFF"/>
    <w:rsid w:val="00CE4C91"/>
    <w:rsid w:val="00CF7125"/>
    <w:rsid w:val="00CF7422"/>
    <w:rsid w:val="00D15E77"/>
    <w:rsid w:val="00D16476"/>
    <w:rsid w:val="00D20B1E"/>
    <w:rsid w:val="00D21679"/>
    <w:rsid w:val="00D242AA"/>
    <w:rsid w:val="00D257C4"/>
    <w:rsid w:val="00D257F6"/>
    <w:rsid w:val="00D26C8B"/>
    <w:rsid w:val="00D309F6"/>
    <w:rsid w:val="00D35C0E"/>
    <w:rsid w:val="00D36322"/>
    <w:rsid w:val="00D54CAA"/>
    <w:rsid w:val="00D56393"/>
    <w:rsid w:val="00D56DAA"/>
    <w:rsid w:val="00D656A4"/>
    <w:rsid w:val="00D665A0"/>
    <w:rsid w:val="00D73F27"/>
    <w:rsid w:val="00D74259"/>
    <w:rsid w:val="00D7477F"/>
    <w:rsid w:val="00D7785F"/>
    <w:rsid w:val="00D86D39"/>
    <w:rsid w:val="00D916BC"/>
    <w:rsid w:val="00D94638"/>
    <w:rsid w:val="00DA0813"/>
    <w:rsid w:val="00DB266B"/>
    <w:rsid w:val="00DB408B"/>
    <w:rsid w:val="00DC20F2"/>
    <w:rsid w:val="00DC406B"/>
    <w:rsid w:val="00DC4076"/>
    <w:rsid w:val="00DC411F"/>
    <w:rsid w:val="00DD21C0"/>
    <w:rsid w:val="00DE2430"/>
    <w:rsid w:val="00DE5974"/>
    <w:rsid w:val="00DE6047"/>
    <w:rsid w:val="00DF126E"/>
    <w:rsid w:val="00E05059"/>
    <w:rsid w:val="00E0554F"/>
    <w:rsid w:val="00E07021"/>
    <w:rsid w:val="00E1065F"/>
    <w:rsid w:val="00E1453F"/>
    <w:rsid w:val="00E160F3"/>
    <w:rsid w:val="00E17890"/>
    <w:rsid w:val="00E22B03"/>
    <w:rsid w:val="00E22FC8"/>
    <w:rsid w:val="00E236F2"/>
    <w:rsid w:val="00E24AB2"/>
    <w:rsid w:val="00E270A8"/>
    <w:rsid w:val="00E31A3E"/>
    <w:rsid w:val="00E32139"/>
    <w:rsid w:val="00E3230A"/>
    <w:rsid w:val="00E3709F"/>
    <w:rsid w:val="00E41E2F"/>
    <w:rsid w:val="00E448DE"/>
    <w:rsid w:val="00E468EC"/>
    <w:rsid w:val="00E5141C"/>
    <w:rsid w:val="00E54B24"/>
    <w:rsid w:val="00E550A5"/>
    <w:rsid w:val="00E57ADC"/>
    <w:rsid w:val="00E60AE6"/>
    <w:rsid w:val="00E61E76"/>
    <w:rsid w:val="00E63B72"/>
    <w:rsid w:val="00E63DD0"/>
    <w:rsid w:val="00E65193"/>
    <w:rsid w:val="00E70601"/>
    <w:rsid w:val="00E728DB"/>
    <w:rsid w:val="00E730D7"/>
    <w:rsid w:val="00E737F5"/>
    <w:rsid w:val="00E73E17"/>
    <w:rsid w:val="00E75DCB"/>
    <w:rsid w:val="00E77E87"/>
    <w:rsid w:val="00E819C7"/>
    <w:rsid w:val="00E85394"/>
    <w:rsid w:val="00E85589"/>
    <w:rsid w:val="00E87A78"/>
    <w:rsid w:val="00E95BE7"/>
    <w:rsid w:val="00E95FB3"/>
    <w:rsid w:val="00EA355D"/>
    <w:rsid w:val="00EA487B"/>
    <w:rsid w:val="00EA6B12"/>
    <w:rsid w:val="00EA7AE3"/>
    <w:rsid w:val="00EB274B"/>
    <w:rsid w:val="00EC58C5"/>
    <w:rsid w:val="00ED008A"/>
    <w:rsid w:val="00EE0214"/>
    <w:rsid w:val="00F00D01"/>
    <w:rsid w:val="00F01BA4"/>
    <w:rsid w:val="00F02225"/>
    <w:rsid w:val="00F05D67"/>
    <w:rsid w:val="00F111A2"/>
    <w:rsid w:val="00F13287"/>
    <w:rsid w:val="00F14915"/>
    <w:rsid w:val="00F16858"/>
    <w:rsid w:val="00F23691"/>
    <w:rsid w:val="00F341B9"/>
    <w:rsid w:val="00F42712"/>
    <w:rsid w:val="00F42A52"/>
    <w:rsid w:val="00F42B0A"/>
    <w:rsid w:val="00F46BA3"/>
    <w:rsid w:val="00F61F6F"/>
    <w:rsid w:val="00F6655B"/>
    <w:rsid w:val="00F74A68"/>
    <w:rsid w:val="00F74BD5"/>
    <w:rsid w:val="00F857CA"/>
    <w:rsid w:val="00F926C6"/>
    <w:rsid w:val="00F933EE"/>
    <w:rsid w:val="00F93EB9"/>
    <w:rsid w:val="00FA3A0A"/>
    <w:rsid w:val="00FA74EF"/>
    <w:rsid w:val="00FB2E0F"/>
    <w:rsid w:val="00FB3030"/>
    <w:rsid w:val="00FB4E25"/>
    <w:rsid w:val="00FC2372"/>
    <w:rsid w:val="00FC34D0"/>
    <w:rsid w:val="00FC4A1C"/>
    <w:rsid w:val="00FD3DAC"/>
    <w:rsid w:val="00FD4A02"/>
    <w:rsid w:val="00FE1FD7"/>
    <w:rsid w:val="00FE5B93"/>
    <w:rsid w:val="00FE6B26"/>
    <w:rsid w:val="00FE7703"/>
    <w:rsid w:val="00FF2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0C7A"/>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84"/>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67158"/>
    <w:pPr>
      <w:keepNext/>
      <w:keepLines/>
      <w:spacing w:before="600" w:after="120" w:line="240" w:lineRule="auto"/>
      <w:outlineLvl w:val="0"/>
    </w:pPr>
    <w:rPr>
      <w:rFonts w:eastAsia="Times New Roman" w:cs="Times New Roman"/>
      <w:b/>
      <w:color w:val="000000" w:themeColor="text1"/>
      <w:kern w:val="2"/>
      <w:sz w:val="28"/>
      <w:szCs w:val="28"/>
      <w:u w:val="single"/>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158"/>
    <w:rPr>
      <w:rFonts w:ascii="Times New Roman" w:eastAsia="Times New Roman" w:hAnsi="Times New Roman" w:cs="Times New Roman"/>
      <w:b/>
      <w:color w:val="000000" w:themeColor="text1"/>
      <w:sz w:val="28"/>
      <w:szCs w:val="28"/>
      <w:u w:val="single"/>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semiHidden/>
    <w:rsid w:val="003D7198"/>
    <w:rPr>
      <w:rFonts w:asciiTheme="majorHAnsi" w:eastAsiaTheme="majorEastAsia" w:hAnsiTheme="majorHAnsi" w:cstheme="majorBidi"/>
      <w:i/>
      <w:iCs/>
      <w:color w:val="2F5496" w:themeColor="accent1" w:themeShade="BF"/>
      <w:kern w:val="0"/>
      <w:sz w:val="24"/>
    </w:rPr>
  </w:style>
  <w:style w:type="character" w:styleId="Emphasis">
    <w:name w:val="Emphasis"/>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Light">
    <w:name w:val="Grid Table Light"/>
    <w:basedOn w:val="TableNormal"/>
    <w:uiPriority w:val="40"/>
    <w:rsid w:val="00DC20F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9E3D26"/>
    <w:rPr>
      <w:color w:val="605E5C"/>
      <w:shd w:val="clear" w:color="auto" w:fill="E1DFDD"/>
    </w:rPr>
  </w:style>
  <w:style w:type="paragraph" w:styleId="Header">
    <w:name w:val="header"/>
    <w:basedOn w:val="Normal"/>
    <w:link w:val="HeaderChar"/>
    <w:uiPriority w:val="99"/>
    <w:unhideWhenUsed/>
    <w:rsid w:val="000F4A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F4A65"/>
    <w:rPr>
      <w:rFonts w:ascii="Times New Roman" w:eastAsia="Calibri" w:hAnsi="Times New Roman" w:cs="SimSun"/>
      <w:color w:val="000000"/>
      <w:kern w:val="0"/>
      <w:sz w:val="24"/>
    </w:rPr>
  </w:style>
  <w:style w:type="character" w:customStyle="1" w:styleId="bzpyqfadein">
    <w:name w:val="bz_pyq_fadein"/>
    <w:basedOn w:val="DefaultParagraphFont"/>
    <w:rsid w:val="006947C4"/>
  </w:style>
  <w:style w:type="character" w:styleId="UnresolvedMention">
    <w:name w:val="Unresolved Mention"/>
    <w:basedOn w:val="DefaultParagraphFont"/>
    <w:uiPriority w:val="99"/>
    <w:semiHidden/>
    <w:unhideWhenUsed/>
    <w:rsid w:val="00EA4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30909393">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36/bjsports-2011-090185" TargetMode="External"/><Relationship Id="rId18" Type="http://schemas.openxmlformats.org/officeDocument/2006/relationships/hyperlink" Target="https://doi.org/10.1016/j.ypmed.2020.106114" TargetMode="External"/><Relationship Id="rId26" Type="http://schemas.openxmlformats.org/officeDocument/2006/relationships/hyperlink" Target="https://doi.org/10.1007/afjphs2025-045" TargetMode="External"/><Relationship Id="rId39" Type="http://schemas.openxmlformats.org/officeDocument/2006/relationships/footer" Target="footer2.xml"/><Relationship Id="rId21" Type="http://schemas.openxmlformats.org/officeDocument/2006/relationships/hyperlink" Target="https://doi.org/10.1016/j.jth.2018.11.001" TargetMode="External"/><Relationship Id="rId34" Type="http://schemas.openxmlformats.org/officeDocument/2006/relationships/hyperlink" Target="https://doi.org/10.17159/2078-516X/2019/v31i1a6521" TargetMode="External"/><Relationship Id="rId42" Type="http://schemas.openxmlformats.org/officeDocument/2006/relationships/fontTable" Target="fontTable.xml"/><Relationship Id="rId7" Type="http://schemas.openxmlformats.org/officeDocument/2006/relationships/hyperlink" Target="https://doi.org/10.1186/s12889-021-11123-4" TargetMode="External"/><Relationship Id="rId2" Type="http://schemas.openxmlformats.org/officeDocument/2006/relationships/styles" Target="styles.xml"/><Relationship Id="rId16" Type="http://schemas.openxmlformats.org/officeDocument/2006/relationships/hyperlink" Target="https://doi.org/10.3390/healthcare13243274" TargetMode="External"/><Relationship Id="rId20" Type="http://schemas.openxmlformats.org/officeDocument/2006/relationships/hyperlink" Target="https://doi.org/10.1186/s12889-015-1553-4" TargetMode="External"/><Relationship Id="rId29" Type="http://schemas.openxmlformats.org/officeDocument/2006/relationships/hyperlink" Target="https://doi.org/10.1080/07448481.2019.1675460"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890117121999421" TargetMode="External"/><Relationship Id="rId24" Type="http://schemas.openxmlformats.org/officeDocument/2006/relationships/hyperlink" Target="https://doi.org/10.1016/j.ypmed.2018.05.016" TargetMode="External"/><Relationship Id="rId32" Type="http://schemas.openxmlformats.org/officeDocument/2006/relationships/hyperlink" Target="https://doi.org/10.1111/sms.12976"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3390/healthcare13243274" TargetMode="External"/><Relationship Id="rId23" Type="http://schemas.openxmlformats.org/officeDocument/2006/relationships/hyperlink" Target="https://doi.org/10.1186/s12966-023-01539-6" TargetMode="External"/><Relationship Id="rId28" Type="http://schemas.openxmlformats.org/officeDocument/2006/relationships/hyperlink" Target="https://doi.org/10.1539/joh.13-0227" TargetMode="External"/><Relationship Id="rId36" Type="http://schemas.openxmlformats.org/officeDocument/2006/relationships/header" Target="header1.xml"/><Relationship Id="rId10" Type="http://schemas.openxmlformats.org/officeDocument/2006/relationships/hyperlink" Target="https://doi.org/10.3390/ijerph18126372" TargetMode="External"/><Relationship Id="rId19" Type="http://schemas.openxmlformats.org/officeDocument/2006/relationships/hyperlink" Target="https://doi.org/10.1016/j.ypmed.2019.09.025" TargetMode="External"/><Relationship Id="rId31" Type="http://schemas.openxmlformats.org/officeDocument/2006/relationships/hyperlink" Target="https://doi.org/10.1016/S0140-6736(12)60646-1" TargetMode="External"/><Relationship Id="rId4" Type="http://schemas.openxmlformats.org/officeDocument/2006/relationships/webSettings" Target="webSettings.xml"/><Relationship Id="rId9" Type="http://schemas.openxmlformats.org/officeDocument/2006/relationships/hyperlink" Target="https://doi.org/10.1097/JCN.0000000000000289" TargetMode="External"/><Relationship Id="rId14" Type="http://schemas.openxmlformats.org/officeDocument/2006/relationships/hyperlink" Target="https://doi.org/10.7326/M14-1651" TargetMode="External"/><Relationship Id="rId22" Type="http://schemas.openxmlformats.org/officeDocument/2006/relationships/hyperlink" Target="https://doi.org/10.1016/j.ypmed.2011.03.010" TargetMode="External"/><Relationship Id="rId27" Type="http://schemas.openxmlformats.org/officeDocument/2006/relationships/hyperlink" Target="https://doi.org/10.1016/j.jshs.2022.07.005" TargetMode="External"/><Relationship Id="rId30" Type="http://schemas.openxmlformats.org/officeDocument/2006/relationships/hyperlink" Target="https://doi.org/10.1016/S2214-109X(18)30357-7" TargetMode="External"/><Relationship Id="rId35" Type="http://schemas.openxmlformats.org/officeDocument/2006/relationships/hyperlink" Target="https://doi.org/10.1016/j.tranpol.2021.03.009" TargetMode="External"/><Relationship Id="rId43" Type="http://schemas.openxmlformats.org/officeDocument/2006/relationships/theme" Target="theme/theme1.xml"/><Relationship Id="rId8" Type="http://schemas.openxmlformats.org/officeDocument/2006/relationships/hyperlink" Target="https://doi.org/10.1123/jpah.2020-0578" TargetMode="External"/><Relationship Id="rId3" Type="http://schemas.openxmlformats.org/officeDocument/2006/relationships/settings" Target="settings.xml"/><Relationship Id="rId12" Type="http://schemas.openxmlformats.org/officeDocument/2006/relationships/hyperlink" Target="https://doi.org/10.1016/S0140-6736(12)60735-1" TargetMode="External"/><Relationship Id="rId17" Type="http://schemas.openxmlformats.org/officeDocument/2006/relationships/hyperlink" Target="https://doi.org/10.1136/bjsports-2020-102955" TargetMode="External"/><Relationship Id="rId25" Type="http://schemas.openxmlformats.org/officeDocument/2006/relationships/hyperlink" Target="https://doi.org/10.1136/bmj.l4570" TargetMode="External"/><Relationship Id="rId33" Type="http://schemas.openxmlformats.org/officeDocument/2006/relationships/hyperlink" Target="https://doi.org/10.1016/S0140-6736(12)61031-9"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8847</Words>
  <Characters>50431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SDI 1166</cp:lastModifiedBy>
  <cp:revision>6</cp:revision>
  <dcterms:created xsi:type="dcterms:W3CDTF">2026-07-21T09:52:00Z</dcterms:created>
  <dcterms:modified xsi:type="dcterms:W3CDTF">2026-07-22T12:41:00Z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7235020b,fb6f0e1,1ee0ac16</vt:lpwstr>
  </property>
  <property fmtid="{D5CDD505-2E9C-101B-9397-08002B2CF9AE}" pid="3" name="ClassificationContentMarkingFooterFontProps">
    <vt:lpwstr>#000000,10,Arial</vt:lpwstr>
  </property>
  <property fmtid="{D5CDD505-2E9C-101B-9397-08002B2CF9AE}" pid="4" name="ClassificationContentMarkingFooterText">
    <vt:lpwstr>---Internal Use--- </vt:lpwstr>
  </property>
  <property fmtid="{D5CDD505-2E9C-101B-9397-08002B2CF9AE}" pid="5" name="MSIP_Label_0d28e344-bb15-459b-97fd-14fa06bc1052_Enabled">
    <vt:lpwstr>true</vt:lpwstr>
  </property>
  <property fmtid="{D5CDD505-2E9C-101B-9397-08002B2CF9AE}" pid="6" name="MSIP_Label_0d28e344-bb15-459b-97fd-14fa06bc1052_SetDate">
    <vt:lpwstr>2025-12-15T06:35:34Z</vt:lpwstr>
  </property>
  <property fmtid="{D5CDD505-2E9C-101B-9397-08002B2CF9AE}" pid="7" name="MSIP_Label_0d28e344-bb15-459b-97fd-14fa06bc1052_Method">
    <vt:lpwstr>Standard</vt:lpwstr>
  </property>
  <property fmtid="{D5CDD505-2E9C-101B-9397-08002B2CF9AE}" pid="8" name="MSIP_Label_0d28e344-bb15-459b-97fd-14fa06bc1052_Name">
    <vt:lpwstr>Not Protected (Internal Use)</vt:lpwstr>
  </property>
  <property fmtid="{D5CDD505-2E9C-101B-9397-08002B2CF9AE}" pid="9" name="MSIP_Label_0d28e344-bb15-459b-97fd-14fa06bc1052_SiteId">
    <vt:lpwstr>3e20ecb2-9cb0-4df1-ad7b-914e31dcdda4</vt:lpwstr>
  </property>
  <property fmtid="{D5CDD505-2E9C-101B-9397-08002B2CF9AE}" pid="10" name="MSIP_Label_0d28e344-bb15-459b-97fd-14fa06bc1052_ActionId">
    <vt:lpwstr>e1182bdf-9d86-4ee4-90f4-00a3d7f77865</vt:lpwstr>
  </property>
  <property fmtid="{D5CDD505-2E9C-101B-9397-08002B2CF9AE}" pid="11" name="MSIP_Label_0d28e344-bb15-459b-97fd-14fa06bc1052_ContentBits">
    <vt:lpwstr>2</vt:lpwstr>
  </property>
  <property fmtid="{D5CDD505-2E9C-101B-9397-08002B2CF9AE}" pid="12" name="MSIP_Label_0d28e344-bb15-459b-97fd-14fa06bc1052_Tag">
    <vt:lpwstr>10, 3, 0, 1</vt:lpwstr>
  </property>
</Properties>
</file>