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8157D" w14:textId="77777777" w:rsidR="00042C9F" w:rsidRPr="004F77E9" w:rsidRDefault="00042C9F" w:rsidP="007950A5">
      <w:pPr>
        <w:pStyle w:val="NoSpacing"/>
        <w:jc w:val="right"/>
        <w:rPr>
          <w:rFonts w:ascii="Arial" w:hAnsi="Arial" w:cs="Arial"/>
          <w:b/>
          <w:bCs/>
          <w:sz w:val="36"/>
          <w:szCs w:val="36"/>
        </w:rPr>
      </w:pPr>
      <w:r w:rsidRPr="004F77E9">
        <w:rPr>
          <w:rFonts w:ascii="Arial" w:hAnsi="Arial" w:cs="Arial"/>
          <w:b/>
          <w:bCs/>
          <w:sz w:val="36"/>
          <w:szCs w:val="36"/>
        </w:rPr>
        <w:t xml:space="preserve">Effect of Different Refining Methods on Gossypol Content and </w:t>
      </w:r>
      <w:r w:rsidR="002A7F50" w:rsidRPr="004F77E9">
        <w:rPr>
          <w:rFonts w:ascii="Arial" w:hAnsi="Arial" w:cs="Arial"/>
          <w:b/>
          <w:bCs/>
          <w:sz w:val="36"/>
          <w:szCs w:val="36"/>
        </w:rPr>
        <w:t>Oil Quality</w:t>
      </w:r>
      <w:r w:rsidRPr="004F77E9">
        <w:rPr>
          <w:rFonts w:ascii="Arial" w:hAnsi="Arial" w:cs="Arial"/>
          <w:b/>
          <w:bCs/>
          <w:sz w:val="36"/>
          <w:szCs w:val="36"/>
        </w:rPr>
        <w:t xml:space="preserve"> of Pretreated Cottonseed (</w:t>
      </w:r>
      <w:r w:rsidRPr="004F77E9">
        <w:rPr>
          <w:rFonts w:ascii="Arial" w:hAnsi="Arial" w:cs="Arial"/>
          <w:b/>
          <w:bCs/>
          <w:i/>
          <w:sz w:val="36"/>
          <w:szCs w:val="36"/>
        </w:rPr>
        <w:t>Gossypium hirsutum</w:t>
      </w:r>
      <w:r w:rsidRPr="004F77E9">
        <w:rPr>
          <w:rFonts w:ascii="Arial" w:hAnsi="Arial" w:cs="Arial"/>
          <w:b/>
          <w:bCs/>
          <w:sz w:val="36"/>
          <w:szCs w:val="36"/>
        </w:rPr>
        <w:t xml:space="preserve"> L.)</w:t>
      </w:r>
    </w:p>
    <w:p w14:paraId="7BAD271C" w14:textId="77777777" w:rsidR="00B425A5" w:rsidRPr="004F77E9" w:rsidRDefault="00B425A5" w:rsidP="007950A5">
      <w:pPr>
        <w:pStyle w:val="NoSpacing"/>
        <w:jc w:val="right"/>
        <w:rPr>
          <w:rFonts w:ascii="Arial" w:hAnsi="Arial" w:cs="Arial"/>
          <w:b/>
          <w:bCs/>
          <w:sz w:val="36"/>
          <w:szCs w:val="36"/>
        </w:rPr>
      </w:pPr>
    </w:p>
    <w:p w14:paraId="3CC2610C" w14:textId="77777777" w:rsidR="00F03F15" w:rsidRPr="004F77E9" w:rsidRDefault="00F03F15" w:rsidP="00A02623">
      <w:pPr>
        <w:autoSpaceDE w:val="0"/>
        <w:autoSpaceDN w:val="0"/>
        <w:spacing w:after="0" w:line="240" w:lineRule="auto"/>
        <w:jc w:val="right"/>
        <w:rPr>
          <w:rFonts w:ascii="Arial" w:eastAsia="Times New Roman" w:hAnsi="Arial" w:cs="Arial"/>
          <w:i/>
          <w:iCs/>
          <w:sz w:val="20"/>
          <w:szCs w:val="20"/>
        </w:rPr>
      </w:pPr>
    </w:p>
    <w:p w14:paraId="0811D737" w14:textId="77777777" w:rsidR="00A02623" w:rsidRPr="004F77E9" w:rsidRDefault="00A02623" w:rsidP="00A02623">
      <w:pPr>
        <w:autoSpaceDE w:val="0"/>
        <w:autoSpaceDN w:val="0"/>
        <w:spacing w:after="0" w:line="240" w:lineRule="auto"/>
        <w:jc w:val="right"/>
        <w:rPr>
          <w:rFonts w:eastAsia="Times New Roman" w:cs="Times New Roman"/>
          <w:i/>
          <w:iCs/>
          <w:sz w:val="22"/>
        </w:rPr>
      </w:pPr>
    </w:p>
    <w:p w14:paraId="2F7A01E5" w14:textId="77777777" w:rsidR="00CC2B09" w:rsidRPr="004F77E9" w:rsidRDefault="008379DB" w:rsidP="007950A5">
      <w:pPr>
        <w:spacing w:after="0" w:line="240" w:lineRule="auto"/>
        <w:rPr>
          <w:rFonts w:ascii="Arial" w:hAnsi="Arial" w:cs="Arial"/>
          <w:sz w:val="20"/>
          <w:szCs w:val="20"/>
        </w:rPr>
      </w:pPr>
      <w:r w:rsidRPr="004F77E9">
        <w:rPr>
          <w:rFonts w:ascii="Arial" w:hAnsi="Arial" w:cs="Arial"/>
          <w:noProof/>
          <w:sz w:val="20"/>
          <w:szCs w:val="20"/>
        </w:rPr>
        <mc:AlternateContent>
          <mc:Choice Requires="wps">
            <w:drawing>
              <wp:inline distT="0" distB="0" distL="0" distR="0" wp14:anchorId="61CFCEF5" wp14:editId="44396AEB">
                <wp:extent cx="5760720" cy="635"/>
                <wp:effectExtent l="0" t="0" r="30480" b="37465"/>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086666F" id="_x0000_t32" coordsize="21600,21600" o:spt="32" o:oned="t" path="m,l21600,21600e" filled="f">
                <v:path arrowok="t" fillok="f" o:connecttype="none"/>
                <o:lock v:ext="edit" shapetype="t"/>
              </v:shapetype>
              <v:shape id="Straight Arrow Connector 3" o:spid="_x0000_s1026" type="#_x0000_t32" style="width:453.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ZSuwEAAFkDAAAOAAAAZHJzL2Uyb0RvYy54bWysU8Fu2zAMvQ/YPwi+L3YyJN2MOD2k6y7d&#10;FqDdBzCSbAuVRYFU4uTvJ6lO1m23oT4IlEg+Pj7S69vTYMVRExt0TTGfVYXQTqIyrmuKn0/3Hz4V&#10;ggM4BRadboqz5uJ28/7devS1XmCPVmkSEcRxPfqm6EPwdVmy7PUAPEOvXXS2SAOEeKWuVARjRB9s&#10;uaiqVTkiKU8oNXN8vXtxFpuM37Zahh9tyzoI2xSRW8gn5XOfznKzhroj8L2REw34DxYDGBeLXqHu&#10;IIA4kPkHajCSkLENM4lDiW1rpM49xG7m1V/dPPbgde4lisP+KhO/Haz8fty6HSXq8uQe/QPKZxYO&#10;tz24TmcCT2cfBzdPUpWj5/qaki7sdyT24zdUMQYOAbMKp5aGBBn7E6cs9vkqtj4FIePj8mZV3Szi&#10;TGT0rT4uMz7Ul1RPHL5qHEQymoIDgen6sEXn4lCR5rkQHB84JGJQXxJSXYf3xto8W+vEGNl/rpZV&#10;zmC0RiVvimPq9ltL4ghpPfI30fgjjPDgVEbrNagvkx3A2Bc7VrduUicJkraP6z2q844uqsX5ZZrT&#10;rqUFeX3P2b//iM0vAAAA//8DAFBLAwQUAAYACAAAACEA+FO5ENYAAAACAQAADwAAAGRycy9kb3du&#10;cmV2LnhtbEyPwU7DMBBE70j8g7VIXBB16KGEEKdCSJw4EFo+YBMvSUS8juJNY/4elwtcRlrNaOZt&#10;uY9uVCeaw+DZwN0mA0XcejtwZ+Dj+HKbgwqCbHH0TAa+KcC+urwosbB+5Xc6HaRTqYRDgQZ6kanQ&#10;OrQ9OQwbPxEn79PPDiWdc6ftjGsqd6PeZtlOOxw4LfQ40XNP7ddhcQbi244l1nlsVl5eQ35TR3S1&#10;MddX8ekRlFCUvzCc8RM6VImp8QvboEYD6RH51eQ9ZPdbUM05pKtS/0evfgAAAP//AwBQSwECLQAU&#10;AAYACAAAACEAtoM4kv4AAADhAQAAEwAAAAAAAAAAAAAAAAAAAAAAW0NvbnRlbnRfVHlwZXNdLnht&#10;bFBLAQItABQABgAIAAAAIQA4/SH/1gAAAJQBAAALAAAAAAAAAAAAAAAAAC8BAABfcmVscy8ucmVs&#10;c1BLAQItABQABgAIAAAAIQCjSZZSuwEAAFkDAAAOAAAAAAAAAAAAAAAAAC4CAABkcnMvZTJvRG9j&#10;LnhtbFBLAQItABQABgAIAAAAIQD4U7kQ1gAAAAIBAAAPAAAAAAAAAAAAAAAAABUEAABkcnMvZG93&#10;bnJldi54bWxQSwUGAAAAAAQABADzAAAAGAUAAAAA&#10;" strokeweight="1.5pt">
                <w10:anchorlock/>
              </v:shape>
            </w:pict>
          </mc:Fallback>
        </mc:AlternateContent>
      </w:r>
    </w:p>
    <w:p w14:paraId="76A76868" w14:textId="77777777" w:rsidR="00A02623" w:rsidRPr="004F77E9" w:rsidRDefault="00605576" w:rsidP="007950A5">
      <w:pPr>
        <w:pStyle w:val="BodyText"/>
        <w:jc w:val="both"/>
        <w:rPr>
          <w:rFonts w:ascii="Arial" w:hAnsi="Arial" w:cs="Arial"/>
          <w:b/>
          <w:bCs/>
          <w:sz w:val="22"/>
          <w:szCs w:val="22"/>
        </w:rPr>
      </w:pPr>
      <w:r w:rsidRPr="004F77E9">
        <w:rPr>
          <w:rFonts w:ascii="Arial" w:hAnsi="Arial" w:cs="Arial"/>
          <w:noProof/>
          <w:sz w:val="20"/>
          <w:szCs w:val="20"/>
        </w:rPr>
        <mc:AlternateContent>
          <mc:Choice Requires="wps">
            <w:drawing>
              <wp:anchor distT="45720" distB="45720" distL="114300" distR="114300" simplePos="0" relativeHeight="251659776" behindDoc="0" locked="0" layoutInCell="1" allowOverlap="1" wp14:anchorId="46BD6A5B" wp14:editId="411AFA5F">
                <wp:simplePos x="0" y="0"/>
                <wp:positionH relativeFrom="column">
                  <wp:posOffset>0</wp:posOffset>
                </wp:positionH>
                <wp:positionV relativeFrom="paragraph">
                  <wp:posOffset>307340</wp:posOffset>
                </wp:positionV>
                <wp:extent cx="5610225" cy="29051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2905125"/>
                        </a:xfrm>
                        <a:prstGeom prst="rect">
                          <a:avLst/>
                        </a:prstGeom>
                        <a:solidFill>
                          <a:srgbClr val="FFFFFF"/>
                        </a:solidFill>
                        <a:ln w="9525">
                          <a:solidFill>
                            <a:srgbClr val="000000"/>
                          </a:solidFill>
                          <a:miter lim="800000"/>
                          <a:headEnd/>
                          <a:tailEnd/>
                        </a:ln>
                      </wps:spPr>
                      <wps:txbx>
                        <w:txbxContent>
                          <w:p w14:paraId="3B9CAEA5" w14:textId="77777777" w:rsidR="004F77E9" w:rsidRDefault="00605576" w:rsidP="00CB72DF">
                            <w:pPr>
                              <w:spacing w:line="240" w:lineRule="auto"/>
                              <w:rPr>
                                <w:rFonts w:ascii="Arial" w:hAnsi="Arial" w:cs="Arial"/>
                                <w:sz w:val="20"/>
                                <w:szCs w:val="20"/>
                              </w:rPr>
                            </w:pPr>
                            <w:r w:rsidRPr="004F77E9">
                              <w:rPr>
                                <w:rFonts w:ascii="Arial" w:hAnsi="Arial" w:cs="Arial"/>
                                <w:sz w:val="20"/>
                                <w:szCs w:val="20"/>
                              </w:rPr>
                              <w:t xml:space="preserve">The objective of this research was to apply the most effective pretreatment for the refining methods and determine its effect on the quality (gossypol content, free fatty acid (FFA), peroxide value, iodine value, saponification value, and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of cottonseed oil. This research was conducted at the Department of Postharvest Technology, Advanced Center for Agricultural Research and Education (ACARE), </w:t>
                            </w:r>
                            <w:proofErr w:type="spellStart"/>
                            <w:r w:rsidRPr="004F77E9">
                              <w:rPr>
                                <w:rFonts w:ascii="Arial" w:hAnsi="Arial" w:cs="Arial"/>
                                <w:sz w:val="20"/>
                                <w:szCs w:val="20"/>
                              </w:rPr>
                              <w:t>Yezin</w:t>
                            </w:r>
                            <w:proofErr w:type="spellEnd"/>
                            <w:r w:rsidRPr="004F77E9">
                              <w:rPr>
                                <w:rFonts w:ascii="Arial" w:hAnsi="Arial" w:cs="Arial"/>
                                <w:sz w:val="20"/>
                                <w:szCs w:val="20"/>
                              </w:rPr>
                              <w:t xml:space="preserve"> Agricultural University (YAU). Cottonseed of the Shwe Daung-10 variety was collected from Lune Kyaw Cotton Seed Farm, Department of Agriculture (DOA), Ministry of Agriculture, Livestock, and Irrigation. The experiment was conducted using a completely </w:t>
                            </w:r>
                            <w:proofErr w:type="spellStart"/>
                            <w:r w:rsidRPr="004F77E9">
                              <w:rPr>
                                <w:rFonts w:ascii="Arial" w:hAnsi="Arial" w:cs="Arial"/>
                                <w:sz w:val="20"/>
                                <w:szCs w:val="20"/>
                              </w:rPr>
                              <w:t>randomised</w:t>
                            </w:r>
                            <w:proofErr w:type="spellEnd"/>
                            <w:r w:rsidRPr="004F77E9">
                              <w:rPr>
                                <w:rFonts w:ascii="Arial" w:hAnsi="Arial" w:cs="Arial"/>
                                <w:sz w:val="20"/>
                                <w:szCs w:val="20"/>
                              </w:rPr>
                              <w:t xml:space="preserve"> design (CRD) with four replications for each refining method in the bleaching step. The treatments comprised activated carbon (AC) and bleaching earth (BE) at concentrations of 0.5, 1.0, and 1.5 g/100 g of oil, together with an untreated crude-oil control. Compared with AC, </w:t>
                            </w:r>
                            <w:proofErr w:type="gramStart"/>
                            <w:r w:rsidRPr="004F77E9">
                              <w:rPr>
                                <w:rFonts w:ascii="Arial" w:hAnsi="Arial" w:cs="Arial"/>
                                <w:sz w:val="20"/>
                                <w:szCs w:val="20"/>
                              </w:rPr>
                              <w:t>BE</w:t>
                            </w:r>
                            <w:proofErr w:type="gramEnd"/>
                            <w:r w:rsidRPr="004F77E9">
                              <w:rPr>
                                <w:rFonts w:ascii="Arial" w:hAnsi="Arial" w:cs="Arial"/>
                                <w:sz w:val="20"/>
                                <w:szCs w:val="20"/>
                              </w:rPr>
                              <w:t xml:space="preserve"> was more effective in decreasing the saponification value and increasing peroxide values. Both treatments were effective, but their efficiency varied depending on the quality parameters. However, gossypol content, FFA, peroxide value, and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were all significantly decreased by both treatments, thereby improving the overall quality of cottonseed oil. As a result, the use of 1.0 g of bleaching earth and 1.0 g of activated carbon is advisable as appropriate adsorbents for the purification of cottonseed oil, depending on the quality attributes sought. Therefore, the use of 1.0 g of bleaching earth or 1.0 g of activated carbon is recommended as an effective bleaching treatment to improve the quality of refined cottonseed oil while </w:t>
                            </w:r>
                            <w:proofErr w:type="spellStart"/>
                            <w:r w:rsidRPr="004F77E9">
                              <w:rPr>
                                <w:rFonts w:ascii="Arial" w:hAnsi="Arial" w:cs="Arial"/>
                                <w:sz w:val="20"/>
                                <w:szCs w:val="20"/>
                              </w:rPr>
                              <w:t>minimising</w:t>
                            </w:r>
                            <w:proofErr w:type="spellEnd"/>
                            <w:r w:rsidRPr="004F77E9">
                              <w:rPr>
                                <w:rFonts w:ascii="Arial" w:hAnsi="Arial" w:cs="Arial"/>
                                <w:sz w:val="20"/>
                                <w:szCs w:val="20"/>
                              </w:rPr>
                              <w:t xml:space="preserve"> gossypol content</w:t>
                            </w:r>
                          </w:p>
                          <w:p w14:paraId="7CF23482" w14:textId="152806E1" w:rsidR="00605576" w:rsidRPr="00605576" w:rsidRDefault="00605576" w:rsidP="00CB72DF">
                            <w:pPr>
                              <w:spacing w:line="240" w:lineRule="auto"/>
                              <w:rPr>
                                <w:rFonts w:ascii="Arial" w:hAnsi="Arial" w:cs="Arial"/>
                                <w:sz w:val="20"/>
                                <w:szCs w:val="20"/>
                              </w:rPr>
                            </w:pPr>
                            <w:r w:rsidRPr="004F77E9">
                              <w:rPr>
                                <w:rFonts w:ascii="Arial" w:hAnsi="Arial" w:cs="Arial"/>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D6A5B" id="_x0000_t202" coordsize="21600,21600" o:spt="202" path="m,l,21600r21600,l21600,xe">
                <v:stroke joinstyle="miter"/>
                <v:path gradientshapeok="t" o:connecttype="rect"/>
              </v:shapetype>
              <v:shape id="Text Box 2" o:spid="_x0000_s1026" type="#_x0000_t202" style="position:absolute;left:0;text-align:left;margin-left:0;margin-top:24.2pt;width:441.75pt;height:228.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2YDQIAACAEAAAOAAAAZHJzL2Uyb0RvYy54bWysU9tu2zAMfR+wfxD0vviCpGuMOEWXLsOA&#10;rhvQ7QNkWbaFyaImKbGzrx8lu2l2wR6G6UEgReqQPCQ3N2OvyFFYJ0GXNFuklAjNoZa6LemXz/tX&#10;15Q4z3TNFGhR0pNw9Gb78sVmMIXIoQNVC0sQRLtiMCXtvDdFkjjeiZ65BRih0diA7ZlH1bZJbdmA&#10;6L1K8jS9SgawtbHAhXP4ejcZ6TbiN43g/mPTOOGJKinm5uNt412FO9luWNFaZjrJ5zTYP2TRM6kx&#10;6BnqjnlGDlb+BtVLbsFB4xcc+gSaRnIRa8BqsvSXah47ZkSsBclx5kyT+3+w/OH4aD5Z4sc3MGID&#10;YxHO3AP/6oiGXcd0K26thaETrMbAWaAsGYwr5q+Bale4AFINH6DGJrODhwg0NrYPrGCdBNGxAacz&#10;6WL0hOPj6ipL83xFCUdbvk5XGSohBiuevhvr/DsBPQlCSS12NcKz473zk+uTS4jmQMl6L5WKim2r&#10;nbLkyHAC9vHM6D+5KU2Gkq5XGPvvEGk8f4LopcdRVrIv6fXZiRWBt7e6joPmmVSTjNUpPRMZuJtY&#10;9GM1omMgtIL6hJRamEYWVwyFDux3SgYc15K6bwdmBSXqvca2rLPlMsx3VJar1zkq9tJSXVqY5ghV&#10;Uk/JJO583IlQuoZbbF8jI7HPmcy54hjG1swrE+b8Uo9ez4u9/QEAAP//AwBQSwMEFAAGAAgAAAAh&#10;AG8MvjDeAAAABwEAAA8AAABkcnMvZG93bnJldi54bWxMj8FOwzAQRO9I/IO1SFxQ60CT4oY4FUIC&#10;0Ru0CK5uvE0i7HWw3TT8PeYEx9GMZt5U68kaNqIPvSMJ1/MMGFLjdE+thLfd40wAC1GRVsYRSvjG&#10;AOv6/KxSpXYnesVxG1uWSiiUSkIX41ByHpoOrQpzNyAl7+C8VTFJ33Lt1SmVW8NvsmzJreopLXRq&#10;wIcOm8/t0UoQ+fP4ETaLl/dmeTCreHU7Pn15KS8vpvs7YBGn+BeGX/yEDnVi2rsj6cCMhHQkSshF&#10;Diy5QiwKYHsJRVasgNcV/89f/wAAAP//AwBQSwECLQAUAAYACAAAACEAtoM4kv4AAADhAQAAEwAA&#10;AAAAAAAAAAAAAAAAAAAAW0NvbnRlbnRfVHlwZXNdLnhtbFBLAQItABQABgAIAAAAIQA4/SH/1gAA&#10;AJQBAAALAAAAAAAAAAAAAAAAAC8BAABfcmVscy8ucmVsc1BLAQItABQABgAIAAAAIQANDn2YDQIA&#10;ACAEAAAOAAAAAAAAAAAAAAAAAC4CAABkcnMvZTJvRG9jLnhtbFBLAQItABQABgAIAAAAIQBvDL4w&#10;3gAAAAcBAAAPAAAAAAAAAAAAAAAAAGcEAABkcnMvZG93bnJldi54bWxQSwUGAAAAAAQABADzAAAA&#10;cgUAAAAA&#10;">
                <v:textbox>
                  <w:txbxContent>
                    <w:p w14:paraId="3B9CAEA5" w14:textId="77777777" w:rsidR="004F77E9" w:rsidRDefault="00605576" w:rsidP="00CB72DF">
                      <w:pPr>
                        <w:spacing w:line="240" w:lineRule="auto"/>
                        <w:rPr>
                          <w:rFonts w:ascii="Arial" w:hAnsi="Arial" w:cs="Arial"/>
                          <w:sz w:val="20"/>
                          <w:szCs w:val="20"/>
                        </w:rPr>
                      </w:pPr>
                      <w:r w:rsidRPr="004F77E9">
                        <w:rPr>
                          <w:rFonts w:ascii="Arial" w:hAnsi="Arial" w:cs="Arial"/>
                          <w:sz w:val="20"/>
                          <w:szCs w:val="20"/>
                        </w:rPr>
                        <w:t xml:space="preserve">The objective of this research was to apply the most effective pretreatment for the refining methods and determine its effect on the quality (gossypol content, free fatty acid (FFA), peroxide value, iodine value, saponification value, and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of cottonseed oil. This research was conducted at the Department of Postharvest Technology, Advanced Center for Agricultural Research and Education (ACARE), </w:t>
                      </w:r>
                      <w:proofErr w:type="spellStart"/>
                      <w:r w:rsidRPr="004F77E9">
                        <w:rPr>
                          <w:rFonts w:ascii="Arial" w:hAnsi="Arial" w:cs="Arial"/>
                          <w:sz w:val="20"/>
                          <w:szCs w:val="20"/>
                        </w:rPr>
                        <w:t>Yezin</w:t>
                      </w:r>
                      <w:proofErr w:type="spellEnd"/>
                      <w:r w:rsidRPr="004F77E9">
                        <w:rPr>
                          <w:rFonts w:ascii="Arial" w:hAnsi="Arial" w:cs="Arial"/>
                          <w:sz w:val="20"/>
                          <w:szCs w:val="20"/>
                        </w:rPr>
                        <w:t xml:space="preserve"> Agricultural University (YAU). Cottonseed of the Shwe Daung-10 variety was collected from Lune Kyaw Cotton Seed Farm, Department of Agriculture (DOA), Ministry of Agriculture, Livestock, and Irrigation. The experiment was conducted using a completely </w:t>
                      </w:r>
                      <w:proofErr w:type="spellStart"/>
                      <w:r w:rsidRPr="004F77E9">
                        <w:rPr>
                          <w:rFonts w:ascii="Arial" w:hAnsi="Arial" w:cs="Arial"/>
                          <w:sz w:val="20"/>
                          <w:szCs w:val="20"/>
                        </w:rPr>
                        <w:t>randomised</w:t>
                      </w:r>
                      <w:proofErr w:type="spellEnd"/>
                      <w:r w:rsidRPr="004F77E9">
                        <w:rPr>
                          <w:rFonts w:ascii="Arial" w:hAnsi="Arial" w:cs="Arial"/>
                          <w:sz w:val="20"/>
                          <w:szCs w:val="20"/>
                        </w:rPr>
                        <w:t xml:space="preserve"> design (CRD) with four replications for each refining method in the bleaching step. The treatments comprised activated carbon (AC) and bleaching earth (BE) at concentrations of 0.5, 1.0, and 1.5 g/100 g of oil, together with an untreated crude-oil control. Compared with AC, </w:t>
                      </w:r>
                      <w:proofErr w:type="gramStart"/>
                      <w:r w:rsidRPr="004F77E9">
                        <w:rPr>
                          <w:rFonts w:ascii="Arial" w:hAnsi="Arial" w:cs="Arial"/>
                          <w:sz w:val="20"/>
                          <w:szCs w:val="20"/>
                        </w:rPr>
                        <w:t>BE</w:t>
                      </w:r>
                      <w:proofErr w:type="gramEnd"/>
                      <w:r w:rsidRPr="004F77E9">
                        <w:rPr>
                          <w:rFonts w:ascii="Arial" w:hAnsi="Arial" w:cs="Arial"/>
                          <w:sz w:val="20"/>
                          <w:szCs w:val="20"/>
                        </w:rPr>
                        <w:t xml:space="preserve"> was more effective in decreasing the saponification value and increasing peroxide values. Both treatments were effective, but their efficiency varied depending on the quality parameters. However, gossypol content, FFA, peroxide value, and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were all significantly decreased by both treatments, thereby improving the overall quality of cottonseed oil. As a result, the use of 1.0 g of bleaching earth and 1.0 g of activated carbon is advisable as appropriate adsorbents for the purification of cottonseed oil, depending on the quality attributes sought. Therefore, the use of 1.0 g of bleaching earth or 1.0 g of activated carbon is recommended as an effective bleaching treatment to improve the quality of refined cottonseed oil while </w:t>
                      </w:r>
                      <w:proofErr w:type="spellStart"/>
                      <w:r w:rsidRPr="004F77E9">
                        <w:rPr>
                          <w:rFonts w:ascii="Arial" w:hAnsi="Arial" w:cs="Arial"/>
                          <w:sz w:val="20"/>
                          <w:szCs w:val="20"/>
                        </w:rPr>
                        <w:t>minimising</w:t>
                      </w:r>
                      <w:proofErr w:type="spellEnd"/>
                      <w:r w:rsidRPr="004F77E9">
                        <w:rPr>
                          <w:rFonts w:ascii="Arial" w:hAnsi="Arial" w:cs="Arial"/>
                          <w:sz w:val="20"/>
                          <w:szCs w:val="20"/>
                        </w:rPr>
                        <w:t xml:space="preserve"> gossypol content</w:t>
                      </w:r>
                    </w:p>
                    <w:p w14:paraId="7CF23482" w14:textId="152806E1" w:rsidR="00605576" w:rsidRPr="00605576" w:rsidRDefault="00605576" w:rsidP="00CB72DF">
                      <w:pPr>
                        <w:spacing w:line="240" w:lineRule="auto"/>
                        <w:rPr>
                          <w:rFonts w:ascii="Arial" w:hAnsi="Arial" w:cs="Arial"/>
                          <w:sz w:val="20"/>
                          <w:szCs w:val="20"/>
                        </w:rPr>
                      </w:pPr>
                      <w:r w:rsidRPr="004F77E9">
                        <w:rPr>
                          <w:rFonts w:ascii="Arial" w:hAnsi="Arial" w:cs="Arial"/>
                          <w:sz w:val="20"/>
                          <w:szCs w:val="20"/>
                        </w:rPr>
                        <w:t>.</w:t>
                      </w:r>
                    </w:p>
                  </w:txbxContent>
                </v:textbox>
                <w10:wrap type="square"/>
              </v:shape>
            </w:pict>
          </mc:Fallback>
        </mc:AlternateContent>
      </w:r>
      <w:r w:rsidRPr="004F77E9">
        <w:rPr>
          <w:rFonts w:ascii="Arial" w:hAnsi="Arial" w:cs="Arial"/>
          <w:b/>
          <w:bCs/>
          <w:sz w:val="22"/>
          <w:szCs w:val="22"/>
        </w:rPr>
        <w:t>ABSTRACT</w:t>
      </w:r>
    </w:p>
    <w:p w14:paraId="0F5D6328" w14:textId="77777777" w:rsidR="007F252D" w:rsidRPr="004F77E9" w:rsidRDefault="007F252D" w:rsidP="007950A5">
      <w:pPr>
        <w:pStyle w:val="BodyText"/>
        <w:jc w:val="both"/>
        <w:rPr>
          <w:rFonts w:ascii="Arial" w:hAnsi="Arial" w:cs="Arial"/>
          <w:i/>
          <w:sz w:val="20"/>
          <w:szCs w:val="20"/>
        </w:rPr>
      </w:pPr>
      <w:r w:rsidRPr="004F77E9">
        <w:rPr>
          <w:rFonts w:ascii="Arial" w:hAnsi="Arial" w:cs="Arial"/>
          <w:i/>
          <w:sz w:val="20"/>
          <w:szCs w:val="20"/>
        </w:rPr>
        <w:t>Keywords; Cottonseed oil; bleaching earth; activated carbon; oil refining; gossypol</w:t>
      </w:r>
    </w:p>
    <w:p w14:paraId="0CB1B54C" w14:textId="77777777" w:rsidR="003D46C8" w:rsidRPr="004F77E9" w:rsidRDefault="003D46C8" w:rsidP="007950A5">
      <w:pPr>
        <w:pStyle w:val="Heading1"/>
        <w:numPr>
          <w:ilvl w:val="0"/>
          <w:numId w:val="0"/>
        </w:numPr>
        <w:spacing w:before="0" w:line="240" w:lineRule="auto"/>
        <w:rPr>
          <w:rFonts w:ascii="Arial" w:hAnsi="Arial" w:cs="Arial"/>
          <w:color w:val="auto"/>
          <w:sz w:val="20"/>
          <w:szCs w:val="20"/>
        </w:rPr>
      </w:pPr>
    </w:p>
    <w:p w14:paraId="1884EE31" w14:textId="77777777" w:rsidR="003D46C8" w:rsidRPr="004F77E9" w:rsidRDefault="003D46C8" w:rsidP="003D46C8">
      <w:pPr>
        <w:spacing w:after="0" w:line="240" w:lineRule="auto"/>
        <w:rPr>
          <w:rFonts w:ascii="Arial" w:hAnsi="Arial" w:cs="Arial"/>
          <w:b/>
          <w:bCs/>
          <w:sz w:val="22"/>
          <w:szCs w:val="20"/>
        </w:rPr>
      </w:pPr>
      <w:r w:rsidRPr="004F77E9">
        <w:rPr>
          <w:rFonts w:ascii="Arial" w:hAnsi="Arial" w:cs="Arial"/>
          <w:b/>
          <w:bCs/>
          <w:sz w:val="22"/>
          <w:szCs w:val="20"/>
        </w:rPr>
        <w:t xml:space="preserve">1. INTRODUCTION </w:t>
      </w:r>
    </w:p>
    <w:p w14:paraId="3EB28F83" w14:textId="77777777" w:rsidR="003D46C8" w:rsidRPr="004F77E9" w:rsidRDefault="003D46C8" w:rsidP="003D46C8">
      <w:pPr>
        <w:spacing w:after="0" w:line="240" w:lineRule="auto"/>
        <w:rPr>
          <w:rFonts w:ascii="Arial" w:hAnsi="Arial" w:cs="Arial"/>
          <w:b/>
          <w:bCs/>
          <w:sz w:val="22"/>
          <w:szCs w:val="20"/>
        </w:rPr>
      </w:pPr>
    </w:p>
    <w:p w14:paraId="633879E4" w14:textId="4174754F" w:rsidR="00696324" w:rsidRPr="004F77E9" w:rsidRDefault="00857072" w:rsidP="003D46C8">
      <w:pPr>
        <w:spacing w:after="0" w:line="240" w:lineRule="auto"/>
        <w:rPr>
          <w:rFonts w:ascii="Arial" w:hAnsi="Arial" w:cs="Arial"/>
          <w:sz w:val="20"/>
          <w:szCs w:val="20"/>
        </w:rPr>
      </w:pPr>
      <w:r w:rsidRPr="004F77E9">
        <w:rPr>
          <w:rFonts w:ascii="Arial" w:hAnsi="Arial" w:cs="Arial"/>
          <w:sz w:val="20"/>
          <w:szCs w:val="20"/>
          <w:lang w:bidi="ar-SA"/>
        </w:rPr>
        <w:t>Cotton (</w:t>
      </w:r>
      <w:r w:rsidRPr="004F77E9">
        <w:rPr>
          <w:rFonts w:ascii="Arial" w:hAnsi="Arial" w:cs="Arial"/>
          <w:i/>
          <w:iCs/>
          <w:sz w:val="20"/>
          <w:szCs w:val="20"/>
          <w:lang w:bidi="ar-SA"/>
        </w:rPr>
        <w:t xml:space="preserve">Gossypium hirsutum </w:t>
      </w:r>
      <w:r w:rsidRPr="004F77E9">
        <w:rPr>
          <w:rFonts w:ascii="Arial" w:hAnsi="Arial" w:cs="Arial"/>
          <w:sz w:val="20"/>
          <w:szCs w:val="20"/>
          <w:lang w:bidi="ar-SA"/>
        </w:rPr>
        <w:t xml:space="preserve">L.) is one of the most ancient oilseed crops in the world. It is primarily cultivated for </w:t>
      </w:r>
      <w:proofErr w:type="spellStart"/>
      <w:r w:rsidRPr="004F77E9">
        <w:rPr>
          <w:rFonts w:ascii="Arial" w:hAnsi="Arial" w:cs="Arial"/>
          <w:sz w:val="20"/>
          <w:szCs w:val="20"/>
          <w:lang w:bidi="ar-SA"/>
        </w:rPr>
        <w:t>fibre</w:t>
      </w:r>
      <w:proofErr w:type="spellEnd"/>
      <w:r w:rsidRPr="004F77E9">
        <w:rPr>
          <w:rFonts w:ascii="Arial" w:hAnsi="Arial" w:cs="Arial"/>
          <w:sz w:val="20"/>
          <w:szCs w:val="20"/>
          <w:lang w:bidi="ar-SA"/>
        </w:rPr>
        <w:t xml:space="preserve"> and is thought to have originated in Africa (</w:t>
      </w:r>
      <w:r w:rsidRPr="004F77E9">
        <w:rPr>
          <w:rFonts w:ascii="Arial" w:hAnsi="Arial" w:cs="Arial"/>
          <w:sz w:val="20"/>
          <w:szCs w:val="20"/>
          <w:shd w:val="clear" w:color="auto" w:fill="FFFFFF"/>
        </w:rPr>
        <w:t>Zerihun &amp; Berhe, 2018).</w:t>
      </w:r>
      <w:r w:rsidRPr="004F77E9">
        <w:rPr>
          <w:rFonts w:ascii="Arial" w:hAnsi="Arial" w:cs="Arial"/>
          <w:sz w:val="20"/>
          <w:szCs w:val="20"/>
        </w:rPr>
        <w:t xml:space="preserve"> Cotton is one of the most important </w:t>
      </w:r>
      <w:proofErr w:type="spellStart"/>
      <w:r w:rsidRPr="004F77E9">
        <w:rPr>
          <w:rFonts w:ascii="Arial" w:hAnsi="Arial" w:cs="Arial"/>
          <w:sz w:val="20"/>
          <w:szCs w:val="20"/>
        </w:rPr>
        <w:t>fibre</w:t>
      </w:r>
      <w:proofErr w:type="spellEnd"/>
      <w:r w:rsidRPr="004F77E9">
        <w:rPr>
          <w:rFonts w:ascii="Arial" w:hAnsi="Arial" w:cs="Arial"/>
          <w:sz w:val="20"/>
          <w:szCs w:val="20"/>
        </w:rPr>
        <w:t xml:space="preserve"> crops and plays a major role in the textile industry and economy. It is widely cultivated in the Central Dry Zone (CDZ) areas of Myanmar (Khaing </w:t>
      </w:r>
      <w:r w:rsidRPr="004F77E9">
        <w:rPr>
          <w:rFonts w:ascii="Arial" w:hAnsi="Arial" w:cs="Arial"/>
          <w:i/>
          <w:iCs/>
          <w:sz w:val="20"/>
          <w:szCs w:val="20"/>
        </w:rPr>
        <w:t>et al</w:t>
      </w:r>
      <w:r w:rsidRPr="004F77E9">
        <w:rPr>
          <w:rFonts w:ascii="Arial" w:hAnsi="Arial" w:cs="Arial"/>
          <w:sz w:val="20"/>
          <w:szCs w:val="20"/>
        </w:rPr>
        <w:t xml:space="preserve">., 2023). </w:t>
      </w:r>
      <w:r w:rsidRPr="004F77E9">
        <w:rPr>
          <w:rFonts w:ascii="Arial" w:hAnsi="Arial" w:cs="Arial"/>
          <w:color w:val="222222"/>
          <w:sz w:val="20"/>
          <w:szCs w:val="20"/>
          <w:shd w:val="clear" w:color="auto" w:fill="FFFFFF"/>
        </w:rPr>
        <w:t xml:space="preserve">Cottonseed oil is an important edible oil and a by-product derived from cotton cultivation. Its competitive cost, together with its high smoke point and good oxidative stability, makes it widely used for frying and baking </w:t>
      </w:r>
      <w:r w:rsidRPr="004F77E9">
        <w:rPr>
          <w:rFonts w:ascii="Arial" w:hAnsi="Arial" w:cs="Arial"/>
          <w:sz w:val="20"/>
          <w:szCs w:val="20"/>
        </w:rPr>
        <w:t>(Xu et al., 2026)</w:t>
      </w:r>
      <w:r w:rsidRPr="004F77E9">
        <w:rPr>
          <w:rFonts w:ascii="Arial" w:hAnsi="Arial" w:cs="Arial"/>
          <w:color w:val="222222"/>
          <w:sz w:val="20"/>
          <w:szCs w:val="20"/>
          <w:shd w:val="clear" w:color="auto" w:fill="FFFFFF"/>
        </w:rPr>
        <w:t>.</w:t>
      </w:r>
      <w:r w:rsidRPr="004F77E9">
        <w:rPr>
          <w:rFonts w:ascii="Arial" w:hAnsi="Arial" w:cs="Arial"/>
          <w:color w:val="222222"/>
          <w:sz w:val="23"/>
          <w:szCs w:val="23"/>
          <w:shd w:val="clear" w:color="auto" w:fill="FFFFFF"/>
        </w:rPr>
        <w:t xml:space="preserve"> </w:t>
      </w:r>
      <w:r w:rsidRPr="004F77E9">
        <w:rPr>
          <w:rFonts w:ascii="Arial" w:hAnsi="Arial" w:cs="Arial"/>
          <w:sz w:val="20"/>
          <w:szCs w:val="20"/>
        </w:rPr>
        <w:t>In Myanmar, the total production of long-staple cotton was 393,364.29 MT (98.30%) and that of</w:t>
      </w:r>
      <w:r w:rsidRPr="004F77E9">
        <w:rPr>
          <w:rFonts w:ascii="Myanmar Text" w:hAnsi="Myanmar Text" w:cs="Myanmar Text"/>
          <w:sz w:val="20"/>
          <w:szCs w:val="20"/>
        </w:rPr>
        <w:t xml:space="preserve"> </w:t>
      </w:r>
      <w:r w:rsidRPr="004F77E9">
        <w:rPr>
          <w:rFonts w:ascii="Arial" w:hAnsi="Arial" w:cs="Arial"/>
          <w:sz w:val="20"/>
          <w:szCs w:val="20"/>
        </w:rPr>
        <w:t>short-staple cotton was 6,768.28 MT (1.70%) in 2023-2024. About 400 metric tons were produced in 2023-2024, with 208 million hectares of cotton planted and a yield of 1.92 MT/ha (</w:t>
      </w:r>
      <w:r w:rsidR="007A0C7F" w:rsidRPr="007A0C7F">
        <w:rPr>
          <w:rFonts w:ascii="Arial" w:hAnsi="Arial" w:cs="Arial"/>
          <w:sz w:val="20"/>
          <w:szCs w:val="20"/>
        </w:rPr>
        <w:t>World Bank</w:t>
      </w:r>
      <w:r w:rsidRPr="004F77E9">
        <w:rPr>
          <w:rFonts w:ascii="Arial" w:hAnsi="Arial" w:cs="Arial"/>
          <w:sz w:val="20"/>
          <w:szCs w:val="20"/>
        </w:rPr>
        <w:t xml:space="preserve">, 2024). </w:t>
      </w:r>
      <w:r w:rsidRPr="004F77E9">
        <w:rPr>
          <w:rFonts w:ascii="Arial" w:hAnsi="Arial" w:cs="Arial"/>
          <w:sz w:val="20"/>
          <w:szCs w:val="20"/>
          <w:lang w:bidi="ar-SA"/>
        </w:rPr>
        <w:t>Cottonseed oil contains bioactive compounds, including antioxidants (tocopherols, sterols, and flavonoids) and pigments such as gossypol (Nix et al., 2017; Tian et al., 2016). Gossypol (</w:t>
      </w:r>
      <w:r w:rsidRPr="004F77E9">
        <w:rPr>
          <w:rFonts w:ascii="Arial" w:eastAsia="MinionPro-Regular" w:hAnsi="Arial" w:cs="Arial"/>
          <w:sz w:val="20"/>
          <w:szCs w:val="20"/>
          <w:lang w:bidi="ar-SA"/>
        </w:rPr>
        <w:t>C</w:t>
      </w:r>
      <w:r w:rsidRPr="004F77E9">
        <w:rPr>
          <w:rFonts w:ascii="Arial" w:eastAsia="MinionPro-Regular" w:hAnsi="Arial" w:cs="Arial"/>
          <w:sz w:val="20"/>
          <w:szCs w:val="20"/>
          <w:vertAlign w:val="subscript"/>
          <w:lang w:bidi="ar-SA"/>
        </w:rPr>
        <w:t>30</w:t>
      </w:r>
      <w:r w:rsidRPr="004F77E9">
        <w:rPr>
          <w:rFonts w:ascii="Arial" w:eastAsia="MinionPro-Regular" w:hAnsi="Arial" w:cs="Arial"/>
          <w:sz w:val="20"/>
          <w:szCs w:val="20"/>
          <w:lang w:bidi="ar-SA"/>
        </w:rPr>
        <w:t>H</w:t>
      </w:r>
      <w:r w:rsidRPr="004F77E9">
        <w:rPr>
          <w:rFonts w:ascii="Arial" w:eastAsia="MinionPro-Regular" w:hAnsi="Arial" w:cs="Arial"/>
          <w:sz w:val="20"/>
          <w:szCs w:val="20"/>
          <w:vertAlign w:val="subscript"/>
          <w:lang w:bidi="ar-SA"/>
        </w:rPr>
        <w:t>30</w:t>
      </w:r>
      <w:r w:rsidRPr="004F77E9">
        <w:rPr>
          <w:rFonts w:ascii="Arial" w:eastAsia="MinionPro-Regular" w:hAnsi="Arial" w:cs="Arial"/>
          <w:sz w:val="20"/>
          <w:szCs w:val="20"/>
          <w:lang w:bidi="ar-SA"/>
        </w:rPr>
        <w:t>O</w:t>
      </w:r>
      <w:r w:rsidRPr="004F77E9">
        <w:rPr>
          <w:rFonts w:ascii="Arial" w:eastAsia="MinionPro-Regular" w:hAnsi="Arial" w:cs="Arial"/>
          <w:sz w:val="20"/>
          <w:szCs w:val="20"/>
          <w:vertAlign w:val="subscript"/>
          <w:lang w:bidi="ar-SA"/>
        </w:rPr>
        <w:t>8</w:t>
      </w:r>
      <w:r w:rsidRPr="004F77E9">
        <w:rPr>
          <w:rFonts w:ascii="Arial" w:eastAsia="MinionPro-Regular" w:hAnsi="Arial" w:cs="Arial"/>
          <w:sz w:val="20"/>
          <w:szCs w:val="20"/>
          <w:lang w:bidi="ar-SA"/>
        </w:rPr>
        <w:t xml:space="preserve">) </w:t>
      </w:r>
      <w:r w:rsidRPr="004F77E9">
        <w:rPr>
          <w:rFonts w:ascii="Arial" w:hAnsi="Arial" w:cs="Arial"/>
          <w:sz w:val="20"/>
          <w:szCs w:val="20"/>
          <w:lang w:bidi="ar-SA"/>
        </w:rPr>
        <w:t xml:space="preserve">is a phenolic compound with antifertility and antioxidant effects that occurs in crude cottonseed oil. </w:t>
      </w:r>
      <w:r w:rsidRPr="004F77E9">
        <w:rPr>
          <w:rFonts w:ascii="Arial" w:eastAsia="MinionPro-Regular" w:hAnsi="Arial" w:cs="Arial"/>
          <w:sz w:val="20"/>
          <w:szCs w:val="20"/>
          <w:lang w:bidi="ar-SA"/>
        </w:rPr>
        <w:t>Gossypol is produced by pigment glands in cotton stems, leaves, seeds, and flower buds (G</w:t>
      </w:r>
      <w:r w:rsidRPr="004F77E9">
        <w:rPr>
          <w:rFonts w:ascii="Arial" w:hAnsi="Arial" w:cs="Arial"/>
          <w:sz w:val="20"/>
          <w:szCs w:val="20"/>
          <w:shd w:val="clear" w:color="auto" w:fill="FFFFFF"/>
        </w:rPr>
        <w:t xml:space="preserve">adelha et al., 2014). </w:t>
      </w:r>
      <w:r w:rsidRPr="004F77E9">
        <w:rPr>
          <w:rFonts w:ascii="Arial" w:hAnsi="Arial" w:cs="Arial"/>
          <w:sz w:val="20"/>
          <w:szCs w:val="20"/>
          <w:lang w:bidi="ar-SA"/>
        </w:rPr>
        <w:t>Gossypol levels in cottonseed vary from 0.02% to 6.64% (</w:t>
      </w:r>
      <w:proofErr w:type="spellStart"/>
      <w:r w:rsidRPr="004F77E9">
        <w:rPr>
          <w:rFonts w:ascii="Arial" w:hAnsi="Arial" w:cs="Arial"/>
          <w:sz w:val="20"/>
          <w:szCs w:val="20"/>
          <w:lang w:bidi="ar-SA"/>
        </w:rPr>
        <w:t>Mageshwaran</w:t>
      </w:r>
      <w:proofErr w:type="spellEnd"/>
      <w:r w:rsidRPr="004F77E9">
        <w:rPr>
          <w:rFonts w:ascii="Arial" w:hAnsi="Arial" w:cs="Arial"/>
          <w:sz w:val="20"/>
          <w:szCs w:val="20"/>
          <w:lang w:bidi="ar-SA"/>
        </w:rPr>
        <w:t xml:space="preserve"> &amp; Parvez, 2016). As gossypol is toxic to humans and animals, further processing is essential to ensure safety. </w:t>
      </w:r>
      <w:r w:rsidRPr="004F77E9">
        <w:rPr>
          <w:rFonts w:ascii="Arial" w:hAnsi="Arial" w:cs="Arial"/>
          <w:sz w:val="20"/>
          <w:szCs w:val="20"/>
        </w:rPr>
        <w:t xml:space="preserve">Cottonseed oil has been widely used in many countries as an edible oil for salads and cooking, and it can also be hydrogenated to produce shortenings and margarines. The development of technologies for processing cottonseed oil has played an important role in the modern edible oils and fats industry (O’Brien &amp; </w:t>
      </w:r>
      <w:proofErr w:type="spellStart"/>
      <w:r w:rsidRPr="004F77E9">
        <w:rPr>
          <w:rFonts w:ascii="Arial" w:hAnsi="Arial" w:cs="Arial"/>
          <w:sz w:val="20"/>
          <w:szCs w:val="20"/>
        </w:rPr>
        <w:t>Wakelyn</w:t>
      </w:r>
      <w:proofErr w:type="spellEnd"/>
      <w:r w:rsidRPr="004F77E9">
        <w:rPr>
          <w:rFonts w:ascii="Arial" w:hAnsi="Arial" w:cs="Arial"/>
          <w:sz w:val="20"/>
          <w:szCs w:val="20"/>
        </w:rPr>
        <w:t xml:space="preserve">, 2005). However, crude cottonseed oil is not suitable for direct food use without refining because of its dark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high free fatty acid and gossypol contents, and undesirable </w:t>
      </w:r>
      <w:proofErr w:type="spellStart"/>
      <w:r w:rsidRPr="004F77E9">
        <w:rPr>
          <w:rFonts w:ascii="Arial" w:hAnsi="Arial" w:cs="Arial"/>
          <w:sz w:val="20"/>
          <w:szCs w:val="20"/>
        </w:rPr>
        <w:t>flavour</w:t>
      </w:r>
      <w:proofErr w:type="spellEnd"/>
      <w:r w:rsidRPr="004F77E9">
        <w:rPr>
          <w:rFonts w:ascii="Arial" w:hAnsi="Arial" w:cs="Arial"/>
          <w:sz w:val="20"/>
          <w:szCs w:val="20"/>
        </w:rPr>
        <w:t xml:space="preserve"> and </w:t>
      </w:r>
      <w:proofErr w:type="spellStart"/>
      <w:r w:rsidRPr="004F77E9">
        <w:rPr>
          <w:rFonts w:ascii="Arial" w:hAnsi="Arial" w:cs="Arial"/>
          <w:sz w:val="20"/>
          <w:szCs w:val="20"/>
        </w:rPr>
        <w:t>odour</w:t>
      </w:r>
      <w:proofErr w:type="spellEnd"/>
      <w:r w:rsidRPr="004F77E9">
        <w:rPr>
          <w:rFonts w:ascii="Arial" w:hAnsi="Arial" w:cs="Arial"/>
          <w:sz w:val="20"/>
          <w:szCs w:val="20"/>
        </w:rPr>
        <w:t>. These impurities are removed from crude oil during the bleaching step using materials with strong adsorption power called "bleaching earths", which are usually activated bentonites (</w:t>
      </w:r>
      <w:proofErr w:type="spellStart"/>
      <w:r w:rsidRPr="004F77E9">
        <w:rPr>
          <w:rFonts w:ascii="Arial" w:hAnsi="Arial" w:cs="Arial"/>
          <w:sz w:val="20"/>
          <w:szCs w:val="20"/>
        </w:rPr>
        <w:t>Boukerroui</w:t>
      </w:r>
      <w:proofErr w:type="spellEnd"/>
      <w:r w:rsidRPr="004F77E9">
        <w:rPr>
          <w:rFonts w:ascii="Arial" w:hAnsi="Arial" w:cs="Arial"/>
          <w:sz w:val="20"/>
          <w:szCs w:val="20"/>
        </w:rPr>
        <w:t xml:space="preserve"> &amp; Ouali, 2002; Erten, 2004).</w:t>
      </w:r>
      <w:r w:rsidRPr="004F77E9">
        <w:t xml:space="preserve"> </w:t>
      </w:r>
      <w:r w:rsidRPr="004F77E9">
        <w:rPr>
          <w:rFonts w:ascii="Arial" w:hAnsi="Arial" w:cs="Arial"/>
          <w:sz w:val="20"/>
          <w:szCs w:val="20"/>
        </w:rPr>
        <w:lastRenderedPageBreak/>
        <w:t xml:space="preserve">Refining processes can reduce undesirable compounds in cottonseed oil, including free fatty acids, mono- and diglycerides, organic acids, sterols, and gossypol. The refining processes not only remove unwanted substances but also remove, decrease, or partially destroy vitamins, antioxidants, and antioxidant precursors (e.g., tocopherols, sterols, and EFAs) at the same time (Alpaslan et al., 2001; </w:t>
      </w:r>
      <w:proofErr w:type="spellStart"/>
      <w:r w:rsidRPr="004F77E9">
        <w:rPr>
          <w:rFonts w:ascii="Arial" w:hAnsi="Arial" w:cs="Arial"/>
          <w:sz w:val="20"/>
          <w:szCs w:val="20"/>
        </w:rPr>
        <w:t>Silkeberg</w:t>
      </w:r>
      <w:proofErr w:type="spellEnd"/>
      <w:r w:rsidRPr="004F77E9">
        <w:rPr>
          <w:rFonts w:ascii="Arial" w:hAnsi="Arial" w:cs="Arial"/>
          <w:sz w:val="20"/>
          <w:szCs w:val="20"/>
        </w:rPr>
        <w:t xml:space="preserve"> &amp; Kochhar, 2000). </w:t>
      </w:r>
      <w:r w:rsidRPr="004F77E9">
        <w:rPr>
          <w:rFonts w:ascii="Arial" w:hAnsi="Arial" w:cs="Arial"/>
          <w:b/>
          <w:sz w:val="20"/>
          <w:szCs w:val="20"/>
        </w:rPr>
        <w:t xml:space="preserve">Recent evidence shows that adsorbent selection can influence cottonseed-oil bleaching outcomes: alternative locally sourced adsorbents have been evaluated for changes in physicochemical properties, while activated carbons prepared from cotton and neem husks have been examined for </w:t>
      </w:r>
      <w:proofErr w:type="spellStart"/>
      <w:r w:rsidRPr="004F77E9">
        <w:rPr>
          <w:rFonts w:ascii="Arial" w:hAnsi="Arial" w:cs="Arial"/>
          <w:b/>
          <w:sz w:val="20"/>
          <w:szCs w:val="20"/>
        </w:rPr>
        <w:t>decolourisation</w:t>
      </w:r>
      <w:proofErr w:type="spellEnd"/>
      <w:r w:rsidRPr="004F77E9">
        <w:rPr>
          <w:rFonts w:ascii="Arial" w:hAnsi="Arial" w:cs="Arial"/>
          <w:b/>
          <w:sz w:val="20"/>
          <w:szCs w:val="20"/>
        </w:rPr>
        <w:t xml:space="preserve"> of neutral cottonseed oil (Chetima et al., 2024; Jeje et al., 2019). Recent investigations have also considered neoteric solvents for extracting gossypol from cottonseed oil, whereas broader assessments of edible-oil bleaching compare conventional and emerging approaches in relation to impurity removal and quality-related changes (Abedi et al., 2025; Shweta &amp; Kundu, 2024). Seed-oil processing literature further describes a range of extraction approaches, including mechanical and solvent-based methods (Musa et al., 2023). Within the scope of the present manuscript, a direct treatment-wise comparison is still needed to evaluate bleaching earth and activated carbon at the selected dosages under the same refining conditions for gossypol content and the physicochemical quality parameters measured in this study. This comparison defines the specific research gap addressed by the present experimental design. </w:t>
      </w:r>
      <w:r w:rsidRPr="004F77E9">
        <w:rPr>
          <w:rFonts w:ascii="Arial" w:hAnsi="Arial" w:cs="Arial"/>
          <w:sz w:val="20"/>
          <w:szCs w:val="20"/>
        </w:rPr>
        <w:t>Therefore, the present study was conducted to examine the effect of refining methods on the gossypol content and quality of cottonseed oil.</w:t>
      </w:r>
    </w:p>
    <w:p w14:paraId="08A90FDA" w14:textId="77777777" w:rsidR="00392EA3" w:rsidRPr="004F77E9" w:rsidRDefault="00392EA3" w:rsidP="003D46C8">
      <w:pPr>
        <w:spacing w:after="0" w:line="240" w:lineRule="auto"/>
        <w:rPr>
          <w:rFonts w:ascii="Arial" w:hAnsi="Arial" w:cs="Arial"/>
          <w:sz w:val="20"/>
          <w:szCs w:val="20"/>
        </w:rPr>
      </w:pPr>
    </w:p>
    <w:p w14:paraId="58D1C083" w14:textId="77777777" w:rsidR="00857072" w:rsidRPr="004F77E9" w:rsidRDefault="000D0037" w:rsidP="007950A5">
      <w:pPr>
        <w:pStyle w:val="Heading1"/>
        <w:numPr>
          <w:ilvl w:val="0"/>
          <w:numId w:val="0"/>
        </w:numPr>
        <w:spacing w:before="0" w:line="240" w:lineRule="auto"/>
        <w:rPr>
          <w:rFonts w:ascii="Arial" w:hAnsi="Arial" w:cs="Arial"/>
          <w:color w:val="auto"/>
          <w:sz w:val="22"/>
          <w:szCs w:val="22"/>
        </w:rPr>
      </w:pPr>
      <w:r w:rsidRPr="004F77E9">
        <w:rPr>
          <w:rFonts w:ascii="Arial" w:hAnsi="Arial" w:cs="Arial"/>
          <w:color w:val="auto"/>
          <w:sz w:val="22"/>
          <w:szCs w:val="22"/>
        </w:rPr>
        <w:t>2.</w:t>
      </w:r>
      <w:r w:rsidR="00392EA3" w:rsidRPr="004F77E9">
        <w:rPr>
          <w:rFonts w:ascii="Arial" w:hAnsi="Arial" w:cs="Arial"/>
          <w:color w:val="auto"/>
          <w:sz w:val="22"/>
          <w:szCs w:val="22"/>
        </w:rPr>
        <w:t xml:space="preserve"> MATERIAL AND METHODS</w:t>
      </w:r>
    </w:p>
    <w:p w14:paraId="01D342C7" w14:textId="77777777" w:rsidR="00392EA3" w:rsidRPr="004F77E9" w:rsidRDefault="00392EA3" w:rsidP="00392EA3">
      <w:pPr>
        <w:pStyle w:val="BodyText"/>
        <w:jc w:val="both"/>
        <w:rPr>
          <w:rFonts w:ascii="Arial" w:hAnsi="Arial" w:cs="Arial"/>
          <w:sz w:val="20"/>
          <w:szCs w:val="20"/>
        </w:rPr>
      </w:pPr>
    </w:p>
    <w:p w14:paraId="20B56FF6" w14:textId="77777777" w:rsidR="000D0037" w:rsidRPr="004F77E9" w:rsidRDefault="000D0037" w:rsidP="00392EA3">
      <w:pPr>
        <w:pStyle w:val="BodyText"/>
        <w:jc w:val="both"/>
        <w:rPr>
          <w:rFonts w:ascii="Arial" w:hAnsi="Arial" w:cs="Arial"/>
          <w:sz w:val="20"/>
          <w:szCs w:val="20"/>
        </w:rPr>
      </w:pPr>
      <w:r w:rsidRPr="004F77E9">
        <w:rPr>
          <w:rFonts w:ascii="Arial" w:hAnsi="Arial" w:cs="Arial"/>
          <w:sz w:val="20"/>
          <w:szCs w:val="20"/>
        </w:rPr>
        <w:t>The Shwe Daung-10 cottonseed variety, cultivated during the 2024-2025 monsoon season, was collected from Lune Kyaw Cotton Seed Farm, Department of Agriculture (DOA), Ministry of Agriculture, Livestock and Irrigation.</w:t>
      </w:r>
    </w:p>
    <w:p w14:paraId="6B94F587" w14:textId="77777777" w:rsidR="00392EA3" w:rsidRPr="004F77E9" w:rsidRDefault="00392EA3" w:rsidP="00392EA3">
      <w:pPr>
        <w:pStyle w:val="BodyText"/>
        <w:jc w:val="both"/>
        <w:rPr>
          <w:rFonts w:ascii="Arial" w:hAnsi="Arial" w:cs="Arial"/>
          <w:sz w:val="20"/>
          <w:szCs w:val="20"/>
        </w:rPr>
      </w:pPr>
    </w:p>
    <w:p w14:paraId="4C9C1F9F" w14:textId="77777777" w:rsidR="009E7B15" w:rsidRPr="004F77E9" w:rsidRDefault="009E7B15" w:rsidP="007950A5">
      <w:pPr>
        <w:pStyle w:val="BodyText"/>
        <w:jc w:val="both"/>
        <w:outlineLvl w:val="1"/>
        <w:rPr>
          <w:rFonts w:ascii="Arial" w:hAnsi="Arial" w:cs="Arial"/>
          <w:b/>
          <w:sz w:val="20"/>
          <w:szCs w:val="20"/>
        </w:rPr>
      </w:pPr>
      <w:r w:rsidRPr="004F77E9">
        <w:rPr>
          <w:rFonts w:ascii="Arial" w:hAnsi="Arial" w:cs="Arial"/>
          <w:b/>
          <w:sz w:val="20"/>
          <w:szCs w:val="20"/>
        </w:rPr>
        <w:t>2.1 Sample Preparation</w:t>
      </w:r>
    </w:p>
    <w:p w14:paraId="1C76000A" w14:textId="77777777" w:rsidR="00392EA3" w:rsidRPr="004F77E9" w:rsidRDefault="00392EA3" w:rsidP="00392EA3">
      <w:pPr>
        <w:spacing w:after="0" w:line="240" w:lineRule="auto"/>
        <w:rPr>
          <w:rFonts w:ascii="Arial" w:hAnsi="Arial" w:cs="Arial"/>
          <w:sz w:val="20"/>
          <w:szCs w:val="20"/>
        </w:rPr>
      </w:pPr>
    </w:p>
    <w:p w14:paraId="75EC3AF9" w14:textId="77777777" w:rsidR="00353C55" w:rsidRPr="004F77E9" w:rsidRDefault="009C4ACF" w:rsidP="00392EA3">
      <w:pPr>
        <w:spacing w:after="0" w:line="240" w:lineRule="auto"/>
        <w:rPr>
          <w:rFonts w:ascii="Arial" w:hAnsi="Arial" w:cs="Arial"/>
          <w:sz w:val="20"/>
          <w:szCs w:val="20"/>
        </w:rPr>
      </w:pPr>
      <w:r w:rsidRPr="004F77E9">
        <w:rPr>
          <w:rFonts w:ascii="Arial" w:hAnsi="Arial" w:cs="Arial"/>
          <w:sz w:val="20"/>
          <w:szCs w:val="20"/>
        </w:rPr>
        <w:t xml:space="preserve">The raw cottonseeds were cleaned by removing dust, sand, and other foreign materials through hand sorting and sieving. After cleaning, the cottonseeds were hulled using a mechanical huller, and the separated kernels were collected for processing. The collected cottonseed kernels were pretreated by boiling (100 ºC, 30 min), after which the moisture content was adjusted to 6-8%. For cottonseed oil extraction, the pretreated cottonseeds were processed using a screw press machine at a constant temperature (120 ºC). </w:t>
      </w:r>
    </w:p>
    <w:p w14:paraId="029F5D45" w14:textId="77777777" w:rsidR="00392EA3" w:rsidRPr="004F77E9" w:rsidRDefault="00392EA3" w:rsidP="00392EA3">
      <w:pPr>
        <w:spacing w:after="0" w:line="240" w:lineRule="auto"/>
        <w:rPr>
          <w:rFonts w:ascii="Arial" w:hAnsi="Arial" w:cs="Arial"/>
          <w:sz w:val="20"/>
          <w:szCs w:val="20"/>
        </w:rPr>
      </w:pPr>
    </w:p>
    <w:p w14:paraId="36C9C874" w14:textId="77777777" w:rsidR="00353C55" w:rsidRPr="004F77E9" w:rsidRDefault="00353C55" w:rsidP="007950A5">
      <w:pPr>
        <w:spacing w:after="0" w:line="240" w:lineRule="auto"/>
        <w:rPr>
          <w:rFonts w:ascii="Arial" w:hAnsi="Arial" w:cs="Arial"/>
          <w:b/>
          <w:bCs/>
          <w:sz w:val="20"/>
          <w:szCs w:val="20"/>
        </w:rPr>
      </w:pPr>
      <w:r w:rsidRPr="004F77E9">
        <w:rPr>
          <w:rFonts w:ascii="Arial" w:hAnsi="Arial" w:cs="Arial"/>
          <w:b/>
          <w:bCs/>
          <w:sz w:val="20"/>
          <w:szCs w:val="20"/>
        </w:rPr>
        <w:t>2.</w:t>
      </w:r>
      <w:r w:rsidR="00047E7E" w:rsidRPr="004F77E9">
        <w:rPr>
          <w:rFonts w:ascii="Arial" w:hAnsi="Arial" w:cs="Arial"/>
          <w:b/>
          <w:bCs/>
          <w:sz w:val="20"/>
          <w:szCs w:val="20"/>
        </w:rPr>
        <w:t>1.1</w:t>
      </w:r>
      <w:r w:rsidRPr="004F77E9">
        <w:rPr>
          <w:rFonts w:ascii="Arial" w:hAnsi="Arial" w:cs="Arial"/>
          <w:b/>
          <w:bCs/>
          <w:sz w:val="20"/>
          <w:szCs w:val="20"/>
        </w:rPr>
        <w:t xml:space="preserve"> Experimental treatments</w:t>
      </w:r>
    </w:p>
    <w:p w14:paraId="761BE04F" w14:textId="77777777" w:rsidR="008930A1" w:rsidRPr="004F77E9" w:rsidRDefault="008930A1" w:rsidP="007950A5">
      <w:pPr>
        <w:spacing w:after="0" w:line="240" w:lineRule="auto"/>
        <w:ind w:firstLine="720"/>
        <w:rPr>
          <w:rFonts w:ascii="Arial" w:hAnsi="Arial" w:cs="Arial"/>
          <w:sz w:val="20"/>
          <w:szCs w:val="20"/>
        </w:rPr>
      </w:pPr>
      <w:r w:rsidRPr="004F77E9">
        <w:rPr>
          <w:rFonts w:ascii="Arial" w:hAnsi="Arial" w:cs="Arial"/>
          <w:sz w:val="20"/>
          <w:szCs w:val="20"/>
        </w:rPr>
        <w:t xml:space="preserve">After extraction, the crude cottonseed oil was refined by degumming, </w:t>
      </w:r>
      <w:proofErr w:type="spellStart"/>
      <w:r w:rsidRPr="004F77E9">
        <w:rPr>
          <w:rFonts w:ascii="Arial" w:hAnsi="Arial" w:cs="Arial"/>
          <w:sz w:val="20"/>
          <w:szCs w:val="20"/>
        </w:rPr>
        <w:t>neutralisation</w:t>
      </w:r>
      <w:proofErr w:type="spellEnd"/>
      <w:r w:rsidRPr="004F77E9">
        <w:rPr>
          <w:rFonts w:ascii="Arial" w:hAnsi="Arial" w:cs="Arial"/>
          <w:sz w:val="20"/>
          <w:szCs w:val="20"/>
        </w:rPr>
        <w:t xml:space="preserve">, and bleaching. To improve oil quality by lowering gossypol content,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and other contaminants, activated carbon (AC) and bleaching earth (BE) were used at different amounts (0.5, 1.0, and 1.5 g/100 g oil) during the bleaching stage, together with a control sample (crude oil). The gossypol content, free fatty acid, peroxide value, saponification value, iodine value, and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of the refined oil samples were </w:t>
      </w:r>
      <w:proofErr w:type="spellStart"/>
      <w:r w:rsidRPr="004F77E9">
        <w:rPr>
          <w:rFonts w:ascii="Arial" w:hAnsi="Arial" w:cs="Arial"/>
          <w:sz w:val="20"/>
          <w:szCs w:val="20"/>
        </w:rPr>
        <w:t>analysed</w:t>
      </w:r>
      <w:proofErr w:type="spellEnd"/>
      <w:r w:rsidRPr="004F77E9">
        <w:rPr>
          <w:rFonts w:ascii="Arial" w:hAnsi="Arial" w:cs="Arial"/>
          <w:sz w:val="20"/>
          <w:szCs w:val="20"/>
        </w:rPr>
        <w:t xml:space="preserve"> as follows.</w:t>
      </w:r>
    </w:p>
    <w:p w14:paraId="26792333" w14:textId="77777777" w:rsidR="00392EA3" w:rsidRPr="004F77E9" w:rsidRDefault="00392EA3" w:rsidP="007950A5">
      <w:pPr>
        <w:spacing w:after="0" w:line="240" w:lineRule="auto"/>
        <w:ind w:firstLine="720"/>
        <w:rPr>
          <w:rFonts w:ascii="Arial" w:hAnsi="Arial" w:cs="Arial"/>
          <w:b/>
          <w:bCs/>
          <w:sz w:val="20"/>
          <w:szCs w:val="20"/>
        </w:rPr>
      </w:pPr>
    </w:p>
    <w:p w14:paraId="10480F9B" w14:textId="77777777" w:rsidR="008930A1" w:rsidRPr="004F77E9" w:rsidRDefault="008D7E31" w:rsidP="007950A5">
      <w:pPr>
        <w:pStyle w:val="BodyText"/>
        <w:jc w:val="both"/>
        <w:outlineLvl w:val="1"/>
        <w:rPr>
          <w:rFonts w:ascii="Arial" w:hAnsi="Arial" w:cs="Arial"/>
          <w:b/>
          <w:sz w:val="20"/>
          <w:szCs w:val="20"/>
        </w:rPr>
      </w:pPr>
      <w:r w:rsidRPr="004F77E9">
        <w:rPr>
          <w:rFonts w:ascii="Arial" w:hAnsi="Arial" w:cs="Arial"/>
          <w:b/>
          <w:sz w:val="20"/>
          <w:szCs w:val="20"/>
        </w:rPr>
        <w:t xml:space="preserve">2.2 Determination of oil </w:t>
      </w:r>
      <w:r w:rsidR="007E6A59" w:rsidRPr="004F77E9">
        <w:rPr>
          <w:rFonts w:ascii="Arial" w:hAnsi="Arial" w:cs="Arial"/>
          <w:b/>
          <w:sz w:val="20"/>
          <w:szCs w:val="20"/>
        </w:rPr>
        <w:t>quality parameters</w:t>
      </w:r>
    </w:p>
    <w:p w14:paraId="378B6A00" w14:textId="77777777" w:rsidR="00392EA3" w:rsidRPr="004F77E9" w:rsidRDefault="00392EA3" w:rsidP="007950A5">
      <w:pPr>
        <w:pStyle w:val="BodyText"/>
        <w:jc w:val="both"/>
        <w:outlineLvl w:val="1"/>
        <w:rPr>
          <w:rFonts w:ascii="Arial" w:hAnsi="Arial" w:cs="Arial"/>
          <w:b/>
          <w:sz w:val="20"/>
          <w:szCs w:val="20"/>
        </w:rPr>
      </w:pPr>
    </w:p>
    <w:p w14:paraId="7A6E60C8" w14:textId="77777777" w:rsidR="00353C55" w:rsidRPr="004F77E9" w:rsidRDefault="00353C55" w:rsidP="007950A5">
      <w:pPr>
        <w:pStyle w:val="BodyText"/>
        <w:jc w:val="both"/>
        <w:outlineLvl w:val="2"/>
        <w:rPr>
          <w:rFonts w:ascii="Arial" w:hAnsi="Arial" w:cs="Arial"/>
          <w:b/>
          <w:sz w:val="20"/>
          <w:szCs w:val="20"/>
        </w:rPr>
      </w:pPr>
      <w:r w:rsidRPr="004F77E9">
        <w:rPr>
          <w:rFonts w:ascii="Arial" w:hAnsi="Arial" w:cs="Arial"/>
          <w:b/>
          <w:sz w:val="20"/>
          <w:szCs w:val="20"/>
        </w:rPr>
        <w:t xml:space="preserve">2.2.1 Gossypol content </w:t>
      </w:r>
    </w:p>
    <w:p w14:paraId="7783D03D" w14:textId="77777777" w:rsidR="00392EA3" w:rsidRPr="004F77E9" w:rsidRDefault="00392EA3" w:rsidP="007950A5">
      <w:pPr>
        <w:pStyle w:val="BodyText"/>
        <w:jc w:val="both"/>
        <w:outlineLvl w:val="2"/>
        <w:rPr>
          <w:rFonts w:ascii="Arial" w:hAnsi="Arial" w:cs="Arial"/>
          <w:b/>
          <w:sz w:val="20"/>
          <w:szCs w:val="20"/>
        </w:rPr>
      </w:pPr>
    </w:p>
    <w:p w14:paraId="16D8B078" w14:textId="77777777" w:rsidR="00353C55" w:rsidRPr="004F77E9" w:rsidRDefault="00353C55" w:rsidP="00392EA3">
      <w:pPr>
        <w:spacing w:after="0" w:line="240" w:lineRule="auto"/>
        <w:rPr>
          <w:rFonts w:ascii="Arial" w:hAnsi="Arial" w:cs="Arial"/>
          <w:sz w:val="20"/>
          <w:szCs w:val="20"/>
        </w:rPr>
      </w:pPr>
      <w:r w:rsidRPr="004F77E9">
        <w:rPr>
          <w:rFonts w:ascii="Arial" w:hAnsi="Arial" w:cs="Arial"/>
          <w:sz w:val="20"/>
          <w:szCs w:val="20"/>
        </w:rPr>
        <w:t xml:space="preserve">The total gossypol content of the cottonseed oil was quantified using a titrimetric procedure involving its reaction with aniline. Approximately 1.0 g of the oil sample was accurately weighed into a 250 ml conical flask. To this, 10 ml of a freshly prepared aniline reagent (a 1:1 v/v mixture of aniline and 70% acetone) and an additional 40 ml of 70% acetone were added. The flask was gently swirled, covered with </w:t>
      </w:r>
      <w:proofErr w:type="spellStart"/>
      <w:r w:rsidRPr="004F77E9">
        <w:rPr>
          <w:rFonts w:ascii="Arial" w:hAnsi="Arial" w:cs="Arial"/>
          <w:sz w:val="20"/>
          <w:szCs w:val="20"/>
        </w:rPr>
        <w:t>aluminium</w:t>
      </w:r>
      <w:proofErr w:type="spellEnd"/>
      <w:r w:rsidRPr="004F77E9">
        <w:rPr>
          <w:rFonts w:ascii="Arial" w:hAnsi="Arial" w:cs="Arial"/>
          <w:sz w:val="20"/>
          <w:szCs w:val="20"/>
        </w:rPr>
        <w:t xml:space="preserve"> foil to </w:t>
      </w:r>
      <w:proofErr w:type="spellStart"/>
      <w:r w:rsidRPr="004F77E9">
        <w:rPr>
          <w:rFonts w:ascii="Arial" w:hAnsi="Arial" w:cs="Arial"/>
          <w:sz w:val="20"/>
          <w:szCs w:val="20"/>
        </w:rPr>
        <w:t>minimise</w:t>
      </w:r>
      <w:proofErr w:type="spellEnd"/>
      <w:r w:rsidRPr="004F77E9">
        <w:rPr>
          <w:rFonts w:ascii="Arial" w:hAnsi="Arial" w:cs="Arial"/>
          <w:sz w:val="20"/>
          <w:szCs w:val="20"/>
        </w:rPr>
        <w:t xml:space="preserve"> solvent loss, and placed on a mechanical shaker for 30 min to ensure complete interaction between gossypol and the reagent. After shaking, the mixture was filtered, and a 10 ml portion of the clear filtrate was transferred to a separate 250 ml conical flask. Two to three drops of 1% phenolphthalein were introduced as an indicator, and the solution was titrated immediately with </w:t>
      </w:r>
      <w:proofErr w:type="spellStart"/>
      <w:r w:rsidRPr="004F77E9">
        <w:rPr>
          <w:rFonts w:ascii="Arial" w:hAnsi="Arial" w:cs="Arial"/>
          <w:sz w:val="20"/>
          <w:szCs w:val="20"/>
        </w:rPr>
        <w:t>standardised</w:t>
      </w:r>
      <w:proofErr w:type="spellEnd"/>
      <w:r w:rsidRPr="004F77E9">
        <w:rPr>
          <w:rFonts w:ascii="Arial" w:hAnsi="Arial" w:cs="Arial"/>
          <w:sz w:val="20"/>
          <w:szCs w:val="20"/>
        </w:rPr>
        <w:t xml:space="preserve"> 0.1 N KOH until a faint pink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persisted for at least 30 sec (</w:t>
      </w:r>
      <w:r w:rsidRPr="004F77E9">
        <w:rPr>
          <w:rFonts w:ascii="Arial" w:hAnsi="Arial" w:cs="Arial"/>
          <w:color w:val="222222"/>
          <w:sz w:val="20"/>
          <w:szCs w:val="20"/>
          <w:shd w:val="clear" w:color="auto" w:fill="FFFFFF"/>
        </w:rPr>
        <w:t>Miller, 1955).</w:t>
      </w:r>
      <w:r w:rsidRPr="004F77E9">
        <w:rPr>
          <w:rFonts w:ascii="Arial" w:hAnsi="Arial" w:cs="Arial"/>
          <w:sz w:val="20"/>
          <w:szCs w:val="20"/>
        </w:rPr>
        <w:t xml:space="preserve"> Total gossypol content was calculated using the following formula:</w:t>
      </w:r>
    </w:p>
    <w:p w14:paraId="11F6AC43" w14:textId="77777777" w:rsidR="00353C55" w:rsidRPr="004F77E9" w:rsidRDefault="00353C55" w:rsidP="007950A5">
      <w:pPr>
        <w:pStyle w:val="NormalWeb"/>
        <w:spacing w:before="0" w:beforeAutospacing="0" w:after="0" w:afterAutospacing="0"/>
        <w:jc w:val="both"/>
        <w:rPr>
          <w:rFonts w:ascii="Arial" w:hAnsi="Arial" w:cs="Arial"/>
          <w:b/>
          <w:bCs/>
          <w:sz w:val="20"/>
          <w:szCs w:val="20"/>
        </w:rPr>
      </w:pPr>
      <w:r w:rsidRPr="004F77E9">
        <w:rPr>
          <w:rStyle w:val="Strong"/>
          <w:rFonts w:ascii="Arial" w:hAnsi="Arial" w:cs="Arial"/>
          <w:b w:val="0"/>
          <w:sz w:val="20"/>
          <w:szCs w:val="20"/>
        </w:rPr>
        <w:t>Gossypol (</w:t>
      </w:r>
      <w:proofErr w:type="gramStart"/>
      <w:r w:rsidRPr="004F77E9">
        <w:rPr>
          <w:rStyle w:val="Strong"/>
          <w:rFonts w:ascii="Arial" w:hAnsi="Arial" w:cs="Arial"/>
          <w:b w:val="0"/>
          <w:sz w:val="20"/>
          <w:szCs w:val="20"/>
        </w:rPr>
        <w:t>% )</w:t>
      </w:r>
      <w:proofErr w:type="gramEnd"/>
      <w:r w:rsidRPr="004F77E9">
        <w:rPr>
          <w:rStyle w:val="Strong"/>
          <w:rFonts w:ascii="Arial" w:hAnsi="Arial" w:cs="Arial"/>
          <w:b w:val="0"/>
          <w:sz w:val="20"/>
          <w:szCs w:val="20"/>
        </w:rPr>
        <w:t xml:space="preserve"> = </w:t>
      </w:r>
      <m:oMath>
        <m:f>
          <m:fPr>
            <m:ctrlPr>
              <w:rPr>
                <w:rFonts w:ascii="Cambria Math" w:hAnsi="Cambria Math" w:cs="Arial"/>
                <w:b/>
                <w:i/>
                <w:sz w:val="20"/>
                <w:szCs w:val="20"/>
              </w:rPr>
            </m:ctrlPr>
          </m:fPr>
          <m:num>
            <m:d>
              <m:dPr>
                <m:ctrlPr>
                  <w:rPr>
                    <w:rFonts w:ascii="Cambria Math" w:hAnsi="Cambria Math" w:cs="Arial"/>
                    <w:b/>
                    <w:i/>
                    <w:sz w:val="20"/>
                    <w:szCs w:val="20"/>
                  </w:rPr>
                </m:ctrlPr>
              </m:dPr>
              <m:e>
                <m:r>
                  <m:rPr>
                    <m:sty m:val="bi"/>
                  </m:rPr>
                  <w:rPr>
                    <w:rFonts w:ascii="Cambria Math" w:hAnsi="Cambria Math" w:cs="Arial"/>
                    <w:sz w:val="20"/>
                    <w:szCs w:val="20"/>
                  </w:rPr>
                  <m:t>V</m:t>
                </m:r>
                <m:r>
                  <m:rPr>
                    <m:sty m:val="b"/>
                  </m:rPr>
                  <w:rPr>
                    <w:rFonts w:ascii="Cambria Math" w:hAnsi="Cambria Math" w:cs="Arial"/>
                    <w:sz w:val="20"/>
                    <w:szCs w:val="20"/>
                  </w:rPr>
                  <m:t>s-</m:t>
                </m:r>
                <m:r>
                  <m:rPr>
                    <m:sty m:val="bi"/>
                  </m:rPr>
                  <w:rPr>
                    <w:rFonts w:ascii="Cambria Math" w:hAnsi="Cambria Math" w:cs="Arial"/>
                    <w:sz w:val="20"/>
                    <w:szCs w:val="20"/>
                  </w:rPr>
                  <m:t>V</m:t>
                </m:r>
                <m:r>
                  <m:rPr>
                    <m:sty m:val="b"/>
                  </m:rPr>
                  <w:rPr>
                    <w:rFonts w:ascii="Cambria Math" w:hAnsi="Cambria Math" w:cs="Arial"/>
                    <w:sz w:val="20"/>
                    <w:szCs w:val="20"/>
                  </w:rPr>
                  <m:t>b</m:t>
                </m:r>
                <m:ctrlPr>
                  <w:rPr>
                    <w:rFonts w:ascii="Cambria Math" w:hAnsi="Cambria Math" w:cs="Arial"/>
                    <w:b/>
                    <w:sz w:val="20"/>
                    <w:szCs w:val="20"/>
                  </w:rPr>
                </m:ctrlPr>
              </m:e>
            </m:d>
            <m:r>
              <m:rPr>
                <m:sty m:val="b"/>
              </m:rPr>
              <w:rPr>
                <w:rFonts w:ascii="Cambria Math" w:hAnsi="Cambria Math" w:cs="Arial"/>
                <w:sz w:val="20"/>
                <w:szCs w:val="20"/>
              </w:rPr>
              <m:t>x N x 42.6 x 100</m:t>
            </m:r>
          </m:num>
          <m:den>
            <m:r>
              <m:rPr>
                <m:sty m:val="bi"/>
              </m:rPr>
              <w:rPr>
                <w:rFonts w:ascii="Cambria Math" w:hAnsi="Cambria Math" w:cs="Arial"/>
                <w:sz w:val="20"/>
                <w:szCs w:val="20"/>
              </w:rPr>
              <m:t>Sample Weight</m:t>
            </m:r>
          </m:den>
        </m:f>
      </m:oMath>
    </w:p>
    <w:p w14:paraId="3F3B3073" w14:textId="77777777" w:rsidR="00353C55" w:rsidRPr="004F77E9" w:rsidRDefault="00353C55" w:rsidP="007950A5">
      <w:pPr>
        <w:pStyle w:val="NormalWeb"/>
        <w:spacing w:before="0" w:beforeAutospacing="0" w:after="0" w:afterAutospacing="0"/>
        <w:jc w:val="both"/>
        <w:rPr>
          <w:rFonts w:ascii="Arial" w:hAnsi="Arial" w:cs="Arial"/>
          <w:sz w:val="20"/>
          <w:szCs w:val="20"/>
        </w:rPr>
      </w:pPr>
      <w:proofErr w:type="gramStart"/>
      <w:r w:rsidRPr="004F77E9">
        <w:rPr>
          <w:rStyle w:val="Emphasis"/>
          <w:rFonts w:ascii="Arial" w:hAnsi="Arial" w:cs="Arial"/>
          <w:i w:val="0"/>
          <w:sz w:val="20"/>
          <w:szCs w:val="20"/>
        </w:rPr>
        <w:lastRenderedPageBreak/>
        <w:t>Where;</w:t>
      </w:r>
      <w:r w:rsidRPr="004F77E9">
        <w:rPr>
          <w:rStyle w:val="Emphasis"/>
          <w:rFonts w:ascii="Arial" w:hAnsi="Arial" w:cs="Arial"/>
          <w:sz w:val="20"/>
          <w:szCs w:val="20"/>
        </w:rPr>
        <w:t xml:space="preserve">   </w:t>
      </w:r>
      <w:proofErr w:type="gramEnd"/>
      <w:r w:rsidRPr="004F77E9">
        <w:rPr>
          <w:rStyle w:val="Emphasis"/>
          <w:rFonts w:ascii="Arial" w:hAnsi="Arial" w:cs="Arial"/>
          <w:sz w:val="20"/>
          <w:szCs w:val="20"/>
        </w:rPr>
        <w:t xml:space="preserve">   V_s</w:t>
      </w:r>
      <w:r w:rsidRPr="004F77E9">
        <w:rPr>
          <w:rFonts w:ascii="Arial" w:hAnsi="Arial" w:cs="Arial"/>
          <w:sz w:val="20"/>
          <w:szCs w:val="20"/>
        </w:rPr>
        <w:t xml:space="preserve"> and </w:t>
      </w:r>
      <w:r w:rsidRPr="004F77E9">
        <w:rPr>
          <w:rStyle w:val="Emphasis"/>
          <w:rFonts w:ascii="Arial" w:hAnsi="Arial" w:cs="Arial"/>
          <w:sz w:val="20"/>
          <w:szCs w:val="20"/>
        </w:rPr>
        <w:t>V b</w:t>
      </w:r>
      <w:r w:rsidRPr="004F77E9">
        <w:rPr>
          <w:rFonts w:ascii="Arial" w:hAnsi="Arial" w:cs="Arial"/>
          <w:sz w:val="20"/>
          <w:szCs w:val="20"/>
        </w:rPr>
        <w:t xml:space="preserve"> = KOH volumes for the sample and blank</w:t>
      </w:r>
    </w:p>
    <w:p w14:paraId="5CBE88C3" w14:textId="77777777" w:rsidR="00353C55" w:rsidRPr="004F77E9" w:rsidRDefault="00353C55" w:rsidP="007950A5">
      <w:pPr>
        <w:pStyle w:val="NormalWeb"/>
        <w:spacing w:before="0" w:beforeAutospacing="0" w:after="0" w:afterAutospacing="0"/>
        <w:ind w:firstLine="720"/>
        <w:jc w:val="both"/>
        <w:rPr>
          <w:rFonts w:ascii="Arial" w:hAnsi="Arial" w:cs="Arial"/>
          <w:sz w:val="20"/>
          <w:szCs w:val="20"/>
        </w:rPr>
      </w:pPr>
      <w:r w:rsidRPr="004F77E9">
        <w:rPr>
          <w:rFonts w:ascii="Arial" w:hAnsi="Arial" w:cs="Arial"/>
          <w:sz w:val="20"/>
          <w:szCs w:val="20"/>
        </w:rPr>
        <w:t xml:space="preserve">                       N = Normality of KOH </w:t>
      </w:r>
    </w:p>
    <w:p w14:paraId="14918AA4" w14:textId="77777777" w:rsidR="00353C55" w:rsidRPr="004F77E9" w:rsidRDefault="00353C55" w:rsidP="007950A5">
      <w:pPr>
        <w:pStyle w:val="BodyText"/>
        <w:jc w:val="both"/>
        <w:rPr>
          <w:rFonts w:ascii="Arial" w:hAnsi="Arial" w:cs="Arial"/>
          <w:sz w:val="20"/>
          <w:szCs w:val="20"/>
        </w:rPr>
      </w:pPr>
      <w:r w:rsidRPr="004F77E9">
        <w:rPr>
          <w:rFonts w:ascii="Arial" w:hAnsi="Arial" w:cs="Arial"/>
          <w:sz w:val="20"/>
          <w:szCs w:val="20"/>
        </w:rPr>
        <w:t xml:space="preserve">             </w:t>
      </w:r>
      <w:r w:rsidRPr="004F77E9">
        <w:rPr>
          <w:rFonts w:ascii="Arial" w:hAnsi="Arial" w:cs="Arial"/>
          <w:sz w:val="20"/>
          <w:szCs w:val="20"/>
        </w:rPr>
        <w:tab/>
        <w:t xml:space="preserve">       42.6 = AOCS titration conversion constant</w:t>
      </w:r>
    </w:p>
    <w:p w14:paraId="2E807B56" w14:textId="77777777" w:rsidR="00A914A0" w:rsidRPr="004F77E9" w:rsidRDefault="00A914A0" w:rsidP="007950A5">
      <w:pPr>
        <w:pStyle w:val="BodyText"/>
        <w:jc w:val="both"/>
        <w:outlineLvl w:val="2"/>
        <w:rPr>
          <w:rFonts w:ascii="Arial" w:hAnsi="Arial" w:cs="Arial"/>
          <w:b/>
          <w:sz w:val="20"/>
          <w:szCs w:val="20"/>
        </w:rPr>
      </w:pPr>
      <w:r w:rsidRPr="004F77E9">
        <w:rPr>
          <w:rFonts w:ascii="Arial" w:hAnsi="Arial" w:cs="Arial"/>
          <w:b/>
          <w:sz w:val="20"/>
          <w:szCs w:val="20"/>
        </w:rPr>
        <w:t>2.2.</w:t>
      </w:r>
      <w:r w:rsidR="00353C55" w:rsidRPr="004F77E9">
        <w:rPr>
          <w:rFonts w:ascii="Arial" w:hAnsi="Arial" w:cs="Arial"/>
          <w:b/>
          <w:sz w:val="20"/>
          <w:szCs w:val="20"/>
        </w:rPr>
        <w:t>2</w:t>
      </w:r>
      <w:r w:rsidRPr="004F77E9">
        <w:rPr>
          <w:rFonts w:ascii="Arial" w:hAnsi="Arial" w:cs="Arial"/>
          <w:b/>
          <w:sz w:val="20"/>
          <w:szCs w:val="20"/>
        </w:rPr>
        <w:t xml:space="preserve"> </w:t>
      </w:r>
      <w:r w:rsidRPr="004F77E9">
        <w:rPr>
          <w:rStyle w:val="BodyTextChar"/>
          <w:rFonts w:ascii="Arial" w:hAnsi="Arial" w:cs="Arial"/>
          <w:b/>
          <w:sz w:val="20"/>
          <w:szCs w:val="20"/>
        </w:rPr>
        <w:t xml:space="preserve">Free fatty acid </w:t>
      </w:r>
      <w:r w:rsidRPr="004F77E9">
        <w:rPr>
          <w:rFonts w:ascii="Arial" w:hAnsi="Arial" w:cs="Arial"/>
          <w:b/>
          <w:sz w:val="20"/>
          <w:szCs w:val="20"/>
        </w:rPr>
        <w:t>(FFA)</w:t>
      </w:r>
    </w:p>
    <w:p w14:paraId="12087035" w14:textId="77777777" w:rsidR="00392EA3" w:rsidRPr="004F77E9" w:rsidRDefault="00392EA3" w:rsidP="00392EA3">
      <w:pPr>
        <w:pStyle w:val="BodyText"/>
        <w:jc w:val="both"/>
        <w:rPr>
          <w:rFonts w:ascii="Arial" w:hAnsi="Arial" w:cs="Arial"/>
          <w:b/>
          <w:sz w:val="20"/>
          <w:szCs w:val="20"/>
        </w:rPr>
      </w:pPr>
    </w:p>
    <w:p w14:paraId="68C54C30" w14:textId="77777777" w:rsidR="00A914A0" w:rsidRPr="004F77E9" w:rsidRDefault="00A914A0" w:rsidP="00392EA3">
      <w:pPr>
        <w:pStyle w:val="BodyText"/>
        <w:jc w:val="both"/>
        <w:rPr>
          <w:rFonts w:ascii="Arial" w:hAnsi="Arial" w:cs="Arial"/>
          <w:sz w:val="20"/>
          <w:szCs w:val="20"/>
        </w:rPr>
      </w:pPr>
      <w:r w:rsidRPr="004F77E9">
        <w:rPr>
          <w:rStyle w:val="BodyTextChar"/>
          <w:rFonts w:ascii="Arial" w:hAnsi="Arial" w:cs="Arial"/>
          <w:sz w:val="20"/>
          <w:szCs w:val="20"/>
        </w:rPr>
        <w:t xml:space="preserve">Free fatty acid </w:t>
      </w:r>
      <w:r w:rsidRPr="004F77E9">
        <w:rPr>
          <w:rFonts w:ascii="Arial" w:hAnsi="Arial" w:cs="Arial"/>
          <w:sz w:val="20"/>
          <w:szCs w:val="20"/>
        </w:rPr>
        <w:t xml:space="preserve">(FFA) </w:t>
      </w:r>
      <w:r w:rsidRPr="004F77E9">
        <w:rPr>
          <w:rStyle w:val="BodyTextChar"/>
          <w:rFonts w:ascii="Arial" w:hAnsi="Arial" w:cs="Arial"/>
          <w:sz w:val="20"/>
          <w:szCs w:val="20"/>
        </w:rPr>
        <w:t xml:space="preserve">value is defined as the number of milligrams of KOH required to </w:t>
      </w:r>
      <w:proofErr w:type="spellStart"/>
      <w:r w:rsidRPr="004F77E9">
        <w:rPr>
          <w:rStyle w:val="BodyTextChar"/>
          <w:rFonts w:ascii="Arial" w:hAnsi="Arial" w:cs="Arial"/>
          <w:sz w:val="20"/>
          <w:szCs w:val="20"/>
        </w:rPr>
        <w:t>neutralise</w:t>
      </w:r>
      <w:proofErr w:type="spellEnd"/>
      <w:r w:rsidRPr="004F77E9">
        <w:rPr>
          <w:rStyle w:val="BodyTextChar"/>
          <w:rFonts w:ascii="Arial" w:hAnsi="Arial" w:cs="Arial"/>
          <w:sz w:val="20"/>
          <w:szCs w:val="20"/>
        </w:rPr>
        <w:t xml:space="preserve"> the free organic acids present in one gram of oil or fat. Free fatty acid was determined by the titration method. The refined cottonseed oil sample (1-10 g) was weighed into a 250 ml conical flask. Fifty </w:t>
      </w:r>
      <w:proofErr w:type="spellStart"/>
      <w:r w:rsidRPr="004F77E9">
        <w:rPr>
          <w:rStyle w:val="BodyTextChar"/>
          <w:rFonts w:ascii="Arial" w:hAnsi="Arial" w:cs="Arial"/>
          <w:sz w:val="20"/>
          <w:szCs w:val="20"/>
        </w:rPr>
        <w:t>millilitres</w:t>
      </w:r>
      <w:proofErr w:type="spellEnd"/>
      <w:r w:rsidRPr="004F77E9">
        <w:rPr>
          <w:rStyle w:val="BodyTextChar"/>
          <w:rFonts w:ascii="Arial" w:hAnsi="Arial" w:cs="Arial"/>
          <w:sz w:val="20"/>
          <w:szCs w:val="20"/>
        </w:rPr>
        <w:t xml:space="preserve"> of </w:t>
      </w:r>
      <w:proofErr w:type="spellStart"/>
      <w:r w:rsidRPr="004F77E9">
        <w:rPr>
          <w:rStyle w:val="BodyTextChar"/>
          <w:rFonts w:ascii="Arial" w:hAnsi="Arial" w:cs="Arial"/>
          <w:sz w:val="20"/>
          <w:szCs w:val="20"/>
        </w:rPr>
        <w:t>neutralised</w:t>
      </w:r>
      <w:proofErr w:type="spellEnd"/>
      <w:r w:rsidRPr="004F77E9">
        <w:rPr>
          <w:rStyle w:val="BodyTextChar"/>
          <w:rFonts w:ascii="Arial" w:hAnsi="Arial" w:cs="Arial"/>
          <w:sz w:val="20"/>
          <w:szCs w:val="20"/>
        </w:rPr>
        <w:t xml:space="preserve"> alcohol and a few drops of phenolphthalein indicator were added to the conical flask to dissolve the sample, which was then titrated with 0.1 N KOH solution until a pink </w:t>
      </w:r>
      <w:proofErr w:type="spellStart"/>
      <w:r w:rsidRPr="004F77E9">
        <w:rPr>
          <w:rStyle w:val="BodyTextChar"/>
          <w:rFonts w:ascii="Arial" w:hAnsi="Arial" w:cs="Arial"/>
          <w:sz w:val="20"/>
          <w:szCs w:val="20"/>
        </w:rPr>
        <w:t>colouration</w:t>
      </w:r>
      <w:proofErr w:type="spellEnd"/>
      <w:r w:rsidRPr="004F77E9">
        <w:rPr>
          <w:rStyle w:val="BodyTextChar"/>
          <w:rFonts w:ascii="Arial" w:hAnsi="Arial" w:cs="Arial"/>
          <w:sz w:val="20"/>
          <w:szCs w:val="20"/>
        </w:rPr>
        <w:t xml:space="preserve"> was obtained</w:t>
      </w:r>
      <w:r w:rsidRPr="004F77E9">
        <w:rPr>
          <w:rFonts w:ascii="Arial" w:hAnsi="Arial" w:cs="Arial"/>
          <w:sz w:val="20"/>
          <w:szCs w:val="20"/>
        </w:rPr>
        <w:t xml:space="preserve"> and persisted for 15 sec. Free fatty acid was calculated using the following formula:</w:t>
      </w:r>
    </w:p>
    <w:p w14:paraId="7408AA59" w14:textId="77777777" w:rsidR="00A914A0" w:rsidRPr="004F77E9" w:rsidRDefault="00A914A0" w:rsidP="00392EA3">
      <w:pPr>
        <w:pStyle w:val="BodyText"/>
        <w:ind w:left="1440" w:firstLine="720"/>
        <w:jc w:val="both"/>
        <w:rPr>
          <w:rFonts w:ascii="Arial" w:hAnsi="Arial" w:cs="Arial"/>
          <w:iCs/>
          <w:sz w:val="20"/>
          <w:szCs w:val="20"/>
        </w:rPr>
      </w:pPr>
      <w:r w:rsidRPr="004F77E9">
        <w:rPr>
          <w:rFonts w:ascii="Arial" w:hAnsi="Arial" w:cs="Arial"/>
          <w:sz w:val="20"/>
          <w:szCs w:val="20"/>
        </w:rPr>
        <w:t xml:space="preserve">Free fatty acid (%) = </w:t>
      </w:r>
      <m:oMath>
        <m:f>
          <m:fPr>
            <m:ctrlPr>
              <w:rPr>
                <w:rFonts w:ascii="Cambria Math" w:hAnsi="Cambria Math" w:cs="Arial"/>
                <w:iCs/>
                <w:sz w:val="20"/>
                <w:szCs w:val="20"/>
              </w:rPr>
            </m:ctrlPr>
          </m:fPr>
          <m:num>
            <m:r>
              <m:rPr>
                <m:nor/>
              </m:rPr>
              <w:rPr>
                <w:rFonts w:ascii="Arial" w:hAnsi="Arial" w:cs="Arial"/>
                <w:sz w:val="20"/>
                <w:szCs w:val="20"/>
              </w:rPr>
              <m:t xml:space="preserve">Titration </m:t>
            </m:r>
            <m:d>
              <m:dPr>
                <m:ctrlPr>
                  <w:rPr>
                    <w:rFonts w:ascii="Cambria Math" w:hAnsi="Cambria Math" w:cs="Arial"/>
                    <w:iCs/>
                    <w:sz w:val="20"/>
                    <w:szCs w:val="20"/>
                  </w:rPr>
                </m:ctrlPr>
              </m:dPr>
              <m:e>
                <m:r>
                  <m:rPr>
                    <m:nor/>
                  </m:rPr>
                  <w:rPr>
                    <w:rFonts w:ascii="Arial" w:hAnsi="Arial" w:cs="Arial"/>
                    <w:sz w:val="20"/>
                    <w:szCs w:val="20"/>
                  </w:rPr>
                  <m:t>ml</m:t>
                </m:r>
              </m:e>
            </m:d>
            <m:r>
              <m:rPr>
                <m:nor/>
              </m:rPr>
              <w:rPr>
                <w:rFonts w:ascii="Arial" w:hAnsi="Arial" w:cs="Arial"/>
                <w:sz w:val="20"/>
                <w:szCs w:val="20"/>
              </w:rPr>
              <m:t xml:space="preserve"> × N × 28.2</m:t>
            </m:r>
          </m:num>
          <m:den>
            <m:r>
              <m:rPr>
                <m:nor/>
              </m:rPr>
              <w:rPr>
                <w:rFonts w:ascii="Arial" w:hAnsi="Arial" w:cs="Arial"/>
                <w:sz w:val="20"/>
                <w:szCs w:val="20"/>
              </w:rPr>
              <m:t>Wt of sample used (g)</m:t>
            </m:r>
          </m:den>
        </m:f>
      </m:oMath>
      <w:r w:rsidRPr="004F77E9">
        <w:rPr>
          <w:rFonts w:ascii="Arial" w:hAnsi="Arial" w:cs="Arial"/>
          <w:iCs/>
          <w:sz w:val="20"/>
          <w:szCs w:val="20"/>
        </w:rPr>
        <w:t xml:space="preserve">  </w:t>
      </w:r>
      <w:proofErr w:type="gramStart"/>
      <w:r w:rsidRPr="004F77E9">
        <w:rPr>
          <w:rFonts w:ascii="Arial" w:hAnsi="Arial" w:cs="Arial"/>
          <w:iCs/>
          <w:sz w:val="20"/>
          <w:szCs w:val="20"/>
        </w:rPr>
        <w:t xml:space="preserve">   </w:t>
      </w:r>
      <w:r w:rsidRPr="004F77E9">
        <w:rPr>
          <w:rFonts w:ascii="Arial" w:hAnsi="Arial" w:cs="Arial"/>
          <w:sz w:val="20"/>
          <w:szCs w:val="20"/>
        </w:rPr>
        <w:t>(</w:t>
      </w:r>
      <w:proofErr w:type="gramEnd"/>
      <w:r w:rsidRPr="004F77E9">
        <w:rPr>
          <w:rFonts w:ascii="Arial" w:hAnsi="Arial" w:cs="Arial"/>
          <w:sz w:val="20"/>
          <w:szCs w:val="20"/>
        </w:rPr>
        <w:t>Egan et al., 1981)</w:t>
      </w:r>
    </w:p>
    <w:p w14:paraId="0B7BFB2A" w14:textId="77777777" w:rsidR="001835AA" w:rsidRPr="004F77E9" w:rsidRDefault="001835AA" w:rsidP="007950A5">
      <w:pPr>
        <w:spacing w:after="0" w:line="240" w:lineRule="auto"/>
        <w:ind w:firstLine="720"/>
        <w:rPr>
          <w:rFonts w:ascii="Arial" w:hAnsi="Arial" w:cs="Arial"/>
          <w:sz w:val="20"/>
          <w:szCs w:val="20"/>
        </w:rPr>
      </w:pPr>
      <w:r w:rsidRPr="004F77E9">
        <w:rPr>
          <w:rFonts w:ascii="Arial" w:hAnsi="Arial" w:cs="Arial"/>
          <w:sz w:val="20"/>
          <w:szCs w:val="20"/>
        </w:rPr>
        <w:t xml:space="preserve">      </w:t>
      </w:r>
      <w:r w:rsidR="00A914A0" w:rsidRPr="004F77E9">
        <w:rPr>
          <w:rFonts w:ascii="Arial" w:hAnsi="Arial" w:cs="Arial"/>
          <w:sz w:val="20"/>
          <w:szCs w:val="20"/>
        </w:rPr>
        <w:t xml:space="preserve">    </w:t>
      </w:r>
    </w:p>
    <w:p w14:paraId="2E5F4437" w14:textId="77777777" w:rsidR="00A914A0" w:rsidRPr="004F77E9" w:rsidRDefault="001835AA" w:rsidP="007950A5">
      <w:pPr>
        <w:spacing w:after="0" w:line="240" w:lineRule="auto"/>
        <w:rPr>
          <w:rFonts w:ascii="Arial" w:hAnsi="Arial" w:cs="Arial"/>
          <w:sz w:val="20"/>
          <w:szCs w:val="20"/>
        </w:rPr>
      </w:pPr>
      <w:proofErr w:type="gramStart"/>
      <w:r w:rsidRPr="004F77E9">
        <w:rPr>
          <w:rFonts w:ascii="Arial" w:hAnsi="Arial" w:cs="Arial"/>
          <w:sz w:val="20"/>
          <w:szCs w:val="20"/>
        </w:rPr>
        <w:t xml:space="preserve">Where;   </w:t>
      </w:r>
      <w:proofErr w:type="gramEnd"/>
      <w:r w:rsidRPr="004F77E9">
        <w:rPr>
          <w:rFonts w:ascii="Arial" w:hAnsi="Arial" w:cs="Arial"/>
          <w:sz w:val="20"/>
          <w:szCs w:val="20"/>
        </w:rPr>
        <w:t xml:space="preserve">        </w:t>
      </w:r>
      <w:r w:rsidR="00A914A0" w:rsidRPr="004F77E9">
        <w:rPr>
          <w:rFonts w:ascii="Arial" w:hAnsi="Arial" w:cs="Arial"/>
          <w:sz w:val="20"/>
          <w:szCs w:val="20"/>
        </w:rPr>
        <w:t xml:space="preserve">N     = Normality of potassium hydroxide solution </w:t>
      </w:r>
    </w:p>
    <w:p w14:paraId="17C8B02C" w14:textId="77777777" w:rsidR="00A914A0" w:rsidRPr="004F77E9" w:rsidRDefault="00A914A0" w:rsidP="007950A5">
      <w:pPr>
        <w:spacing w:after="0" w:line="240" w:lineRule="auto"/>
        <w:ind w:firstLine="720"/>
        <w:rPr>
          <w:rFonts w:ascii="Arial" w:hAnsi="Arial" w:cs="Arial"/>
          <w:sz w:val="20"/>
          <w:szCs w:val="20"/>
        </w:rPr>
      </w:pPr>
      <w:r w:rsidRPr="004F77E9">
        <w:rPr>
          <w:rFonts w:ascii="Arial" w:hAnsi="Arial" w:cs="Arial"/>
          <w:sz w:val="20"/>
          <w:szCs w:val="20"/>
        </w:rPr>
        <w:t xml:space="preserve"> </w:t>
      </w:r>
      <w:r w:rsidR="001835AA" w:rsidRPr="004F77E9">
        <w:rPr>
          <w:rFonts w:ascii="Arial" w:hAnsi="Arial" w:cs="Arial"/>
          <w:sz w:val="20"/>
          <w:szCs w:val="20"/>
        </w:rPr>
        <w:t xml:space="preserve">          </w:t>
      </w:r>
      <w:r w:rsidRPr="004F77E9">
        <w:rPr>
          <w:rFonts w:ascii="Arial" w:hAnsi="Arial" w:cs="Arial"/>
          <w:sz w:val="20"/>
          <w:szCs w:val="20"/>
        </w:rPr>
        <w:t>28.2 = Oleic acid factor</w:t>
      </w:r>
    </w:p>
    <w:p w14:paraId="091B58B0" w14:textId="77777777" w:rsidR="00392EA3" w:rsidRPr="004F77E9" w:rsidRDefault="00392EA3" w:rsidP="007950A5">
      <w:pPr>
        <w:spacing w:after="0" w:line="240" w:lineRule="auto"/>
        <w:ind w:firstLine="720"/>
        <w:rPr>
          <w:rFonts w:ascii="Arial" w:hAnsi="Arial" w:cs="Arial"/>
          <w:sz w:val="20"/>
          <w:szCs w:val="20"/>
        </w:rPr>
      </w:pPr>
    </w:p>
    <w:p w14:paraId="7925FD19" w14:textId="77777777" w:rsidR="00392EA3" w:rsidRPr="004F77E9" w:rsidRDefault="0071105E" w:rsidP="00392EA3">
      <w:pPr>
        <w:pStyle w:val="BodyText"/>
        <w:jc w:val="both"/>
        <w:outlineLvl w:val="2"/>
        <w:rPr>
          <w:rFonts w:ascii="Arial" w:hAnsi="Arial" w:cs="Arial"/>
          <w:b/>
          <w:sz w:val="20"/>
          <w:szCs w:val="20"/>
        </w:rPr>
      </w:pPr>
      <w:bookmarkStart w:id="0" w:name="_Toc150685239"/>
      <w:bookmarkStart w:id="1" w:name="_Toc183029605"/>
      <w:r w:rsidRPr="004F77E9">
        <w:rPr>
          <w:rFonts w:ascii="Arial" w:hAnsi="Arial" w:cs="Arial"/>
          <w:b/>
          <w:sz w:val="20"/>
          <w:szCs w:val="20"/>
        </w:rPr>
        <w:t>2.2.3 Peroxide value</w:t>
      </w:r>
      <w:bookmarkEnd w:id="0"/>
      <w:bookmarkEnd w:id="1"/>
      <w:r w:rsidRPr="004F77E9">
        <w:rPr>
          <w:rFonts w:ascii="Arial" w:hAnsi="Arial" w:cs="Arial"/>
          <w:b/>
          <w:sz w:val="20"/>
          <w:szCs w:val="20"/>
        </w:rPr>
        <w:t xml:space="preserve"> </w:t>
      </w:r>
    </w:p>
    <w:p w14:paraId="416BABE2" w14:textId="77777777" w:rsidR="00392EA3" w:rsidRPr="004F77E9" w:rsidRDefault="00392EA3" w:rsidP="00392EA3">
      <w:pPr>
        <w:pStyle w:val="BodyText"/>
        <w:jc w:val="both"/>
        <w:outlineLvl w:val="2"/>
        <w:rPr>
          <w:rFonts w:ascii="Arial" w:hAnsi="Arial" w:cs="Arial"/>
          <w:b/>
          <w:sz w:val="20"/>
          <w:szCs w:val="20"/>
        </w:rPr>
      </w:pPr>
    </w:p>
    <w:p w14:paraId="5AADC40F" w14:textId="77777777" w:rsidR="0071105E" w:rsidRPr="004F77E9" w:rsidRDefault="0071105E" w:rsidP="00392EA3">
      <w:pPr>
        <w:pStyle w:val="BodyText"/>
        <w:jc w:val="both"/>
        <w:outlineLvl w:val="2"/>
        <w:rPr>
          <w:rFonts w:ascii="Arial" w:hAnsi="Arial" w:cs="Arial"/>
          <w:sz w:val="20"/>
          <w:szCs w:val="20"/>
        </w:rPr>
      </w:pPr>
      <w:r w:rsidRPr="004F77E9">
        <w:rPr>
          <w:rFonts w:ascii="Arial" w:hAnsi="Arial" w:cs="Arial"/>
          <w:sz w:val="20"/>
          <w:szCs w:val="20"/>
        </w:rPr>
        <w:t>Peroxide values (PV) of refined cottonseed oil samples were determined according to Egan et al. (1981). One gram of oil sample, 1 g of potassium iodide, and 20 ml of a solvent mixture (glacial acetic acid and chloroform) were added to a 250 ml conical flask and then heated in a 100</w:t>
      </w:r>
      <w:r w:rsidRPr="004F77E9">
        <w:rPr>
          <w:rFonts w:ascii="Arial" w:hAnsi="Arial" w:cs="Arial"/>
          <w:b/>
          <w:bCs/>
          <w:sz w:val="20"/>
          <w:szCs w:val="20"/>
        </w:rPr>
        <w:t>˚</w:t>
      </w:r>
      <w:r w:rsidRPr="004F77E9">
        <w:rPr>
          <w:rFonts w:ascii="Arial" w:hAnsi="Arial" w:cs="Arial"/>
          <w:sz w:val="20"/>
          <w:szCs w:val="20"/>
        </w:rPr>
        <w:t xml:space="preserve">C hot-water bath for 30 sec. Subsequently, 20 ml of 5 % potassium iodide solution and 25 ml of distilled water were added, and the mixture was titrated with 0.002 N sodium thiosulphate solution using starch indicator. A blank was </w:t>
      </w:r>
      <w:proofErr w:type="spellStart"/>
      <w:r w:rsidRPr="004F77E9">
        <w:rPr>
          <w:rFonts w:ascii="Arial" w:hAnsi="Arial" w:cs="Arial"/>
          <w:sz w:val="20"/>
          <w:szCs w:val="20"/>
        </w:rPr>
        <w:t>analysed</w:t>
      </w:r>
      <w:proofErr w:type="spellEnd"/>
      <w:r w:rsidRPr="004F77E9">
        <w:rPr>
          <w:rFonts w:ascii="Arial" w:hAnsi="Arial" w:cs="Arial"/>
          <w:sz w:val="20"/>
          <w:szCs w:val="20"/>
        </w:rPr>
        <w:t xml:space="preserve"> alongside the oil sample. Peroxide value was calculated using the following formula:</w:t>
      </w:r>
    </w:p>
    <w:p w14:paraId="57474DD0" w14:textId="77777777" w:rsidR="0071105E" w:rsidRPr="004F77E9" w:rsidRDefault="0071105E" w:rsidP="007950A5">
      <w:pPr>
        <w:pStyle w:val="BodyText"/>
        <w:ind w:left="720" w:firstLine="720"/>
        <w:jc w:val="both"/>
        <w:rPr>
          <w:rFonts w:ascii="Arial" w:hAnsi="Arial" w:cs="Arial"/>
          <w:sz w:val="20"/>
          <w:szCs w:val="20"/>
        </w:rPr>
      </w:pPr>
      <w:r w:rsidRPr="004F77E9">
        <w:rPr>
          <w:rFonts w:ascii="Arial" w:hAnsi="Arial" w:cs="Arial"/>
          <w:sz w:val="20"/>
          <w:szCs w:val="20"/>
        </w:rPr>
        <w:t>Peroxide value (mEqkg</w:t>
      </w:r>
      <w:r w:rsidRPr="004F77E9">
        <w:rPr>
          <w:rFonts w:ascii="Arial" w:hAnsi="Arial" w:cs="Arial"/>
          <w:sz w:val="20"/>
          <w:szCs w:val="20"/>
          <w:vertAlign w:val="superscript"/>
        </w:rPr>
        <w:t>-1</w:t>
      </w:r>
      <w:r w:rsidRPr="004F77E9">
        <w:rPr>
          <w:rFonts w:ascii="Arial" w:hAnsi="Arial" w:cs="Arial"/>
          <w:sz w:val="20"/>
          <w:szCs w:val="20"/>
        </w:rPr>
        <w:t xml:space="preserve">) = </w:t>
      </w:r>
      <m:oMath>
        <m:f>
          <m:fPr>
            <m:ctrlPr>
              <w:rPr>
                <w:rFonts w:ascii="Cambria Math" w:hAnsi="Cambria Math" w:cs="Arial"/>
                <w:iCs/>
                <w:color w:val="000000" w:themeColor="text1"/>
                <w:sz w:val="20"/>
                <w:szCs w:val="20"/>
              </w:rPr>
            </m:ctrlPr>
          </m:fPr>
          <m:num>
            <m:d>
              <m:dPr>
                <m:ctrlPr>
                  <w:rPr>
                    <w:rFonts w:ascii="Cambria Math" w:hAnsi="Cambria Math" w:cs="Arial"/>
                    <w:iCs/>
                    <w:color w:val="000000" w:themeColor="text1"/>
                    <w:sz w:val="20"/>
                    <w:szCs w:val="20"/>
                  </w:rPr>
                </m:ctrlPr>
              </m:dPr>
              <m:e>
                <m:r>
                  <m:rPr>
                    <m:nor/>
                  </m:rPr>
                  <w:rPr>
                    <w:rFonts w:ascii="Arial" w:hAnsi="Arial" w:cs="Arial"/>
                    <w:color w:val="000000" w:themeColor="text1"/>
                    <w:sz w:val="20"/>
                    <w:szCs w:val="20"/>
                  </w:rPr>
                  <m:t xml:space="preserve"> S-B</m:t>
                </m:r>
              </m:e>
            </m:d>
            <m:r>
              <m:rPr>
                <m:nor/>
              </m:rPr>
              <w:rPr>
                <w:rFonts w:ascii="Arial" w:hAnsi="Arial" w:cs="Arial"/>
                <w:color w:val="000000" w:themeColor="text1"/>
                <w:sz w:val="20"/>
                <w:szCs w:val="20"/>
              </w:rPr>
              <m:t xml:space="preserve"> × 2</m:t>
            </m:r>
          </m:num>
          <m:den>
            <m:r>
              <m:rPr>
                <m:nor/>
              </m:rPr>
              <w:rPr>
                <w:rFonts w:ascii="Arial" w:hAnsi="Arial" w:cs="Arial"/>
                <w:color w:val="000000" w:themeColor="text1"/>
                <w:sz w:val="20"/>
                <w:szCs w:val="20"/>
              </w:rPr>
              <m:t>Wt of sample used (g)</m:t>
            </m:r>
          </m:den>
        </m:f>
      </m:oMath>
      <w:r w:rsidRPr="004F77E9">
        <w:rPr>
          <w:rFonts w:ascii="Arial" w:hAnsi="Arial" w:cs="Arial"/>
          <w:iCs/>
          <w:sz w:val="20"/>
          <w:szCs w:val="20"/>
        </w:rPr>
        <w:t xml:space="preserve">        </w:t>
      </w:r>
      <w:r w:rsidRPr="004F77E9">
        <w:rPr>
          <w:rFonts w:ascii="Arial" w:hAnsi="Arial" w:cs="Arial"/>
          <w:sz w:val="20"/>
          <w:szCs w:val="20"/>
        </w:rPr>
        <w:t xml:space="preserve">      </w:t>
      </w:r>
    </w:p>
    <w:p w14:paraId="658100A6" w14:textId="77777777" w:rsidR="0071105E" w:rsidRPr="004F77E9" w:rsidRDefault="0071105E" w:rsidP="007950A5">
      <w:pPr>
        <w:pStyle w:val="BodyText"/>
        <w:ind w:left="5040"/>
        <w:jc w:val="both"/>
        <w:rPr>
          <w:rFonts w:ascii="Arial" w:hAnsi="Arial" w:cs="Arial"/>
          <w:sz w:val="20"/>
          <w:szCs w:val="20"/>
        </w:rPr>
      </w:pPr>
      <w:r w:rsidRPr="004F77E9">
        <w:rPr>
          <w:rFonts w:ascii="Arial" w:hAnsi="Arial" w:cs="Arial"/>
          <w:sz w:val="20"/>
          <w:szCs w:val="20"/>
        </w:rPr>
        <w:t xml:space="preserve"> (Egan et al., 1981)</w:t>
      </w:r>
    </w:p>
    <w:p w14:paraId="2102C336" w14:textId="77777777" w:rsidR="0071105E" w:rsidRPr="004F77E9" w:rsidRDefault="0071105E" w:rsidP="007950A5">
      <w:pPr>
        <w:spacing w:after="0" w:line="240" w:lineRule="auto"/>
        <w:ind w:left="720" w:firstLine="720"/>
        <w:rPr>
          <w:rFonts w:ascii="Arial" w:hAnsi="Arial" w:cs="Arial"/>
          <w:sz w:val="20"/>
          <w:szCs w:val="20"/>
        </w:rPr>
      </w:pPr>
      <w:r w:rsidRPr="004F77E9">
        <w:rPr>
          <w:rFonts w:ascii="Arial" w:hAnsi="Arial" w:cs="Arial"/>
          <w:sz w:val="20"/>
          <w:szCs w:val="20"/>
        </w:rPr>
        <w:t xml:space="preserve">Where; S = Titration value of </w:t>
      </w:r>
      <w:proofErr w:type="spellStart"/>
      <w:r w:rsidRPr="004F77E9">
        <w:rPr>
          <w:rFonts w:ascii="Arial" w:hAnsi="Arial" w:cs="Arial"/>
          <w:sz w:val="20"/>
          <w:szCs w:val="20"/>
        </w:rPr>
        <w:t>analysed</w:t>
      </w:r>
      <w:proofErr w:type="spellEnd"/>
      <w:r w:rsidRPr="004F77E9">
        <w:rPr>
          <w:rFonts w:ascii="Arial" w:hAnsi="Arial" w:cs="Arial"/>
          <w:sz w:val="20"/>
          <w:szCs w:val="20"/>
        </w:rPr>
        <w:t xml:space="preserve"> sample</w:t>
      </w:r>
    </w:p>
    <w:p w14:paraId="0207BF78" w14:textId="77777777" w:rsidR="00392EA3" w:rsidRPr="004F77E9" w:rsidRDefault="0071105E" w:rsidP="007950A5">
      <w:pPr>
        <w:pStyle w:val="BodyText"/>
        <w:jc w:val="both"/>
        <w:rPr>
          <w:rFonts w:ascii="Arial" w:hAnsi="Arial" w:cs="Arial"/>
          <w:sz w:val="20"/>
          <w:szCs w:val="20"/>
        </w:rPr>
      </w:pPr>
      <w:r w:rsidRPr="004F77E9">
        <w:rPr>
          <w:rFonts w:ascii="Arial" w:hAnsi="Arial" w:cs="Arial"/>
          <w:sz w:val="20"/>
          <w:szCs w:val="20"/>
        </w:rPr>
        <w:t xml:space="preserve">            </w:t>
      </w:r>
      <w:r w:rsidR="007B46EA" w:rsidRPr="004F77E9">
        <w:rPr>
          <w:rFonts w:ascii="Arial" w:hAnsi="Arial" w:cs="Arial"/>
          <w:sz w:val="20"/>
          <w:szCs w:val="20"/>
        </w:rPr>
        <w:tab/>
        <w:t xml:space="preserve">            </w:t>
      </w:r>
      <w:r w:rsidRPr="004F77E9">
        <w:rPr>
          <w:rFonts w:ascii="Arial" w:hAnsi="Arial" w:cs="Arial"/>
          <w:sz w:val="20"/>
          <w:szCs w:val="20"/>
        </w:rPr>
        <w:t>B = Titration value of blank sample</w:t>
      </w:r>
    </w:p>
    <w:p w14:paraId="7E4911B1" w14:textId="77777777" w:rsidR="0071105E" w:rsidRPr="004F77E9" w:rsidRDefault="0071105E" w:rsidP="007950A5">
      <w:pPr>
        <w:pStyle w:val="BodyText"/>
        <w:jc w:val="both"/>
        <w:rPr>
          <w:rFonts w:ascii="Arial" w:hAnsi="Arial" w:cs="Arial"/>
          <w:sz w:val="20"/>
          <w:szCs w:val="20"/>
        </w:rPr>
      </w:pPr>
      <w:r w:rsidRPr="004F77E9">
        <w:rPr>
          <w:rFonts w:ascii="Arial" w:hAnsi="Arial" w:cs="Arial"/>
          <w:sz w:val="20"/>
          <w:szCs w:val="20"/>
        </w:rPr>
        <w:tab/>
      </w:r>
    </w:p>
    <w:p w14:paraId="5438AEDC" w14:textId="77777777" w:rsidR="0071105E" w:rsidRPr="004F77E9" w:rsidRDefault="0071105E" w:rsidP="007950A5">
      <w:pPr>
        <w:pStyle w:val="BodyText"/>
        <w:jc w:val="both"/>
        <w:outlineLvl w:val="2"/>
        <w:rPr>
          <w:rFonts w:ascii="Arial" w:hAnsi="Arial" w:cs="Arial"/>
          <w:b/>
          <w:sz w:val="20"/>
          <w:szCs w:val="20"/>
        </w:rPr>
      </w:pPr>
      <w:bookmarkStart w:id="2" w:name="_Toc183029606"/>
      <w:r w:rsidRPr="004F77E9">
        <w:rPr>
          <w:rFonts w:ascii="Arial" w:hAnsi="Arial" w:cs="Arial"/>
          <w:b/>
          <w:sz w:val="20"/>
          <w:szCs w:val="20"/>
        </w:rPr>
        <w:t>2.2.4 Iodine value</w:t>
      </w:r>
      <w:bookmarkEnd w:id="2"/>
    </w:p>
    <w:p w14:paraId="1D990C8F" w14:textId="77777777" w:rsidR="00392EA3" w:rsidRPr="004F77E9" w:rsidRDefault="00392EA3" w:rsidP="00392EA3">
      <w:pPr>
        <w:spacing w:after="0" w:line="240" w:lineRule="auto"/>
        <w:rPr>
          <w:rFonts w:ascii="Arial" w:hAnsi="Arial" w:cs="Arial"/>
          <w:sz w:val="20"/>
          <w:szCs w:val="20"/>
        </w:rPr>
      </w:pPr>
    </w:p>
    <w:p w14:paraId="13838D3D" w14:textId="77777777" w:rsidR="0071105E" w:rsidRPr="004F77E9" w:rsidRDefault="0071105E" w:rsidP="00392EA3">
      <w:pPr>
        <w:spacing w:after="0" w:line="240" w:lineRule="auto"/>
        <w:rPr>
          <w:rFonts w:ascii="Arial" w:hAnsi="Arial" w:cs="Arial"/>
          <w:sz w:val="20"/>
          <w:szCs w:val="20"/>
        </w:rPr>
      </w:pPr>
      <w:r w:rsidRPr="004F77E9">
        <w:rPr>
          <w:rFonts w:ascii="Arial" w:hAnsi="Arial" w:cs="Arial"/>
          <w:sz w:val="20"/>
          <w:szCs w:val="20"/>
        </w:rPr>
        <w:t>Iodine value (iodine number) is related to fatty materials, especially fixed oils, and measures the degree of unsaturation of oil. It is the amount of iodine, in grams,</w:t>
      </w:r>
      <w:r w:rsidRPr="004F77E9">
        <w:rPr>
          <w:rFonts w:ascii="Arial" w:hAnsi="Arial" w:cs="Arial"/>
          <w:color w:val="000000" w:themeColor="text1"/>
          <w:sz w:val="20"/>
          <w:szCs w:val="20"/>
        </w:rPr>
        <w:t xml:space="preserve"> taken up by 100 grams of the oil. Iodine value helps in identifying adulteration in a fat or oil and judging its suitability for making soap. The degree of unsaturation and sensitivity to oxidation increases with increasing iodine value. The iodine value was determined using a simple, fast, and green titrimetric method (</w:t>
      </w:r>
      <w:r w:rsidRPr="004F77E9">
        <w:rPr>
          <w:rFonts w:ascii="Arial" w:hAnsi="Arial" w:cs="Arial"/>
          <w:color w:val="000000" w:themeColor="text1"/>
          <w:sz w:val="20"/>
          <w:szCs w:val="20"/>
          <w:shd w:val="clear" w:color="auto" w:fill="FFFFFF"/>
        </w:rPr>
        <w:t xml:space="preserve">Shimamoto et al., 2016). </w:t>
      </w:r>
      <w:r w:rsidRPr="004F77E9">
        <w:rPr>
          <w:rFonts w:ascii="Arial" w:hAnsi="Arial" w:cs="Arial"/>
          <w:sz w:val="20"/>
          <w:szCs w:val="20"/>
        </w:rPr>
        <w:t>An aliquot (0.10 - 0.15 g) of the oil sample was weighed to the nearest 0.0001 g, transferred to a 500-mL Erlenmeyer flask, and dissolved in 15 mL of 99 % ethanol under vigorous magnetic stirring for 5 min. Stirring was stopped, and 20.00 mL of the 0.1 mol L</w:t>
      </w:r>
      <w:r w:rsidRPr="004F77E9">
        <w:rPr>
          <w:rFonts w:ascii="Arial" w:hAnsi="Arial" w:cs="Arial"/>
          <w:sz w:val="20"/>
          <w:szCs w:val="20"/>
          <w:vertAlign w:val="superscript"/>
        </w:rPr>
        <w:t>−1</w:t>
      </w:r>
      <w:r w:rsidRPr="004F77E9">
        <w:rPr>
          <w:rFonts w:ascii="Arial" w:hAnsi="Arial" w:cs="Arial"/>
          <w:sz w:val="20"/>
          <w:szCs w:val="20"/>
        </w:rPr>
        <w:t xml:space="preserve"> ethanolic iodine solution was added. The solution was stirred again for 5 min, after which the stirring was slowed for the addition of 200 mL of cold distilled water (approximately 5°C or colder). If the ambient temperature is high (&gt; 25°C), an ice bath must be used. The flask was kept covered and gently stirred with a magnetic bar for 5 min. Titration with a standard 0.1 mol L</w:t>
      </w:r>
      <w:r w:rsidRPr="004F77E9">
        <w:rPr>
          <w:rFonts w:ascii="Arial" w:hAnsi="Arial" w:cs="Arial"/>
          <w:sz w:val="20"/>
          <w:szCs w:val="20"/>
          <w:vertAlign w:val="superscript"/>
        </w:rPr>
        <w:t>−1</w:t>
      </w:r>
      <w:r w:rsidRPr="004F77E9">
        <w:rPr>
          <w:rFonts w:ascii="Arial" w:hAnsi="Arial" w:cs="Arial"/>
          <w:sz w:val="20"/>
          <w:szCs w:val="20"/>
        </w:rPr>
        <w:t xml:space="preserve"> sodium thiosulfate solution, using a 50-mL electronic manual burette, was carried out until the solution became pale yellow. Then, 3 mL of a starch solution was added. The titration was continued until the blue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disappeared, resulting in a milky solution. A blank was prepared and </w:t>
      </w:r>
      <w:proofErr w:type="spellStart"/>
      <w:r w:rsidRPr="004F77E9">
        <w:rPr>
          <w:rFonts w:ascii="Arial" w:hAnsi="Arial" w:cs="Arial"/>
          <w:sz w:val="20"/>
          <w:szCs w:val="20"/>
        </w:rPr>
        <w:t>analysed</w:t>
      </w:r>
      <w:proofErr w:type="spellEnd"/>
      <w:r w:rsidRPr="004F77E9">
        <w:rPr>
          <w:rFonts w:ascii="Arial" w:hAnsi="Arial" w:cs="Arial"/>
          <w:sz w:val="20"/>
          <w:szCs w:val="20"/>
        </w:rPr>
        <w:t xml:space="preserve"> in the same manner, except that it did not contain any sample. </w:t>
      </w:r>
    </w:p>
    <w:p w14:paraId="38CE14FC" w14:textId="77777777" w:rsidR="0071105E" w:rsidRPr="004F77E9" w:rsidRDefault="0071105E" w:rsidP="007950A5">
      <w:pPr>
        <w:spacing w:after="0" w:line="240" w:lineRule="auto"/>
        <w:ind w:firstLine="720"/>
        <w:rPr>
          <w:rFonts w:ascii="Arial" w:hAnsi="Arial" w:cs="Arial"/>
          <w:sz w:val="20"/>
          <w:szCs w:val="20"/>
        </w:rPr>
      </w:pPr>
      <w:r w:rsidRPr="004F77E9">
        <w:rPr>
          <w:rFonts w:ascii="Arial" w:hAnsi="Arial" w:cs="Arial"/>
          <w:sz w:val="20"/>
          <w:szCs w:val="20"/>
        </w:rPr>
        <w:t>An iodine standard solution at 0.1 mol L</w:t>
      </w:r>
      <w:r w:rsidRPr="004F77E9">
        <w:rPr>
          <w:rFonts w:ascii="Arial" w:hAnsi="Arial" w:cs="Arial"/>
          <w:sz w:val="20"/>
          <w:szCs w:val="20"/>
          <w:vertAlign w:val="superscript"/>
        </w:rPr>
        <w:t>−1</w:t>
      </w:r>
      <w:r w:rsidRPr="004F77E9">
        <w:rPr>
          <w:rFonts w:ascii="Arial" w:hAnsi="Arial" w:cs="Arial"/>
          <w:sz w:val="20"/>
          <w:szCs w:val="20"/>
        </w:rPr>
        <w:t xml:space="preserve"> was prepared by dissolving 25.38 g of metallic iodine in 1000 mL of 99 % ethyl alcohol in a volumetric flask. The solution was stored in a refrigerator. </w:t>
      </w:r>
    </w:p>
    <w:p w14:paraId="5507C763" w14:textId="77777777" w:rsidR="0071105E" w:rsidRPr="004F77E9" w:rsidRDefault="0071105E" w:rsidP="007950A5">
      <w:pPr>
        <w:spacing w:after="0" w:line="240" w:lineRule="auto"/>
        <w:ind w:firstLine="720"/>
        <w:rPr>
          <w:rFonts w:ascii="Arial" w:hAnsi="Arial" w:cs="Arial"/>
          <w:sz w:val="20"/>
          <w:szCs w:val="20"/>
        </w:rPr>
      </w:pPr>
      <w:r w:rsidRPr="004F77E9">
        <w:rPr>
          <w:rFonts w:ascii="Arial" w:hAnsi="Arial" w:cs="Arial"/>
          <w:sz w:val="20"/>
          <w:szCs w:val="20"/>
        </w:rPr>
        <w:t>A thiosulfate solution at 0.1 mol L</w:t>
      </w:r>
      <w:r w:rsidRPr="004F77E9">
        <w:rPr>
          <w:rFonts w:ascii="Arial" w:hAnsi="Arial" w:cs="Arial"/>
          <w:sz w:val="20"/>
          <w:szCs w:val="20"/>
          <w:vertAlign w:val="superscript"/>
        </w:rPr>
        <w:t>−1</w:t>
      </w:r>
      <w:r w:rsidRPr="004F77E9">
        <w:rPr>
          <w:rFonts w:ascii="Arial" w:hAnsi="Arial" w:cs="Arial"/>
          <w:sz w:val="20"/>
          <w:szCs w:val="20"/>
        </w:rPr>
        <w:t xml:space="preserve"> was prepared by dissolving 24.8 g of sodium thiosulfate pentahydrate (Na</w:t>
      </w:r>
      <w:r w:rsidRPr="004F77E9">
        <w:rPr>
          <w:rFonts w:ascii="Arial" w:hAnsi="Arial" w:cs="Arial"/>
          <w:sz w:val="20"/>
          <w:szCs w:val="20"/>
          <w:vertAlign w:val="subscript"/>
        </w:rPr>
        <w:t>2</w:t>
      </w:r>
      <w:r w:rsidRPr="004F77E9">
        <w:rPr>
          <w:rFonts w:ascii="Arial" w:hAnsi="Arial" w:cs="Arial"/>
          <w:sz w:val="20"/>
          <w:szCs w:val="20"/>
        </w:rPr>
        <w:t>S</w:t>
      </w:r>
      <w:r w:rsidRPr="004F77E9">
        <w:rPr>
          <w:rFonts w:ascii="Arial" w:hAnsi="Arial" w:cs="Arial"/>
          <w:sz w:val="20"/>
          <w:szCs w:val="20"/>
          <w:vertAlign w:val="subscript"/>
        </w:rPr>
        <w:t>2</w:t>
      </w:r>
      <w:r w:rsidRPr="004F77E9">
        <w:rPr>
          <w:rFonts w:ascii="Arial" w:hAnsi="Arial" w:cs="Arial"/>
          <w:sz w:val="20"/>
          <w:szCs w:val="20"/>
        </w:rPr>
        <w:t>O</w:t>
      </w:r>
      <w:r w:rsidRPr="004F77E9">
        <w:rPr>
          <w:rFonts w:ascii="Arial" w:hAnsi="Arial" w:cs="Arial"/>
          <w:sz w:val="20"/>
          <w:szCs w:val="20"/>
          <w:vertAlign w:val="subscript"/>
        </w:rPr>
        <w:t>3</w:t>
      </w:r>
      <w:r w:rsidRPr="004F77E9">
        <w:rPr>
          <w:rFonts w:ascii="Arial" w:hAnsi="Arial" w:cs="Arial"/>
          <w:sz w:val="20"/>
          <w:szCs w:val="20"/>
        </w:rPr>
        <w:t>·5H</w:t>
      </w:r>
      <w:r w:rsidRPr="004F77E9">
        <w:rPr>
          <w:rFonts w:ascii="Arial" w:hAnsi="Arial" w:cs="Arial"/>
          <w:sz w:val="20"/>
          <w:szCs w:val="20"/>
          <w:vertAlign w:val="subscript"/>
        </w:rPr>
        <w:t>2</w:t>
      </w:r>
      <w:r w:rsidRPr="004F77E9">
        <w:rPr>
          <w:rFonts w:ascii="Arial" w:hAnsi="Arial" w:cs="Arial"/>
          <w:sz w:val="20"/>
          <w:szCs w:val="20"/>
        </w:rPr>
        <w:t xml:space="preserve">O) in 1000 mL of distilled water. The solution was then </w:t>
      </w:r>
      <w:proofErr w:type="spellStart"/>
      <w:r w:rsidRPr="004F77E9">
        <w:rPr>
          <w:rFonts w:ascii="Arial" w:hAnsi="Arial" w:cs="Arial"/>
          <w:sz w:val="20"/>
          <w:szCs w:val="20"/>
        </w:rPr>
        <w:t>standardised</w:t>
      </w:r>
      <w:proofErr w:type="spellEnd"/>
      <w:r w:rsidRPr="004F77E9">
        <w:rPr>
          <w:rFonts w:ascii="Arial" w:hAnsi="Arial" w:cs="Arial"/>
          <w:sz w:val="20"/>
          <w:szCs w:val="20"/>
        </w:rPr>
        <w:t xml:space="preserve"> with solid potassium iodate dissolved in distilled water with concentrated sulfuric acid (23 % v/v). </w:t>
      </w:r>
    </w:p>
    <w:p w14:paraId="2678F184" w14:textId="77777777" w:rsidR="0071105E" w:rsidRPr="004F77E9" w:rsidRDefault="0071105E" w:rsidP="007950A5">
      <w:pPr>
        <w:spacing w:after="0" w:line="240" w:lineRule="auto"/>
        <w:ind w:firstLine="720"/>
        <w:rPr>
          <w:rFonts w:ascii="Arial" w:hAnsi="Arial" w:cs="Arial"/>
          <w:sz w:val="20"/>
          <w:szCs w:val="20"/>
        </w:rPr>
      </w:pPr>
      <w:r w:rsidRPr="004F77E9">
        <w:rPr>
          <w:rFonts w:ascii="Arial" w:hAnsi="Arial" w:cs="Arial"/>
          <w:sz w:val="20"/>
          <w:szCs w:val="20"/>
        </w:rPr>
        <w:t>A starch solution at 1 % w/v was prepared by dissolving 10.0 g of starch in 1.5 L of distilled water. This solution was boiled until the volume was reduced to 1.0 L and then filtered and stored in a refrigerator.</w:t>
      </w:r>
    </w:p>
    <w:p w14:paraId="08D6128C" w14:textId="77777777" w:rsidR="0071105E" w:rsidRPr="004F77E9" w:rsidRDefault="0071105E" w:rsidP="007950A5">
      <w:pPr>
        <w:spacing w:after="0" w:line="240" w:lineRule="auto"/>
        <w:ind w:firstLine="720"/>
        <w:rPr>
          <w:rFonts w:ascii="Arial" w:hAnsi="Arial" w:cs="Arial"/>
          <w:sz w:val="20"/>
          <w:szCs w:val="20"/>
        </w:rPr>
      </w:pPr>
      <w:r w:rsidRPr="004F77E9">
        <w:rPr>
          <w:rFonts w:ascii="Arial" w:hAnsi="Arial" w:cs="Arial"/>
          <w:sz w:val="20"/>
          <w:szCs w:val="20"/>
        </w:rPr>
        <w:t>The iodine number was calculated using the following equation:</w:t>
      </w:r>
    </w:p>
    <w:p w14:paraId="1792442D" w14:textId="77777777" w:rsidR="0071105E" w:rsidRPr="004F77E9" w:rsidRDefault="0071105E" w:rsidP="007950A5">
      <w:pPr>
        <w:spacing w:after="0" w:line="240" w:lineRule="auto"/>
        <w:ind w:firstLine="720"/>
        <w:rPr>
          <w:rFonts w:ascii="Arial" w:eastAsia="Calibri" w:hAnsi="Arial" w:cs="Arial"/>
          <w:b/>
          <w:bCs/>
          <w:sz w:val="20"/>
          <w:szCs w:val="20"/>
        </w:rPr>
      </w:pPr>
    </w:p>
    <w:p w14:paraId="614E387B" w14:textId="77777777" w:rsidR="0071105E" w:rsidRPr="004F77E9" w:rsidRDefault="0071105E" w:rsidP="007950A5">
      <w:pPr>
        <w:spacing w:after="0" w:line="240" w:lineRule="auto"/>
        <w:ind w:firstLine="720"/>
        <w:rPr>
          <w:rFonts w:ascii="Arial" w:eastAsia="Calibri" w:hAnsi="Arial" w:cs="Arial"/>
          <w:bCs/>
          <w:sz w:val="20"/>
          <w:szCs w:val="20"/>
        </w:rPr>
      </w:pPr>
      <m:oMathPara>
        <m:oMath>
          <m:r>
            <m:rPr>
              <m:nor/>
            </m:rPr>
            <w:rPr>
              <w:rFonts w:ascii="Arial" w:hAnsi="Arial" w:cs="Arial"/>
              <w:sz w:val="20"/>
              <w:szCs w:val="20"/>
            </w:rPr>
            <w:lastRenderedPageBreak/>
            <m:t>Iodine value (g/100 g) =</m:t>
          </m:r>
          <m:f>
            <m:fPr>
              <m:ctrlPr>
                <w:rPr>
                  <w:rFonts w:ascii="Cambria Math" w:hAnsi="Cambria Math" w:cs="Arial"/>
                  <w:i/>
                  <w:sz w:val="20"/>
                  <w:szCs w:val="20"/>
                </w:rPr>
              </m:ctrlPr>
            </m:fPr>
            <m:num>
              <m:r>
                <m:rPr>
                  <m:nor/>
                </m:rPr>
                <w:rPr>
                  <w:rFonts w:ascii="Arial" w:hAnsi="Arial" w:cs="Arial"/>
                  <w:sz w:val="20"/>
                  <w:szCs w:val="20"/>
                </w:rPr>
                <m:t>(B – T) × (0.0127) ×100</m:t>
              </m:r>
            </m:num>
            <m:den>
              <m:r>
                <m:rPr>
                  <m:nor/>
                </m:rPr>
                <w:rPr>
                  <w:rFonts w:ascii="Arial" w:hAnsi="Arial" w:cs="Arial"/>
                  <w:sz w:val="20"/>
                  <w:szCs w:val="20"/>
                </w:rPr>
                <m:t xml:space="preserve">W </m:t>
              </m:r>
            </m:den>
          </m:f>
        </m:oMath>
      </m:oMathPara>
    </w:p>
    <w:p w14:paraId="10D9A120" w14:textId="77777777" w:rsidR="0071105E" w:rsidRPr="004F77E9" w:rsidRDefault="0071105E" w:rsidP="007950A5">
      <w:pPr>
        <w:spacing w:after="0" w:line="240" w:lineRule="auto"/>
        <w:ind w:left="3600" w:firstLine="720"/>
        <w:rPr>
          <w:rFonts w:ascii="Arial" w:eastAsiaTheme="minorEastAsia" w:hAnsi="Arial" w:cs="Arial"/>
          <w:iCs/>
          <w:sz w:val="20"/>
          <w:szCs w:val="20"/>
        </w:rPr>
      </w:pPr>
      <w:r w:rsidRPr="004F77E9">
        <w:rPr>
          <w:rFonts w:ascii="Arial" w:eastAsiaTheme="minorEastAsia" w:hAnsi="Arial" w:cs="Arial"/>
          <w:iCs/>
          <w:sz w:val="20"/>
          <w:szCs w:val="20"/>
        </w:rPr>
        <w:t>(</w:t>
      </w:r>
      <w:r w:rsidRPr="004F77E9">
        <w:rPr>
          <w:rFonts w:ascii="Arial" w:hAnsi="Arial" w:cs="Arial"/>
          <w:sz w:val="20"/>
          <w:szCs w:val="20"/>
          <w:shd w:val="clear" w:color="auto" w:fill="FFFFFF"/>
        </w:rPr>
        <w:t>Shimamoto et al., 2016</w:t>
      </w:r>
      <w:r w:rsidRPr="004F77E9">
        <w:rPr>
          <w:rFonts w:ascii="Arial" w:eastAsiaTheme="minorEastAsia" w:hAnsi="Arial" w:cs="Arial"/>
          <w:iCs/>
          <w:sz w:val="20"/>
          <w:szCs w:val="20"/>
        </w:rPr>
        <w:t>)</w:t>
      </w:r>
    </w:p>
    <w:p w14:paraId="08070552" w14:textId="77777777" w:rsidR="0071105E" w:rsidRPr="004F77E9" w:rsidRDefault="0071105E" w:rsidP="007950A5">
      <w:pPr>
        <w:spacing w:after="0" w:line="240" w:lineRule="auto"/>
        <w:ind w:firstLine="720"/>
        <w:rPr>
          <w:rFonts w:ascii="Arial" w:eastAsiaTheme="minorEastAsia" w:hAnsi="Arial" w:cs="Arial"/>
          <w:iCs/>
          <w:sz w:val="20"/>
          <w:szCs w:val="20"/>
        </w:rPr>
      </w:pPr>
      <w:r w:rsidRPr="004F77E9">
        <w:rPr>
          <w:rFonts w:ascii="Arial" w:eastAsiaTheme="minorEastAsia" w:hAnsi="Arial" w:cs="Arial"/>
          <w:iCs/>
          <w:sz w:val="20"/>
          <w:szCs w:val="20"/>
        </w:rPr>
        <w:t xml:space="preserve">B = blank </w:t>
      </w:r>
      <w:r w:rsidR="006D18DB" w:rsidRPr="004F77E9">
        <w:rPr>
          <w:rFonts w:ascii="Arial" w:eastAsiaTheme="minorEastAsia" w:hAnsi="Arial" w:cs="Arial"/>
          <w:iCs/>
          <w:sz w:val="20"/>
          <w:szCs w:val="20"/>
        </w:rPr>
        <w:t xml:space="preserve">titration </w:t>
      </w:r>
      <w:r w:rsidRPr="004F77E9">
        <w:rPr>
          <w:rFonts w:ascii="Arial" w:eastAsiaTheme="minorEastAsia" w:hAnsi="Arial" w:cs="Arial"/>
          <w:iCs/>
          <w:sz w:val="20"/>
          <w:szCs w:val="20"/>
        </w:rPr>
        <w:t xml:space="preserve">of </w:t>
      </w:r>
      <w:r w:rsidRPr="004F77E9">
        <w:rPr>
          <w:rFonts w:ascii="Arial" w:hAnsi="Arial" w:cs="Arial"/>
          <w:sz w:val="20"/>
          <w:szCs w:val="20"/>
        </w:rPr>
        <w:t>Na</w:t>
      </w:r>
      <w:r w:rsidRPr="004F77E9">
        <w:rPr>
          <w:rFonts w:ascii="Arial" w:hAnsi="Arial" w:cs="Arial"/>
          <w:sz w:val="20"/>
          <w:szCs w:val="20"/>
          <w:vertAlign w:val="subscript"/>
        </w:rPr>
        <w:t>2</w:t>
      </w:r>
      <w:r w:rsidRPr="004F77E9">
        <w:rPr>
          <w:rFonts w:ascii="Arial" w:hAnsi="Arial" w:cs="Arial"/>
          <w:sz w:val="20"/>
          <w:szCs w:val="20"/>
        </w:rPr>
        <w:t>S</w:t>
      </w:r>
      <w:r w:rsidRPr="004F77E9">
        <w:rPr>
          <w:rFonts w:ascii="Arial" w:hAnsi="Arial" w:cs="Arial"/>
          <w:sz w:val="20"/>
          <w:szCs w:val="20"/>
          <w:vertAlign w:val="subscript"/>
        </w:rPr>
        <w:t>2</w:t>
      </w:r>
      <w:r w:rsidRPr="004F77E9">
        <w:rPr>
          <w:rFonts w:ascii="Arial" w:hAnsi="Arial" w:cs="Arial"/>
          <w:sz w:val="20"/>
          <w:szCs w:val="20"/>
        </w:rPr>
        <w:t>O</w:t>
      </w:r>
      <w:r w:rsidRPr="004F77E9">
        <w:rPr>
          <w:rFonts w:ascii="Arial" w:hAnsi="Arial" w:cs="Arial"/>
          <w:sz w:val="20"/>
          <w:szCs w:val="20"/>
          <w:vertAlign w:val="subscript"/>
        </w:rPr>
        <w:t xml:space="preserve">3 </w:t>
      </w:r>
      <w:r w:rsidRPr="004F77E9">
        <w:rPr>
          <w:rFonts w:ascii="Arial" w:hAnsi="Arial" w:cs="Arial"/>
          <w:sz w:val="20"/>
          <w:szCs w:val="20"/>
        </w:rPr>
        <w:t>solution</w:t>
      </w:r>
    </w:p>
    <w:p w14:paraId="1063D337" w14:textId="77777777" w:rsidR="0071105E" w:rsidRPr="004F77E9" w:rsidRDefault="0071105E" w:rsidP="007950A5">
      <w:pPr>
        <w:spacing w:after="0" w:line="240" w:lineRule="auto"/>
        <w:ind w:firstLine="720"/>
        <w:rPr>
          <w:rFonts w:ascii="Arial" w:eastAsiaTheme="minorEastAsia" w:hAnsi="Arial" w:cs="Arial"/>
          <w:iCs/>
          <w:sz w:val="20"/>
          <w:szCs w:val="20"/>
        </w:rPr>
      </w:pPr>
      <w:r w:rsidRPr="004F77E9">
        <w:rPr>
          <w:rFonts w:ascii="Arial" w:eastAsiaTheme="minorEastAsia" w:hAnsi="Arial" w:cs="Arial"/>
          <w:iCs/>
          <w:sz w:val="20"/>
          <w:szCs w:val="20"/>
        </w:rPr>
        <w:t>T = sample titr</w:t>
      </w:r>
      <w:r w:rsidR="006D18DB" w:rsidRPr="004F77E9">
        <w:rPr>
          <w:rFonts w:ascii="Arial" w:eastAsiaTheme="minorEastAsia" w:hAnsi="Arial" w:cs="Arial"/>
          <w:iCs/>
          <w:sz w:val="20"/>
          <w:szCs w:val="20"/>
        </w:rPr>
        <w:t xml:space="preserve">ation </w:t>
      </w:r>
      <w:r w:rsidRPr="004F77E9">
        <w:rPr>
          <w:rFonts w:ascii="Arial" w:eastAsiaTheme="minorEastAsia" w:hAnsi="Arial" w:cs="Arial"/>
          <w:iCs/>
          <w:sz w:val="20"/>
          <w:szCs w:val="20"/>
        </w:rPr>
        <w:t xml:space="preserve">of </w:t>
      </w:r>
      <w:r w:rsidRPr="004F77E9">
        <w:rPr>
          <w:rFonts w:ascii="Arial" w:hAnsi="Arial" w:cs="Arial"/>
          <w:sz w:val="20"/>
          <w:szCs w:val="20"/>
        </w:rPr>
        <w:t>Na</w:t>
      </w:r>
      <w:r w:rsidRPr="004F77E9">
        <w:rPr>
          <w:rFonts w:ascii="Arial" w:hAnsi="Arial" w:cs="Arial"/>
          <w:sz w:val="20"/>
          <w:szCs w:val="20"/>
          <w:vertAlign w:val="subscript"/>
        </w:rPr>
        <w:t>2</w:t>
      </w:r>
      <w:r w:rsidRPr="004F77E9">
        <w:rPr>
          <w:rFonts w:ascii="Arial" w:hAnsi="Arial" w:cs="Arial"/>
          <w:sz w:val="20"/>
          <w:szCs w:val="20"/>
        </w:rPr>
        <w:t>S</w:t>
      </w:r>
      <w:r w:rsidRPr="004F77E9">
        <w:rPr>
          <w:rFonts w:ascii="Arial" w:hAnsi="Arial" w:cs="Arial"/>
          <w:sz w:val="20"/>
          <w:szCs w:val="20"/>
          <w:vertAlign w:val="subscript"/>
        </w:rPr>
        <w:t>2</w:t>
      </w:r>
      <w:r w:rsidRPr="004F77E9">
        <w:rPr>
          <w:rFonts w:ascii="Arial" w:hAnsi="Arial" w:cs="Arial"/>
          <w:sz w:val="20"/>
          <w:szCs w:val="20"/>
        </w:rPr>
        <w:t>O</w:t>
      </w:r>
      <w:r w:rsidRPr="004F77E9">
        <w:rPr>
          <w:rFonts w:ascii="Arial" w:hAnsi="Arial" w:cs="Arial"/>
          <w:sz w:val="20"/>
          <w:szCs w:val="20"/>
          <w:vertAlign w:val="subscript"/>
        </w:rPr>
        <w:t>3</w:t>
      </w:r>
      <w:r w:rsidRPr="004F77E9">
        <w:rPr>
          <w:rFonts w:ascii="Arial" w:hAnsi="Arial" w:cs="Arial"/>
          <w:sz w:val="20"/>
          <w:szCs w:val="20"/>
        </w:rPr>
        <w:t xml:space="preserve"> solution</w:t>
      </w:r>
    </w:p>
    <w:p w14:paraId="60AA8FD6" w14:textId="77777777" w:rsidR="0071105E" w:rsidRPr="004F77E9" w:rsidRDefault="0071105E" w:rsidP="007950A5">
      <w:pPr>
        <w:spacing w:after="0" w:line="240" w:lineRule="auto"/>
        <w:ind w:firstLine="720"/>
        <w:rPr>
          <w:rFonts w:ascii="Arial" w:eastAsiaTheme="minorEastAsia" w:hAnsi="Arial" w:cs="Arial"/>
          <w:iCs/>
          <w:sz w:val="20"/>
          <w:szCs w:val="20"/>
        </w:rPr>
      </w:pPr>
      <w:r w:rsidRPr="004F77E9">
        <w:rPr>
          <w:rFonts w:ascii="Arial" w:eastAsiaTheme="minorEastAsia" w:hAnsi="Arial" w:cs="Arial"/>
          <w:iCs/>
          <w:sz w:val="20"/>
          <w:szCs w:val="20"/>
        </w:rPr>
        <w:t>0.0127 is the calculated mass of iodine per cm</w:t>
      </w:r>
      <w:r w:rsidRPr="004F77E9">
        <w:rPr>
          <w:rFonts w:ascii="Arial" w:eastAsiaTheme="minorEastAsia" w:hAnsi="Arial" w:cs="Arial"/>
          <w:iCs/>
          <w:sz w:val="20"/>
          <w:szCs w:val="20"/>
          <w:vertAlign w:val="superscript"/>
        </w:rPr>
        <w:t>3</w:t>
      </w:r>
      <w:r w:rsidRPr="004F77E9">
        <w:rPr>
          <w:rFonts w:ascii="Arial" w:eastAsiaTheme="minorEastAsia" w:hAnsi="Arial" w:cs="Arial"/>
          <w:iCs/>
          <w:sz w:val="20"/>
          <w:szCs w:val="20"/>
        </w:rPr>
        <w:t xml:space="preserve"> </w:t>
      </w:r>
      <w:r w:rsidR="00DA0B16" w:rsidRPr="004F77E9">
        <w:rPr>
          <w:rFonts w:ascii="Arial" w:eastAsiaTheme="minorEastAsia" w:hAnsi="Arial" w:cs="Arial"/>
          <w:iCs/>
          <w:sz w:val="20"/>
          <w:szCs w:val="20"/>
        </w:rPr>
        <w:t xml:space="preserve">of </w:t>
      </w:r>
      <w:r w:rsidRPr="004F77E9">
        <w:rPr>
          <w:rFonts w:ascii="Arial" w:eastAsiaTheme="minorEastAsia" w:hAnsi="Arial" w:cs="Arial"/>
          <w:iCs/>
          <w:sz w:val="20"/>
          <w:szCs w:val="20"/>
        </w:rPr>
        <w:t>0.1 mol L</w:t>
      </w:r>
      <w:r w:rsidRPr="004F77E9">
        <w:rPr>
          <w:rFonts w:ascii="Arial" w:eastAsiaTheme="minorEastAsia" w:hAnsi="Arial" w:cs="Arial"/>
          <w:iCs/>
          <w:sz w:val="20"/>
          <w:szCs w:val="20"/>
          <w:vertAlign w:val="superscript"/>
        </w:rPr>
        <w:t>-1</w:t>
      </w:r>
      <w:r w:rsidRPr="004F77E9">
        <w:rPr>
          <w:rFonts w:ascii="Arial" w:eastAsiaTheme="minorEastAsia" w:hAnsi="Arial" w:cs="Arial"/>
          <w:iCs/>
          <w:sz w:val="20"/>
          <w:szCs w:val="20"/>
        </w:rPr>
        <w:t xml:space="preserve"> thiosulphate</w:t>
      </w:r>
    </w:p>
    <w:p w14:paraId="0A5D010D" w14:textId="77777777" w:rsidR="0071105E" w:rsidRPr="004F77E9" w:rsidRDefault="0071105E" w:rsidP="007950A5">
      <w:pPr>
        <w:spacing w:after="0" w:line="240" w:lineRule="auto"/>
        <w:ind w:firstLine="720"/>
        <w:rPr>
          <w:rFonts w:ascii="Arial" w:eastAsiaTheme="minorEastAsia" w:hAnsi="Arial" w:cs="Arial"/>
          <w:iCs/>
          <w:sz w:val="20"/>
          <w:szCs w:val="20"/>
        </w:rPr>
      </w:pPr>
      <w:r w:rsidRPr="004F77E9">
        <w:rPr>
          <w:rFonts w:ascii="Arial" w:eastAsiaTheme="minorEastAsia" w:hAnsi="Arial" w:cs="Arial"/>
          <w:iCs/>
          <w:sz w:val="20"/>
          <w:szCs w:val="20"/>
        </w:rPr>
        <w:t>W = mass in grams of sample of oil</w:t>
      </w:r>
    </w:p>
    <w:p w14:paraId="2CFE1050" w14:textId="77777777" w:rsidR="0071105E" w:rsidRPr="004F77E9" w:rsidRDefault="0071105E" w:rsidP="007950A5">
      <w:pPr>
        <w:spacing w:after="0" w:line="240" w:lineRule="auto"/>
        <w:ind w:firstLine="720"/>
        <w:rPr>
          <w:rFonts w:ascii="Arial" w:eastAsiaTheme="minorEastAsia" w:hAnsi="Arial" w:cs="Arial"/>
          <w:iCs/>
          <w:sz w:val="20"/>
          <w:szCs w:val="20"/>
        </w:rPr>
      </w:pPr>
      <w:r w:rsidRPr="004F77E9">
        <w:rPr>
          <w:rFonts w:ascii="Arial" w:eastAsiaTheme="minorEastAsia" w:hAnsi="Arial" w:cs="Arial"/>
          <w:iCs/>
          <w:sz w:val="20"/>
          <w:szCs w:val="20"/>
        </w:rPr>
        <w:t xml:space="preserve">100 </w:t>
      </w:r>
      <w:r w:rsidR="00FE2806" w:rsidRPr="004F77E9">
        <w:rPr>
          <w:rFonts w:ascii="Arial" w:eastAsiaTheme="minorEastAsia" w:hAnsi="Arial" w:cs="Arial"/>
          <w:iCs/>
          <w:sz w:val="20"/>
          <w:szCs w:val="20"/>
        </w:rPr>
        <w:t xml:space="preserve">= </w:t>
      </w:r>
      <w:r w:rsidRPr="004F77E9">
        <w:rPr>
          <w:rFonts w:ascii="Arial" w:eastAsiaTheme="minorEastAsia" w:hAnsi="Arial" w:cs="Arial"/>
          <w:iCs/>
          <w:sz w:val="20"/>
          <w:szCs w:val="20"/>
        </w:rPr>
        <w:t>used because the iodine value is expressed as a number per 100 g of the oil</w:t>
      </w:r>
    </w:p>
    <w:p w14:paraId="29C49692" w14:textId="77777777" w:rsidR="007F7E0D" w:rsidRPr="004F77E9" w:rsidRDefault="007F7E0D" w:rsidP="007950A5">
      <w:pPr>
        <w:spacing w:after="0" w:line="240" w:lineRule="auto"/>
        <w:ind w:firstLine="720"/>
        <w:rPr>
          <w:rFonts w:ascii="Arial" w:eastAsiaTheme="minorEastAsia" w:hAnsi="Arial" w:cs="Arial"/>
          <w:iCs/>
          <w:sz w:val="20"/>
          <w:szCs w:val="20"/>
        </w:rPr>
      </w:pPr>
    </w:p>
    <w:p w14:paraId="75D119C8" w14:textId="77777777" w:rsidR="0071105E" w:rsidRPr="004F77E9" w:rsidRDefault="0071105E" w:rsidP="007950A5">
      <w:pPr>
        <w:pStyle w:val="BodyText"/>
        <w:jc w:val="both"/>
        <w:outlineLvl w:val="2"/>
        <w:rPr>
          <w:rFonts w:ascii="Arial" w:hAnsi="Arial" w:cs="Arial"/>
          <w:b/>
          <w:sz w:val="20"/>
          <w:szCs w:val="20"/>
        </w:rPr>
      </w:pPr>
      <w:bookmarkStart w:id="3" w:name="_Toc183029607"/>
      <w:r w:rsidRPr="004F77E9">
        <w:rPr>
          <w:rFonts w:ascii="Arial" w:hAnsi="Arial" w:cs="Arial"/>
          <w:b/>
          <w:sz w:val="20"/>
          <w:szCs w:val="20"/>
        </w:rPr>
        <w:t>2.2.5 Saponification value</w:t>
      </w:r>
      <w:bookmarkEnd w:id="3"/>
    </w:p>
    <w:p w14:paraId="71D6F714" w14:textId="77777777" w:rsidR="007F7E0D" w:rsidRPr="004F77E9" w:rsidRDefault="007F7E0D" w:rsidP="007F7E0D">
      <w:pPr>
        <w:pStyle w:val="BodyText"/>
        <w:jc w:val="both"/>
        <w:rPr>
          <w:rFonts w:ascii="Arial" w:hAnsi="Arial" w:cs="Arial"/>
          <w:b/>
          <w:sz w:val="20"/>
          <w:szCs w:val="20"/>
        </w:rPr>
      </w:pPr>
    </w:p>
    <w:p w14:paraId="5ED1A9FB" w14:textId="77777777" w:rsidR="0071105E" w:rsidRPr="004F77E9" w:rsidRDefault="0071105E" w:rsidP="007F7E0D">
      <w:pPr>
        <w:pStyle w:val="BodyText"/>
        <w:jc w:val="both"/>
        <w:rPr>
          <w:rFonts w:ascii="Arial" w:hAnsi="Arial" w:cs="Arial"/>
          <w:sz w:val="20"/>
          <w:szCs w:val="20"/>
        </w:rPr>
      </w:pPr>
      <w:r w:rsidRPr="004F77E9">
        <w:rPr>
          <w:rFonts w:ascii="Arial" w:hAnsi="Arial" w:cs="Arial"/>
          <w:sz w:val="20"/>
          <w:szCs w:val="20"/>
        </w:rPr>
        <w:t xml:space="preserve">Saponification value (SV) of an oil or fat is the amount of potassium hydroxide required to </w:t>
      </w:r>
      <w:proofErr w:type="spellStart"/>
      <w:r w:rsidRPr="004F77E9">
        <w:rPr>
          <w:rFonts w:ascii="Arial" w:hAnsi="Arial" w:cs="Arial"/>
          <w:sz w:val="20"/>
          <w:szCs w:val="20"/>
        </w:rPr>
        <w:t>neutralise</w:t>
      </w:r>
      <w:proofErr w:type="spellEnd"/>
      <w:r w:rsidRPr="004F77E9">
        <w:rPr>
          <w:rFonts w:ascii="Arial" w:hAnsi="Arial" w:cs="Arial"/>
          <w:sz w:val="20"/>
          <w:szCs w:val="20"/>
        </w:rPr>
        <w:t xml:space="preserve"> the fatty acids resulting from the complete hydrolysis of 1 g of the sample. To determine SV, the sample was completely saponified with an excess of alkali, and the excess was then determined by titration (in mg KOH/g).</w:t>
      </w:r>
      <w:r w:rsidRPr="004F77E9">
        <w:rPr>
          <w:rFonts w:ascii="Arial" w:hAnsi="Arial" w:cs="Arial"/>
          <w:color w:val="FF0000"/>
          <w:sz w:val="20"/>
          <w:szCs w:val="20"/>
        </w:rPr>
        <w:t xml:space="preserve"> </w:t>
      </w:r>
      <w:r w:rsidRPr="004F77E9">
        <w:rPr>
          <w:rStyle w:val="BodyTextChar"/>
          <w:rFonts w:ascii="Arial" w:hAnsi="Arial" w:cs="Arial"/>
          <w:sz w:val="20"/>
          <w:szCs w:val="20"/>
        </w:rPr>
        <w:t xml:space="preserve">The oil sample (2 g) was weighed, </w:t>
      </w:r>
      <w:r w:rsidRPr="004F77E9">
        <w:rPr>
          <w:rFonts w:ascii="Arial" w:hAnsi="Arial" w:cs="Arial"/>
          <w:sz w:val="20"/>
          <w:szCs w:val="20"/>
        </w:rPr>
        <w:t xml:space="preserve">and 25 ml of alcoholic potassium hydroxide solution was poured into a 100 ml conical flask containing the oil; the flask was then attached to a reflux condenser. The mixture was heated in a boiling water bath for 1 </w:t>
      </w:r>
      <w:proofErr w:type="spellStart"/>
      <w:r w:rsidRPr="004F77E9">
        <w:rPr>
          <w:rFonts w:ascii="Arial" w:hAnsi="Arial" w:cs="Arial"/>
          <w:sz w:val="20"/>
          <w:szCs w:val="20"/>
        </w:rPr>
        <w:t>hr</w:t>
      </w:r>
      <w:proofErr w:type="spellEnd"/>
      <w:r w:rsidRPr="004F77E9">
        <w:rPr>
          <w:rFonts w:ascii="Arial" w:hAnsi="Arial" w:cs="Arial"/>
          <w:sz w:val="20"/>
          <w:szCs w:val="20"/>
        </w:rPr>
        <w:t xml:space="preserve"> with occasional shaking. After one hour, 1 ml of the phenolphthalein solution was added, and the mixture was titrated with 0.5 N standard hydrochloric acid </w:t>
      </w:r>
      <w:r w:rsidRPr="004F77E9">
        <w:rPr>
          <w:rFonts w:ascii="Arial" w:hAnsi="Arial" w:cs="Arial"/>
          <w:spacing w:val="-2"/>
          <w:sz w:val="20"/>
          <w:szCs w:val="20"/>
        </w:rPr>
        <w:t>until</w:t>
      </w:r>
      <w:r w:rsidRPr="004F77E9">
        <w:rPr>
          <w:rFonts w:ascii="Arial" w:hAnsi="Arial" w:cs="Arial"/>
          <w:spacing w:val="-14"/>
          <w:sz w:val="20"/>
          <w:szCs w:val="20"/>
        </w:rPr>
        <w:t xml:space="preserve"> </w:t>
      </w:r>
      <w:r w:rsidRPr="004F77E9">
        <w:rPr>
          <w:rFonts w:ascii="Arial" w:hAnsi="Arial" w:cs="Arial"/>
          <w:spacing w:val="-2"/>
          <w:sz w:val="20"/>
          <w:szCs w:val="20"/>
        </w:rPr>
        <w:t>the</w:t>
      </w:r>
      <w:r w:rsidRPr="004F77E9">
        <w:rPr>
          <w:rFonts w:ascii="Arial" w:hAnsi="Arial" w:cs="Arial"/>
          <w:spacing w:val="-16"/>
          <w:sz w:val="20"/>
          <w:szCs w:val="20"/>
        </w:rPr>
        <w:t xml:space="preserve"> </w:t>
      </w:r>
      <w:proofErr w:type="spellStart"/>
      <w:r w:rsidRPr="004F77E9">
        <w:rPr>
          <w:rFonts w:ascii="Arial" w:hAnsi="Arial" w:cs="Arial"/>
          <w:spacing w:val="-2"/>
          <w:sz w:val="20"/>
          <w:szCs w:val="20"/>
        </w:rPr>
        <w:t>colour</w:t>
      </w:r>
      <w:proofErr w:type="spellEnd"/>
      <w:r w:rsidRPr="004F77E9">
        <w:rPr>
          <w:rFonts w:ascii="Arial" w:hAnsi="Arial" w:cs="Arial"/>
          <w:spacing w:val="-16"/>
          <w:sz w:val="20"/>
          <w:szCs w:val="20"/>
        </w:rPr>
        <w:t xml:space="preserve"> </w:t>
      </w:r>
      <w:r w:rsidRPr="004F77E9">
        <w:rPr>
          <w:rFonts w:ascii="Arial" w:hAnsi="Arial" w:cs="Arial"/>
          <w:spacing w:val="-2"/>
          <w:sz w:val="20"/>
          <w:szCs w:val="20"/>
        </w:rPr>
        <w:t>changed</w:t>
      </w:r>
      <w:r w:rsidRPr="004F77E9">
        <w:rPr>
          <w:rFonts w:ascii="Arial" w:hAnsi="Arial" w:cs="Arial"/>
          <w:spacing w:val="-12"/>
          <w:sz w:val="20"/>
          <w:szCs w:val="20"/>
        </w:rPr>
        <w:t xml:space="preserve"> </w:t>
      </w:r>
      <w:r w:rsidRPr="004F77E9">
        <w:rPr>
          <w:rFonts w:ascii="Arial" w:hAnsi="Arial" w:cs="Arial"/>
          <w:spacing w:val="-2"/>
          <w:sz w:val="20"/>
          <w:szCs w:val="20"/>
        </w:rPr>
        <w:t>from</w:t>
      </w:r>
      <w:r w:rsidRPr="004F77E9">
        <w:rPr>
          <w:rFonts w:ascii="Arial" w:hAnsi="Arial" w:cs="Arial"/>
          <w:spacing w:val="-11"/>
          <w:sz w:val="20"/>
          <w:szCs w:val="20"/>
        </w:rPr>
        <w:t xml:space="preserve"> </w:t>
      </w:r>
      <w:r w:rsidRPr="004F77E9">
        <w:rPr>
          <w:rFonts w:ascii="Arial" w:hAnsi="Arial" w:cs="Arial"/>
          <w:spacing w:val="-1"/>
          <w:sz w:val="20"/>
          <w:szCs w:val="20"/>
        </w:rPr>
        <w:t>pink</w:t>
      </w:r>
      <w:r w:rsidRPr="004F77E9">
        <w:rPr>
          <w:rFonts w:ascii="Arial" w:hAnsi="Arial" w:cs="Arial"/>
          <w:spacing w:val="-7"/>
          <w:sz w:val="20"/>
          <w:szCs w:val="20"/>
        </w:rPr>
        <w:t xml:space="preserve"> </w:t>
      </w:r>
      <w:r w:rsidRPr="004F77E9">
        <w:rPr>
          <w:rFonts w:ascii="Arial" w:hAnsi="Arial" w:cs="Arial"/>
          <w:spacing w:val="-1"/>
          <w:sz w:val="20"/>
          <w:szCs w:val="20"/>
        </w:rPr>
        <w:t>to</w:t>
      </w:r>
      <w:r w:rsidRPr="004F77E9">
        <w:rPr>
          <w:rFonts w:ascii="Arial" w:hAnsi="Arial" w:cs="Arial"/>
          <w:spacing w:val="-7"/>
          <w:sz w:val="20"/>
          <w:szCs w:val="20"/>
        </w:rPr>
        <w:t xml:space="preserve"> </w:t>
      </w:r>
      <w:proofErr w:type="spellStart"/>
      <w:r w:rsidRPr="004F77E9">
        <w:rPr>
          <w:rFonts w:ascii="Arial" w:hAnsi="Arial" w:cs="Arial"/>
          <w:spacing w:val="-1"/>
          <w:sz w:val="20"/>
          <w:szCs w:val="20"/>
        </w:rPr>
        <w:t>colourless</w:t>
      </w:r>
      <w:proofErr w:type="spellEnd"/>
      <w:r w:rsidRPr="004F77E9">
        <w:rPr>
          <w:rFonts w:ascii="Arial" w:hAnsi="Arial" w:cs="Arial"/>
          <w:sz w:val="20"/>
          <w:szCs w:val="20"/>
        </w:rPr>
        <w:t>. This procedure was repeated for each of the four samples. The blank (that is, potassium hydroxide solution without oil) was then titrated using the same procedure. The saponification value was then determined as follows: (American Oil Chemists’ Society [AOCS], 1998)</w:t>
      </w:r>
    </w:p>
    <w:p w14:paraId="2C72FBCB" w14:textId="77777777" w:rsidR="0071105E" w:rsidRPr="004F77E9" w:rsidRDefault="0071105E" w:rsidP="007950A5">
      <w:pPr>
        <w:pStyle w:val="BodyText"/>
        <w:jc w:val="both"/>
        <w:rPr>
          <w:rFonts w:ascii="Arial" w:hAnsi="Arial" w:cs="Arial"/>
          <w:sz w:val="20"/>
          <w:szCs w:val="20"/>
        </w:rPr>
      </w:pPr>
    </w:p>
    <w:p w14:paraId="52326D04" w14:textId="77777777" w:rsidR="0071105E" w:rsidRPr="004F77E9" w:rsidRDefault="0071105E" w:rsidP="007950A5">
      <w:pPr>
        <w:pStyle w:val="BodyText"/>
        <w:jc w:val="both"/>
        <w:rPr>
          <w:rFonts w:ascii="Arial" w:hAnsi="Arial" w:cs="Arial"/>
          <w:iCs/>
          <w:sz w:val="20"/>
          <w:szCs w:val="20"/>
        </w:rPr>
      </w:pPr>
      <w:r w:rsidRPr="004F77E9">
        <w:rPr>
          <w:rFonts w:ascii="Arial" w:hAnsi="Arial" w:cs="Arial"/>
          <w:sz w:val="20"/>
          <w:szCs w:val="20"/>
        </w:rPr>
        <w:t>Saponification value (</w:t>
      </w:r>
      <w:proofErr w:type="spellStart"/>
      <w:r w:rsidRPr="004F77E9">
        <w:rPr>
          <w:rFonts w:ascii="Arial" w:hAnsi="Arial" w:cs="Arial"/>
          <w:sz w:val="20"/>
          <w:szCs w:val="20"/>
        </w:rPr>
        <w:t>mgKOH</w:t>
      </w:r>
      <w:proofErr w:type="spellEnd"/>
      <w:r w:rsidRPr="004F77E9">
        <w:rPr>
          <w:rFonts w:ascii="Arial" w:hAnsi="Arial" w:cs="Arial"/>
          <w:sz w:val="20"/>
          <w:szCs w:val="20"/>
        </w:rPr>
        <w:t xml:space="preserve">/g) = </w:t>
      </w:r>
      <m:oMath>
        <m:f>
          <m:fPr>
            <m:ctrlPr>
              <w:rPr>
                <w:rFonts w:ascii="Cambria Math" w:hAnsi="Cambria Math" w:cs="Arial"/>
                <w:iCs/>
                <w:sz w:val="20"/>
                <w:szCs w:val="20"/>
              </w:rPr>
            </m:ctrlPr>
          </m:fPr>
          <m:num>
            <m:d>
              <m:dPr>
                <m:ctrlPr>
                  <w:rPr>
                    <w:rFonts w:ascii="Cambria Math" w:hAnsi="Cambria Math" w:cs="Arial"/>
                    <w:iCs/>
                    <w:sz w:val="20"/>
                    <w:szCs w:val="20"/>
                  </w:rPr>
                </m:ctrlPr>
              </m:dPr>
              <m:e>
                <m:r>
                  <m:rPr>
                    <m:nor/>
                  </m:rPr>
                  <w:rPr>
                    <w:rFonts w:ascii="Arial" w:hAnsi="Arial" w:cs="Arial"/>
                    <w:sz w:val="20"/>
                    <w:szCs w:val="20"/>
                  </w:rPr>
                  <m:t xml:space="preserve"> B-S</m:t>
                </m:r>
              </m:e>
            </m:d>
            <m:r>
              <m:rPr>
                <m:nor/>
              </m:rPr>
              <w:rPr>
                <w:rFonts w:ascii="Arial" w:hAnsi="Arial" w:cs="Arial"/>
                <w:sz w:val="20"/>
                <w:szCs w:val="20"/>
              </w:rPr>
              <m:t xml:space="preserve"> × N × 56.1</m:t>
            </m:r>
          </m:num>
          <m:den>
            <m:r>
              <m:rPr>
                <m:nor/>
              </m:rPr>
              <w:rPr>
                <w:rFonts w:ascii="Arial" w:hAnsi="Arial" w:cs="Arial"/>
                <w:sz w:val="20"/>
                <w:szCs w:val="20"/>
              </w:rPr>
              <m:t>Wt of sample used (g)</m:t>
            </m:r>
          </m:den>
        </m:f>
      </m:oMath>
      <w:r w:rsidRPr="004F77E9">
        <w:rPr>
          <w:rFonts w:ascii="Arial" w:hAnsi="Arial" w:cs="Arial"/>
          <w:iCs/>
          <w:sz w:val="20"/>
          <w:szCs w:val="20"/>
        </w:rPr>
        <w:t xml:space="preserve">          </w:t>
      </w:r>
    </w:p>
    <w:p w14:paraId="738D1D39" w14:textId="77777777" w:rsidR="007048DD" w:rsidRPr="004F77E9" w:rsidRDefault="0071105E" w:rsidP="007950A5">
      <w:pPr>
        <w:spacing w:after="0" w:line="240" w:lineRule="auto"/>
        <w:ind w:left="720" w:firstLine="720"/>
        <w:rPr>
          <w:rFonts w:ascii="Arial" w:hAnsi="Arial" w:cs="Arial"/>
          <w:sz w:val="20"/>
          <w:szCs w:val="20"/>
        </w:rPr>
      </w:pPr>
      <w:r w:rsidRPr="004F77E9">
        <w:rPr>
          <w:rFonts w:ascii="Arial" w:hAnsi="Arial" w:cs="Arial"/>
          <w:sz w:val="20"/>
          <w:szCs w:val="20"/>
        </w:rPr>
        <w:t xml:space="preserve">Where; </w:t>
      </w:r>
      <w:r w:rsidR="007048DD" w:rsidRPr="004F77E9">
        <w:rPr>
          <w:rFonts w:ascii="Arial" w:hAnsi="Arial" w:cs="Arial"/>
          <w:sz w:val="20"/>
          <w:szCs w:val="20"/>
        </w:rPr>
        <w:t xml:space="preserve">B = Titration value of blank sample </w:t>
      </w:r>
    </w:p>
    <w:p w14:paraId="07A70DB2" w14:textId="77777777" w:rsidR="0071105E" w:rsidRPr="004F77E9" w:rsidRDefault="0071105E" w:rsidP="007048DD">
      <w:pPr>
        <w:spacing w:after="0" w:line="240" w:lineRule="auto"/>
        <w:ind w:left="2160"/>
        <w:rPr>
          <w:rFonts w:ascii="Arial" w:hAnsi="Arial" w:cs="Arial"/>
          <w:sz w:val="20"/>
          <w:szCs w:val="20"/>
        </w:rPr>
      </w:pPr>
      <w:r w:rsidRPr="004F77E9">
        <w:rPr>
          <w:rFonts w:ascii="Arial" w:hAnsi="Arial" w:cs="Arial"/>
          <w:sz w:val="20"/>
          <w:szCs w:val="20"/>
        </w:rPr>
        <w:t xml:space="preserve">S = Titration value of </w:t>
      </w:r>
      <w:proofErr w:type="spellStart"/>
      <w:r w:rsidRPr="004F77E9">
        <w:rPr>
          <w:rFonts w:ascii="Arial" w:hAnsi="Arial" w:cs="Arial"/>
          <w:sz w:val="20"/>
          <w:szCs w:val="20"/>
        </w:rPr>
        <w:t>analysed</w:t>
      </w:r>
      <w:proofErr w:type="spellEnd"/>
      <w:r w:rsidRPr="004F77E9">
        <w:rPr>
          <w:rFonts w:ascii="Arial" w:hAnsi="Arial" w:cs="Arial"/>
          <w:sz w:val="20"/>
          <w:szCs w:val="20"/>
        </w:rPr>
        <w:t xml:space="preserve"> sample            </w:t>
      </w:r>
    </w:p>
    <w:p w14:paraId="2EC50E0D" w14:textId="77777777" w:rsidR="001A23A2" w:rsidRPr="004F77E9" w:rsidRDefault="0071105E" w:rsidP="007950A5">
      <w:pPr>
        <w:pStyle w:val="BodyText"/>
        <w:jc w:val="both"/>
        <w:rPr>
          <w:rFonts w:ascii="Arial" w:hAnsi="Arial" w:cs="Arial"/>
          <w:sz w:val="20"/>
          <w:szCs w:val="20"/>
        </w:rPr>
      </w:pPr>
      <w:r w:rsidRPr="004F77E9">
        <w:rPr>
          <w:rFonts w:ascii="Arial" w:hAnsi="Arial" w:cs="Arial"/>
          <w:sz w:val="20"/>
          <w:szCs w:val="20"/>
        </w:rPr>
        <w:t xml:space="preserve">           </w:t>
      </w:r>
      <w:r w:rsidRPr="004F77E9">
        <w:rPr>
          <w:rFonts w:ascii="Arial" w:hAnsi="Arial" w:cs="Arial"/>
          <w:sz w:val="20"/>
          <w:szCs w:val="20"/>
        </w:rPr>
        <w:tab/>
        <w:t xml:space="preserve">            </w:t>
      </w:r>
      <w:r w:rsidR="003A644D" w:rsidRPr="004F77E9">
        <w:rPr>
          <w:rFonts w:ascii="Arial" w:hAnsi="Arial" w:cs="Arial"/>
          <w:sz w:val="20"/>
          <w:szCs w:val="20"/>
        </w:rPr>
        <w:t xml:space="preserve">    </w:t>
      </w:r>
      <w:r w:rsidR="003A644D" w:rsidRPr="004F77E9">
        <w:rPr>
          <w:rFonts w:ascii="Arial" w:hAnsi="Arial" w:cs="Arial"/>
          <w:sz w:val="20"/>
          <w:szCs w:val="20"/>
        </w:rPr>
        <w:tab/>
      </w:r>
      <w:r w:rsidRPr="004F77E9">
        <w:rPr>
          <w:rFonts w:ascii="Arial" w:hAnsi="Arial" w:cs="Arial"/>
          <w:sz w:val="20"/>
          <w:szCs w:val="20"/>
        </w:rPr>
        <w:t>N = Normality of HCL</w:t>
      </w:r>
    </w:p>
    <w:p w14:paraId="58B8DEE4" w14:textId="77777777" w:rsidR="00064148" w:rsidRPr="004F77E9" w:rsidRDefault="00064148" w:rsidP="007950A5">
      <w:pPr>
        <w:pStyle w:val="BodyText"/>
        <w:jc w:val="both"/>
        <w:rPr>
          <w:rFonts w:ascii="Arial" w:hAnsi="Arial" w:cs="Arial"/>
          <w:sz w:val="20"/>
          <w:szCs w:val="20"/>
        </w:rPr>
      </w:pPr>
      <w:r w:rsidRPr="004F77E9">
        <w:rPr>
          <w:rFonts w:ascii="Arial" w:hAnsi="Arial" w:cs="Arial"/>
          <w:sz w:val="20"/>
          <w:szCs w:val="20"/>
        </w:rPr>
        <w:t xml:space="preserve"> </w:t>
      </w:r>
      <w:r w:rsidRPr="004F77E9">
        <w:rPr>
          <w:rFonts w:ascii="Arial" w:hAnsi="Arial" w:cs="Arial"/>
          <w:sz w:val="20"/>
          <w:szCs w:val="20"/>
        </w:rPr>
        <w:tab/>
      </w:r>
      <w:r w:rsidRPr="004F77E9">
        <w:rPr>
          <w:rFonts w:ascii="Arial" w:hAnsi="Arial" w:cs="Arial"/>
          <w:sz w:val="20"/>
          <w:szCs w:val="20"/>
        </w:rPr>
        <w:tab/>
        <w:t xml:space="preserve">        56.1 = </w:t>
      </w:r>
      <w:r w:rsidR="009E7E55" w:rsidRPr="004F77E9">
        <w:rPr>
          <w:rFonts w:ascii="Arial" w:hAnsi="Arial" w:cs="Arial"/>
          <w:sz w:val="20"/>
          <w:szCs w:val="20"/>
        </w:rPr>
        <w:t xml:space="preserve">Molecular weight of KOH </w:t>
      </w:r>
    </w:p>
    <w:p w14:paraId="474BA652" w14:textId="77777777" w:rsidR="007F7E0D" w:rsidRPr="004F77E9" w:rsidRDefault="007F7E0D" w:rsidP="007950A5">
      <w:pPr>
        <w:pStyle w:val="BodyText"/>
        <w:jc w:val="both"/>
        <w:rPr>
          <w:rFonts w:ascii="Arial" w:hAnsi="Arial" w:cs="Arial"/>
          <w:sz w:val="20"/>
          <w:szCs w:val="20"/>
        </w:rPr>
      </w:pPr>
    </w:p>
    <w:p w14:paraId="3C387B4B" w14:textId="77777777" w:rsidR="007F7E0D" w:rsidRPr="004F77E9" w:rsidRDefault="001A23A2" w:rsidP="007950A5">
      <w:pPr>
        <w:pStyle w:val="BodyText"/>
        <w:jc w:val="both"/>
        <w:outlineLvl w:val="1"/>
        <w:rPr>
          <w:rFonts w:ascii="Arial" w:hAnsi="Arial" w:cs="Arial"/>
          <w:b/>
          <w:sz w:val="20"/>
          <w:szCs w:val="20"/>
        </w:rPr>
      </w:pPr>
      <w:r w:rsidRPr="004F77E9">
        <w:rPr>
          <w:rFonts w:ascii="Arial" w:hAnsi="Arial" w:cs="Arial"/>
          <w:b/>
          <w:sz w:val="20"/>
          <w:szCs w:val="20"/>
        </w:rPr>
        <w:t>2.3 Experimental Design and Statistical Analysis</w:t>
      </w:r>
    </w:p>
    <w:p w14:paraId="5DDECE7A" w14:textId="77777777" w:rsidR="001A23A2" w:rsidRPr="004F77E9" w:rsidRDefault="0071105E" w:rsidP="007950A5">
      <w:pPr>
        <w:pStyle w:val="BodyText"/>
        <w:jc w:val="both"/>
        <w:outlineLvl w:val="1"/>
        <w:rPr>
          <w:rFonts w:ascii="Arial" w:hAnsi="Arial" w:cs="Arial"/>
          <w:sz w:val="20"/>
          <w:szCs w:val="20"/>
        </w:rPr>
      </w:pPr>
      <w:r w:rsidRPr="004F77E9">
        <w:rPr>
          <w:rFonts w:ascii="Arial" w:hAnsi="Arial" w:cs="Arial"/>
          <w:sz w:val="20"/>
          <w:szCs w:val="20"/>
        </w:rPr>
        <w:tab/>
      </w:r>
    </w:p>
    <w:p w14:paraId="47A3FD2E" w14:textId="77777777" w:rsidR="005B017D" w:rsidRPr="004F77E9" w:rsidRDefault="005B017D" w:rsidP="007F7E0D">
      <w:pPr>
        <w:pStyle w:val="BodyText"/>
        <w:jc w:val="both"/>
        <w:rPr>
          <w:rFonts w:ascii="Arial" w:hAnsi="Arial" w:cs="Arial"/>
          <w:sz w:val="20"/>
          <w:szCs w:val="20"/>
        </w:rPr>
      </w:pPr>
      <w:r w:rsidRPr="004F77E9">
        <w:rPr>
          <w:rFonts w:ascii="Arial" w:hAnsi="Arial" w:cs="Arial"/>
          <w:sz w:val="20"/>
          <w:szCs w:val="20"/>
        </w:rPr>
        <w:t xml:space="preserve">The recorded data for all six refined oil samples and the crude-oil control were obtained from four replications in a Completely </w:t>
      </w:r>
      <w:proofErr w:type="spellStart"/>
      <w:r w:rsidRPr="004F77E9">
        <w:rPr>
          <w:rFonts w:ascii="Arial" w:hAnsi="Arial" w:cs="Arial"/>
          <w:sz w:val="20"/>
          <w:szCs w:val="20"/>
        </w:rPr>
        <w:t>Randomised</w:t>
      </w:r>
      <w:proofErr w:type="spellEnd"/>
      <w:r w:rsidRPr="004F77E9">
        <w:rPr>
          <w:rFonts w:ascii="Arial" w:hAnsi="Arial" w:cs="Arial"/>
          <w:sz w:val="20"/>
          <w:szCs w:val="20"/>
        </w:rPr>
        <w:t xml:space="preserve"> Design (CRD). All data were </w:t>
      </w:r>
      <w:proofErr w:type="spellStart"/>
      <w:r w:rsidRPr="004F77E9">
        <w:rPr>
          <w:rFonts w:ascii="Arial" w:hAnsi="Arial" w:cs="Arial"/>
          <w:sz w:val="20"/>
          <w:szCs w:val="20"/>
        </w:rPr>
        <w:t>analysed</w:t>
      </w:r>
      <w:proofErr w:type="spellEnd"/>
      <w:r w:rsidRPr="004F77E9">
        <w:rPr>
          <w:rFonts w:ascii="Arial" w:hAnsi="Arial" w:cs="Arial"/>
          <w:sz w:val="20"/>
          <w:szCs w:val="20"/>
        </w:rPr>
        <w:t xml:space="preserve"> using Statistics (8th version), and treatment means were compared using the Least Significant Difference (LSD) test at the 5% level. </w:t>
      </w:r>
    </w:p>
    <w:p w14:paraId="7934A5E6" w14:textId="77777777" w:rsidR="007F7E0D" w:rsidRPr="004F77E9" w:rsidRDefault="007F7E0D" w:rsidP="007F7E0D">
      <w:pPr>
        <w:pStyle w:val="BodyText"/>
        <w:jc w:val="both"/>
        <w:rPr>
          <w:rFonts w:ascii="Arial" w:hAnsi="Arial" w:cs="Arial"/>
          <w:sz w:val="20"/>
          <w:szCs w:val="20"/>
        </w:rPr>
      </w:pPr>
    </w:p>
    <w:p w14:paraId="73CD60BD" w14:textId="77777777" w:rsidR="000140B0" w:rsidRPr="004F77E9" w:rsidRDefault="00AD446A" w:rsidP="00AC1325">
      <w:pPr>
        <w:pStyle w:val="Heading1"/>
        <w:numPr>
          <w:ilvl w:val="0"/>
          <w:numId w:val="0"/>
        </w:numPr>
        <w:spacing w:before="0" w:line="240" w:lineRule="auto"/>
        <w:jc w:val="left"/>
        <w:rPr>
          <w:rFonts w:ascii="Arial" w:hAnsi="Arial" w:cs="Arial"/>
          <w:color w:val="auto"/>
          <w:sz w:val="22"/>
          <w:szCs w:val="22"/>
        </w:rPr>
      </w:pPr>
      <w:r w:rsidRPr="004F77E9">
        <w:rPr>
          <w:rFonts w:ascii="Arial" w:hAnsi="Arial" w:cs="Arial"/>
          <w:color w:val="auto"/>
          <w:sz w:val="22"/>
          <w:szCs w:val="22"/>
        </w:rPr>
        <w:t>3. RESULTS AND DISCUSSION</w:t>
      </w:r>
    </w:p>
    <w:p w14:paraId="290519FD" w14:textId="77777777" w:rsidR="007F7E0D" w:rsidRPr="004F77E9" w:rsidRDefault="007F7E0D" w:rsidP="007950A5">
      <w:pPr>
        <w:pStyle w:val="BodyText"/>
        <w:jc w:val="both"/>
        <w:rPr>
          <w:rFonts w:ascii="Arial" w:hAnsi="Arial" w:cs="Arial"/>
          <w:b/>
          <w:sz w:val="20"/>
          <w:szCs w:val="20"/>
        </w:rPr>
      </w:pPr>
    </w:p>
    <w:p w14:paraId="43C2C4F8" w14:textId="77777777" w:rsidR="00AC7D4C" w:rsidRPr="004F77E9" w:rsidRDefault="00AC7D4C" w:rsidP="007950A5">
      <w:pPr>
        <w:pStyle w:val="BodyText"/>
        <w:jc w:val="both"/>
        <w:rPr>
          <w:rFonts w:ascii="Arial" w:hAnsi="Arial" w:cs="Arial"/>
          <w:b/>
          <w:sz w:val="20"/>
          <w:szCs w:val="20"/>
        </w:rPr>
      </w:pPr>
      <w:r w:rsidRPr="004F77E9">
        <w:rPr>
          <w:rFonts w:ascii="Arial" w:hAnsi="Arial" w:cs="Arial"/>
          <w:b/>
          <w:sz w:val="20"/>
          <w:szCs w:val="20"/>
        </w:rPr>
        <w:t xml:space="preserve">3.1 Gossypol Content </w:t>
      </w:r>
    </w:p>
    <w:p w14:paraId="220B3191" w14:textId="77777777" w:rsidR="007F7E0D" w:rsidRPr="004F77E9" w:rsidRDefault="007F7E0D" w:rsidP="007F7E0D">
      <w:pPr>
        <w:pStyle w:val="BodyText"/>
        <w:jc w:val="both"/>
        <w:rPr>
          <w:rFonts w:ascii="Arial" w:hAnsi="Arial" w:cs="Arial"/>
          <w:sz w:val="20"/>
          <w:szCs w:val="20"/>
        </w:rPr>
      </w:pPr>
    </w:p>
    <w:p w14:paraId="2279487E" w14:textId="77777777" w:rsidR="00AC7D4C" w:rsidRPr="004F77E9" w:rsidRDefault="00AC7D4C" w:rsidP="007F7E0D">
      <w:pPr>
        <w:pStyle w:val="BodyText"/>
        <w:jc w:val="both"/>
        <w:rPr>
          <w:rFonts w:ascii="Arial" w:hAnsi="Arial" w:cs="Arial"/>
          <w:sz w:val="20"/>
          <w:szCs w:val="20"/>
        </w:rPr>
      </w:pPr>
      <w:r w:rsidRPr="004F77E9">
        <w:rPr>
          <w:rFonts w:ascii="Arial" w:hAnsi="Arial" w:cs="Arial"/>
          <w:sz w:val="20"/>
          <w:szCs w:val="20"/>
        </w:rPr>
        <w:t>Gossypol is a naturally occurring toxic pigment in cottonseed that must be reduced to an acceptable level before the oil can be used for edible purposes (</w:t>
      </w:r>
      <w:proofErr w:type="spellStart"/>
      <w:r w:rsidRPr="004F77E9">
        <w:rPr>
          <w:rFonts w:ascii="Arial" w:hAnsi="Arial" w:cs="Arial"/>
          <w:sz w:val="20"/>
          <w:szCs w:val="20"/>
        </w:rPr>
        <w:t>Ninkuu</w:t>
      </w:r>
      <w:proofErr w:type="spellEnd"/>
      <w:r w:rsidRPr="004F77E9">
        <w:rPr>
          <w:rFonts w:ascii="Arial" w:hAnsi="Arial" w:cs="Arial"/>
          <w:sz w:val="20"/>
          <w:szCs w:val="20"/>
        </w:rPr>
        <w:t xml:space="preserve"> et al., 2024). The gossypol content of cottonseed oil differed significantly among the refining treatments (P &lt; 0.01). The gossypol content of cottonseed oil samples ranged from 0.0023 to 0.285%. Among the refined treatments, values ranged from 0.0023 to 0.0038% (Table 1). The control sample showed a gossypol content of 0.285%, whereas all refining treatments significantly reduced gossypol content compared with the control. The BE (1.0 g), AC (1.0 g), and AC (1.5 g) treatments showed a gossypol content of 0.0023%, while the BE (1.5 g), AC (0.5 g), and BE (0.5 g) treatments recorded gossypol contents of 0.0038%, 0.0033%, and 0.0028%, respectively. The higher gossypol content observed in the control sample may be attributed to the absence of a refining treatment. The present results were comparable to those reported by </w:t>
      </w:r>
      <w:proofErr w:type="spellStart"/>
      <w:r w:rsidRPr="004F77E9">
        <w:rPr>
          <w:rFonts w:ascii="Arial" w:hAnsi="Arial" w:cs="Arial"/>
          <w:sz w:val="20"/>
          <w:szCs w:val="20"/>
        </w:rPr>
        <w:t>Yulchiev</w:t>
      </w:r>
      <w:proofErr w:type="spellEnd"/>
      <w:r w:rsidRPr="004F77E9">
        <w:rPr>
          <w:rFonts w:ascii="Arial" w:hAnsi="Arial" w:cs="Arial"/>
          <w:sz w:val="20"/>
          <w:szCs w:val="20"/>
        </w:rPr>
        <w:t xml:space="preserve"> et al. (2022), who found that complete refining reduced the gossypol content of cottonseed oil to approximately 0.002%. The reduction in gossypol content may be due to adsorption by bleaching earth and activated carbon. These adsorbents possess high surface areas and porous structures that effectively adsorb gossypol and pigment compounds (Chetima et al., 2018; Kamga et al., 2000; O’Brien, 2009). These results indicate that both bleaching earth and activated carbon were effective in reducing gossypol content in cottonseed oil during the refining process.</w:t>
      </w:r>
    </w:p>
    <w:p w14:paraId="21DEC1D2" w14:textId="77777777" w:rsidR="007F7E0D" w:rsidRPr="004F77E9" w:rsidRDefault="007F7E0D" w:rsidP="007F7E0D">
      <w:pPr>
        <w:pStyle w:val="BodyText"/>
        <w:jc w:val="both"/>
        <w:rPr>
          <w:rFonts w:ascii="Arial" w:hAnsi="Arial" w:cs="Arial"/>
          <w:b/>
          <w:sz w:val="20"/>
          <w:szCs w:val="20"/>
        </w:rPr>
      </w:pPr>
    </w:p>
    <w:p w14:paraId="79BE6A08" w14:textId="77777777" w:rsidR="00973671" w:rsidRPr="004F77E9" w:rsidRDefault="001B1B8B" w:rsidP="007950A5">
      <w:pPr>
        <w:pStyle w:val="BodyText"/>
        <w:jc w:val="both"/>
        <w:outlineLvl w:val="2"/>
        <w:rPr>
          <w:rStyle w:val="BodyTextChar"/>
          <w:rFonts w:ascii="Arial" w:hAnsi="Arial" w:cs="Arial"/>
          <w:b/>
          <w:sz w:val="20"/>
          <w:szCs w:val="20"/>
        </w:rPr>
      </w:pPr>
      <w:r w:rsidRPr="004F77E9">
        <w:rPr>
          <w:rFonts w:ascii="Arial" w:hAnsi="Arial" w:cs="Arial"/>
          <w:b/>
          <w:sz w:val="20"/>
          <w:szCs w:val="20"/>
        </w:rPr>
        <w:t>3.</w:t>
      </w:r>
      <w:r w:rsidR="00AC7D4C" w:rsidRPr="004F77E9">
        <w:rPr>
          <w:rFonts w:ascii="Arial" w:hAnsi="Arial" w:cs="Arial"/>
          <w:b/>
          <w:sz w:val="20"/>
          <w:szCs w:val="20"/>
        </w:rPr>
        <w:t>2</w:t>
      </w:r>
      <w:r w:rsidR="00973671" w:rsidRPr="004F77E9">
        <w:rPr>
          <w:rFonts w:ascii="Arial" w:hAnsi="Arial" w:cs="Arial"/>
          <w:b/>
          <w:sz w:val="20"/>
          <w:szCs w:val="20"/>
        </w:rPr>
        <w:t xml:space="preserve"> </w:t>
      </w:r>
      <w:r w:rsidR="00AD446A" w:rsidRPr="004F77E9">
        <w:rPr>
          <w:rStyle w:val="BodyTextChar"/>
          <w:rFonts w:ascii="Arial" w:hAnsi="Arial" w:cs="Arial"/>
          <w:b/>
          <w:sz w:val="20"/>
          <w:szCs w:val="20"/>
        </w:rPr>
        <w:t>Free Fatty A</w:t>
      </w:r>
      <w:r w:rsidR="00973671" w:rsidRPr="004F77E9">
        <w:rPr>
          <w:rStyle w:val="BodyTextChar"/>
          <w:rFonts w:ascii="Arial" w:hAnsi="Arial" w:cs="Arial"/>
          <w:b/>
          <w:sz w:val="20"/>
          <w:szCs w:val="20"/>
        </w:rPr>
        <w:t xml:space="preserve">cid </w:t>
      </w:r>
    </w:p>
    <w:p w14:paraId="18F69F75" w14:textId="77777777" w:rsidR="007F7E0D" w:rsidRPr="004F77E9" w:rsidRDefault="007F7E0D" w:rsidP="007F7E0D">
      <w:pPr>
        <w:pStyle w:val="BodyText"/>
        <w:jc w:val="both"/>
        <w:rPr>
          <w:rFonts w:ascii="Arial" w:hAnsi="Arial" w:cs="Arial"/>
          <w:b/>
          <w:sz w:val="20"/>
          <w:szCs w:val="20"/>
        </w:rPr>
      </w:pPr>
    </w:p>
    <w:p w14:paraId="48500A5E" w14:textId="77777777" w:rsidR="00996C6E" w:rsidRPr="004F77E9" w:rsidRDefault="007712FD" w:rsidP="007F7E0D">
      <w:pPr>
        <w:pStyle w:val="BodyText"/>
        <w:jc w:val="both"/>
        <w:rPr>
          <w:rFonts w:ascii="Arial" w:hAnsi="Arial" w:cs="Arial"/>
          <w:sz w:val="20"/>
          <w:szCs w:val="20"/>
        </w:rPr>
      </w:pPr>
      <w:bookmarkStart w:id="4" w:name="_Hlk235354463"/>
      <w:r w:rsidRPr="004F77E9">
        <w:rPr>
          <w:rFonts w:ascii="Arial" w:hAnsi="Arial" w:cs="Arial"/>
          <w:sz w:val="20"/>
          <w:szCs w:val="20"/>
        </w:rPr>
        <w:lastRenderedPageBreak/>
        <w:t xml:space="preserve">Free fatty acid (FFA) content is an important indicator of the edibility and quality of refined oils. High FFA content can adversely affect the </w:t>
      </w:r>
      <w:proofErr w:type="spellStart"/>
      <w:r w:rsidRPr="004F77E9">
        <w:rPr>
          <w:rFonts w:ascii="Arial" w:hAnsi="Arial" w:cs="Arial"/>
          <w:sz w:val="20"/>
          <w:szCs w:val="20"/>
        </w:rPr>
        <w:t>flavour</w:t>
      </w:r>
      <w:proofErr w:type="spellEnd"/>
      <w:r w:rsidRPr="004F77E9">
        <w:rPr>
          <w:rFonts w:ascii="Arial" w:hAnsi="Arial" w:cs="Arial"/>
          <w:sz w:val="20"/>
          <w:szCs w:val="20"/>
        </w:rPr>
        <w:t xml:space="preserve">, </w:t>
      </w:r>
      <w:proofErr w:type="spellStart"/>
      <w:r w:rsidRPr="004F77E9">
        <w:rPr>
          <w:rFonts w:ascii="Arial" w:hAnsi="Arial" w:cs="Arial"/>
          <w:sz w:val="20"/>
          <w:szCs w:val="20"/>
        </w:rPr>
        <w:t>odour</w:t>
      </w:r>
      <w:proofErr w:type="spellEnd"/>
      <w:r w:rsidRPr="004F77E9">
        <w:rPr>
          <w:rFonts w:ascii="Arial" w:hAnsi="Arial" w:cs="Arial"/>
          <w:sz w:val="20"/>
          <w:szCs w:val="20"/>
        </w:rPr>
        <w:t xml:space="preserve">, and oxidative stability of oils. All refined treatments significantly reduced the FFA content of cottonseed oil compared with the control treatment (P &lt; 0.01), demonstrating the effectiveness of the refining process in reducing FFA and improving oil quality. The FFA content ranged from 0.16 to 4.00 % (Table 1). Among the refined treatments, the minimum FFA content was observed in the AC (1.0 g) treatment (0.16%) and the AC (1.5 g) treatment (0.19%). These values, however, were not significantly different from those of the treatments with BE (1.0 g) (0.25%), BE (0.5 g) (0.26%), and AC (0.5 g) (0.33%) (Table 1). The FFA content of refined oil (0.16 - 0.40%) was comparable to previous reports, such as Mahesar et al. (2017), who observed FFA content ranging from 2.8 to 0.25% after bleaching cottonseed oil. The reduction in FFA content was mainly attributed to the </w:t>
      </w:r>
      <w:proofErr w:type="spellStart"/>
      <w:r w:rsidRPr="004F77E9">
        <w:rPr>
          <w:rFonts w:ascii="Arial" w:hAnsi="Arial" w:cs="Arial"/>
          <w:sz w:val="20"/>
          <w:szCs w:val="20"/>
        </w:rPr>
        <w:t>neutralisation</w:t>
      </w:r>
      <w:proofErr w:type="spellEnd"/>
      <w:r w:rsidRPr="004F77E9">
        <w:rPr>
          <w:rFonts w:ascii="Arial" w:hAnsi="Arial" w:cs="Arial"/>
          <w:sz w:val="20"/>
          <w:szCs w:val="20"/>
        </w:rPr>
        <w:t xml:space="preserve"> process, during which free fatty acids reacted with NaOH to form soap and were subsequently removed during washing. The subsequent bleaching process further improved oil quality by removing residual pigments, soap residues, and other impurities through adsorption. However, the efficiency of FFA reduction depended on the type and dosage of the bleaching materials used (Chen &amp; Sun, 2023; Wei et al., 2015). Consequently, the refined oils exhibited improved edible-oil quality and stability. </w:t>
      </w:r>
    </w:p>
    <w:p w14:paraId="41AAA133" w14:textId="77777777" w:rsidR="007F7E0D" w:rsidRPr="004F77E9" w:rsidRDefault="007F7E0D" w:rsidP="007F7E0D">
      <w:pPr>
        <w:pStyle w:val="BodyText"/>
        <w:jc w:val="both"/>
        <w:rPr>
          <w:rFonts w:ascii="Arial" w:hAnsi="Arial" w:cs="Arial"/>
          <w:sz w:val="20"/>
          <w:szCs w:val="20"/>
        </w:rPr>
      </w:pPr>
    </w:p>
    <w:p w14:paraId="49F6EE54" w14:textId="77777777" w:rsidR="001A016E" w:rsidRPr="004F77E9" w:rsidRDefault="001A016E" w:rsidP="007950A5">
      <w:pPr>
        <w:pStyle w:val="NormalWeb"/>
        <w:spacing w:before="0" w:beforeAutospacing="0" w:after="0" w:afterAutospacing="0"/>
        <w:jc w:val="both"/>
        <w:rPr>
          <w:rFonts w:ascii="Arial" w:hAnsi="Arial" w:cs="Arial"/>
          <w:b/>
          <w:sz w:val="20"/>
          <w:szCs w:val="20"/>
        </w:rPr>
      </w:pPr>
      <w:r w:rsidRPr="004F77E9">
        <w:rPr>
          <w:rFonts w:ascii="Arial" w:hAnsi="Arial" w:cs="Arial"/>
          <w:b/>
          <w:sz w:val="20"/>
          <w:szCs w:val="20"/>
        </w:rPr>
        <w:t>3.3 Peroxide Value</w:t>
      </w:r>
    </w:p>
    <w:p w14:paraId="2121ED53" w14:textId="77777777" w:rsidR="007F7E0D" w:rsidRPr="004F77E9" w:rsidRDefault="007F7E0D" w:rsidP="007F7E0D">
      <w:pPr>
        <w:pStyle w:val="NormalWeb"/>
        <w:spacing w:before="0" w:beforeAutospacing="0" w:after="0" w:afterAutospacing="0"/>
        <w:jc w:val="both"/>
        <w:rPr>
          <w:rFonts w:ascii="Arial" w:hAnsi="Arial" w:cs="Arial"/>
          <w:b/>
          <w:sz w:val="20"/>
          <w:szCs w:val="20"/>
        </w:rPr>
      </w:pPr>
    </w:p>
    <w:p w14:paraId="2D9A56B4" w14:textId="39D4EC9D" w:rsidR="001A016E" w:rsidRPr="004F77E9" w:rsidRDefault="001A016E" w:rsidP="007F7E0D">
      <w:pPr>
        <w:pStyle w:val="NormalWeb"/>
        <w:spacing w:before="0" w:beforeAutospacing="0" w:after="0" w:afterAutospacing="0"/>
        <w:jc w:val="both"/>
        <w:rPr>
          <w:rFonts w:ascii="Arial" w:hAnsi="Arial" w:cs="Arial"/>
          <w:sz w:val="20"/>
          <w:szCs w:val="20"/>
        </w:rPr>
      </w:pPr>
      <w:r w:rsidRPr="004F77E9">
        <w:rPr>
          <w:rFonts w:ascii="Arial" w:hAnsi="Arial" w:cs="Arial"/>
          <w:sz w:val="20"/>
          <w:szCs w:val="20"/>
        </w:rPr>
        <w:t>The peroxide value (PV) indicates the degree of oxidation in fat or oil. When unsaturated fatty acids undergo oxidation, hydroperoxides are formed as the primary oxidation products.</w:t>
      </w:r>
      <w:r w:rsidRPr="004F77E9">
        <w:rPr>
          <w:rFonts w:ascii="Arial" w:hAnsi="Arial" w:cs="Arial"/>
          <w:b/>
          <w:bCs/>
          <w:sz w:val="20"/>
          <w:szCs w:val="20"/>
        </w:rPr>
        <w:t xml:space="preserve"> </w:t>
      </w:r>
      <w:r w:rsidRPr="004F77E9">
        <w:rPr>
          <w:rFonts w:ascii="Arial" w:hAnsi="Arial" w:cs="Arial"/>
          <w:sz w:val="20"/>
          <w:szCs w:val="20"/>
        </w:rPr>
        <w:t xml:space="preserve">These compounds can then react to form substances that may lead to rancidity. The peroxide value (PV) of cottonseed oil differed significantly among refining methods (P &lt; 0.01). In this study, the PV ranged from 1.01 to 15.23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 xml:space="preserve">/kg of oil (Table 1). The untreated control sample exhibited the highest PV of 15.23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 xml:space="preserve">/kg of oil, indicating a higher degree of primary oxidation. Among the refined treatment oils, BE (0.5 g) resulted in the lowest PV of 1.01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 xml:space="preserve">/kg of oil, followed by AC (1.5 g) with 3.39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 xml:space="preserve">/kg of oil and BE (1.0 g) with 5.83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 xml:space="preserve">/kg of oil. AC (0.5 g) and BE (1.5 g) oils showed PV values of 7.87 and 8.77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 xml:space="preserve">/kg of oil, respectively (Table 1). Among the refining treatments, </w:t>
      </w:r>
      <w:r w:rsidRPr="004F77E9">
        <w:rPr>
          <w:rStyle w:val="Strong"/>
          <w:rFonts w:ascii="Arial" w:hAnsi="Arial" w:cs="Arial"/>
          <w:b w:val="0"/>
          <w:bCs w:val="0"/>
          <w:sz w:val="20"/>
          <w:szCs w:val="20"/>
        </w:rPr>
        <w:t xml:space="preserve">BE (0.5 g) showed the best performance by exhibiting the lowest PV, indicating its greater effectiveness in reducing primary oxidation products compared with the other refining treatments. </w:t>
      </w:r>
      <w:r w:rsidRPr="004F77E9">
        <w:rPr>
          <w:rFonts w:ascii="Arial" w:hAnsi="Arial" w:cs="Arial"/>
          <w:sz w:val="20"/>
          <w:szCs w:val="20"/>
        </w:rPr>
        <w:t xml:space="preserve">The decrease in PV after refining is mainly due to partial adsorption of hydroperoxides; however, this process cannot eliminate oxidation (Zschau, 2001). The PV values of all refined cottonseed oil samples remained below 10 </w:t>
      </w:r>
      <w:proofErr w:type="spellStart"/>
      <w:r w:rsidRPr="004F77E9">
        <w:rPr>
          <w:rFonts w:ascii="Arial" w:hAnsi="Arial" w:cs="Arial"/>
          <w:sz w:val="20"/>
          <w:szCs w:val="20"/>
        </w:rPr>
        <w:t>meq</w:t>
      </w:r>
      <w:proofErr w:type="spellEnd"/>
      <w:r w:rsidRPr="004F77E9">
        <w:rPr>
          <w:rFonts w:ascii="Arial" w:hAnsi="Arial" w:cs="Arial"/>
          <w:sz w:val="20"/>
          <w:szCs w:val="20"/>
        </w:rPr>
        <w:t xml:space="preserve"> O</w:t>
      </w:r>
      <w:r w:rsidRPr="004F77E9">
        <w:rPr>
          <w:rFonts w:ascii="Cambria Math" w:hAnsi="Cambria Math" w:cs="Cambria Math"/>
          <w:sz w:val="20"/>
          <w:szCs w:val="20"/>
        </w:rPr>
        <w:t>₂</w:t>
      </w:r>
      <w:r w:rsidRPr="004F77E9">
        <w:rPr>
          <w:rFonts w:ascii="Arial" w:hAnsi="Arial" w:cs="Arial"/>
          <w:sz w:val="20"/>
          <w:szCs w:val="20"/>
        </w:rPr>
        <w:t>/kg of oil, indicating good oxidative quality and acceptable oxidative stability (</w:t>
      </w:r>
      <w:r w:rsidR="007A0C7F" w:rsidRPr="007A0C7F">
        <w:rPr>
          <w:rFonts w:ascii="Arial" w:hAnsi="Arial" w:cs="Arial"/>
          <w:sz w:val="20"/>
          <w:szCs w:val="20"/>
        </w:rPr>
        <w:t>Amira</w:t>
      </w:r>
      <w:r w:rsidRPr="004F77E9">
        <w:rPr>
          <w:rFonts w:ascii="Arial" w:hAnsi="Arial" w:cs="Arial"/>
          <w:sz w:val="20"/>
          <w:szCs w:val="20"/>
        </w:rPr>
        <w:t xml:space="preserve"> et al., 2014). The reduction in peroxide value may be attributed to the adsorption of hydroperoxides, trace metals, and other oxidation-promoting impurities by BE and AC, thereby improving the oxidative stability of the oil.</w:t>
      </w:r>
    </w:p>
    <w:p w14:paraId="14FD1128" w14:textId="77777777" w:rsidR="007F7E0D" w:rsidRPr="004F77E9" w:rsidRDefault="007F7E0D" w:rsidP="007F7E0D">
      <w:pPr>
        <w:pStyle w:val="NormalWeb"/>
        <w:spacing w:before="0" w:beforeAutospacing="0" w:after="0" w:afterAutospacing="0"/>
        <w:jc w:val="both"/>
        <w:rPr>
          <w:rFonts w:ascii="Arial" w:hAnsi="Arial" w:cs="Arial"/>
          <w:b/>
          <w:sz w:val="20"/>
          <w:szCs w:val="20"/>
        </w:rPr>
      </w:pPr>
    </w:p>
    <w:p w14:paraId="4B87F63C" w14:textId="77777777" w:rsidR="003C7EF9" w:rsidRPr="004F77E9" w:rsidRDefault="000B612B" w:rsidP="007950A5">
      <w:pPr>
        <w:pStyle w:val="BodyText"/>
        <w:jc w:val="both"/>
        <w:outlineLvl w:val="2"/>
        <w:rPr>
          <w:rFonts w:ascii="Arial" w:hAnsi="Arial" w:cs="Arial"/>
          <w:b/>
          <w:sz w:val="20"/>
          <w:szCs w:val="20"/>
        </w:rPr>
      </w:pPr>
      <w:r w:rsidRPr="004F77E9">
        <w:rPr>
          <w:rFonts w:ascii="Arial" w:hAnsi="Arial" w:cs="Arial"/>
          <w:b/>
          <w:sz w:val="20"/>
          <w:szCs w:val="20"/>
        </w:rPr>
        <w:t>3.</w:t>
      </w:r>
      <w:r w:rsidR="001A016E" w:rsidRPr="004F77E9">
        <w:rPr>
          <w:rFonts w:ascii="Arial" w:hAnsi="Arial" w:cs="Arial"/>
          <w:b/>
          <w:sz w:val="20"/>
          <w:szCs w:val="20"/>
        </w:rPr>
        <w:t>4</w:t>
      </w:r>
      <w:r w:rsidRPr="004F77E9">
        <w:rPr>
          <w:rFonts w:ascii="Arial" w:hAnsi="Arial" w:cs="Arial"/>
          <w:b/>
          <w:sz w:val="20"/>
          <w:szCs w:val="20"/>
        </w:rPr>
        <w:t xml:space="preserve"> </w:t>
      </w:r>
      <w:r w:rsidR="008B03EA" w:rsidRPr="004F77E9">
        <w:rPr>
          <w:rFonts w:ascii="Arial" w:hAnsi="Arial" w:cs="Arial"/>
          <w:b/>
          <w:sz w:val="20"/>
          <w:szCs w:val="20"/>
        </w:rPr>
        <w:t xml:space="preserve">Saponification Value </w:t>
      </w:r>
    </w:p>
    <w:p w14:paraId="39FE394F" w14:textId="77777777" w:rsidR="007F7E0D" w:rsidRPr="004F77E9" w:rsidRDefault="007F7E0D" w:rsidP="007F7E0D">
      <w:pPr>
        <w:pStyle w:val="BodyText"/>
        <w:jc w:val="both"/>
        <w:outlineLvl w:val="2"/>
        <w:rPr>
          <w:rFonts w:ascii="Arial" w:hAnsi="Arial" w:cs="Arial"/>
          <w:sz w:val="20"/>
          <w:szCs w:val="20"/>
        </w:rPr>
      </w:pPr>
    </w:p>
    <w:p w14:paraId="68E9598C" w14:textId="77777777" w:rsidR="003C7EF9" w:rsidRPr="004F77E9" w:rsidRDefault="003C7EF9" w:rsidP="007F7E0D">
      <w:pPr>
        <w:pStyle w:val="BodyText"/>
        <w:jc w:val="both"/>
        <w:outlineLvl w:val="2"/>
        <w:rPr>
          <w:rFonts w:ascii="Arial" w:hAnsi="Arial" w:cs="Arial"/>
          <w:sz w:val="20"/>
          <w:szCs w:val="20"/>
        </w:rPr>
      </w:pPr>
      <w:r w:rsidRPr="004F77E9">
        <w:rPr>
          <w:rFonts w:ascii="Arial" w:hAnsi="Arial" w:cs="Arial"/>
          <w:sz w:val="20"/>
          <w:szCs w:val="20"/>
        </w:rPr>
        <w:t>Saponification value (SV) is an important physicochemical parameter that indicates the amount of potassium hydroxide (KOH) required to saponify one gram of oil and reflects the average molecular weight of the fatty acids present in the oil. The SV of cottonseed oil differed significantly among the refining treatments (P &lt; 0.01). The SV of the refining treatments ranged from 185.61 to 199.23 mg KOH/g oil, whereas the control sample had a value of 201.32 mg KOH/g oil (Table 1). Compared with the control sample, only the AC (1.0 g) and AC (1.5 g) treatments showed significantly lower saponification values (185.86 and 185.61 mg KOH/g oil, respectively), while the AC (0.5 g), BE (0.5 g), BE (1.0 g), and BE (1.5 g) treatments did not differ significantly from the control sample. The SV of cottonseed oil has been reported to range from 189 to 198 mg KOH/g oil, with an average value of 195 mg KOH/g oil (O’Brien, 2002). The SV values obtained in the present study were generally comparable to the reported range, although the control sample showed a slightly higher value. In general, higher saponification values indicate a higher proportion of lower-molecular-weight fatty acids (Pearson, 1976). The slight decrease in SV after refining suggests that the refining process had little effect on the saponification value of cottonseed oil. This result is also in agreement with previous studies, which reported that refining causes only minor changes in the saponification value of cottonseed oil (</w:t>
      </w:r>
      <w:r w:rsidRPr="004F77E9">
        <w:rPr>
          <w:rFonts w:ascii="Arial" w:hAnsi="Arial" w:cs="Arial"/>
          <w:color w:val="222222"/>
          <w:sz w:val="20"/>
          <w:szCs w:val="20"/>
          <w:shd w:val="clear" w:color="auto" w:fill="FFFFFF"/>
        </w:rPr>
        <w:t>Mahesar et al., 2017</w:t>
      </w:r>
      <w:r w:rsidRPr="004F77E9">
        <w:rPr>
          <w:rFonts w:ascii="Arial" w:hAnsi="Arial" w:cs="Arial"/>
          <w:sz w:val="20"/>
          <w:szCs w:val="20"/>
        </w:rPr>
        <w:t xml:space="preserve">). The slightly lower SV observed in the AC (1.0 g) and AC (1.5 g) treatments may be attributed to the adsorption of minor oil constituents during bleaching. In addition, the variation in SV among treatments may be associated with differences in the adsorption effects of bleaching earth and activated carbon, as well as the removal of impurities and non-saponifiable substances during refining. The refining treatments caused only minor changes in saponification value, indicating that the refining process largely preserved the saponification characteristics of </w:t>
      </w:r>
      <w:r w:rsidRPr="004F77E9">
        <w:rPr>
          <w:rFonts w:ascii="Arial" w:hAnsi="Arial" w:cs="Arial"/>
          <w:sz w:val="20"/>
          <w:szCs w:val="20"/>
        </w:rPr>
        <w:lastRenderedPageBreak/>
        <w:t xml:space="preserve">cottonseed oil. </w:t>
      </w:r>
    </w:p>
    <w:p w14:paraId="5B1D457F" w14:textId="77777777" w:rsidR="007F7E0D" w:rsidRPr="004F77E9" w:rsidRDefault="007F7E0D" w:rsidP="007F7E0D">
      <w:pPr>
        <w:pStyle w:val="BodyText"/>
        <w:jc w:val="both"/>
        <w:outlineLvl w:val="2"/>
        <w:rPr>
          <w:rFonts w:ascii="Arial" w:hAnsi="Arial" w:cs="Arial"/>
          <w:sz w:val="20"/>
          <w:szCs w:val="20"/>
        </w:rPr>
      </w:pPr>
    </w:p>
    <w:bookmarkEnd w:id="4"/>
    <w:p w14:paraId="0CFFF9B9" w14:textId="77777777" w:rsidR="00001D84" w:rsidRPr="004F77E9" w:rsidRDefault="005016DD" w:rsidP="007950A5">
      <w:pPr>
        <w:pStyle w:val="BodyText"/>
        <w:jc w:val="both"/>
        <w:outlineLvl w:val="2"/>
        <w:rPr>
          <w:rFonts w:ascii="Arial" w:hAnsi="Arial" w:cs="Arial"/>
          <w:b/>
          <w:sz w:val="20"/>
          <w:szCs w:val="20"/>
        </w:rPr>
      </w:pPr>
      <w:r w:rsidRPr="004F77E9">
        <w:rPr>
          <w:rFonts w:ascii="Arial" w:hAnsi="Arial" w:cs="Arial"/>
          <w:b/>
          <w:sz w:val="20"/>
          <w:szCs w:val="20"/>
        </w:rPr>
        <w:t>3.5 Iodine Value (IV)</w:t>
      </w:r>
      <w:bookmarkStart w:id="5" w:name="_Hlk235480791"/>
    </w:p>
    <w:p w14:paraId="531BE6DA" w14:textId="77777777" w:rsidR="007F7E0D" w:rsidRPr="004F77E9" w:rsidRDefault="007F7E0D" w:rsidP="007F7E0D">
      <w:pPr>
        <w:pStyle w:val="BodyText"/>
        <w:jc w:val="both"/>
        <w:outlineLvl w:val="2"/>
        <w:rPr>
          <w:rFonts w:ascii="Arial" w:hAnsi="Arial" w:cs="Arial"/>
          <w:b/>
          <w:sz w:val="20"/>
          <w:szCs w:val="20"/>
        </w:rPr>
      </w:pPr>
    </w:p>
    <w:p w14:paraId="70741F52" w14:textId="77777777" w:rsidR="00001D84" w:rsidRPr="004F77E9" w:rsidRDefault="001D5BA7" w:rsidP="007F7E0D">
      <w:pPr>
        <w:pStyle w:val="BodyText"/>
        <w:jc w:val="both"/>
        <w:outlineLvl w:val="2"/>
        <w:rPr>
          <w:rFonts w:ascii="Arial" w:hAnsi="Arial" w:cs="Arial"/>
          <w:sz w:val="20"/>
          <w:szCs w:val="20"/>
        </w:rPr>
      </w:pPr>
      <w:r w:rsidRPr="004F77E9">
        <w:rPr>
          <w:rFonts w:ascii="Arial" w:hAnsi="Arial" w:cs="Arial"/>
          <w:sz w:val="20"/>
          <w:szCs w:val="20"/>
        </w:rPr>
        <w:t>The iodine value (IV) represents the degree of unsaturation of a fat or oil. It measures the quantity of iodine that reacts with a natural or processed fat under different conditions. A higher IV indicates a more highly unsaturated oil, whereas the reverse is true for a less unsaturated oil. The IV of cottonseed oil was significantly affected by the refining methods (P &lt; 0.01). The IV obtained in this study ranged from 98.38 to 128.33 g I</w:t>
      </w:r>
      <w:r w:rsidRPr="004F77E9">
        <w:rPr>
          <w:rFonts w:ascii="Cambria Math" w:hAnsi="Cambria Math" w:cs="Cambria Math"/>
          <w:sz w:val="20"/>
          <w:szCs w:val="20"/>
        </w:rPr>
        <w:t>₂</w:t>
      </w:r>
      <w:r w:rsidRPr="004F77E9">
        <w:rPr>
          <w:rFonts w:ascii="Arial" w:hAnsi="Arial" w:cs="Arial"/>
          <w:sz w:val="20"/>
          <w:szCs w:val="20"/>
        </w:rPr>
        <w:t>/100 g oil (Table 1). The control treatment showed the highest IV of 128.33 g I</w:t>
      </w:r>
      <w:r w:rsidRPr="004F77E9">
        <w:rPr>
          <w:rFonts w:ascii="Cambria Math" w:hAnsi="Cambria Math" w:cs="Cambria Math"/>
          <w:sz w:val="20"/>
          <w:szCs w:val="20"/>
        </w:rPr>
        <w:t>₂</w:t>
      </w:r>
      <w:r w:rsidRPr="004F77E9">
        <w:rPr>
          <w:rFonts w:ascii="Arial" w:hAnsi="Arial" w:cs="Arial"/>
          <w:sz w:val="20"/>
          <w:szCs w:val="20"/>
        </w:rPr>
        <w:t>/100 g oil and was significantly different from all refined treatments. The IV showed only slight variation among the refined oils. AC (0.5 g) resulted in the highest IV of 116.62 g I</w:t>
      </w:r>
      <w:r w:rsidRPr="004F77E9">
        <w:rPr>
          <w:rFonts w:ascii="Cambria Math" w:hAnsi="Cambria Math" w:cs="Cambria Math"/>
          <w:sz w:val="20"/>
          <w:szCs w:val="20"/>
        </w:rPr>
        <w:t>₂</w:t>
      </w:r>
      <w:r w:rsidRPr="004F77E9">
        <w:rPr>
          <w:rFonts w:ascii="Arial" w:hAnsi="Arial" w:cs="Arial"/>
          <w:sz w:val="20"/>
          <w:szCs w:val="20"/>
        </w:rPr>
        <w:t>/100 g oil, followed by BE (0.5 g), AC (1.0 g), BE (1.0 g), and BE (1.5 g). The lowest IV was observed in AC (1.5 g) (98.38 g I</w:t>
      </w:r>
      <w:r w:rsidRPr="004F77E9">
        <w:rPr>
          <w:rFonts w:ascii="Cambria Math" w:hAnsi="Cambria Math" w:cs="Cambria Math"/>
          <w:sz w:val="20"/>
          <w:szCs w:val="20"/>
        </w:rPr>
        <w:t>₂</w:t>
      </w:r>
      <w:r w:rsidRPr="004F77E9">
        <w:rPr>
          <w:rFonts w:ascii="Arial" w:hAnsi="Arial" w:cs="Arial"/>
          <w:sz w:val="20"/>
          <w:szCs w:val="20"/>
        </w:rPr>
        <w:t xml:space="preserve">/100 g oil) (Table 1). A higher IV value indicates a greater degree of unsaturation (Odoom &amp; </w:t>
      </w:r>
      <w:proofErr w:type="spellStart"/>
      <w:r w:rsidRPr="004F77E9">
        <w:rPr>
          <w:rFonts w:ascii="Arial" w:hAnsi="Arial" w:cs="Arial"/>
          <w:sz w:val="20"/>
          <w:szCs w:val="20"/>
        </w:rPr>
        <w:t>Edusei</w:t>
      </w:r>
      <w:proofErr w:type="spellEnd"/>
      <w:r w:rsidRPr="004F77E9">
        <w:rPr>
          <w:rFonts w:ascii="Arial" w:hAnsi="Arial" w:cs="Arial"/>
          <w:sz w:val="20"/>
          <w:szCs w:val="20"/>
        </w:rPr>
        <w:t>, 2015). However, these unsaturated fatty acids are more susceptible to oxidation, reducing the oxidative stability and shelf life of the oil. In another study, the IV of cottonseed oil ranged from 100 to 115 g I</w:t>
      </w:r>
      <w:r w:rsidRPr="004F77E9">
        <w:rPr>
          <w:rFonts w:ascii="Arial" w:hAnsi="Arial" w:cs="Arial"/>
          <w:sz w:val="20"/>
          <w:szCs w:val="20"/>
          <w:vertAlign w:val="subscript"/>
        </w:rPr>
        <w:t xml:space="preserve">2 </w:t>
      </w:r>
      <w:r w:rsidRPr="004F77E9">
        <w:rPr>
          <w:rFonts w:ascii="Arial" w:hAnsi="Arial" w:cs="Arial"/>
          <w:sz w:val="20"/>
          <w:szCs w:val="20"/>
        </w:rPr>
        <w:t>/100 g oil, as reported by Dinda et al. (2008). Since the control oil was not refined, the original unsaturated fatty acids were retained. The slight changes in IV after refining suggest that the unsaturation level of the oil was mostly maintained. Among the refined treatments, AC (0.5 g) showed the highest IV, indicating a greater degree of unsaturated fatty acids. However, higher unsaturation may increase susceptibility to oxidation. Therefore, the most suitable refining treatment should be selected based on overall oil quality parameters, including gossypol content, FFA, peroxide value, and iodine value.</w:t>
      </w:r>
    </w:p>
    <w:p w14:paraId="31E27CBC" w14:textId="77777777" w:rsidR="007F7E0D" w:rsidRPr="004F77E9" w:rsidRDefault="007F7E0D" w:rsidP="007F7E0D">
      <w:pPr>
        <w:pStyle w:val="BodyText"/>
        <w:jc w:val="both"/>
        <w:outlineLvl w:val="2"/>
        <w:rPr>
          <w:rFonts w:ascii="Arial" w:hAnsi="Arial" w:cs="Arial"/>
          <w:sz w:val="20"/>
          <w:szCs w:val="20"/>
        </w:rPr>
      </w:pPr>
    </w:p>
    <w:bookmarkEnd w:id="5"/>
    <w:p w14:paraId="58D7FA28" w14:textId="77777777" w:rsidR="002200A0" w:rsidRPr="004F77E9" w:rsidRDefault="002200A0" w:rsidP="007F7E0D">
      <w:pPr>
        <w:pStyle w:val="BodyText"/>
        <w:ind w:firstLine="720"/>
        <w:jc w:val="center"/>
        <w:rPr>
          <w:rFonts w:ascii="Arial" w:hAnsi="Arial" w:cs="Arial"/>
          <w:sz w:val="20"/>
          <w:szCs w:val="20"/>
        </w:rPr>
      </w:pPr>
      <w:r w:rsidRPr="004F77E9">
        <w:rPr>
          <w:rFonts w:ascii="Arial" w:hAnsi="Arial" w:cs="Arial"/>
          <w:b/>
          <w:sz w:val="20"/>
          <w:szCs w:val="20"/>
        </w:rPr>
        <w:t>Table 1. Chemical properties of refined cottonseed oil</w:t>
      </w:r>
    </w:p>
    <w:tbl>
      <w:tblPr>
        <w:tblW w:w="9090" w:type="dxa"/>
        <w:tblInd w:w="108" w:type="dxa"/>
        <w:tblLook w:val="04A0" w:firstRow="1" w:lastRow="0" w:firstColumn="1" w:lastColumn="0" w:noHBand="0" w:noVBand="1"/>
      </w:tblPr>
      <w:tblGrid>
        <w:gridCol w:w="1659"/>
        <w:gridCol w:w="1386"/>
        <w:gridCol w:w="1386"/>
        <w:gridCol w:w="1386"/>
        <w:gridCol w:w="2016"/>
        <w:gridCol w:w="1257"/>
      </w:tblGrid>
      <w:tr w:rsidR="00BF535C" w:rsidRPr="004F77E9" w14:paraId="03516F48" w14:textId="77777777" w:rsidTr="00CB72DF">
        <w:trPr>
          <w:trHeight w:val="716"/>
        </w:trPr>
        <w:tc>
          <w:tcPr>
            <w:tcW w:w="1659" w:type="dxa"/>
            <w:tcBorders>
              <w:top w:val="single" w:sz="4" w:space="0" w:color="auto"/>
              <w:left w:val="nil"/>
              <w:bottom w:val="single" w:sz="4" w:space="0" w:color="auto"/>
              <w:right w:val="nil"/>
            </w:tcBorders>
            <w:noWrap/>
            <w:vAlign w:val="center"/>
            <w:hideMark/>
          </w:tcPr>
          <w:p w14:paraId="70A4C3C5"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Treatments</w:t>
            </w:r>
          </w:p>
        </w:tc>
        <w:tc>
          <w:tcPr>
            <w:tcW w:w="1386" w:type="dxa"/>
            <w:tcBorders>
              <w:top w:val="single" w:sz="4" w:space="0" w:color="auto"/>
              <w:left w:val="nil"/>
              <w:bottom w:val="single" w:sz="4" w:space="0" w:color="auto"/>
              <w:right w:val="nil"/>
            </w:tcBorders>
            <w:vAlign w:val="center"/>
          </w:tcPr>
          <w:p w14:paraId="7BF74457"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 xml:space="preserve">Gossypol Content             </w:t>
            </w:r>
            <w:proofErr w:type="gramStart"/>
            <w:r w:rsidRPr="004F77E9">
              <w:rPr>
                <w:rFonts w:ascii="Arial" w:eastAsia="Times New Roman" w:hAnsi="Arial" w:cs="Arial"/>
                <w:b/>
                <w:color w:val="000000"/>
                <w:sz w:val="20"/>
                <w:szCs w:val="20"/>
                <w:lang w:bidi="ar-SA"/>
              </w:rPr>
              <w:t xml:space="preserve">   (</w:t>
            </w:r>
            <w:proofErr w:type="gramEnd"/>
            <w:r w:rsidRPr="004F77E9">
              <w:rPr>
                <w:rFonts w:ascii="Arial" w:eastAsia="Times New Roman" w:hAnsi="Arial" w:cs="Arial"/>
                <w:b/>
                <w:color w:val="000000"/>
                <w:sz w:val="20"/>
                <w:szCs w:val="20"/>
                <w:lang w:bidi="ar-SA"/>
              </w:rPr>
              <w:t>%)</w:t>
            </w:r>
          </w:p>
        </w:tc>
        <w:tc>
          <w:tcPr>
            <w:tcW w:w="1386" w:type="dxa"/>
            <w:tcBorders>
              <w:top w:val="single" w:sz="4" w:space="0" w:color="auto"/>
              <w:left w:val="nil"/>
              <w:bottom w:val="single" w:sz="4" w:space="0" w:color="auto"/>
              <w:right w:val="nil"/>
            </w:tcBorders>
            <w:vAlign w:val="center"/>
          </w:tcPr>
          <w:p w14:paraId="5805AD79"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Free</w:t>
            </w:r>
            <w:r w:rsidR="00F330CF" w:rsidRPr="004F77E9">
              <w:rPr>
                <w:rFonts w:ascii="Arial" w:eastAsia="Times New Roman" w:hAnsi="Arial" w:cs="Arial"/>
                <w:b/>
                <w:color w:val="000000"/>
                <w:sz w:val="20"/>
                <w:szCs w:val="20"/>
                <w:lang w:bidi="ar-SA"/>
              </w:rPr>
              <w:t xml:space="preserve"> </w:t>
            </w:r>
            <w:r w:rsidRPr="004F77E9">
              <w:rPr>
                <w:rFonts w:ascii="Arial" w:eastAsia="Times New Roman" w:hAnsi="Arial" w:cs="Arial"/>
                <w:b/>
                <w:color w:val="000000"/>
                <w:sz w:val="20"/>
                <w:szCs w:val="20"/>
                <w:lang w:bidi="ar-SA"/>
              </w:rPr>
              <w:t xml:space="preserve">Fatty Acid          </w:t>
            </w:r>
            <w:proofErr w:type="gramStart"/>
            <w:r w:rsidRPr="004F77E9">
              <w:rPr>
                <w:rFonts w:ascii="Arial" w:eastAsia="Times New Roman" w:hAnsi="Arial" w:cs="Arial"/>
                <w:b/>
                <w:color w:val="000000"/>
                <w:sz w:val="20"/>
                <w:szCs w:val="20"/>
                <w:lang w:bidi="ar-SA"/>
              </w:rPr>
              <w:t xml:space="preserve">   (</w:t>
            </w:r>
            <w:proofErr w:type="gramEnd"/>
            <w:r w:rsidRPr="004F77E9">
              <w:rPr>
                <w:rFonts w:ascii="Arial" w:eastAsia="Times New Roman" w:hAnsi="Arial" w:cs="Arial"/>
                <w:b/>
                <w:color w:val="000000"/>
                <w:sz w:val="20"/>
                <w:szCs w:val="20"/>
                <w:lang w:bidi="ar-SA"/>
              </w:rPr>
              <w:t>%)</w:t>
            </w:r>
          </w:p>
        </w:tc>
        <w:tc>
          <w:tcPr>
            <w:tcW w:w="1386" w:type="dxa"/>
            <w:tcBorders>
              <w:top w:val="single" w:sz="4" w:space="0" w:color="auto"/>
              <w:left w:val="nil"/>
              <w:bottom w:val="single" w:sz="4" w:space="0" w:color="auto"/>
              <w:right w:val="nil"/>
            </w:tcBorders>
            <w:vAlign w:val="center"/>
          </w:tcPr>
          <w:p w14:paraId="6CDCDC23"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 xml:space="preserve">Peroxide Value      </w:t>
            </w:r>
            <w:proofErr w:type="gramStart"/>
            <w:r w:rsidRPr="004F77E9">
              <w:rPr>
                <w:rFonts w:ascii="Arial" w:eastAsia="Times New Roman" w:hAnsi="Arial" w:cs="Arial"/>
                <w:b/>
                <w:color w:val="000000"/>
                <w:sz w:val="20"/>
                <w:szCs w:val="20"/>
                <w:lang w:bidi="ar-SA"/>
              </w:rPr>
              <w:t xml:space="preserve">   (</w:t>
            </w:r>
            <w:proofErr w:type="spellStart"/>
            <w:proofErr w:type="gramEnd"/>
            <w:r w:rsidRPr="004F77E9">
              <w:rPr>
                <w:rFonts w:ascii="Arial" w:eastAsia="Times New Roman" w:hAnsi="Arial" w:cs="Arial"/>
                <w:b/>
                <w:color w:val="000000"/>
                <w:sz w:val="20"/>
                <w:szCs w:val="20"/>
                <w:lang w:bidi="ar-SA"/>
              </w:rPr>
              <w:t>mEq</w:t>
            </w:r>
            <w:proofErr w:type="spellEnd"/>
            <w:r w:rsidRPr="004F77E9">
              <w:rPr>
                <w:rFonts w:ascii="Arial" w:eastAsia="Times New Roman" w:hAnsi="Arial" w:cs="Arial"/>
                <w:b/>
                <w:color w:val="000000"/>
                <w:sz w:val="20"/>
                <w:szCs w:val="20"/>
                <w:lang w:bidi="ar-SA"/>
              </w:rPr>
              <w:t xml:space="preserve"> O2/kg of oil)</w:t>
            </w:r>
          </w:p>
        </w:tc>
        <w:tc>
          <w:tcPr>
            <w:tcW w:w="2016" w:type="dxa"/>
            <w:tcBorders>
              <w:top w:val="single" w:sz="4" w:space="0" w:color="auto"/>
              <w:left w:val="nil"/>
              <w:bottom w:val="single" w:sz="4" w:space="0" w:color="auto"/>
              <w:right w:val="nil"/>
            </w:tcBorders>
            <w:vAlign w:val="center"/>
            <w:hideMark/>
          </w:tcPr>
          <w:p w14:paraId="6FF61B1B"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 xml:space="preserve">Saponification Value </w:t>
            </w:r>
          </w:p>
          <w:p w14:paraId="4F7AC655"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(mg KOH/g of oil)</w:t>
            </w:r>
          </w:p>
        </w:tc>
        <w:tc>
          <w:tcPr>
            <w:tcW w:w="1257" w:type="dxa"/>
            <w:tcBorders>
              <w:top w:val="single" w:sz="4" w:space="0" w:color="auto"/>
              <w:left w:val="nil"/>
              <w:bottom w:val="single" w:sz="4" w:space="0" w:color="auto"/>
              <w:right w:val="nil"/>
            </w:tcBorders>
            <w:vAlign w:val="center"/>
            <w:hideMark/>
          </w:tcPr>
          <w:p w14:paraId="34177788"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Iodine</w:t>
            </w:r>
            <w:r w:rsidR="00CB72DF" w:rsidRPr="004F77E9">
              <w:rPr>
                <w:rFonts w:ascii="Arial" w:eastAsia="Times New Roman" w:hAnsi="Arial" w:cs="Arial"/>
                <w:b/>
                <w:color w:val="000000"/>
                <w:sz w:val="20"/>
                <w:szCs w:val="20"/>
                <w:lang w:bidi="ar-SA"/>
              </w:rPr>
              <w:t xml:space="preserve"> </w:t>
            </w:r>
            <w:r w:rsidRPr="004F77E9">
              <w:rPr>
                <w:rFonts w:ascii="Arial" w:eastAsia="Times New Roman" w:hAnsi="Arial" w:cs="Arial"/>
                <w:b/>
                <w:color w:val="000000"/>
                <w:sz w:val="20"/>
                <w:szCs w:val="20"/>
                <w:lang w:bidi="ar-SA"/>
              </w:rPr>
              <w:t xml:space="preserve">Value     </w:t>
            </w:r>
            <w:proofErr w:type="gramStart"/>
            <w:r w:rsidRPr="004F77E9">
              <w:rPr>
                <w:rFonts w:ascii="Arial" w:eastAsia="Times New Roman" w:hAnsi="Arial" w:cs="Arial"/>
                <w:b/>
                <w:color w:val="000000"/>
                <w:sz w:val="20"/>
                <w:szCs w:val="20"/>
                <w:lang w:bidi="ar-SA"/>
              </w:rPr>
              <w:t xml:space="preserve">   (</w:t>
            </w:r>
            <w:proofErr w:type="gramEnd"/>
            <w:r w:rsidRPr="004F77E9">
              <w:rPr>
                <w:rFonts w:ascii="Arial" w:eastAsia="Times New Roman" w:hAnsi="Arial" w:cs="Arial"/>
                <w:b/>
                <w:color w:val="000000"/>
                <w:sz w:val="20"/>
                <w:szCs w:val="20"/>
                <w:lang w:bidi="ar-SA"/>
              </w:rPr>
              <w:t>g I2/100 g of oil)</w:t>
            </w:r>
          </w:p>
        </w:tc>
      </w:tr>
      <w:tr w:rsidR="00BF535C" w:rsidRPr="004F77E9" w14:paraId="2E65666A" w14:textId="77777777" w:rsidTr="00CB72DF">
        <w:trPr>
          <w:trHeight w:val="273"/>
        </w:trPr>
        <w:tc>
          <w:tcPr>
            <w:tcW w:w="1659" w:type="dxa"/>
            <w:tcBorders>
              <w:top w:val="nil"/>
              <w:left w:val="nil"/>
              <w:bottom w:val="nil"/>
              <w:right w:val="nil"/>
            </w:tcBorders>
            <w:noWrap/>
            <w:vAlign w:val="bottom"/>
            <w:hideMark/>
          </w:tcPr>
          <w:p w14:paraId="6626CC95"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 xml:space="preserve">Control </w:t>
            </w:r>
          </w:p>
        </w:tc>
        <w:tc>
          <w:tcPr>
            <w:tcW w:w="1386" w:type="dxa"/>
            <w:tcBorders>
              <w:top w:val="nil"/>
              <w:left w:val="nil"/>
              <w:bottom w:val="nil"/>
              <w:right w:val="nil"/>
            </w:tcBorders>
            <w:vAlign w:val="bottom"/>
          </w:tcPr>
          <w:p w14:paraId="79836F82"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0.2850 a</w:t>
            </w:r>
          </w:p>
        </w:tc>
        <w:tc>
          <w:tcPr>
            <w:tcW w:w="1386" w:type="dxa"/>
            <w:tcBorders>
              <w:top w:val="nil"/>
              <w:left w:val="nil"/>
              <w:bottom w:val="nil"/>
              <w:right w:val="nil"/>
            </w:tcBorders>
            <w:vAlign w:val="bottom"/>
          </w:tcPr>
          <w:p w14:paraId="4259B6FA"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4.00 a</w:t>
            </w:r>
          </w:p>
        </w:tc>
        <w:tc>
          <w:tcPr>
            <w:tcW w:w="1386" w:type="dxa"/>
            <w:tcBorders>
              <w:top w:val="nil"/>
              <w:left w:val="nil"/>
              <w:bottom w:val="nil"/>
              <w:right w:val="nil"/>
            </w:tcBorders>
            <w:vAlign w:val="center"/>
          </w:tcPr>
          <w:p w14:paraId="06CD6C44"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15.23 a</w:t>
            </w:r>
          </w:p>
        </w:tc>
        <w:tc>
          <w:tcPr>
            <w:tcW w:w="2016" w:type="dxa"/>
            <w:tcBorders>
              <w:top w:val="nil"/>
              <w:left w:val="nil"/>
              <w:bottom w:val="nil"/>
              <w:right w:val="nil"/>
            </w:tcBorders>
            <w:noWrap/>
            <w:vAlign w:val="bottom"/>
            <w:hideMark/>
          </w:tcPr>
          <w:p w14:paraId="11BF1F35"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201.10 a</w:t>
            </w:r>
          </w:p>
        </w:tc>
        <w:tc>
          <w:tcPr>
            <w:tcW w:w="1257" w:type="dxa"/>
            <w:tcBorders>
              <w:top w:val="nil"/>
              <w:left w:val="nil"/>
              <w:bottom w:val="nil"/>
              <w:right w:val="nil"/>
            </w:tcBorders>
            <w:noWrap/>
            <w:vAlign w:val="center"/>
            <w:hideMark/>
          </w:tcPr>
          <w:p w14:paraId="6C1CF810"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128.30 a</w:t>
            </w:r>
          </w:p>
        </w:tc>
      </w:tr>
      <w:tr w:rsidR="00BF535C" w:rsidRPr="004F77E9" w14:paraId="38612748" w14:textId="77777777" w:rsidTr="00CB72DF">
        <w:trPr>
          <w:trHeight w:val="273"/>
        </w:trPr>
        <w:tc>
          <w:tcPr>
            <w:tcW w:w="1659" w:type="dxa"/>
            <w:tcBorders>
              <w:top w:val="nil"/>
              <w:left w:val="nil"/>
              <w:bottom w:val="nil"/>
              <w:right w:val="nil"/>
            </w:tcBorders>
            <w:noWrap/>
            <w:vAlign w:val="bottom"/>
            <w:hideMark/>
          </w:tcPr>
          <w:p w14:paraId="0316B9DE"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AC (0.5)</w:t>
            </w:r>
          </w:p>
        </w:tc>
        <w:tc>
          <w:tcPr>
            <w:tcW w:w="1386" w:type="dxa"/>
            <w:tcBorders>
              <w:top w:val="nil"/>
              <w:left w:val="nil"/>
              <w:bottom w:val="nil"/>
              <w:right w:val="nil"/>
            </w:tcBorders>
            <w:vAlign w:val="bottom"/>
          </w:tcPr>
          <w:p w14:paraId="19E52675"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0.0033 b</w:t>
            </w:r>
          </w:p>
        </w:tc>
        <w:tc>
          <w:tcPr>
            <w:tcW w:w="1386" w:type="dxa"/>
            <w:tcBorders>
              <w:top w:val="nil"/>
              <w:left w:val="nil"/>
              <w:bottom w:val="nil"/>
              <w:right w:val="nil"/>
            </w:tcBorders>
            <w:vAlign w:val="bottom"/>
          </w:tcPr>
          <w:p w14:paraId="070121D0"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 xml:space="preserve">  0.33 </w:t>
            </w:r>
            <w:proofErr w:type="spellStart"/>
            <w:r w:rsidRPr="004F77E9">
              <w:rPr>
                <w:rFonts w:ascii="Arial" w:hAnsi="Arial" w:cs="Arial"/>
                <w:color w:val="000000"/>
                <w:sz w:val="20"/>
                <w:szCs w:val="20"/>
              </w:rPr>
              <w:t>bc</w:t>
            </w:r>
            <w:proofErr w:type="spellEnd"/>
          </w:p>
        </w:tc>
        <w:tc>
          <w:tcPr>
            <w:tcW w:w="1386" w:type="dxa"/>
            <w:tcBorders>
              <w:top w:val="nil"/>
              <w:left w:val="nil"/>
              <w:bottom w:val="nil"/>
              <w:right w:val="nil"/>
            </w:tcBorders>
            <w:vAlign w:val="center"/>
          </w:tcPr>
          <w:p w14:paraId="517AE1BB"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7.86 c</w:t>
            </w:r>
          </w:p>
        </w:tc>
        <w:tc>
          <w:tcPr>
            <w:tcW w:w="2016" w:type="dxa"/>
            <w:tcBorders>
              <w:top w:val="nil"/>
              <w:left w:val="nil"/>
              <w:bottom w:val="nil"/>
              <w:right w:val="nil"/>
            </w:tcBorders>
            <w:noWrap/>
            <w:vAlign w:val="center"/>
            <w:hideMark/>
          </w:tcPr>
          <w:p w14:paraId="7232B379"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199.23 a</w:t>
            </w:r>
          </w:p>
        </w:tc>
        <w:tc>
          <w:tcPr>
            <w:tcW w:w="1257" w:type="dxa"/>
            <w:tcBorders>
              <w:top w:val="nil"/>
              <w:left w:val="nil"/>
              <w:bottom w:val="nil"/>
              <w:right w:val="nil"/>
            </w:tcBorders>
            <w:noWrap/>
            <w:vAlign w:val="center"/>
            <w:hideMark/>
          </w:tcPr>
          <w:p w14:paraId="1E1C226B"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116.62 b</w:t>
            </w:r>
          </w:p>
        </w:tc>
      </w:tr>
      <w:tr w:rsidR="00BF535C" w:rsidRPr="004F77E9" w14:paraId="1BE35ED8" w14:textId="77777777" w:rsidTr="00CB72DF">
        <w:trPr>
          <w:trHeight w:val="273"/>
        </w:trPr>
        <w:tc>
          <w:tcPr>
            <w:tcW w:w="1659" w:type="dxa"/>
            <w:tcBorders>
              <w:top w:val="nil"/>
              <w:left w:val="nil"/>
              <w:bottom w:val="nil"/>
              <w:right w:val="nil"/>
            </w:tcBorders>
            <w:noWrap/>
            <w:vAlign w:val="bottom"/>
            <w:hideMark/>
          </w:tcPr>
          <w:p w14:paraId="022CC8C8"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AC (1.0)</w:t>
            </w:r>
          </w:p>
        </w:tc>
        <w:tc>
          <w:tcPr>
            <w:tcW w:w="1386" w:type="dxa"/>
            <w:tcBorders>
              <w:top w:val="nil"/>
              <w:left w:val="nil"/>
              <w:bottom w:val="nil"/>
              <w:right w:val="nil"/>
            </w:tcBorders>
            <w:vAlign w:val="bottom"/>
          </w:tcPr>
          <w:p w14:paraId="0B1F490C"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0.0023 b</w:t>
            </w:r>
          </w:p>
        </w:tc>
        <w:tc>
          <w:tcPr>
            <w:tcW w:w="1386" w:type="dxa"/>
            <w:tcBorders>
              <w:top w:val="nil"/>
              <w:left w:val="nil"/>
              <w:bottom w:val="nil"/>
              <w:right w:val="nil"/>
            </w:tcBorders>
            <w:vAlign w:val="bottom"/>
          </w:tcPr>
          <w:p w14:paraId="4A42012A"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 xml:space="preserve"> 0.16 c </w:t>
            </w:r>
          </w:p>
        </w:tc>
        <w:tc>
          <w:tcPr>
            <w:tcW w:w="1386" w:type="dxa"/>
            <w:tcBorders>
              <w:top w:val="nil"/>
              <w:left w:val="nil"/>
              <w:bottom w:val="nil"/>
              <w:right w:val="nil"/>
            </w:tcBorders>
            <w:vAlign w:val="center"/>
          </w:tcPr>
          <w:p w14:paraId="613394BE"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8.76 b</w:t>
            </w:r>
          </w:p>
        </w:tc>
        <w:tc>
          <w:tcPr>
            <w:tcW w:w="2016" w:type="dxa"/>
            <w:tcBorders>
              <w:top w:val="nil"/>
              <w:left w:val="nil"/>
              <w:bottom w:val="nil"/>
              <w:right w:val="nil"/>
            </w:tcBorders>
            <w:noWrap/>
            <w:vAlign w:val="center"/>
            <w:hideMark/>
          </w:tcPr>
          <w:p w14:paraId="12DE2E8B"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185.86 b</w:t>
            </w:r>
          </w:p>
        </w:tc>
        <w:tc>
          <w:tcPr>
            <w:tcW w:w="1257" w:type="dxa"/>
            <w:tcBorders>
              <w:top w:val="nil"/>
              <w:left w:val="nil"/>
              <w:bottom w:val="nil"/>
              <w:right w:val="nil"/>
            </w:tcBorders>
            <w:noWrap/>
            <w:vAlign w:val="center"/>
            <w:hideMark/>
          </w:tcPr>
          <w:p w14:paraId="70AC4516"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 xml:space="preserve">114.89 </w:t>
            </w:r>
            <w:proofErr w:type="spellStart"/>
            <w:r w:rsidRPr="004F77E9">
              <w:rPr>
                <w:rFonts w:ascii="Arial" w:hAnsi="Arial" w:cs="Arial"/>
                <w:color w:val="000000"/>
                <w:sz w:val="20"/>
                <w:szCs w:val="20"/>
              </w:rPr>
              <w:t>bc</w:t>
            </w:r>
            <w:proofErr w:type="spellEnd"/>
          </w:p>
        </w:tc>
      </w:tr>
      <w:tr w:rsidR="00BF535C" w:rsidRPr="004F77E9" w14:paraId="56C6DCF8" w14:textId="77777777" w:rsidTr="00CB72DF">
        <w:trPr>
          <w:trHeight w:val="273"/>
        </w:trPr>
        <w:tc>
          <w:tcPr>
            <w:tcW w:w="1659" w:type="dxa"/>
            <w:tcBorders>
              <w:top w:val="nil"/>
              <w:left w:val="nil"/>
              <w:bottom w:val="nil"/>
              <w:right w:val="nil"/>
            </w:tcBorders>
            <w:noWrap/>
            <w:vAlign w:val="bottom"/>
            <w:hideMark/>
          </w:tcPr>
          <w:p w14:paraId="7CBA5610"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AC (1.5)</w:t>
            </w:r>
          </w:p>
        </w:tc>
        <w:tc>
          <w:tcPr>
            <w:tcW w:w="1386" w:type="dxa"/>
            <w:tcBorders>
              <w:top w:val="nil"/>
              <w:left w:val="nil"/>
              <w:bottom w:val="nil"/>
              <w:right w:val="nil"/>
            </w:tcBorders>
            <w:vAlign w:val="bottom"/>
          </w:tcPr>
          <w:p w14:paraId="13849C9A"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0.0023 b</w:t>
            </w:r>
          </w:p>
        </w:tc>
        <w:tc>
          <w:tcPr>
            <w:tcW w:w="1386" w:type="dxa"/>
            <w:tcBorders>
              <w:top w:val="nil"/>
              <w:left w:val="nil"/>
              <w:bottom w:val="nil"/>
              <w:right w:val="nil"/>
            </w:tcBorders>
            <w:vAlign w:val="bottom"/>
          </w:tcPr>
          <w:p w14:paraId="61786BED"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0.19 c</w:t>
            </w:r>
          </w:p>
        </w:tc>
        <w:tc>
          <w:tcPr>
            <w:tcW w:w="1386" w:type="dxa"/>
            <w:tcBorders>
              <w:top w:val="nil"/>
              <w:left w:val="nil"/>
              <w:bottom w:val="nil"/>
              <w:right w:val="nil"/>
            </w:tcBorders>
            <w:vAlign w:val="center"/>
          </w:tcPr>
          <w:p w14:paraId="63D154D6"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3.38 e</w:t>
            </w:r>
          </w:p>
        </w:tc>
        <w:tc>
          <w:tcPr>
            <w:tcW w:w="2016" w:type="dxa"/>
            <w:tcBorders>
              <w:top w:val="nil"/>
              <w:left w:val="nil"/>
              <w:bottom w:val="nil"/>
              <w:right w:val="nil"/>
            </w:tcBorders>
            <w:noWrap/>
            <w:vAlign w:val="center"/>
            <w:hideMark/>
          </w:tcPr>
          <w:p w14:paraId="70B08B9A"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 xml:space="preserve">185.61 b </w:t>
            </w:r>
          </w:p>
        </w:tc>
        <w:tc>
          <w:tcPr>
            <w:tcW w:w="1257" w:type="dxa"/>
            <w:tcBorders>
              <w:top w:val="nil"/>
              <w:left w:val="nil"/>
              <w:bottom w:val="nil"/>
              <w:right w:val="nil"/>
            </w:tcBorders>
            <w:noWrap/>
            <w:vAlign w:val="center"/>
            <w:hideMark/>
          </w:tcPr>
          <w:p w14:paraId="3FE8886F"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98.38 e</w:t>
            </w:r>
          </w:p>
        </w:tc>
      </w:tr>
      <w:tr w:rsidR="00BF535C" w:rsidRPr="004F77E9" w14:paraId="2101807D" w14:textId="77777777" w:rsidTr="00CB72DF">
        <w:trPr>
          <w:trHeight w:val="273"/>
        </w:trPr>
        <w:tc>
          <w:tcPr>
            <w:tcW w:w="1659" w:type="dxa"/>
            <w:tcBorders>
              <w:top w:val="nil"/>
              <w:left w:val="nil"/>
              <w:bottom w:val="nil"/>
              <w:right w:val="nil"/>
            </w:tcBorders>
            <w:noWrap/>
            <w:vAlign w:val="bottom"/>
            <w:hideMark/>
          </w:tcPr>
          <w:p w14:paraId="2617FD59"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BE (0.5)</w:t>
            </w:r>
          </w:p>
        </w:tc>
        <w:tc>
          <w:tcPr>
            <w:tcW w:w="1386" w:type="dxa"/>
            <w:tcBorders>
              <w:top w:val="nil"/>
              <w:left w:val="nil"/>
              <w:bottom w:val="nil"/>
              <w:right w:val="nil"/>
            </w:tcBorders>
            <w:vAlign w:val="bottom"/>
          </w:tcPr>
          <w:p w14:paraId="015EFE5A"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0.0028 b</w:t>
            </w:r>
          </w:p>
        </w:tc>
        <w:tc>
          <w:tcPr>
            <w:tcW w:w="1386" w:type="dxa"/>
            <w:tcBorders>
              <w:top w:val="nil"/>
              <w:left w:val="nil"/>
              <w:bottom w:val="nil"/>
              <w:right w:val="nil"/>
            </w:tcBorders>
            <w:vAlign w:val="bottom"/>
          </w:tcPr>
          <w:p w14:paraId="34506CF5"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 xml:space="preserve">  0.26 </w:t>
            </w:r>
            <w:proofErr w:type="spellStart"/>
            <w:r w:rsidRPr="004F77E9">
              <w:rPr>
                <w:rFonts w:ascii="Arial" w:hAnsi="Arial" w:cs="Arial"/>
                <w:color w:val="000000"/>
                <w:sz w:val="20"/>
                <w:szCs w:val="20"/>
              </w:rPr>
              <w:t>bc</w:t>
            </w:r>
            <w:proofErr w:type="spellEnd"/>
          </w:p>
        </w:tc>
        <w:tc>
          <w:tcPr>
            <w:tcW w:w="1386" w:type="dxa"/>
            <w:tcBorders>
              <w:top w:val="nil"/>
              <w:left w:val="nil"/>
              <w:bottom w:val="nil"/>
              <w:right w:val="nil"/>
            </w:tcBorders>
            <w:vAlign w:val="center"/>
          </w:tcPr>
          <w:p w14:paraId="0C70B791"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1.01 f</w:t>
            </w:r>
          </w:p>
        </w:tc>
        <w:tc>
          <w:tcPr>
            <w:tcW w:w="2016" w:type="dxa"/>
            <w:tcBorders>
              <w:top w:val="nil"/>
              <w:left w:val="nil"/>
              <w:bottom w:val="nil"/>
              <w:right w:val="nil"/>
            </w:tcBorders>
            <w:noWrap/>
            <w:vAlign w:val="center"/>
            <w:hideMark/>
          </w:tcPr>
          <w:p w14:paraId="5B3EFC5F"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198.93 a</w:t>
            </w:r>
          </w:p>
        </w:tc>
        <w:tc>
          <w:tcPr>
            <w:tcW w:w="1257" w:type="dxa"/>
            <w:tcBorders>
              <w:top w:val="nil"/>
              <w:left w:val="nil"/>
              <w:bottom w:val="nil"/>
              <w:right w:val="nil"/>
            </w:tcBorders>
            <w:noWrap/>
            <w:vAlign w:val="center"/>
            <w:hideMark/>
          </w:tcPr>
          <w:p w14:paraId="1A649DAC"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 xml:space="preserve">115.19 </w:t>
            </w:r>
            <w:proofErr w:type="spellStart"/>
            <w:r w:rsidRPr="004F77E9">
              <w:rPr>
                <w:rFonts w:ascii="Arial" w:hAnsi="Arial" w:cs="Arial"/>
                <w:color w:val="000000"/>
                <w:sz w:val="20"/>
                <w:szCs w:val="20"/>
              </w:rPr>
              <w:t>bc</w:t>
            </w:r>
            <w:proofErr w:type="spellEnd"/>
          </w:p>
        </w:tc>
      </w:tr>
      <w:tr w:rsidR="00BF535C" w:rsidRPr="004F77E9" w14:paraId="3A748B20" w14:textId="77777777" w:rsidTr="00CB72DF">
        <w:trPr>
          <w:trHeight w:val="273"/>
        </w:trPr>
        <w:tc>
          <w:tcPr>
            <w:tcW w:w="1659" w:type="dxa"/>
            <w:tcBorders>
              <w:top w:val="nil"/>
              <w:left w:val="nil"/>
              <w:bottom w:val="nil"/>
              <w:right w:val="nil"/>
            </w:tcBorders>
            <w:noWrap/>
            <w:vAlign w:val="bottom"/>
            <w:hideMark/>
          </w:tcPr>
          <w:p w14:paraId="51AB0D4E"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BE (1.0)</w:t>
            </w:r>
          </w:p>
        </w:tc>
        <w:tc>
          <w:tcPr>
            <w:tcW w:w="1386" w:type="dxa"/>
            <w:tcBorders>
              <w:top w:val="nil"/>
              <w:left w:val="nil"/>
              <w:bottom w:val="nil"/>
              <w:right w:val="nil"/>
            </w:tcBorders>
            <w:vAlign w:val="bottom"/>
          </w:tcPr>
          <w:p w14:paraId="2A2A57A2"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0.0023 b</w:t>
            </w:r>
          </w:p>
        </w:tc>
        <w:tc>
          <w:tcPr>
            <w:tcW w:w="1386" w:type="dxa"/>
            <w:tcBorders>
              <w:top w:val="nil"/>
              <w:left w:val="nil"/>
              <w:bottom w:val="nil"/>
              <w:right w:val="nil"/>
            </w:tcBorders>
            <w:vAlign w:val="bottom"/>
          </w:tcPr>
          <w:p w14:paraId="3570A3B7"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 xml:space="preserve">  0.24 </w:t>
            </w:r>
            <w:proofErr w:type="spellStart"/>
            <w:r w:rsidRPr="004F77E9">
              <w:rPr>
                <w:rFonts w:ascii="Arial" w:hAnsi="Arial" w:cs="Arial"/>
                <w:color w:val="000000"/>
                <w:sz w:val="20"/>
                <w:szCs w:val="20"/>
              </w:rPr>
              <w:t>bc</w:t>
            </w:r>
            <w:proofErr w:type="spellEnd"/>
          </w:p>
        </w:tc>
        <w:tc>
          <w:tcPr>
            <w:tcW w:w="1386" w:type="dxa"/>
            <w:tcBorders>
              <w:top w:val="nil"/>
              <w:left w:val="nil"/>
              <w:bottom w:val="nil"/>
              <w:right w:val="nil"/>
            </w:tcBorders>
            <w:vAlign w:val="center"/>
          </w:tcPr>
          <w:p w14:paraId="3D45705B"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5.82 d</w:t>
            </w:r>
          </w:p>
        </w:tc>
        <w:tc>
          <w:tcPr>
            <w:tcW w:w="2016" w:type="dxa"/>
            <w:tcBorders>
              <w:top w:val="nil"/>
              <w:left w:val="nil"/>
              <w:bottom w:val="nil"/>
              <w:right w:val="nil"/>
            </w:tcBorders>
            <w:noWrap/>
            <w:vAlign w:val="center"/>
            <w:hideMark/>
          </w:tcPr>
          <w:p w14:paraId="2BF43AD6"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198.93 a</w:t>
            </w:r>
          </w:p>
        </w:tc>
        <w:tc>
          <w:tcPr>
            <w:tcW w:w="1257" w:type="dxa"/>
            <w:tcBorders>
              <w:top w:val="nil"/>
              <w:left w:val="nil"/>
              <w:bottom w:val="nil"/>
              <w:right w:val="nil"/>
            </w:tcBorders>
            <w:noWrap/>
            <w:vAlign w:val="center"/>
            <w:hideMark/>
          </w:tcPr>
          <w:p w14:paraId="5381ED2C"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112.77 cd</w:t>
            </w:r>
          </w:p>
        </w:tc>
      </w:tr>
      <w:tr w:rsidR="00BF535C" w:rsidRPr="004F77E9" w14:paraId="7D156167" w14:textId="77777777" w:rsidTr="00CB72DF">
        <w:trPr>
          <w:trHeight w:val="273"/>
        </w:trPr>
        <w:tc>
          <w:tcPr>
            <w:tcW w:w="1659" w:type="dxa"/>
            <w:tcBorders>
              <w:top w:val="nil"/>
              <w:left w:val="nil"/>
              <w:bottom w:val="nil"/>
              <w:right w:val="nil"/>
            </w:tcBorders>
            <w:noWrap/>
            <w:vAlign w:val="bottom"/>
            <w:hideMark/>
          </w:tcPr>
          <w:p w14:paraId="240A11CF" w14:textId="77777777" w:rsidR="00BF535C" w:rsidRPr="004F77E9" w:rsidRDefault="00BF535C" w:rsidP="007950A5">
            <w:pPr>
              <w:spacing w:after="0" w:line="240" w:lineRule="auto"/>
              <w:rPr>
                <w:rFonts w:ascii="Arial" w:eastAsia="Times New Roman" w:hAnsi="Arial" w:cs="Arial"/>
                <w:b/>
                <w:color w:val="000000"/>
                <w:sz w:val="20"/>
                <w:szCs w:val="20"/>
                <w:lang w:bidi="ar-SA"/>
              </w:rPr>
            </w:pPr>
            <w:r w:rsidRPr="004F77E9">
              <w:rPr>
                <w:rFonts w:ascii="Arial" w:eastAsia="Times New Roman" w:hAnsi="Arial" w:cs="Arial"/>
                <w:b/>
                <w:color w:val="000000"/>
                <w:sz w:val="20"/>
                <w:szCs w:val="20"/>
                <w:lang w:bidi="ar-SA"/>
              </w:rPr>
              <w:t>BE (1.5)</w:t>
            </w:r>
          </w:p>
        </w:tc>
        <w:tc>
          <w:tcPr>
            <w:tcW w:w="1386" w:type="dxa"/>
            <w:tcBorders>
              <w:top w:val="nil"/>
              <w:left w:val="nil"/>
              <w:bottom w:val="nil"/>
              <w:right w:val="nil"/>
            </w:tcBorders>
            <w:vAlign w:val="bottom"/>
          </w:tcPr>
          <w:p w14:paraId="3159FB1B"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0.0038 b</w:t>
            </w:r>
          </w:p>
        </w:tc>
        <w:tc>
          <w:tcPr>
            <w:tcW w:w="1386" w:type="dxa"/>
            <w:tcBorders>
              <w:top w:val="nil"/>
              <w:left w:val="nil"/>
              <w:bottom w:val="nil"/>
              <w:right w:val="nil"/>
            </w:tcBorders>
            <w:vAlign w:val="bottom"/>
          </w:tcPr>
          <w:p w14:paraId="64030A88"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0.40 b</w:t>
            </w:r>
          </w:p>
        </w:tc>
        <w:tc>
          <w:tcPr>
            <w:tcW w:w="1386" w:type="dxa"/>
            <w:tcBorders>
              <w:top w:val="nil"/>
              <w:left w:val="nil"/>
              <w:bottom w:val="nil"/>
              <w:right w:val="nil"/>
            </w:tcBorders>
            <w:vAlign w:val="center"/>
          </w:tcPr>
          <w:p w14:paraId="63B7E76F" w14:textId="77777777" w:rsidR="00BF535C" w:rsidRPr="004F77E9" w:rsidRDefault="00BF535C" w:rsidP="007950A5">
            <w:pPr>
              <w:spacing w:after="0" w:line="240" w:lineRule="auto"/>
              <w:rPr>
                <w:rFonts w:ascii="Arial" w:hAnsi="Arial" w:cs="Arial"/>
                <w:color w:val="000000"/>
                <w:sz w:val="20"/>
                <w:szCs w:val="20"/>
              </w:rPr>
            </w:pPr>
            <w:r w:rsidRPr="004F77E9">
              <w:rPr>
                <w:rFonts w:ascii="Arial" w:hAnsi="Arial" w:cs="Arial"/>
                <w:color w:val="000000"/>
                <w:sz w:val="20"/>
                <w:szCs w:val="20"/>
              </w:rPr>
              <w:t>8.10 c</w:t>
            </w:r>
          </w:p>
        </w:tc>
        <w:tc>
          <w:tcPr>
            <w:tcW w:w="2016" w:type="dxa"/>
            <w:tcBorders>
              <w:top w:val="nil"/>
              <w:left w:val="nil"/>
              <w:bottom w:val="nil"/>
              <w:right w:val="nil"/>
            </w:tcBorders>
            <w:noWrap/>
            <w:vAlign w:val="center"/>
            <w:hideMark/>
          </w:tcPr>
          <w:p w14:paraId="213679F9"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198.45 a</w:t>
            </w:r>
          </w:p>
        </w:tc>
        <w:tc>
          <w:tcPr>
            <w:tcW w:w="1257" w:type="dxa"/>
            <w:tcBorders>
              <w:top w:val="nil"/>
              <w:left w:val="nil"/>
              <w:bottom w:val="nil"/>
              <w:right w:val="nil"/>
            </w:tcBorders>
            <w:noWrap/>
            <w:vAlign w:val="center"/>
            <w:hideMark/>
          </w:tcPr>
          <w:p w14:paraId="41F20778"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110.49 d</w:t>
            </w:r>
          </w:p>
        </w:tc>
      </w:tr>
      <w:tr w:rsidR="00BF535C" w:rsidRPr="004F77E9" w14:paraId="4C25626B" w14:textId="77777777" w:rsidTr="00CB72DF">
        <w:trPr>
          <w:trHeight w:val="273"/>
        </w:trPr>
        <w:tc>
          <w:tcPr>
            <w:tcW w:w="1659" w:type="dxa"/>
            <w:tcBorders>
              <w:top w:val="single" w:sz="4" w:space="0" w:color="auto"/>
              <w:left w:val="nil"/>
              <w:bottom w:val="nil"/>
              <w:right w:val="nil"/>
            </w:tcBorders>
            <w:noWrap/>
            <w:vAlign w:val="bottom"/>
            <w:hideMark/>
          </w:tcPr>
          <w:p w14:paraId="3846B251" w14:textId="77777777" w:rsidR="00BF535C" w:rsidRPr="004F77E9" w:rsidRDefault="00BF535C" w:rsidP="007950A5">
            <w:pPr>
              <w:spacing w:after="0" w:line="240" w:lineRule="auto"/>
              <w:rPr>
                <w:rFonts w:ascii="Arial" w:eastAsia="Times New Roman" w:hAnsi="Arial" w:cs="Arial"/>
                <w:color w:val="000000"/>
                <w:sz w:val="20"/>
                <w:szCs w:val="20"/>
                <w:lang w:bidi="ar-SA"/>
              </w:rPr>
            </w:pPr>
            <w:proofErr w:type="spellStart"/>
            <w:r w:rsidRPr="004F77E9">
              <w:rPr>
                <w:rFonts w:ascii="Arial" w:eastAsia="Times New Roman" w:hAnsi="Arial" w:cs="Arial"/>
                <w:color w:val="000000"/>
                <w:sz w:val="20"/>
                <w:szCs w:val="20"/>
                <w:lang w:bidi="ar-SA"/>
              </w:rPr>
              <w:t>Pr</w:t>
            </w:r>
            <w:proofErr w:type="spellEnd"/>
            <w:r w:rsidRPr="004F77E9">
              <w:rPr>
                <w:rFonts w:ascii="Arial" w:eastAsia="Times New Roman" w:hAnsi="Arial" w:cs="Arial"/>
                <w:color w:val="000000"/>
                <w:sz w:val="20"/>
                <w:szCs w:val="20"/>
                <w:lang w:bidi="ar-SA"/>
              </w:rPr>
              <w:t xml:space="preserve">&lt; </w:t>
            </w:r>
            <w:proofErr w:type="gramStart"/>
            <w:r w:rsidRPr="004F77E9">
              <w:rPr>
                <w:rFonts w:ascii="Arial" w:eastAsia="Times New Roman" w:hAnsi="Arial" w:cs="Arial"/>
                <w:color w:val="000000"/>
                <w:sz w:val="20"/>
                <w:szCs w:val="20"/>
                <w:lang w:bidi="ar-SA"/>
              </w:rPr>
              <w:t>F(</w:t>
            </w:r>
            <w:proofErr w:type="gramEnd"/>
            <w:r w:rsidRPr="004F77E9">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0B3397AF"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554EC846"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4A660C02"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.001**</w:t>
            </w:r>
          </w:p>
        </w:tc>
        <w:tc>
          <w:tcPr>
            <w:tcW w:w="2016" w:type="dxa"/>
            <w:tcBorders>
              <w:top w:val="single" w:sz="4" w:space="0" w:color="auto"/>
              <w:left w:val="nil"/>
              <w:bottom w:val="nil"/>
              <w:right w:val="nil"/>
            </w:tcBorders>
            <w:noWrap/>
            <w:vAlign w:val="bottom"/>
            <w:hideMark/>
          </w:tcPr>
          <w:p w14:paraId="47E775C1"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.001**</w:t>
            </w:r>
          </w:p>
        </w:tc>
        <w:tc>
          <w:tcPr>
            <w:tcW w:w="1257" w:type="dxa"/>
            <w:tcBorders>
              <w:top w:val="single" w:sz="4" w:space="0" w:color="auto"/>
              <w:left w:val="nil"/>
              <w:bottom w:val="nil"/>
              <w:right w:val="nil"/>
            </w:tcBorders>
            <w:noWrap/>
            <w:vAlign w:val="bottom"/>
            <w:hideMark/>
          </w:tcPr>
          <w:p w14:paraId="159D3C77"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.001**</w:t>
            </w:r>
          </w:p>
        </w:tc>
      </w:tr>
      <w:tr w:rsidR="00BF535C" w:rsidRPr="004F77E9" w14:paraId="1DDB780E" w14:textId="77777777" w:rsidTr="00CB72DF">
        <w:trPr>
          <w:trHeight w:val="273"/>
        </w:trPr>
        <w:tc>
          <w:tcPr>
            <w:tcW w:w="1659" w:type="dxa"/>
            <w:tcBorders>
              <w:top w:val="nil"/>
              <w:left w:val="nil"/>
              <w:bottom w:val="nil"/>
              <w:right w:val="nil"/>
            </w:tcBorders>
            <w:noWrap/>
            <w:vAlign w:val="bottom"/>
            <w:hideMark/>
          </w:tcPr>
          <w:p w14:paraId="513D7DC2"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LSD (0.05)</w:t>
            </w:r>
          </w:p>
        </w:tc>
        <w:tc>
          <w:tcPr>
            <w:tcW w:w="1386" w:type="dxa"/>
            <w:tcBorders>
              <w:top w:val="nil"/>
              <w:left w:val="nil"/>
              <w:bottom w:val="nil"/>
              <w:right w:val="nil"/>
            </w:tcBorders>
            <w:vAlign w:val="bottom"/>
          </w:tcPr>
          <w:p w14:paraId="3F0E61FB"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0.0072</w:t>
            </w:r>
          </w:p>
        </w:tc>
        <w:tc>
          <w:tcPr>
            <w:tcW w:w="1386" w:type="dxa"/>
            <w:tcBorders>
              <w:top w:val="nil"/>
              <w:left w:val="nil"/>
              <w:bottom w:val="nil"/>
              <w:right w:val="nil"/>
            </w:tcBorders>
            <w:vAlign w:val="bottom"/>
          </w:tcPr>
          <w:p w14:paraId="25D1A03E"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0.20</w:t>
            </w:r>
          </w:p>
        </w:tc>
        <w:tc>
          <w:tcPr>
            <w:tcW w:w="1386" w:type="dxa"/>
            <w:tcBorders>
              <w:top w:val="nil"/>
              <w:left w:val="nil"/>
              <w:bottom w:val="nil"/>
              <w:right w:val="nil"/>
            </w:tcBorders>
            <w:vAlign w:val="bottom"/>
          </w:tcPr>
          <w:p w14:paraId="75FD3DFE"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0.55</w:t>
            </w:r>
          </w:p>
        </w:tc>
        <w:tc>
          <w:tcPr>
            <w:tcW w:w="2016" w:type="dxa"/>
            <w:tcBorders>
              <w:top w:val="nil"/>
              <w:left w:val="nil"/>
              <w:bottom w:val="nil"/>
              <w:right w:val="nil"/>
            </w:tcBorders>
            <w:noWrap/>
            <w:vAlign w:val="bottom"/>
            <w:hideMark/>
          </w:tcPr>
          <w:p w14:paraId="0F402074"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9.96</w:t>
            </w:r>
          </w:p>
        </w:tc>
        <w:tc>
          <w:tcPr>
            <w:tcW w:w="1257" w:type="dxa"/>
            <w:tcBorders>
              <w:top w:val="nil"/>
              <w:left w:val="nil"/>
              <w:bottom w:val="nil"/>
              <w:right w:val="nil"/>
            </w:tcBorders>
            <w:noWrap/>
            <w:vAlign w:val="bottom"/>
            <w:hideMark/>
          </w:tcPr>
          <w:p w14:paraId="2A29BA43"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3.74</w:t>
            </w:r>
          </w:p>
        </w:tc>
      </w:tr>
      <w:tr w:rsidR="00BF535C" w:rsidRPr="004F77E9" w14:paraId="4FF0F442" w14:textId="77777777" w:rsidTr="00CB72DF">
        <w:trPr>
          <w:trHeight w:val="273"/>
        </w:trPr>
        <w:tc>
          <w:tcPr>
            <w:tcW w:w="1659" w:type="dxa"/>
            <w:tcBorders>
              <w:top w:val="nil"/>
              <w:left w:val="nil"/>
              <w:bottom w:val="single" w:sz="4" w:space="0" w:color="auto"/>
              <w:right w:val="nil"/>
            </w:tcBorders>
            <w:noWrap/>
            <w:vAlign w:val="bottom"/>
            <w:hideMark/>
          </w:tcPr>
          <w:p w14:paraId="07997127"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CV%</w:t>
            </w:r>
          </w:p>
        </w:tc>
        <w:tc>
          <w:tcPr>
            <w:tcW w:w="1386" w:type="dxa"/>
            <w:tcBorders>
              <w:top w:val="nil"/>
              <w:left w:val="nil"/>
              <w:bottom w:val="single" w:sz="4" w:space="0" w:color="auto"/>
              <w:right w:val="nil"/>
            </w:tcBorders>
            <w:vAlign w:val="bottom"/>
          </w:tcPr>
          <w:p w14:paraId="2496A442"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11.38</w:t>
            </w:r>
          </w:p>
        </w:tc>
        <w:tc>
          <w:tcPr>
            <w:tcW w:w="1386" w:type="dxa"/>
            <w:tcBorders>
              <w:top w:val="nil"/>
              <w:left w:val="nil"/>
              <w:bottom w:val="single" w:sz="4" w:space="0" w:color="auto"/>
              <w:right w:val="nil"/>
            </w:tcBorders>
            <w:vAlign w:val="bottom"/>
          </w:tcPr>
          <w:p w14:paraId="42284F91"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16.57</w:t>
            </w:r>
          </w:p>
        </w:tc>
        <w:tc>
          <w:tcPr>
            <w:tcW w:w="1386" w:type="dxa"/>
            <w:tcBorders>
              <w:top w:val="nil"/>
              <w:left w:val="nil"/>
              <w:bottom w:val="single" w:sz="4" w:space="0" w:color="auto"/>
              <w:right w:val="nil"/>
            </w:tcBorders>
            <w:vAlign w:val="bottom"/>
          </w:tcPr>
          <w:p w14:paraId="1F81547B"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5.25</w:t>
            </w:r>
          </w:p>
        </w:tc>
        <w:tc>
          <w:tcPr>
            <w:tcW w:w="2016" w:type="dxa"/>
            <w:tcBorders>
              <w:top w:val="nil"/>
              <w:left w:val="nil"/>
              <w:bottom w:val="single" w:sz="4" w:space="0" w:color="auto"/>
              <w:right w:val="nil"/>
            </w:tcBorders>
            <w:noWrap/>
            <w:vAlign w:val="bottom"/>
            <w:hideMark/>
          </w:tcPr>
          <w:p w14:paraId="3F92AE40"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hAnsi="Arial" w:cs="Arial"/>
                <w:color w:val="000000"/>
                <w:sz w:val="20"/>
                <w:szCs w:val="20"/>
              </w:rPr>
              <w:t>3.46</w:t>
            </w:r>
          </w:p>
        </w:tc>
        <w:tc>
          <w:tcPr>
            <w:tcW w:w="1257" w:type="dxa"/>
            <w:tcBorders>
              <w:top w:val="nil"/>
              <w:left w:val="nil"/>
              <w:bottom w:val="single" w:sz="4" w:space="0" w:color="auto"/>
              <w:right w:val="nil"/>
            </w:tcBorders>
            <w:noWrap/>
            <w:vAlign w:val="bottom"/>
            <w:hideMark/>
          </w:tcPr>
          <w:p w14:paraId="7933B699" w14:textId="77777777" w:rsidR="00BF535C" w:rsidRPr="004F77E9" w:rsidRDefault="00BF535C" w:rsidP="007950A5">
            <w:pPr>
              <w:spacing w:after="0" w:line="240" w:lineRule="auto"/>
              <w:rPr>
                <w:rFonts w:ascii="Arial" w:eastAsia="Times New Roman" w:hAnsi="Arial" w:cs="Arial"/>
                <w:color w:val="000000"/>
                <w:sz w:val="20"/>
                <w:szCs w:val="20"/>
                <w:lang w:bidi="ar-SA"/>
              </w:rPr>
            </w:pPr>
            <w:r w:rsidRPr="004F77E9">
              <w:rPr>
                <w:rFonts w:ascii="Arial" w:eastAsia="Times New Roman" w:hAnsi="Arial" w:cs="Arial"/>
                <w:color w:val="000000"/>
                <w:sz w:val="20"/>
                <w:szCs w:val="20"/>
                <w:lang w:bidi="ar-SA"/>
              </w:rPr>
              <w:t>2.23</w:t>
            </w:r>
          </w:p>
        </w:tc>
      </w:tr>
    </w:tbl>
    <w:p w14:paraId="69D7585F" w14:textId="77777777" w:rsidR="00841EE0" w:rsidRPr="004F77E9" w:rsidRDefault="00B7778A" w:rsidP="007950A5">
      <w:pPr>
        <w:spacing w:after="0" w:line="240" w:lineRule="auto"/>
        <w:rPr>
          <w:rFonts w:ascii="Arial" w:hAnsi="Arial" w:cs="Arial"/>
          <w:i/>
          <w:iCs/>
          <w:sz w:val="18"/>
          <w:szCs w:val="18"/>
        </w:rPr>
      </w:pPr>
      <w:r w:rsidRPr="004F77E9">
        <w:rPr>
          <w:rFonts w:ascii="Arial" w:hAnsi="Arial" w:cs="Arial"/>
          <w:i/>
          <w:iCs/>
          <w:sz w:val="18"/>
          <w:szCs w:val="18"/>
        </w:rPr>
        <w:t>Mean</w:t>
      </w:r>
      <w:r w:rsidR="00615045" w:rsidRPr="004F77E9">
        <w:rPr>
          <w:rFonts w:ascii="Arial" w:hAnsi="Arial" w:cs="Arial"/>
          <w:i/>
          <w:iCs/>
          <w:sz w:val="18"/>
          <w:szCs w:val="18"/>
        </w:rPr>
        <w:t>s</w:t>
      </w:r>
      <w:r w:rsidRPr="004F77E9">
        <w:rPr>
          <w:rFonts w:ascii="Arial" w:hAnsi="Arial" w:cs="Arial"/>
          <w:i/>
          <w:iCs/>
          <w:sz w:val="18"/>
          <w:szCs w:val="18"/>
        </w:rPr>
        <w:t xml:space="preserve"> followed by the same letter within each column were not significantly different at </w:t>
      </w:r>
      <w:r w:rsidR="00615045" w:rsidRPr="004F77E9">
        <w:rPr>
          <w:rFonts w:ascii="Arial" w:hAnsi="Arial" w:cs="Arial"/>
          <w:i/>
          <w:iCs/>
          <w:sz w:val="18"/>
          <w:szCs w:val="18"/>
        </w:rPr>
        <w:t xml:space="preserve">the </w:t>
      </w:r>
      <w:r w:rsidRPr="004F77E9">
        <w:rPr>
          <w:rFonts w:ascii="Arial" w:hAnsi="Arial" w:cs="Arial"/>
          <w:i/>
          <w:iCs/>
          <w:sz w:val="18"/>
          <w:szCs w:val="18"/>
        </w:rPr>
        <w:t>5% level.</w:t>
      </w:r>
      <w:r w:rsidR="00615045" w:rsidRPr="004F77E9">
        <w:rPr>
          <w:rFonts w:ascii="Arial" w:hAnsi="Arial" w:cs="Arial"/>
          <w:i/>
          <w:iCs/>
          <w:sz w:val="18"/>
          <w:szCs w:val="18"/>
        </w:rPr>
        <w:t xml:space="preserve"> </w:t>
      </w:r>
      <w:r w:rsidRPr="004F77E9">
        <w:rPr>
          <w:rFonts w:ascii="Arial" w:hAnsi="Arial" w:cs="Arial"/>
          <w:i/>
          <w:iCs/>
          <w:sz w:val="18"/>
          <w:szCs w:val="18"/>
          <w:vertAlign w:val="superscript"/>
        </w:rPr>
        <w:t>**</w:t>
      </w:r>
      <w:r w:rsidRPr="004F77E9">
        <w:rPr>
          <w:rFonts w:ascii="Arial" w:hAnsi="Arial" w:cs="Arial"/>
          <w:i/>
          <w:iCs/>
          <w:sz w:val="18"/>
          <w:szCs w:val="18"/>
        </w:rPr>
        <w:t xml:space="preserve"> significant at probability level p ˂ 0.0</w:t>
      </w:r>
      <w:r w:rsidR="00D91DC8" w:rsidRPr="004F77E9">
        <w:rPr>
          <w:rFonts w:ascii="Arial" w:hAnsi="Arial" w:cs="Arial"/>
          <w:i/>
          <w:iCs/>
          <w:sz w:val="18"/>
          <w:szCs w:val="18"/>
        </w:rPr>
        <w:t>0</w:t>
      </w:r>
      <w:r w:rsidRPr="004F77E9">
        <w:rPr>
          <w:rFonts w:ascii="Arial" w:hAnsi="Arial" w:cs="Arial"/>
          <w:i/>
          <w:iCs/>
          <w:sz w:val="18"/>
          <w:szCs w:val="18"/>
        </w:rPr>
        <w:t xml:space="preserve">1; * significant at probability level p ˂ 0.05; </w:t>
      </w:r>
      <w:r w:rsidRPr="004F77E9">
        <w:rPr>
          <w:rFonts w:ascii="Arial" w:hAnsi="Arial" w:cs="Arial"/>
          <w:i/>
          <w:iCs/>
          <w:sz w:val="18"/>
          <w:szCs w:val="18"/>
          <w:vertAlign w:val="superscript"/>
        </w:rPr>
        <w:t>ns</w:t>
      </w:r>
      <w:r w:rsidRPr="004F77E9">
        <w:rPr>
          <w:rFonts w:ascii="Arial" w:hAnsi="Arial" w:cs="Arial"/>
          <w:i/>
          <w:iCs/>
          <w:sz w:val="18"/>
          <w:szCs w:val="18"/>
        </w:rPr>
        <w:t xml:space="preserve"> non-significant, CV- coefficient of variation</w:t>
      </w:r>
      <w:r w:rsidR="00615045" w:rsidRPr="004F77E9">
        <w:rPr>
          <w:rFonts w:ascii="Arial" w:hAnsi="Arial" w:cs="Arial"/>
          <w:i/>
          <w:iCs/>
          <w:sz w:val="18"/>
          <w:szCs w:val="18"/>
        </w:rPr>
        <w:t xml:space="preserve">, </w:t>
      </w:r>
      <w:r w:rsidR="00841EE0" w:rsidRPr="004F77E9">
        <w:rPr>
          <w:rFonts w:ascii="Arial" w:hAnsi="Arial" w:cs="Arial"/>
          <w:i/>
          <w:iCs/>
          <w:sz w:val="18"/>
          <w:szCs w:val="18"/>
        </w:rPr>
        <w:t xml:space="preserve">AC- Activated carbon, BE- Bleaching earth </w:t>
      </w:r>
    </w:p>
    <w:p w14:paraId="056630E6" w14:textId="77777777" w:rsidR="007F7E0D" w:rsidRPr="004F77E9" w:rsidRDefault="007F7E0D" w:rsidP="007950A5">
      <w:pPr>
        <w:spacing w:after="0" w:line="240" w:lineRule="auto"/>
        <w:rPr>
          <w:rFonts w:ascii="Arial" w:hAnsi="Arial" w:cs="Arial"/>
          <w:i/>
          <w:iCs/>
          <w:sz w:val="20"/>
          <w:szCs w:val="20"/>
        </w:rPr>
      </w:pPr>
    </w:p>
    <w:p w14:paraId="3C6E88C0" w14:textId="77777777" w:rsidR="007F7E0D" w:rsidRPr="004F77E9" w:rsidRDefault="001F71DB" w:rsidP="007950A5">
      <w:pPr>
        <w:spacing w:after="0" w:line="240" w:lineRule="auto"/>
        <w:rPr>
          <w:rFonts w:ascii="Arial" w:hAnsi="Arial" w:cs="Arial"/>
          <w:b/>
          <w:sz w:val="20"/>
          <w:szCs w:val="20"/>
        </w:rPr>
      </w:pPr>
      <w:r w:rsidRPr="004F77E9">
        <w:rPr>
          <w:rFonts w:ascii="Arial" w:hAnsi="Arial" w:cs="Arial"/>
          <w:b/>
          <w:sz w:val="20"/>
          <w:szCs w:val="20"/>
        </w:rPr>
        <w:t xml:space="preserve">3.6 </w:t>
      </w:r>
      <w:proofErr w:type="spellStart"/>
      <w:r w:rsidRPr="004F77E9">
        <w:rPr>
          <w:rFonts w:ascii="Arial" w:hAnsi="Arial" w:cs="Arial"/>
          <w:b/>
          <w:sz w:val="20"/>
          <w:szCs w:val="20"/>
        </w:rPr>
        <w:t>Colour</w:t>
      </w:r>
      <w:proofErr w:type="spellEnd"/>
      <w:r w:rsidRPr="004F77E9">
        <w:rPr>
          <w:rFonts w:ascii="Arial" w:hAnsi="Arial" w:cs="Arial"/>
          <w:b/>
          <w:sz w:val="20"/>
          <w:szCs w:val="20"/>
        </w:rPr>
        <w:t xml:space="preserve"> </w:t>
      </w:r>
    </w:p>
    <w:p w14:paraId="7780F321" w14:textId="77777777" w:rsidR="007F7E0D" w:rsidRPr="004F77E9" w:rsidRDefault="007F7E0D" w:rsidP="007F7E0D">
      <w:pPr>
        <w:spacing w:after="0" w:line="240" w:lineRule="auto"/>
        <w:rPr>
          <w:rFonts w:ascii="Arial" w:hAnsi="Arial" w:cs="Arial"/>
          <w:sz w:val="20"/>
          <w:szCs w:val="20"/>
        </w:rPr>
      </w:pPr>
    </w:p>
    <w:p w14:paraId="28FC40D6" w14:textId="77777777" w:rsidR="007F7E0D" w:rsidRPr="004F77E9" w:rsidRDefault="00D71C0A" w:rsidP="007F7E0D">
      <w:pPr>
        <w:spacing w:after="0" w:line="240" w:lineRule="auto"/>
        <w:rPr>
          <w:rFonts w:ascii="Arial" w:hAnsi="Arial" w:cs="Arial"/>
          <w:sz w:val="20"/>
          <w:szCs w:val="20"/>
        </w:rPr>
      </w:pPr>
      <w:r w:rsidRPr="004F77E9">
        <w:rPr>
          <w:rFonts w:ascii="Arial" w:hAnsi="Arial" w:cs="Arial"/>
          <w:sz w:val="20"/>
          <w:szCs w:val="20"/>
        </w:rPr>
        <w:t xml:space="preserve">The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data in terms of the Hunter L* (lightness), a* (green to red), and b* (blue to yellow) values of the oil samples are illustrated in Figure 1. </w:t>
      </w:r>
      <w:r w:rsidRPr="004F77E9">
        <w:rPr>
          <w:rStyle w:val="Emphasis"/>
          <w:rFonts w:ascii="Arial" w:eastAsiaTheme="majorEastAsia" w:hAnsi="Arial" w:cs="Arial"/>
          <w:i w:val="0"/>
          <w:iCs w:val="0"/>
          <w:sz w:val="20"/>
          <w:szCs w:val="20"/>
        </w:rPr>
        <w:t xml:space="preserve">Significant differences (P &lt; 0.01) were observed in the Hunter </w:t>
      </w:r>
      <w:proofErr w:type="spellStart"/>
      <w:r w:rsidRPr="004F77E9">
        <w:rPr>
          <w:rStyle w:val="Emphasis"/>
          <w:rFonts w:ascii="Arial" w:eastAsiaTheme="majorEastAsia" w:hAnsi="Arial" w:cs="Arial"/>
          <w:i w:val="0"/>
          <w:iCs w:val="0"/>
          <w:sz w:val="20"/>
          <w:szCs w:val="20"/>
        </w:rPr>
        <w:t>colour</w:t>
      </w:r>
      <w:proofErr w:type="spellEnd"/>
      <w:r w:rsidRPr="004F77E9">
        <w:rPr>
          <w:rStyle w:val="Emphasis"/>
          <w:rFonts w:ascii="Arial" w:eastAsiaTheme="majorEastAsia" w:hAnsi="Arial" w:cs="Arial"/>
          <w:i w:val="0"/>
          <w:iCs w:val="0"/>
          <w:sz w:val="20"/>
          <w:szCs w:val="20"/>
        </w:rPr>
        <w:t xml:space="preserve"> parameters L*, a*</w:t>
      </w:r>
      <w:r w:rsidRPr="004F77E9">
        <w:rPr>
          <w:rFonts w:ascii="Arial" w:hAnsi="Arial" w:cs="Arial"/>
          <w:i/>
          <w:iCs/>
          <w:sz w:val="20"/>
          <w:szCs w:val="20"/>
        </w:rPr>
        <w:t>, and b*</w:t>
      </w:r>
      <w:r w:rsidRPr="004F77E9">
        <w:rPr>
          <w:rFonts w:ascii="Arial" w:hAnsi="Arial" w:cs="Arial"/>
          <w:sz w:val="20"/>
          <w:szCs w:val="20"/>
        </w:rPr>
        <w:t xml:space="preserve"> among the treatments. The L*, a*, and b* values of cottonseed oil refined using AC (0.5 g, 1 g, 1.5 g), BE (0.5 g, 1 g, 1.5 g), and the crude-oil control sample, respectively, were (14.63,0.58,7.48), (14.3, 0.23, 6.13), (15.63, 1.85, 7.73), (16.68, 1.43, 5.80), (14.65, 0.40, 4.75), (15.75, 2.75, 8.25), and (11.55, -2.68, 4.45) in Figure 1. </w:t>
      </w:r>
      <w:r w:rsidRPr="004F77E9">
        <w:rPr>
          <w:rFonts w:ascii="Arial" w:eastAsia="Times New Roman" w:hAnsi="Arial" w:cs="Arial"/>
          <w:sz w:val="20"/>
          <w:szCs w:val="20"/>
        </w:rPr>
        <w:t xml:space="preserve">Compared with the control, both BE and AC improved the </w:t>
      </w:r>
      <w:proofErr w:type="spellStart"/>
      <w:r w:rsidRPr="004F77E9">
        <w:rPr>
          <w:rFonts w:ascii="Arial" w:eastAsia="Times New Roman" w:hAnsi="Arial" w:cs="Arial"/>
          <w:sz w:val="20"/>
          <w:szCs w:val="20"/>
        </w:rPr>
        <w:t>colour</w:t>
      </w:r>
      <w:proofErr w:type="spellEnd"/>
      <w:r w:rsidRPr="004F77E9">
        <w:rPr>
          <w:rFonts w:ascii="Arial" w:eastAsia="Times New Roman" w:hAnsi="Arial" w:cs="Arial"/>
          <w:sz w:val="20"/>
          <w:szCs w:val="20"/>
        </w:rPr>
        <w:t xml:space="preserve"> properties of cottonseed oil. The higher L* values of the refined oils indicate that the oils became lighter because of the removal of pigments and other </w:t>
      </w:r>
      <w:proofErr w:type="spellStart"/>
      <w:r w:rsidRPr="004F77E9">
        <w:rPr>
          <w:rFonts w:ascii="Arial" w:eastAsia="Times New Roman" w:hAnsi="Arial" w:cs="Arial"/>
          <w:sz w:val="20"/>
          <w:szCs w:val="20"/>
        </w:rPr>
        <w:t>coloured</w:t>
      </w:r>
      <w:proofErr w:type="spellEnd"/>
      <w:r w:rsidRPr="004F77E9">
        <w:rPr>
          <w:rFonts w:ascii="Arial" w:eastAsia="Times New Roman" w:hAnsi="Arial" w:cs="Arial"/>
          <w:sz w:val="20"/>
          <w:szCs w:val="20"/>
        </w:rPr>
        <w:t xml:space="preserve"> impurities during refining. </w:t>
      </w:r>
      <w:r w:rsidRPr="004F77E9">
        <w:rPr>
          <w:rFonts w:ascii="Arial" w:hAnsi="Arial" w:cs="Arial"/>
          <w:sz w:val="20"/>
          <w:szCs w:val="20"/>
        </w:rPr>
        <w:t xml:space="preserve">The crude oil showed a negative a* value (-2.68), whereas all refined oils exhibited positive a* values, indicating a reduction in the green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after bleaching. This change is due to the removal of green pigments, particularly chlorophyll, by bleaching earth and activated carbon. All oil samples exhibited positive b* values, indicating the characteristic yellow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of cottonseed oil. The higher b* values observed in the refined oils suggest that the bleaching treatments removed undesirable pigments while maintaining the desirable golden-yellow appearance </w:t>
      </w:r>
      <w:r w:rsidRPr="004F77E9">
        <w:rPr>
          <w:rFonts w:ascii="Arial" w:hAnsi="Arial" w:cs="Arial"/>
          <w:sz w:val="20"/>
          <w:szCs w:val="20"/>
        </w:rPr>
        <w:lastRenderedPageBreak/>
        <w:t xml:space="preserve">of the oil. Crude cottonseed oil has a dark reddish-brown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because of the presence of highly </w:t>
      </w:r>
      <w:proofErr w:type="spellStart"/>
      <w:r w:rsidRPr="004F77E9">
        <w:rPr>
          <w:rFonts w:ascii="Arial" w:hAnsi="Arial" w:cs="Arial"/>
          <w:sz w:val="20"/>
          <w:szCs w:val="20"/>
        </w:rPr>
        <w:t>coloured</w:t>
      </w:r>
      <w:proofErr w:type="spellEnd"/>
      <w:r w:rsidRPr="004F77E9">
        <w:rPr>
          <w:rFonts w:ascii="Arial" w:hAnsi="Arial" w:cs="Arial"/>
          <w:sz w:val="20"/>
          <w:szCs w:val="20"/>
        </w:rPr>
        <w:t xml:space="preserve"> material extracted from the seed. After processing, cottonseed oil typically has a rich golden-yellow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that is lighter than peanut and corn oils but darker than soybean, sunflower, canola, and safflower oils (Shahidi, 2005</w:t>
      </w:r>
      <w:r w:rsidRPr="004F77E9">
        <w:rPr>
          <w:rFonts w:ascii="Arial" w:hAnsi="Arial" w:cs="Arial"/>
          <w:color w:val="222222"/>
          <w:sz w:val="20"/>
          <w:szCs w:val="20"/>
          <w:shd w:val="clear" w:color="auto" w:fill="FFFFFF"/>
        </w:rPr>
        <w:t>)</w:t>
      </w:r>
      <w:r w:rsidRPr="004F77E9">
        <w:rPr>
          <w:rFonts w:ascii="Arial" w:hAnsi="Arial" w:cs="Arial"/>
          <w:sz w:val="20"/>
          <w:szCs w:val="20"/>
        </w:rPr>
        <w:t xml:space="preserve">. </w:t>
      </w:r>
      <w:r w:rsidRPr="004F77E9">
        <w:rPr>
          <w:rStyle w:val="Strong"/>
          <w:rFonts w:ascii="Arial" w:hAnsi="Arial" w:cs="Arial"/>
          <w:b w:val="0"/>
          <w:bCs w:val="0"/>
          <w:sz w:val="20"/>
          <w:szCs w:val="20"/>
        </w:rPr>
        <w:t>Bleaching earth and activated carbon possess large surface areas and porous structures that effectively adsorb pigments such as carotenoids, chlorophyll, and gossypol, resulting in lighter-</w:t>
      </w:r>
      <w:proofErr w:type="spellStart"/>
      <w:r w:rsidRPr="004F77E9">
        <w:rPr>
          <w:rStyle w:val="Strong"/>
          <w:rFonts w:ascii="Arial" w:hAnsi="Arial" w:cs="Arial"/>
          <w:b w:val="0"/>
          <w:bCs w:val="0"/>
          <w:sz w:val="20"/>
          <w:szCs w:val="20"/>
        </w:rPr>
        <w:t>coloured</w:t>
      </w:r>
      <w:proofErr w:type="spellEnd"/>
      <w:r w:rsidRPr="004F77E9">
        <w:rPr>
          <w:rStyle w:val="Strong"/>
          <w:rFonts w:ascii="Arial" w:hAnsi="Arial" w:cs="Arial"/>
          <w:b w:val="0"/>
          <w:bCs w:val="0"/>
          <w:sz w:val="20"/>
          <w:szCs w:val="20"/>
        </w:rPr>
        <w:t xml:space="preserve"> oil. </w:t>
      </w:r>
      <w:r w:rsidRPr="004F77E9">
        <w:rPr>
          <w:rFonts w:ascii="Arial" w:hAnsi="Arial" w:cs="Arial"/>
          <w:sz w:val="20"/>
          <w:szCs w:val="20"/>
        </w:rPr>
        <w:t xml:space="preserve">The treated oils appeared lighter and clearer, indicating the removal of undesirable </w:t>
      </w:r>
      <w:proofErr w:type="spellStart"/>
      <w:r w:rsidRPr="004F77E9">
        <w:rPr>
          <w:rFonts w:ascii="Arial" w:hAnsi="Arial" w:cs="Arial"/>
          <w:sz w:val="20"/>
          <w:szCs w:val="20"/>
        </w:rPr>
        <w:t>colour</w:t>
      </w:r>
      <w:proofErr w:type="spellEnd"/>
      <w:r w:rsidRPr="004F77E9">
        <w:rPr>
          <w:rFonts w:ascii="Arial" w:hAnsi="Arial" w:cs="Arial"/>
          <w:sz w:val="20"/>
          <w:szCs w:val="20"/>
        </w:rPr>
        <w:t xml:space="preserve"> pigments and impurities. These results suggest that both adsorbents were effective in improving the appearance of refined cottonseed oil. </w:t>
      </w:r>
    </w:p>
    <w:p w14:paraId="7050115B"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4AB6B211"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5DDA0021"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0F43D68C"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388A6332"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300C40B1"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611AA3BC"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5608508B"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1806B7E5"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54C98609" w14:textId="77777777" w:rsidR="004E42B1" w:rsidRPr="004F77E9" w:rsidRDefault="004E42B1" w:rsidP="007F7E0D">
      <w:pPr>
        <w:spacing w:after="0" w:line="240" w:lineRule="auto"/>
        <w:rPr>
          <w:rFonts w:ascii="Arial" w:eastAsia="Times New Roman" w:hAnsi="Arial" w:cs="Arial"/>
          <w:b/>
          <w:color w:val="000000"/>
          <w:sz w:val="18"/>
          <w:szCs w:val="20"/>
          <w:lang w:bidi="ar-SA"/>
        </w:rPr>
      </w:pPr>
    </w:p>
    <w:p w14:paraId="5227E9CD"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604131D7"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4021F32D"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717AD8AA"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10D6F15D" w14:textId="77777777" w:rsidR="00CB72DF" w:rsidRPr="004F77E9" w:rsidRDefault="00CB72DF" w:rsidP="007F7E0D">
      <w:pPr>
        <w:spacing w:after="0" w:line="240" w:lineRule="auto"/>
        <w:rPr>
          <w:rFonts w:ascii="Arial" w:eastAsia="Times New Roman" w:hAnsi="Arial" w:cs="Arial"/>
          <w:b/>
          <w:color w:val="000000"/>
          <w:sz w:val="18"/>
          <w:szCs w:val="20"/>
          <w:lang w:bidi="ar-SA"/>
        </w:rPr>
      </w:pPr>
    </w:p>
    <w:p w14:paraId="20F63D27" w14:textId="77777777" w:rsidR="007F7E0D" w:rsidRPr="004F77E9" w:rsidRDefault="00615045" w:rsidP="007F7E0D">
      <w:pPr>
        <w:spacing w:after="0" w:line="240" w:lineRule="auto"/>
        <w:rPr>
          <w:rFonts w:ascii="Arial" w:hAnsi="Arial" w:cs="Arial"/>
          <w:sz w:val="20"/>
          <w:szCs w:val="20"/>
        </w:rPr>
      </w:pPr>
      <w:r w:rsidRPr="004F77E9">
        <w:rPr>
          <w:rFonts w:ascii="Arial" w:hAnsi="Arial" w:cs="Arial"/>
          <w:noProof/>
          <w:sz w:val="20"/>
          <w:szCs w:val="20"/>
          <w:lang w:bidi="ar-SA"/>
        </w:rPr>
        <w:drawing>
          <wp:anchor distT="0" distB="0" distL="114300" distR="114300" simplePos="0" relativeHeight="251657216" behindDoc="1" locked="0" layoutInCell="1" allowOverlap="1" wp14:anchorId="397C1818" wp14:editId="364FE415">
            <wp:simplePos x="0" y="0"/>
            <wp:positionH relativeFrom="column">
              <wp:posOffset>323850</wp:posOffset>
            </wp:positionH>
            <wp:positionV relativeFrom="paragraph">
              <wp:posOffset>-247650</wp:posOffset>
            </wp:positionV>
            <wp:extent cx="4571365" cy="3124200"/>
            <wp:effectExtent l="0" t="0" r="635" b="0"/>
            <wp:wrapThrough wrapText="bothSides">
              <wp:wrapPolygon edited="0">
                <wp:start x="0" y="0"/>
                <wp:lineTo x="0" y="21468"/>
                <wp:lineTo x="21513" y="21468"/>
                <wp:lineTo x="21513"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2194B5C5"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610E0DAC"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732F67C8"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7CAD5DDC"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21F6CB04"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13D7294E"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40584870"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15DFC5E2"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44B736BC"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43BB96A6"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0E8F3BAB"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27F0CF09" w14:textId="77777777" w:rsidR="00605576" w:rsidRPr="004F77E9" w:rsidRDefault="00605576" w:rsidP="007F7E0D">
      <w:pPr>
        <w:pStyle w:val="Heading1"/>
        <w:numPr>
          <w:ilvl w:val="0"/>
          <w:numId w:val="0"/>
        </w:numPr>
        <w:spacing w:before="0" w:line="240" w:lineRule="auto"/>
        <w:rPr>
          <w:rFonts w:ascii="Arial" w:hAnsi="Arial" w:cs="Arial"/>
          <w:color w:val="auto"/>
          <w:sz w:val="20"/>
          <w:szCs w:val="20"/>
        </w:rPr>
      </w:pPr>
    </w:p>
    <w:p w14:paraId="5C4363C9" w14:textId="77777777" w:rsidR="00605576" w:rsidRPr="004F77E9" w:rsidRDefault="00605576" w:rsidP="00605576"/>
    <w:p w14:paraId="2057F5DB" w14:textId="77777777" w:rsidR="00605576" w:rsidRPr="004F77E9" w:rsidRDefault="00605576" w:rsidP="00605576"/>
    <w:tbl>
      <w:tblPr>
        <w:tblpPr w:leftFromText="180" w:rightFromText="180" w:vertAnchor="text" w:horzAnchor="margin" w:tblpXSpec="center" w:tblpY="409"/>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29"/>
        <w:gridCol w:w="2161"/>
        <w:gridCol w:w="1901"/>
        <w:gridCol w:w="66"/>
        <w:gridCol w:w="1516"/>
      </w:tblGrid>
      <w:tr w:rsidR="00615045" w:rsidRPr="004F77E9" w14:paraId="2B144117" w14:textId="77777777" w:rsidTr="00615045">
        <w:trPr>
          <w:tblHeader/>
          <w:tblCellSpacing w:w="15" w:type="dxa"/>
        </w:trPr>
        <w:tc>
          <w:tcPr>
            <w:tcW w:w="0" w:type="auto"/>
            <w:tcBorders>
              <w:top w:val="single" w:sz="4" w:space="0" w:color="auto"/>
              <w:bottom w:val="single" w:sz="4" w:space="0" w:color="auto"/>
            </w:tcBorders>
            <w:vAlign w:val="center"/>
            <w:hideMark/>
          </w:tcPr>
          <w:p w14:paraId="697F923F" w14:textId="77777777" w:rsidR="00615045" w:rsidRPr="004F77E9" w:rsidRDefault="00615045" w:rsidP="00615045">
            <w:pPr>
              <w:spacing w:after="0" w:line="240" w:lineRule="auto"/>
              <w:jc w:val="center"/>
              <w:rPr>
                <w:rFonts w:ascii="Arial" w:eastAsia="Times New Roman" w:hAnsi="Arial" w:cs="Arial"/>
                <w:b/>
                <w:bCs/>
                <w:szCs w:val="24"/>
                <w:lang w:bidi="ar-SA"/>
              </w:rPr>
            </w:pPr>
            <w:r w:rsidRPr="004F77E9">
              <w:rPr>
                <w:rFonts w:ascii="Arial" w:eastAsia="Times New Roman" w:hAnsi="Arial" w:cs="Arial"/>
                <w:b/>
                <w:bCs/>
                <w:szCs w:val="24"/>
                <w:lang w:bidi="ar-SA"/>
              </w:rPr>
              <w:t>Color attribute</w:t>
            </w:r>
          </w:p>
        </w:tc>
        <w:tc>
          <w:tcPr>
            <w:tcW w:w="0" w:type="auto"/>
            <w:tcBorders>
              <w:top w:val="single" w:sz="4" w:space="0" w:color="auto"/>
              <w:bottom w:val="single" w:sz="4" w:space="0" w:color="auto"/>
            </w:tcBorders>
            <w:vAlign w:val="center"/>
            <w:hideMark/>
          </w:tcPr>
          <w:p w14:paraId="5E1A63DC" w14:textId="77777777" w:rsidR="00615045" w:rsidRPr="004F77E9" w:rsidRDefault="00615045" w:rsidP="00615045">
            <w:pPr>
              <w:spacing w:after="0" w:line="240" w:lineRule="auto"/>
              <w:jc w:val="right"/>
              <w:rPr>
                <w:rFonts w:ascii="Arial" w:eastAsia="Times New Roman" w:hAnsi="Arial" w:cs="Arial"/>
                <w:b/>
                <w:bCs/>
                <w:szCs w:val="24"/>
                <w:lang w:bidi="ar-SA"/>
              </w:rPr>
            </w:pPr>
            <w:r w:rsidRPr="004F77E9">
              <w:rPr>
                <w:rFonts w:ascii="Arial" w:eastAsia="Times New Roman" w:hAnsi="Arial" w:cs="Arial"/>
                <w:b/>
                <w:bCs/>
                <w:szCs w:val="24"/>
                <w:lang w:bidi="ar-SA"/>
              </w:rPr>
              <w:t xml:space="preserve">           </w:t>
            </w:r>
            <w:proofErr w:type="spellStart"/>
            <w:r w:rsidRPr="004F77E9">
              <w:rPr>
                <w:rFonts w:ascii="Arial" w:eastAsia="Times New Roman" w:hAnsi="Arial" w:cs="Arial"/>
                <w:b/>
                <w:bCs/>
                <w:szCs w:val="24"/>
                <w:lang w:bidi="ar-SA"/>
              </w:rPr>
              <w:t>Pr</w:t>
            </w:r>
            <w:proofErr w:type="spellEnd"/>
            <w:r w:rsidRPr="004F77E9">
              <w:rPr>
                <w:rFonts w:ascii="Arial" w:eastAsia="Times New Roman" w:hAnsi="Arial" w:cs="Arial"/>
                <w:b/>
                <w:bCs/>
                <w:szCs w:val="24"/>
                <w:lang w:bidi="ar-SA"/>
              </w:rPr>
              <w:t xml:space="preserve"> &gt; F (0.01)</w:t>
            </w:r>
          </w:p>
        </w:tc>
        <w:tc>
          <w:tcPr>
            <w:tcW w:w="0" w:type="auto"/>
            <w:tcBorders>
              <w:top w:val="single" w:sz="4" w:space="0" w:color="auto"/>
              <w:bottom w:val="single" w:sz="4" w:space="0" w:color="auto"/>
            </w:tcBorders>
            <w:vAlign w:val="center"/>
            <w:hideMark/>
          </w:tcPr>
          <w:p w14:paraId="3575DB1F" w14:textId="77777777" w:rsidR="00615045" w:rsidRPr="004F77E9" w:rsidRDefault="00615045" w:rsidP="00615045">
            <w:pPr>
              <w:spacing w:after="0" w:line="240" w:lineRule="auto"/>
              <w:jc w:val="right"/>
              <w:rPr>
                <w:rFonts w:ascii="Arial" w:eastAsia="Times New Roman" w:hAnsi="Arial" w:cs="Arial"/>
                <w:b/>
                <w:bCs/>
                <w:szCs w:val="24"/>
                <w:lang w:bidi="ar-SA"/>
              </w:rPr>
            </w:pPr>
            <w:r w:rsidRPr="004F77E9">
              <w:rPr>
                <w:rFonts w:ascii="Arial" w:eastAsia="Times New Roman" w:hAnsi="Arial" w:cs="Arial"/>
                <w:b/>
                <w:bCs/>
                <w:szCs w:val="24"/>
                <w:lang w:bidi="ar-SA"/>
              </w:rPr>
              <w:t xml:space="preserve">          LSD (0.05)</w:t>
            </w:r>
          </w:p>
        </w:tc>
        <w:tc>
          <w:tcPr>
            <w:tcW w:w="0" w:type="auto"/>
            <w:tcBorders>
              <w:top w:val="single" w:sz="4" w:space="0" w:color="auto"/>
              <w:bottom w:val="single" w:sz="4" w:space="0" w:color="auto"/>
            </w:tcBorders>
          </w:tcPr>
          <w:p w14:paraId="0563F2D5" w14:textId="77777777" w:rsidR="00615045" w:rsidRPr="004F77E9" w:rsidRDefault="00615045" w:rsidP="00615045">
            <w:pPr>
              <w:spacing w:after="0" w:line="240" w:lineRule="auto"/>
              <w:jc w:val="right"/>
              <w:rPr>
                <w:rFonts w:ascii="Arial" w:eastAsia="Times New Roman" w:hAnsi="Arial" w:cs="Arial"/>
                <w:b/>
                <w:bCs/>
                <w:szCs w:val="24"/>
                <w:lang w:bidi="ar-SA"/>
              </w:rPr>
            </w:pPr>
          </w:p>
        </w:tc>
        <w:tc>
          <w:tcPr>
            <w:tcW w:w="0" w:type="auto"/>
            <w:tcBorders>
              <w:top w:val="single" w:sz="4" w:space="0" w:color="auto"/>
              <w:bottom w:val="single" w:sz="4" w:space="0" w:color="auto"/>
            </w:tcBorders>
            <w:vAlign w:val="center"/>
            <w:hideMark/>
          </w:tcPr>
          <w:p w14:paraId="66677C31" w14:textId="77777777" w:rsidR="00615045" w:rsidRPr="004F77E9" w:rsidRDefault="00615045" w:rsidP="00615045">
            <w:pPr>
              <w:spacing w:after="0" w:line="240" w:lineRule="auto"/>
              <w:jc w:val="right"/>
              <w:rPr>
                <w:rFonts w:ascii="Arial" w:eastAsia="Times New Roman" w:hAnsi="Arial" w:cs="Arial"/>
                <w:b/>
                <w:bCs/>
                <w:szCs w:val="24"/>
                <w:lang w:bidi="ar-SA"/>
              </w:rPr>
            </w:pPr>
            <w:r w:rsidRPr="004F77E9">
              <w:rPr>
                <w:rFonts w:ascii="Arial" w:eastAsia="Times New Roman" w:hAnsi="Arial" w:cs="Arial"/>
                <w:b/>
                <w:bCs/>
                <w:szCs w:val="24"/>
                <w:lang w:bidi="ar-SA"/>
              </w:rPr>
              <w:t xml:space="preserve">          CV (%)</w:t>
            </w:r>
          </w:p>
        </w:tc>
      </w:tr>
      <w:tr w:rsidR="00615045" w:rsidRPr="004F77E9" w14:paraId="26D0D45E" w14:textId="77777777" w:rsidTr="00615045">
        <w:trPr>
          <w:tblCellSpacing w:w="15" w:type="dxa"/>
        </w:trPr>
        <w:tc>
          <w:tcPr>
            <w:tcW w:w="0" w:type="auto"/>
            <w:vAlign w:val="center"/>
            <w:hideMark/>
          </w:tcPr>
          <w:p w14:paraId="4311C84D" w14:textId="77777777" w:rsidR="00615045" w:rsidRPr="004F77E9" w:rsidRDefault="00615045" w:rsidP="00615045">
            <w:pPr>
              <w:spacing w:after="0" w:line="240" w:lineRule="auto"/>
              <w:jc w:val="left"/>
              <w:rPr>
                <w:rFonts w:ascii="Arial" w:eastAsia="Times New Roman" w:hAnsi="Arial" w:cs="Arial"/>
                <w:szCs w:val="24"/>
                <w:lang w:bidi="ar-SA"/>
              </w:rPr>
            </w:pPr>
            <w:r w:rsidRPr="004F77E9">
              <w:rPr>
                <w:rFonts w:ascii="Arial" w:eastAsia="Times New Roman" w:hAnsi="Arial" w:cs="Arial"/>
                <w:szCs w:val="24"/>
                <w:lang w:bidi="ar-SA"/>
              </w:rPr>
              <w:t>L*</w:t>
            </w:r>
          </w:p>
        </w:tc>
        <w:tc>
          <w:tcPr>
            <w:tcW w:w="0" w:type="auto"/>
            <w:vAlign w:val="center"/>
            <w:hideMark/>
          </w:tcPr>
          <w:p w14:paraId="1C3E0D9D"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&lt;0.0001</w:t>
            </w:r>
          </w:p>
        </w:tc>
        <w:tc>
          <w:tcPr>
            <w:tcW w:w="0" w:type="auto"/>
            <w:vAlign w:val="center"/>
            <w:hideMark/>
          </w:tcPr>
          <w:p w14:paraId="139CF922"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0.3475</w:t>
            </w:r>
          </w:p>
        </w:tc>
        <w:tc>
          <w:tcPr>
            <w:tcW w:w="0" w:type="auto"/>
          </w:tcPr>
          <w:p w14:paraId="080E5091" w14:textId="77777777" w:rsidR="00615045" w:rsidRPr="004F77E9" w:rsidRDefault="00615045" w:rsidP="00615045">
            <w:pPr>
              <w:spacing w:after="0" w:line="240" w:lineRule="auto"/>
              <w:jc w:val="right"/>
              <w:rPr>
                <w:rFonts w:ascii="Arial" w:eastAsia="Times New Roman" w:hAnsi="Arial" w:cs="Arial"/>
                <w:szCs w:val="24"/>
                <w:lang w:bidi="ar-SA"/>
              </w:rPr>
            </w:pPr>
          </w:p>
        </w:tc>
        <w:tc>
          <w:tcPr>
            <w:tcW w:w="0" w:type="auto"/>
            <w:vAlign w:val="center"/>
            <w:hideMark/>
          </w:tcPr>
          <w:p w14:paraId="28357B88"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2.04</w:t>
            </w:r>
          </w:p>
        </w:tc>
      </w:tr>
      <w:tr w:rsidR="00615045" w:rsidRPr="004F77E9" w14:paraId="379CEB4C" w14:textId="77777777" w:rsidTr="00615045">
        <w:trPr>
          <w:tblCellSpacing w:w="15" w:type="dxa"/>
        </w:trPr>
        <w:tc>
          <w:tcPr>
            <w:tcW w:w="0" w:type="auto"/>
            <w:vAlign w:val="center"/>
            <w:hideMark/>
          </w:tcPr>
          <w:p w14:paraId="346FEA53" w14:textId="77777777" w:rsidR="00615045" w:rsidRPr="004F77E9" w:rsidRDefault="00615045" w:rsidP="00615045">
            <w:pPr>
              <w:spacing w:after="0" w:line="240" w:lineRule="auto"/>
              <w:jc w:val="left"/>
              <w:rPr>
                <w:rFonts w:ascii="Arial" w:eastAsia="Times New Roman" w:hAnsi="Arial" w:cs="Arial"/>
                <w:szCs w:val="24"/>
                <w:lang w:bidi="ar-SA"/>
              </w:rPr>
            </w:pPr>
            <w:r w:rsidRPr="004F77E9">
              <w:rPr>
                <w:rFonts w:ascii="Arial" w:eastAsia="Times New Roman" w:hAnsi="Arial" w:cs="Arial"/>
                <w:szCs w:val="24"/>
                <w:lang w:bidi="ar-SA"/>
              </w:rPr>
              <w:t>a*</w:t>
            </w:r>
          </w:p>
        </w:tc>
        <w:tc>
          <w:tcPr>
            <w:tcW w:w="0" w:type="auto"/>
            <w:vAlign w:val="center"/>
            <w:hideMark/>
          </w:tcPr>
          <w:p w14:paraId="447D3344"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&lt;0.0001</w:t>
            </w:r>
          </w:p>
        </w:tc>
        <w:tc>
          <w:tcPr>
            <w:tcW w:w="0" w:type="auto"/>
            <w:vAlign w:val="center"/>
            <w:hideMark/>
          </w:tcPr>
          <w:p w14:paraId="12248BA0"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0.2547</w:t>
            </w:r>
          </w:p>
        </w:tc>
        <w:tc>
          <w:tcPr>
            <w:tcW w:w="0" w:type="auto"/>
          </w:tcPr>
          <w:p w14:paraId="1F0D3D63" w14:textId="77777777" w:rsidR="00615045" w:rsidRPr="004F77E9" w:rsidRDefault="00615045" w:rsidP="00615045">
            <w:pPr>
              <w:spacing w:after="0" w:line="240" w:lineRule="auto"/>
              <w:jc w:val="right"/>
              <w:rPr>
                <w:rFonts w:ascii="Arial" w:eastAsia="Times New Roman" w:hAnsi="Arial" w:cs="Arial"/>
                <w:szCs w:val="24"/>
                <w:lang w:bidi="ar-SA"/>
              </w:rPr>
            </w:pPr>
          </w:p>
        </w:tc>
        <w:tc>
          <w:tcPr>
            <w:tcW w:w="0" w:type="auto"/>
            <w:vAlign w:val="center"/>
            <w:hideMark/>
          </w:tcPr>
          <w:p w14:paraId="59F8C4A6"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13.36</w:t>
            </w:r>
          </w:p>
        </w:tc>
      </w:tr>
      <w:tr w:rsidR="00615045" w:rsidRPr="004F77E9" w14:paraId="0BC8D3FE" w14:textId="77777777" w:rsidTr="00615045">
        <w:trPr>
          <w:tblCellSpacing w:w="15" w:type="dxa"/>
        </w:trPr>
        <w:tc>
          <w:tcPr>
            <w:tcW w:w="0" w:type="auto"/>
            <w:vAlign w:val="center"/>
            <w:hideMark/>
          </w:tcPr>
          <w:p w14:paraId="19FB9808" w14:textId="77777777" w:rsidR="00615045" w:rsidRPr="004F77E9" w:rsidRDefault="00615045" w:rsidP="00615045">
            <w:pPr>
              <w:spacing w:after="0" w:line="240" w:lineRule="auto"/>
              <w:jc w:val="left"/>
              <w:rPr>
                <w:rFonts w:ascii="Arial" w:eastAsia="Times New Roman" w:hAnsi="Arial" w:cs="Arial"/>
                <w:szCs w:val="24"/>
                <w:lang w:bidi="ar-SA"/>
              </w:rPr>
            </w:pPr>
            <w:r w:rsidRPr="004F77E9">
              <w:rPr>
                <w:rFonts w:ascii="Arial" w:eastAsia="Times New Roman" w:hAnsi="Arial" w:cs="Arial"/>
                <w:szCs w:val="24"/>
                <w:lang w:bidi="ar-SA"/>
              </w:rPr>
              <w:t>b*</w:t>
            </w:r>
          </w:p>
        </w:tc>
        <w:tc>
          <w:tcPr>
            <w:tcW w:w="0" w:type="auto"/>
            <w:vAlign w:val="center"/>
            <w:hideMark/>
          </w:tcPr>
          <w:p w14:paraId="64042114"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&lt;0.0001</w:t>
            </w:r>
          </w:p>
        </w:tc>
        <w:tc>
          <w:tcPr>
            <w:tcW w:w="0" w:type="auto"/>
            <w:vAlign w:val="center"/>
            <w:hideMark/>
          </w:tcPr>
          <w:p w14:paraId="0D75E29F"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0.4530</w:t>
            </w:r>
          </w:p>
        </w:tc>
        <w:tc>
          <w:tcPr>
            <w:tcW w:w="0" w:type="auto"/>
          </w:tcPr>
          <w:p w14:paraId="7E83A5E1" w14:textId="77777777" w:rsidR="00615045" w:rsidRPr="004F77E9" w:rsidRDefault="00615045" w:rsidP="00615045">
            <w:pPr>
              <w:spacing w:after="0" w:line="240" w:lineRule="auto"/>
              <w:jc w:val="right"/>
              <w:rPr>
                <w:rFonts w:ascii="Arial" w:eastAsia="Times New Roman" w:hAnsi="Arial" w:cs="Arial"/>
                <w:szCs w:val="24"/>
                <w:lang w:bidi="ar-SA"/>
              </w:rPr>
            </w:pPr>
          </w:p>
        </w:tc>
        <w:tc>
          <w:tcPr>
            <w:tcW w:w="0" w:type="auto"/>
            <w:vAlign w:val="center"/>
            <w:hideMark/>
          </w:tcPr>
          <w:p w14:paraId="1B7FAAD1" w14:textId="77777777" w:rsidR="00615045" w:rsidRPr="004F77E9" w:rsidRDefault="00615045" w:rsidP="00615045">
            <w:pPr>
              <w:spacing w:after="0" w:line="240" w:lineRule="auto"/>
              <w:jc w:val="right"/>
              <w:rPr>
                <w:rFonts w:ascii="Arial" w:eastAsia="Times New Roman" w:hAnsi="Arial" w:cs="Arial"/>
                <w:szCs w:val="24"/>
                <w:lang w:bidi="ar-SA"/>
              </w:rPr>
            </w:pPr>
            <w:r w:rsidRPr="004F77E9">
              <w:rPr>
                <w:rFonts w:ascii="Arial" w:eastAsia="Times New Roman" w:hAnsi="Arial" w:cs="Arial"/>
                <w:szCs w:val="24"/>
                <w:lang w:bidi="ar-SA"/>
              </w:rPr>
              <w:t>5.17</w:t>
            </w:r>
          </w:p>
        </w:tc>
      </w:tr>
    </w:tbl>
    <w:p w14:paraId="3279765D" w14:textId="77777777" w:rsidR="00605576" w:rsidRPr="004F77E9" w:rsidRDefault="00605576" w:rsidP="00605576"/>
    <w:p w14:paraId="78BEA560" w14:textId="77777777" w:rsidR="00605576" w:rsidRPr="004F77E9" w:rsidRDefault="00605576" w:rsidP="00605576"/>
    <w:p w14:paraId="44DB3AAD" w14:textId="77777777" w:rsidR="00605576" w:rsidRPr="004F77E9" w:rsidRDefault="00605576" w:rsidP="00605576"/>
    <w:p w14:paraId="2966E0C8" w14:textId="77777777" w:rsidR="00AC1325" w:rsidRPr="004F77E9" w:rsidRDefault="00AC1325" w:rsidP="00AC1325">
      <w:pPr>
        <w:spacing w:after="0" w:line="240" w:lineRule="auto"/>
        <w:ind w:firstLine="720"/>
        <w:rPr>
          <w:rFonts w:ascii="Arial" w:eastAsia="Times New Roman" w:hAnsi="Arial" w:cs="Arial"/>
          <w:b/>
          <w:sz w:val="20"/>
          <w:szCs w:val="20"/>
        </w:rPr>
      </w:pPr>
      <w:r w:rsidRPr="004F77E9">
        <w:rPr>
          <w:rFonts w:ascii="Arial" w:eastAsia="Times New Roman" w:hAnsi="Arial" w:cs="Arial"/>
          <w:b/>
          <w:sz w:val="20"/>
          <w:szCs w:val="20"/>
        </w:rPr>
        <w:t>Figure 1. Effect of different refining methods on the color attributes of cottonseed oil</w:t>
      </w:r>
    </w:p>
    <w:p w14:paraId="6ACA1BA4" w14:textId="77777777" w:rsidR="00AC1325" w:rsidRPr="004F77E9" w:rsidRDefault="00AC1325" w:rsidP="00605576"/>
    <w:p w14:paraId="66934B40" w14:textId="77777777" w:rsidR="007F7E0D" w:rsidRPr="004F77E9" w:rsidRDefault="007F7E0D" w:rsidP="007F7E0D">
      <w:pPr>
        <w:pStyle w:val="Heading1"/>
        <w:numPr>
          <w:ilvl w:val="0"/>
          <w:numId w:val="0"/>
        </w:numPr>
        <w:spacing w:before="0" w:line="240" w:lineRule="auto"/>
        <w:rPr>
          <w:rFonts w:ascii="Arial" w:hAnsi="Arial" w:cs="Arial"/>
          <w:color w:val="auto"/>
          <w:sz w:val="22"/>
          <w:szCs w:val="22"/>
        </w:rPr>
      </w:pPr>
      <w:r w:rsidRPr="004F77E9">
        <w:rPr>
          <w:rFonts w:ascii="Arial" w:hAnsi="Arial" w:cs="Arial"/>
          <w:color w:val="auto"/>
          <w:sz w:val="22"/>
          <w:szCs w:val="22"/>
        </w:rPr>
        <w:t>4. CONCLUSION</w:t>
      </w:r>
    </w:p>
    <w:p w14:paraId="3BBACD03" w14:textId="77777777" w:rsidR="007F7E0D" w:rsidRPr="004F77E9" w:rsidRDefault="007F7E0D" w:rsidP="007F7E0D">
      <w:pPr>
        <w:spacing w:after="0" w:line="240" w:lineRule="auto"/>
        <w:rPr>
          <w:rFonts w:ascii="Arial" w:hAnsi="Arial" w:cs="Arial"/>
          <w:sz w:val="20"/>
          <w:szCs w:val="20"/>
        </w:rPr>
      </w:pPr>
    </w:p>
    <w:p w14:paraId="49046402" w14:textId="77777777" w:rsidR="003C0350" w:rsidRDefault="003C0350" w:rsidP="00ED3296">
      <w:pPr>
        <w:tabs>
          <w:tab w:val="left" w:pos="2355"/>
        </w:tabs>
        <w:spacing w:line="240" w:lineRule="auto"/>
        <w:rPr>
          <w:rFonts w:ascii="Arial" w:hAnsi="Arial" w:cs="Arial"/>
          <w:sz w:val="20"/>
          <w:szCs w:val="20"/>
        </w:rPr>
      </w:pPr>
      <w:r w:rsidRPr="003C0350">
        <w:rPr>
          <w:rFonts w:ascii="Arial" w:hAnsi="Arial" w:cs="Arial"/>
          <w:sz w:val="20"/>
          <w:szCs w:val="20"/>
        </w:rPr>
        <w:t xml:space="preserve">Activated carbon and bleaching earth were both effective bleaching adsorbents for improving the measured quality attributes of refined cottonseed oil. Relative to crude oil, all refining treatments produced pronounced reductions in gossypol content and free fatty acid content and improved the </w:t>
      </w:r>
      <w:proofErr w:type="spellStart"/>
      <w:r w:rsidRPr="003C0350">
        <w:rPr>
          <w:rFonts w:ascii="Arial" w:hAnsi="Arial" w:cs="Arial"/>
          <w:sz w:val="20"/>
          <w:szCs w:val="20"/>
        </w:rPr>
        <w:t>colour</w:t>
      </w:r>
      <w:proofErr w:type="spellEnd"/>
      <w:r w:rsidRPr="003C0350">
        <w:rPr>
          <w:rFonts w:ascii="Arial" w:hAnsi="Arial" w:cs="Arial"/>
          <w:sz w:val="20"/>
          <w:szCs w:val="20"/>
        </w:rPr>
        <w:t xml:space="preserve"> characteristics of the oil. The lowest gossypol content, 0.0023%, was obtained with AC at 1.0 and 1.5 g/100 g oil and BE at 1.0 g/100 g oil. AC at 1.0 g/100 g oil also gave the lowest FFA content, whereas BE at 0.5 g/100 g oil produced the lowest peroxide value. Saponification and iodine values varied among the treatments, indicating that the two adsorbents did not affect all physicochemical </w:t>
      </w:r>
      <w:r w:rsidRPr="003C0350">
        <w:rPr>
          <w:rFonts w:ascii="Arial" w:hAnsi="Arial" w:cs="Arial"/>
          <w:sz w:val="20"/>
          <w:szCs w:val="20"/>
        </w:rPr>
        <w:lastRenderedPageBreak/>
        <w:t xml:space="preserve">parameters in the same way. Considering the overall response of the measured quality indicators, 1.0 g/100 g oil of either bleaching earth or activated carbon can be regarded as an effective bleaching treatment under the conditions of this study. The selection between the two adsorbents should therefore reflect the specific quality attribute </w:t>
      </w:r>
      <w:proofErr w:type="spellStart"/>
      <w:r w:rsidRPr="003C0350">
        <w:rPr>
          <w:rFonts w:ascii="Arial" w:hAnsi="Arial" w:cs="Arial"/>
          <w:sz w:val="20"/>
          <w:szCs w:val="20"/>
        </w:rPr>
        <w:t>prioritised</w:t>
      </w:r>
      <w:proofErr w:type="spellEnd"/>
      <w:r w:rsidRPr="003C0350">
        <w:rPr>
          <w:rFonts w:ascii="Arial" w:hAnsi="Arial" w:cs="Arial"/>
          <w:sz w:val="20"/>
          <w:szCs w:val="20"/>
        </w:rPr>
        <w:t xml:space="preserve"> during cottonseed-oil refining.</w:t>
      </w:r>
    </w:p>
    <w:p w14:paraId="5699C0C9" w14:textId="25DA7698" w:rsidR="004F77E9" w:rsidRPr="004F77E9" w:rsidRDefault="004F77E9" w:rsidP="00ED3296">
      <w:pPr>
        <w:tabs>
          <w:tab w:val="left" w:pos="2355"/>
        </w:tabs>
        <w:spacing w:line="240" w:lineRule="auto"/>
        <w:rPr>
          <w:rFonts w:ascii="Arial" w:hAnsi="Arial" w:cs="Arial"/>
          <w:b/>
          <w:bCs/>
          <w:sz w:val="22"/>
        </w:rPr>
      </w:pPr>
      <w:r w:rsidRPr="004F77E9">
        <w:rPr>
          <w:rFonts w:ascii="Arial" w:hAnsi="Arial" w:cs="Arial"/>
          <w:b/>
          <w:bCs/>
          <w:sz w:val="22"/>
        </w:rPr>
        <w:t>Limitation</w:t>
      </w:r>
    </w:p>
    <w:p w14:paraId="64A03A1B" w14:textId="4C4B94BE" w:rsidR="004F77E9" w:rsidRPr="004F77E9" w:rsidRDefault="004F77E9" w:rsidP="00ED3296">
      <w:pPr>
        <w:tabs>
          <w:tab w:val="left" w:pos="2355"/>
        </w:tabs>
        <w:spacing w:line="240" w:lineRule="auto"/>
        <w:rPr>
          <w:rFonts w:ascii="Arial" w:hAnsi="Arial" w:cs="Arial"/>
          <w:sz w:val="20"/>
          <w:szCs w:val="20"/>
        </w:rPr>
      </w:pPr>
      <w:r w:rsidRPr="004F77E9">
        <w:rPr>
          <w:rFonts w:ascii="Arial" w:hAnsi="Arial" w:cs="Arial"/>
          <w:sz w:val="20"/>
          <w:szCs w:val="20"/>
        </w:rPr>
        <w:t xml:space="preserve">This study evaluated one cottonseed variety under a single pretreatment and extraction regime and compared activated carbon and bleaching earth only at three dosages during bleaching. The findings therefore represent the specific experimental conditions used. Oil quality was assessed using gossypol content, FFA, peroxide value, saponification value, iodine value, and </w:t>
      </w:r>
      <w:proofErr w:type="spellStart"/>
      <w:r w:rsidRPr="004F77E9">
        <w:rPr>
          <w:rFonts w:ascii="Arial" w:hAnsi="Arial" w:cs="Arial"/>
          <w:sz w:val="20"/>
          <w:szCs w:val="20"/>
        </w:rPr>
        <w:t>colour</w:t>
      </w:r>
      <w:proofErr w:type="spellEnd"/>
      <w:r w:rsidRPr="004F77E9">
        <w:rPr>
          <w:rFonts w:ascii="Arial" w:hAnsi="Arial" w:cs="Arial"/>
          <w:sz w:val="20"/>
          <w:szCs w:val="20"/>
        </w:rPr>
        <w:t>; other quality attributes were outside the study scope. Further work across additional cottonseed varieties, refining conditions, and adsorbent combinations would be useful to assess the consistency and broader applicability of the observed treatment responses.</w:t>
      </w:r>
    </w:p>
    <w:p w14:paraId="29BE73BB" w14:textId="77777777" w:rsidR="00CE6AEF" w:rsidRPr="004F77E9" w:rsidRDefault="00CE6AEF" w:rsidP="007950A5">
      <w:pPr>
        <w:spacing w:after="0" w:line="240" w:lineRule="auto"/>
        <w:rPr>
          <w:rFonts w:ascii="Arial" w:eastAsia="Times New Roman" w:hAnsi="Arial" w:cs="Arial"/>
          <w:sz w:val="20"/>
          <w:szCs w:val="20"/>
        </w:rPr>
      </w:pPr>
    </w:p>
    <w:p w14:paraId="0A6A9252" w14:textId="77777777" w:rsidR="00BB0335" w:rsidRPr="004F77E9" w:rsidRDefault="00BB0335" w:rsidP="00BB0335">
      <w:pPr>
        <w:spacing w:line="259" w:lineRule="auto"/>
        <w:jc w:val="left"/>
        <w:rPr>
          <w:rFonts w:ascii="Arial" w:eastAsia="Calibri" w:hAnsi="Arial" w:cs="Arial"/>
          <w:b/>
          <w:bCs/>
          <w:kern w:val="2"/>
          <w:sz w:val="22"/>
          <w:lang w:val="en-IN" w:bidi="ar-SA"/>
          <w14:ligatures w14:val="standardContextual"/>
        </w:rPr>
      </w:pPr>
      <w:r w:rsidRPr="004F77E9">
        <w:rPr>
          <w:rFonts w:ascii="Arial" w:eastAsia="Calibri" w:hAnsi="Arial" w:cs="Arial"/>
          <w:b/>
          <w:bCs/>
          <w:kern w:val="2"/>
          <w:sz w:val="22"/>
          <w:lang w:val="en-IN" w:bidi="ar-SA"/>
          <w14:ligatures w14:val="standardContextual"/>
        </w:rPr>
        <w:t>Declaration of AI Use</w:t>
      </w:r>
    </w:p>
    <w:p w14:paraId="357C0EE9" w14:textId="77777777" w:rsidR="00BB0335" w:rsidRPr="004F77E9" w:rsidRDefault="00BB0335" w:rsidP="00BB0335">
      <w:pPr>
        <w:spacing w:line="259" w:lineRule="auto"/>
        <w:jc w:val="left"/>
        <w:rPr>
          <w:rFonts w:ascii="Arial" w:eastAsia="Calibri" w:hAnsi="Arial" w:cs="Arial"/>
          <w:kern w:val="2"/>
          <w:sz w:val="22"/>
          <w:lang w:val="en-IN" w:bidi="ar-SA"/>
          <w14:ligatures w14:val="standardContextual"/>
        </w:rPr>
      </w:pPr>
      <w:r w:rsidRPr="004F77E9">
        <w:rPr>
          <w:rFonts w:ascii="Arial" w:eastAsia="Calibri" w:hAnsi="Arial" w:cs="Arial"/>
          <w:kern w:val="2"/>
          <w:sz w:val="22"/>
          <w:lang w:val="en-IN" w:bidi="ar-SA"/>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354C02E" w14:textId="77777777" w:rsidR="00AC1325" w:rsidRPr="004F77E9" w:rsidRDefault="00AC1325" w:rsidP="007950A5">
      <w:pPr>
        <w:autoSpaceDE w:val="0"/>
        <w:autoSpaceDN w:val="0"/>
        <w:spacing w:after="0" w:line="240" w:lineRule="auto"/>
        <w:rPr>
          <w:rFonts w:ascii="Arial" w:hAnsi="Arial" w:cs="Arial"/>
          <w:sz w:val="20"/>
          <w:szCs w:val="20"/>
        </w:rPr>
      </w:pPr>
    </w:p>
    <w:p w14:paraId="155DA61D" w14:textId="77777777" w:rsidR="00ED3296" w:rsidRPr="004F77E9" w:rsidRDefault="00ED3296" w:rsidP="007950A5">
      <w:pPr>
        <w:autoSpaceDE w:val="0"/>
        <w:autoSpaceDN w:val="0"/>
        <w:spacing w:after="0" w:line="240" w:lineRule="auto"/>
        <w:rPr>
          <w:rFonts w:ascii="Arial" w:hAnsi="Arial" w:cs="Arial"/>
          <w:sz w:val="20"/>
          <w:szCs w:val="20"/>
        </w:rPr>
      </w:pPr>
    </w:p>
    <w:p w14:paraId="44BA74AF" w14:textId="77777777" w:rsidR="000C0E75" w:rsidRPr="004F77E9" w:rsidRDefault="000C0E75" w:rsidP="007950A5">
      <w:pPr>
        <w:spacing w:after="0" w:line="240" w:lineRule="auto"/>
        <w:rPr>
          <w:rFonts w:ascii="Arial" w:hAnsi="Arial" w:cs="Arial"/>
          <w:b/>
          <w:sz w:val="22"/>
        </w:rPr>
      </w:pPr>
      <w:r w:rsidRPr="004F77E9">
        <w:rPr>
          <w:rFonts w:ascii="Arial" w:hAnsi="Arial" w:cs="Arial"/>
          <w:b/>
          <w:sz w:val="22"/>
        </w:rPr>
        <w:t xml:space="preserve">COMPETING INTERESTS </w:t>
      </w:r>
    </w:p>
    <w:p w14:paraId="401B48B9" w14:textId="77777777" w:rsidR="000C0E75" w:rsidRPr="004F77E9" w:rsidRDefault="000C0E75" w:rsidP="007950A5">
      <w:pPr>
        <w:spacing w:after="0" w:line="240" w:lineRule="auto"/>
        <w:rPr>
          <w:rFonts w:ascii="Arial" w:hAnsi="Arial" w:cs="Arial"/>
          <w:sz w:val="20"/>
          <w:szCs w:val="20"/>
        </w:rPr>
      </w:pPr>
      <w:r w:rsidRPr="004F77E9">
        <w:rPr>
          <w:rFonts w:ascii="Arial" w:hAnsi="Arial" w:cs="Arial"/>
          <w:sz w:val="20"/>
          <w:szCs w:val="20"/>
        </w:rPr>
        <w:t>Authors have declared that no competing interests exist.</w:t>
      </w:r>
    </w:p>
    <w:p w14:paraId="71C1B14D" w14:textId="77777777" w:rsidR="0044437D" w:rsidRPr="004F77E9" w:rsidRDefault="0044437D" w:rsidP="007950A5">
      <w:pPr>
        <w:spacing w:after="0" w:line="240" w:lineRule="auto"/>
        <w:rPr>
          <w:rFonts w:ascii="Arial" w:hAnsi="Arial" w:cs="Arial"/>
          <w:sz w:val="20"/>
          <w:szCs w:val="20"/>
        </w:rPr>
      </w:pPr>
    </w:p>
    <w:p w14:paraId="2EBBDDD8" w14:textId="77777777" w:rsidR="0044437D" w:rsidRPr="004F77E9" w:rsidRDefault="0044437D" w:rsidP="007950A5">
      <w:pPr>
        <w:spacing w:after="0" w:line="240" w:lineRule="auto"/>
        <w:rPr>
          <w:rFonts w:ascii="Arial" w:hAnsi="Arial" w:cs="Arial"/>
          <w:sz w:val="20"/>
          <w:szCs w:val="20"/>
        </w:rPr>
      </w:pPr>
    </w:p>
    <w:p w14:paraId="783A7F82" w14:textId="77777777" w:rsidR="006513A1" w:rsidRPr="004F77E9" w:rsidRDefault="006513A1" w:rsidP="007950A5">
      <w:pPr>
        <w:spacing w:after="0" w:line="240" w:lineRule="auto"/>
        <w:rPr>
          <w:rFonts w:ascii="Arial" w:hAnsi="Arial" w:cs="Arial"/>
          <w:sz w:val="20"/>
          <w:szCs w:val="20"/>
        </w:rPr>
      </w:pPr>
    </w:p>
    <w:p w14:paraId="773A8879" w14:textId="77777777" w:rsidR="00AC1325" w:rsidRPr="004F77E9" w:rsidRDefault="00AC1325" w:rsidP="007950A5">
      <w:pPr>
        <w:pStyle w:val="Heading1"/>
        <w:numPr>
          <w:ilvl w:val="0"/>
          <w:numId w:val="0"/>
        </w:numPr>
        <w:spacing w:before="0" w:line="240" w:lineRule="auto"/>
        <w:rPr>
          <w:rFonts w:ascii="Arial" w:hAnsi="Arial" w:cs="Arial"/>
          <w:color w:val="auto"/>
          <w:sz w:val="20"/>
          <w:szCs w:val="20"/>
        </w:rPr>
      </w:pPr>
    </w:p>
    <w:p w14:paraId="1B9279AD" w14:textId="77777777" w:rsidR="00AC1325" w:rsidRPr="004F77E9" w:rsidRDefault="00AC1325" w:rsidP="007950A5">
      <w:pPr>
        <w:pStyle w:val="Heading1"/>
        <w:numPr>
          <w:ilvl w:val="0"/>
          <w:numId w:val="0"/>
        </w:numPr>
        <w:spacing w:before="0" w:line="240" w:lineRule="auto"/>
        <w:rPr>
          <w:rFonts w:ascii="Arial" w:hAnsi="Arial" w:cs="Arial"/>
          <w:color w:val="auto"/>
          <w:sz w:val="20"/>
          <w:szCs w:val="20"/>
        </w:rPr>
      </w:pPr>
    </w:p>
    <w:p w14:paraId="5D52B517" w14:textId="77777777" w:rsidR="000C0E75" w:rsidRPr="004F77E9" w:rsidRDefault="000C0E75" w:rsidP="007950A5">
      <w:pPr>
        <w:pStyle w:val="Heading1"/>
        <w:numPr>
          <w:ilvl w:val="0"/>
          <w:numId w:val="0"/>
        </w:numPr>
        <w:spacing w:before="0" w:line="240" w:lineRule="auto"/>
        <w:rPr>
          <w:rFonts w:ascii="Arial" w:hAnsi="Arial" w:cs="Arial"/>
          <w:color w:val="auto"/>
          <w:sz w:val="22"/>
          <w:szCs w:val="22"/>
        </w:rPr>
      </w:pPr>
      <w:r w:rsidRPr="004F77E9">
        <w:rPr>
          <w:rFonts w:ascii="Arial" w:hAnsi="Arial" w:cs="Arial"/>
          <w:color w:val="auto"/>
          <w:sz w:val="22"/>
          <w:szCs w:val="22"/>
        </w:rPr>
        <w:t>REFERENCES</w:t>
      </w:r>
    </w:p>
    <w:p w14:paraId="4A7AC857" w14:textId="77777777" w:rsidR="00AC1325" w:rsidRDefault="00AC1325"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
    <w:p w14:paraId="1C1E1E3E"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Abedi, E., Akhavan, H.-R., Hashemi, S. M. B., </w:t>
      </w:r>
      <w:proofErr w:type="spellStart"/>
      <w:r w:rsidRPr="007A0C7F">
        <w:rPr>
          <w:rFonts w:eastAsia="Times New Roman" w:cs="Times New Roman"/>
          <w:szCs w:val="24"/>
          <w:lang w:bidi="ar-SA"/>
        </w:rPr>
        <w:t>Oliyaei</w:t>
      </w:r>
      <w:proofErr w:type="spellEnd"/>
      <w:r w:rsidRPr="007A0C7F">
        <w:rPr>
          <w:rFonts w:eastAsia="Times New Roman" w:cs="Times New Roman"/>
          <w:szCs w:val="24"/>
          <w:lang w:bidi="ar-SA"/>
        </w:rPr>
        <w:t xml:space="preserve">, N., </w:t>
      </w:r>
      <w:proofErr w:type="spellStart"/>
      <w:r w:rsidRPr="007A0C7F">
        <w:rPr>
          <w:rFonts w:eastAsia="Times New Roman" w:cs="Times New Roman"/>
          <w:szCs w:val="24"/>
          <w:lang w:bidi="ar-SA"/>
        </w:rPr>
        <w:t>Sourghali</w:t>
      </w:r>
      <w:proofErr w:type="spellEnd"/>
      <w:r w:rsidRPr="007A0C7F">
        <w:rPr>
          <w:rFonts w:eastAsia="Times New Roman" w:cs="Times New Roman"/>
          <w:szCs w:val="24"/>
          <w:lang w:bidi="ar-SA"/>
        </w:rPr>
        <w:t xml:space="preserve">, M., Karimzadeh, A., &amp; </w:t>
      </w:r>
      <w:proofErr w:type="spellStart"/>
      <w:r w:rsidRPr="007A0C7F">
        <w:rPr>
          <w:rFonts w:eastAsia="Times New Roman" w:cs="Times New Roman"/>
          <w:szCs w:val="24"/>
          <w:lang w:bidi="ar-SA"/>
        </w:rPr>
        <w:t>Rownaghi</w:t>
      </w:r>
      <w:proofErr w:type="spellEnd"/>
      <w:r w:rsidRPr="007A0C7F">
        <w:rPr>
          <w:rFonts w:eastAsia="Times New Roman" w:cs="Times New Roman"/>
          <w:szCs w:val="24"/>
          <w:lang w:bidi="ar-SA"/>
        </w:rPr>
        <w:t xml:space="preserve">, M. (2025). Comparison between emerging and conventional methods for edible oils bleaching. </w:t>
      </w:r>
      <w:r w:rsidRPr="007A0C7F">
        <w:rPr>
          <w:rFonts w:eastAsia="Times New Roman" w:cs="Times New Roman"/>
          <w:i/>
          <w:iCs/>
          <w:szCs w:val="24"/>
          <w:lang w:bidi="ar-SA"/>
        </w:rPr>
        <w:t>Food Science &amp; Nutrition, 13</w:t>
      </w:r>
      <w:r w:rsidRPr="007A0C7F">
        <w:rPr>
          <w:rFonts w:eastAsia="Times New Roman" w:cs="Times New Roman"/>
          <w:szCs w:val="24"/>
          <w:lang w:bidi="ar-SA"/>
        </w:rPr>
        <w:t xml:space="preserve">(11), e71121. </w:t>
      </w:r>
      <w:hyperlink r:id="rId9" w:history="1">
        <w:r w:rsidRPr="007A0C7F">
          <w:rPr>
            <w:rFonts w:eastAsia="Times New Roman" w:cs="Times New Roman"/>
            <w:color w:val="0000FF"/>
            <w:szCs w:val="24"/>
            <w:u w:val="single"/>
            <w:lang w:bidi="ar-SA"/>
          </w:rPr>
          <w:t>https://doi.org/10.1002/fsn3.71121</w:t>
        </w:r>
      </w:hyperlink>
    </w:p>
    <w:p w14:paraId="4A7B045E"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Alpaslan, M., Tepe, S., &amp; Simsek, O. (2001). Effect of refining processes on the total and individual tocopherol content in sunflower oil. </w:t>
      </w:r>
      <w:r w:rsidRPr="007A0C7F">
        <w:rPr>
          <w:rFonts w:eastAsia="Times New Roman" w:cs="Times New Roman"/>
          <w:i/>
          <w:iCs/>
          <w:szCs w:val="24"/>
          <w:lang w:bidi="ar-SA"/>
        </w:rPr>
        <w:t>International Journal of Food Science &amp; Technology, 36</w:t>
      </w:r>
      <w:r w:rsidRPr="007A0C7F">
        <w:rPr>
          <w:rFonts w:eastAsia="Times New Roman" w:cs="Times New Roman"/>
          <w:szCs w:val="24"/>
          <w:lang w:bidi="ar-SA"/>
        </w:rPr>
        <w:t xml:space="preserve">(7), 737–739. </w:t>
      </w:r>
      <w:hyperlink r:id="rId10" w:history="1">
        <w:r w:rsidRPr="007A0C7F">
          <w:rPr>
            <w:rFonts w:eastAsia="Times New Roman" w:cs="Times New Roman"/>
            <w:color w:val="0000FF"/>
            <w:szCs w:val="24"/>
            <w:u w:val="single"/>
            <w:lang w:bidi="ar-SA"/>
          </w:rPr>
          <w:t>https://doi.org/10.1111/j.1365-2621.2001.00523.x</w:t>
        </w:r>
      </w:hyperlink>
    </w:p>
    <w:p w14:paraId="6C636DCD" w14:textId="38860BB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American Oil Chemists’ Society. (1998). </w:t>
      </w:r>
      <w:r w:rsidRPr="007A0C7F">
        <w:rPr>
          <w:rFonts w:eastAsia="Times New Roman" w:cs="Times New Roman"/>
          <w:i/>
          <w:iCs/>
          <w:szCs w:val="24"/>
          <w:lang w:bidi="ar-SA"/>
        </w:rPr>
        <w:t>Official methods and recommended practices of the AOCS</w:t>
      </w:r>
      <w:r w:rsidRPr="007A0C7F">
        <w:rPr>
          <w:rFonts w:eastAsia="Times New Roman" w:cs="Times New Roman"/>
          <w:szCs w:val="24"/>
          <w:lang w:bidi="ar-SA"/>
        </w:rPr>
        <w:t xml:space="preserve"> (5th ed.). </w:t>
      </w:r>
    </w:p>
    <w:p w14:paraId="3D7841A4"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Amira, P. O., Babalola, O. O., &amp; </w:t>
      </w:r>
      <w:proofErr w:type="spellStart"/>
      <w:r w:rsidRPr="007A0C7F">
        <w:rPr>
          <w:rFonts w:eastAsia="Times New Roman" w:cs="Times New Roman"/>
          <w:szCs w:val="24"/>
          <w:lang w:bidi="ar-SA"/>
        </w:rPr>
        <w:t>Oyediran</w:t>
      </w:r>
      <w:proofErr w:type="spellEnd"/>
      <w:r w:rsidRPr="007A0C7F">
        <w:rPr>
          <w:rFonts w:eastAsia="Times New Roman" w:cs="Times New Roman"/>
          <w:szCs w:val="24"/>
          <w:lang w:bidi="ar-SA"/>
        </w:rPr>
        <w:t xml:space="preserve">, A. M. (2014). Physicochemical properties of palm kernel oil. </w:t>
      </w:r>
      <w:r w:rsidRPr="007A0C7F">
        <w:rPr>
          <w:rFonts w:eastAsia="Times New Roman" w:cs="Times New Roman"/>
          <w:i/>
          <w:iCs/>
          <w:szCs w:val="24"/>
          <w:lang w:bidi="ar-SA"/>
        </w:rPr>
        <w:t>Current Research Journal of Biological Sciences, 6</w:t>
      </w:r>
      <w:r w:rsidRPr="007A0C7F">
        <w:rPr>
          <w:rFonts w:eastAsia="Times New Roman" w:cs="Times New Roman"/>
          <w:szCs w:val="24"/>
          <w:lang w:bidi="ar-SA"/>
        </w:rPr>
        <w:t xml:space="preserve">(5), 205–207. </w:t>
      </w:r>
      <w:hyperlink r:id="rId11" w:history="1">
        <w:r w:rsidRPr="007A0C7F">
          <w:rPr>
            <w:rFonts w:eastAsia="Times New Roman" w:cs="Times New Roman"/>
            <w:color w:val="0000FF"/>
            <w:szCs w:val="24"/>
            <w:u w:val="single"/>
            <w:lang w:bidi="ar-SA"/>
          </w:rPr>
          <w:t>https://doi.org/10.19026/crjbs.6.5194</w:t>
        </w:r>
      </w:hyperlink>
    </w:p>
    <w:p w14:paraId="0FD2C1FA"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proofErr w:type="spellStart"/>
      <w:r w:rsidRPr="007A0C7F">
        <w:rPr>
          <w:rFonts w:eastAsia="Times New Roman" w:cs="Times New Roman"/>
          <w:szCs w:val="24"/>
          <w:lang w:bidi="ar-SA"/>
        </w:rPr>
        <w:t>Boukerroui</w:t>
      </w:r>
      <w:proofErr w:type="spellEnd"/>
      <w:r w:rsidRPr="007A0C7F">
        <w:rPr>
          <w:rFonts w:eastAsia="Times New Roman" w:cs="Times New Roman"/>
          <w:szCs w:val="24"/>
          <w:lang w:bidi="ar-SA"/>
        </w:rPr>
        <w:t xml:space="preserve">, A., &amp; Ouali, M. S. (2002). Edible oil bleaching with a bentonite activated by microwave irradiation. </w:t>
      </w:r>
      <w:r w:rsidRPr="007A0C7F">
        <w:rPr>
          <w:rFonts w:eastAsia="Times New Roman" w:cs="Times New Roman"/>
          <w:i/>
          <w:iCs/>
          <w:szCs w:val="24"/>
          <w:lang w:bidi="ar-SA"/>
        </w:rPr>
        <w:t xml:space="preserve">Annales de Chimie Science des </w:t>
      </w:r>
      <w:proofErr w:type="spellStart"/>
      <w:r w:rsidRPr="007A0C7F">
        <w:rPr>
          <w:rFonts w:eastAsia="Times New Roman" w:cs="Times New Roman"/>
          <w:i/>
          <w:iCs/>
          <w:szCs w:val="24"/>
          <w:lang w:bidi="ar-SA"/>
        </w:rPr>
        <w:t>Matériaux</w:t>
      </w:r>
      <w:proofErr w:type="spellEnd"/>
      <w:r w:rsidRPr="007A0C7F">
        <w:rPr>
          <w:rFonts w:eastAsia="Times New Roman" w:cs="Times New Roman"/>
          <w:i/>
          <w:iCs/>
          <w:szCs w:val="24"/>
          <w:lang w:bidi="ar-SA"/>
        </w:rPr>
        <w:t>, 27</w:t>
      </w:r>
      <w:r w:rsidRPr="007A0C7F">
        <w:rPr>
          <w:rFonts w:eastAsia="Times New Roman" w:cs="Times New Roman"/>
          <w:szCs w:val="24"/>
          <w:lang w:bidi="ar-SA"/>
        </w:rPr>
        <w:t xml:space="preserve">(4), 73–81. </w:t>
      </w:r>
      <w:hyperlink r:id="rId12" w:history="1">
        <w:r w:rsidRPr="007A0C7F">
          <w:rPr>
            <w:rFonts w:eastAsia="Times New Roman" w:cs="Times New Roman"/>
            <w:color w:val="0000FF"/>
            <w:szCs w:val="24"/>
            <w:u w:val="single"/>
            <w:lang w:bidi="ar-SA"/>
          </w:rPr>
          <w:t>https://doi.org/10.1016/S0151-9107(02)80020-4</w:t>
        </w:r>
      </w:hyperlink>
    </w:p>
    <w:p w14:paraId="23685A7B"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lastRenderedPageBreak/>
        <w:t xml:space="preserve">Chen, X., &amp; Sun, S. (2023). Color reversion of refined vegetable oils: A review. </w:t>
      </w:r>
      <w:r w:rsidRPr="007A0C7F">
        <w:rPr>
          <w:rFonts w:eastAsia="Times New Roman" w:cs="Times New Roman"/>
          <w:i/>
          <w:iCs/>
          <w:szCs w:val="24"/>
          <w:lang w:bidi="ar-SA"/>
        </w:rPr>
        <w:t>Molecules, 28</w:t>
      </w:r>
      <w:r w:rsidRPr="007A0C7F">
        <w:rPr>
          <w:rFonts w:eastAsia="Times New Roman" w:cs="Times New Roman"/>
          <w:szCs w:val="24"/>
          <w:lang w:bidi="ar-SA"/>
        </w:rPr>
        <w:t xml:space="preserve">(13), 5177. </w:t>
      </w:r>
      <w:hyperlink r:id="rId13" w:history="1">
        <w:r w:rsidRPr="007A0C7F">
          <w:rPr>
            <w:rFonts w:eastAsia="Times New Roman" w:cs="Times New Roman"/>
            <w:color w:val="0000FF"/>
            <w:szCs w:val="24"/>
            <w:u w:val="single"/>
            <w:lang w:bidi="ar-SA"/>
          </w:rPr>
          <w:t>https://doi.org/10.3390/molecules28135177</w:t>
        </w:r>
      </w:hyperlink>
    </w:p>
    <w:p w14:paraId="7563DF2C"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Chetima, A., Nde Bup, D., </w:t>
      </w:r>
      <w:proofErr w:type="spellStart"/>
      <w:r w:rsidRPr="007A0C7F">
        <w:rPr>
          <w:rFonts w:eastAsia="Times New Roman" w:cs="Times New Roman"/>
          <w:szCs w:val="24"/>
          <w:lang w:bidi="ar-SA"/>
        </w:rPr>
        <w:t>Kewir</w:t>
      </w:r>
      <w:proofErr w:type="spellEnd"/>
      <w:r w:rsidRPr="007A0C7F">
        <w:rPr>
          <w:rFonts w:eastAsia="Times New Roman" w:cs="Times New Roman"/>
          <w:szCs w:val="24"/>
          <w:lang w:bidi="ar-SA"/>
        </w:rPr>
        <w:t xml:space="preserve">, F., &amp; </w:t>
      </w:r>
      <w:proofErr w:type="spellStart"/>
      <w:r w:rsidRPr="007A0C7F">
        <w:rPr>
          <w:rFonts w:eastAsia="Times New Roman" w:cs="Times New Roman"/>
          <w:szCs w:val="24"/>
          <w:lang w:bidi="ar-SA"/>
        </w:rPr>
        <w:t>Wahaboua</w:t>
      </w:r>
      <w:proofErr w:type="spellEnd"/>
      <w:r w:rsidRPr="007A0C7F">
        <w:rPr>
          <w:rFonts w:eastAsia="Times New Roman" w:cs="Times New Roman"/>
          <w:szCs w:val="24"/>
          <w:lang w:bidi="ar-SA"/>
        </w:rPr>
        <w:t xml:space="preserve">, A. (2024). Activated carbons from open air and microwave-assisted impregnation of cotton and neem husks efficiently decolorize neutral cotton oil. </w:t>
      </w:r>
      <w:proofErr w:type="spellStart"/>
      <w:r w:rsidRPr="007A0C7F">
        <w:rPr>
          <w:rFonts w:eastAsia="Times New Roman" w:cs="Times New Roman"/>
          <w:i/>
          <w:iCs/>
          <w:szCs w:val="24"/>
          <w:lang w:bidi="ar-SA"/>
        </w:rPr>
        <w:t>Heliyon</w:t>
      </w:r>
      <w:proofErr w:type="spellEnd"/>
      <w:r w:rsidRPr="007A0C7F">
        <w:rPr>
          <w:rFonts w:eastAsia="Times New Roman" w:cs="Times New Roman"/>
          <w:i/>
          <w:iCs/>
          <w:szCs w:val="24"/>
          <w:lang w:bidi="ar-SA"/>
        </w:rPr>
        <w:t>, 10</w:t>
      </w:r>
      <w:r w:rsidRPr="007A0C7F">
        <w:rPr>
          <w:rFonts w:eastAsia="Times New Roman" w:cs="Times New Roman"/>
          <w:szCs w:val="24"/>
          <w:lang w:bidi="ar-SA"/>
        </w:rPr>
        <w:t xml:space="preserve">(1), e24060. </w:t>
      </w:r>
      <w:hyperlink r:id="rId14" w:history="1">
        <w:r w:rsidRPr="007A0C7F">
          <w:rPr>
            <w:rFonts w:eastAsia="Times New Roman" w:cs="Times New Roman"/>
            <w:color w:val="0000FF"/>
            <w:szCs w:val="24"/>
            <w:u w:val="single"/>
            <w:lang w:bidi="ar-SA"/>
          </w:rPr>
          <w:t>https://doi.org/10.1016/j.heliyon.2024.e24060</w:t>
        </w:r>
      </w:hyperlink>
    </w:p>
    <w:p w14:paraId="1375878F"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Chetima, A., </w:t>
      </w:r>
      <w:proofErr w:type="spellStart"/>
      <w:r w:rsidRPr="007A0C7F">
        <w:rPr>
          <w:rFonts w:eastAsia="Times New Roman" w:cs="Times New Roman"/>
          <w:szCs w:val="24"/>
          <w:lang w:bidi="ar-SA"/>
        </w:rPr>
        <w:t>Wahabou</w:t>
      </w:r>
      <w:proofErr w:type="spellEnd"/>
      <w:r w:rsidRPr="007A0C7F">
        <w:rPr>
          <w:rFonts w:eastAsia="Times New Roman" w:cs="Times New Roman"/>
          <w:szCs w:val="24"/>
          <w:lang w:bidi="ar-SA"/>
        </w:rPr>
        <w:t xml:space="preserve">, A., </w:t>
      </w:r>
      <w:proofErr w:type="spellStart"/>
      <w:r w:rsidRPr="007A0C7F">
        <w:rPr>
          <w:rFonts w:eastAsia="Times New Roman" w:cs="Times New Roman"/>
          <w:szCs w:val="24"/>
          <w:lang w:bidi="ar-SA"/>
        </w:rPr>
        <w:t>Zomegni</w:t>
      </w:r>
      <w:proofErr w:type="spellEnd"/>
      <w:r w:rsidRPr="007A0C7F">
        <w:rPr>
          <w:rFonts w:eastAsia="Times New Roman" w:cs="Times New Roman"/>
          <w:szCs w:val="24"/>
          <w:lang w:bidi="ar-SA"/>
        </w:rPr>
        <w:t xml:space="preserve">, G., </w:t>
      </w:r>
      <w:proofErr w:type="spellStart"/>
      <w:r w:rsidRPr="007A0C7F">
        <w:rPr>
          <w:rFonts w:eastAsia="Times New Roman" w:cs="Times New Roman"/>
          <w:szCs w:val="24"/>
          <w:lang w:bidi="ar-SA"/>
        </w:rPr>
        <w:t>Ntieche</w:t>
      </w:r>
      <w:proofErr w:type="spellEnd"/>
      <w:r w:rsidRPr="007A0C7F">
        <w:rPr>
          <w:rFonts w:eastAsia="Times New Roman" w:cs="Times New Roman"/>
          <w:szCs w:val="24"/>
          <w:lang w:bidi="ar-SA"/>
        </w:rPr>
        <w:t xml:space="preserve"> Rahman, A., &amp; Bup Nde, D. (2018). Bleaching of neutral cotton seed oil using organic activated carbon in a batch system: Kinetics and adsorption isotherms. </w:t>
      </w:r>
      <w:r w:rsidRPr="007A0C7F">
        <w:rPr>
          <w:rFonts w:eastAsia="Times New Roman" w:cs="Times New Roman"/>
          <w:i/>
          <w:iCs/>
          <w:szCs w:val="24"/>
          <w:lang w:bidi="ar-SA"/>
        </w:rPr>
        <w:t>Processes, 6</w:t>
      </w:r>
      <w:r w:rsidRPr="007A0C7F">
        <w:rPr>
          <w:rFonts w:eastAsia="Times New Roman" w:cs="Times New Roman"/>
          <w:szCs w:val="24"/>
          <w:lang w:bidi="ar-SA"/>
        </w:rPr>
        <w:t xml:space="preserve">(3), 22. </w:t>
      </w:r>
      <w:hyperlink r:id="rId15" w:history="1">
        <w:r w:rsidRPr="007A0C7F">
          <w:rPr>
            <w:rFonts w:eastAsia="Times New Roman" w:cs="Times New Roman"/>
            <w:color w:val="0000FF"/>
            <w:szCs w:val="24"/>
            <w:u w:val="single"/>
            <w:lang w:bidi="ar-SA"/>
          </w:rPr>
          <w:t>https://doi.org/10.3390/pr6030022</w:t>
        </w:r>
      </w:hyperlink>
    </w:p>
    <w:p w14:paraId="1EDE3412"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Dinda, S., Patwardhan, A. V., Goud, V. V., &amp; Pradhan, N. C. (2008). Epoxidation of cottonseed oil by aqueous hydrogen peroxide </w:t>
      </w:r>
      <w:proofErr w:type="spellStart"/>
      <w:r w:rsidRPr="007A0C7F">
        <w:rPr>
          <w:rFonts w:eastAsia="Times New Roman" w:cs="Times New Roman"/>
          <w:szCs w:val="24"/>
          <w:lang w:bidi="ar-SA"/>
        </w:rPr>
        <w:t>catalysed</w:t>
      </w:r>
      <w:proofErr w:type="spellEnd"/>
      <w:r w:rsidRPr="007A0C7F">
        <w:rPr>
          <w:rFonts w:eastAsia="Times New Roman" w:cs="Times New Roman"/>
          <w:szCs w:val="24"/>
          <w:lang w:bidi="ar-SA"/>
        </w:rPr>
        <w:t xml:space="preserve"> by liquid inorganic acids. </w:t>
      </w:r>
      <w:r w:rsidRPr="007A0C7F">
        <w:rPr>
          <w:rFonts w:eastAsia="Times New Roman" w:cs="Times New Roman"/>
          <w:i/>
          <w:iCs/>
          <w:szCs w:val="24"/>
          <w:lang w:bidi="ar-SA"/>
        </w:rPr>
        <w:t>Bioresource Technology, 99</w:t>
      </w:r>
      <w:r w:rsidRPr="007A0C7F">
        <w:rPr>
          <w:rFonts w:eastAsia="Times New Roman" w:cs="Times New Roman"/>
          <w:szCs w:val="24"/>
          <w:lang w:bidi="ar-SA"/>
        </w:rPr>
        <w:t xml:space="preserve">(9), 3737–3744. </w:t>
      </w:r>
      <w:hyperlink r:id="rId16" w:history="1">
        <w:r w:rsidRPr="007A0C7F">
          <w:rPr>
            <w:rFonts w:eastAsia="Times New Roman" w:cs="Times New Roman"/>
            <w:color w:val="0000FF"/>
            <w:szCs w:val="24"/>
            <w:u w:val="single"/>
            <w:lang w:bidi="ar-SA"/>
          </w:rPr>
          <w:t>https://doi.org/10.1016/j.biortech.2007.07.015</w:t>
        </w:r>
      </w:hyperlink>
    </w:p>
    <w:p w14:paraId="4D805614"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Egan, H., Kirk, R. S., &amp; Sawyer, R. (1981). </w:t>
      </w:r>
      <w:r w:rsidRPr="007A0C7F">
        <w:rPr>
          <w:rFonts w:eastAsia="Times New Roman" w:cs="Times New Roman"/>
          <w:i/>
          <w:iCs/>
          <w:szCs w:val="24"/>
          <w:lang w:bidi="ar-SA"/>
        </w:rPr>
        <w:t>Pearson’s chemical analysis of foods</w:t>
      </w:r>
      <w:r w:rsidRPr="007A0C7F">
        <w:rPr>
          <w:rFonts w:eastAsia="Times New Roman" w:cs="Times New Roman"/>
          <w:szCs w:val="24"/>
          <w:lang w:bidi="ar-SA"/>
        </w:rPr>
        <w:t xml:space="preserve"> (8th ed.). Churchill Livingstone. </w:t>
      </w:r>
      <w:hyperlink r:id="rId17" w:history="1">
        <w:r w:rsidRPr="007A0C7F">
          <w:rPr>
            <w:rFonts w:eastAsia="Times New Roman" w:cs="Times New Roman"/>
            <w:color w:val="0000FF"/>
            <w:szCs w:val="24"/>
            <w:u w:val="single"/>
            <w:lang w:bidi="ar-SA"/>
          </w:rPr>
          <w:t>https://agris.fao.org/search/en/providers/122535/records/65de0cfb6eef00c2ce9fa9ad</w:t>
        </w:r>
      </w:hyperlink>
    </w:p>
    <w:p w14:paraId="4F73184E" w14:textId="68D78222"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Erten, Y. (2004). </w:t>
      </w:r>
      <w:r w:rsidRPr="007A0C7F">
        <w:rPr>
          <w:rFonts w:eastAsia="Times New Roman" w:cs="Times New Roman"/>
          <w:i/>
          <w:iCs/>
          <w:szCs w:val="24"/>
          <w:lang w:bidi="ar-SA"/>
        </w:rPr>
        <w:t>Use of domestic minerals for vegetable oil bleaching</w:t>
      </w:r>
      <w:r w:rsidRPr="007A0C7F">
        <w:rPr>
          <w:rFonts w:eastAsia="Times New Roman" w:cs="Times New Roman"/>
          <w:szCs w:val="24"/>
          <w:lang w:bidi="ar-SA"/>
        </w:rPr>
        <w:t xml:space="preserve"> [Master’s thesis, İzmir Institute of Technology]. </w:t>
      </w:r>
    </w:p>
    <w:p w14:paraId="0D78366A"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Gadelha, I. C. N., Fonseca, N. B. S., Oloris, S. C. S., Melo, M. M., &amp; Soto-Blanco, B. (2014). Gossypol toxicity from cottonseed products. </w:t>
      </w:r>
      <w:r w:rsidRPr="007A0C7F">
        <w:rPr>
          <w:rFonts w:eastAsia="Times New Roman" w:cs="Times New Roman"/>
          <w:i/>
          <w:iCs/>
          <w:szCs w:val="24"/>
          <w:lang w:bidi="ar-SA"/>
        </w:rPr>
        <w:t>The Scientific World Journal, 2014</w:t>
      </w:r>
      <w:r w:rsidRPr="007A0C7F">
        <w:rPr>
          <w:rFonts w:eastAsia="Times New Roman" w:cs="Times New Roman"/>
          <w:szCs w:val="24"/>
          <w:lang w:bidi="ar-SA"/>
        </w:rPr>
        <w:t xml:space="preserve">, 231635. </w:t>
      </w:r>
      <w:hyperlink r:id="rId18" w:history="1">
        <w:r w:rsidRPr="007A0C7F">
          <w:rPr>
            <w:rFonts w:eastAsia="Times New Roman" w:cs="Times New Roman"/>
            <w:color w:val="0000FF"/>
            <w:szCs w:val="24"/>
            <w:u w:val="single"/>
            <w:lang w:bidi="ar-SA"/>
          </w:rPr>
          <w:t>https://doi.org/10.1155/2014/231635</w:t>
        </w:r>
      </w:hyperlink>
    </w:p>
    <w:p w14:paraId="57CC3E53"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Jeje, O. A., Okoronkwo, A. E., &amp; Ajayi, O. O. (2019). Effect of bleaching on the </w:t>
      </w:r>
      <w:proofErr w:type="spellStart"/>
      <w:r w:rsidRPr="007A0C7F">
        <w:rPr>
          <w:rFonts w:eastAsia="Times New Roman" w:cs="Times New Roman"/>
          <w:szCs w:val="24"/>
          <w:lang w:bidi="ar-SA"/>
        </w:rPr>
        <w:t>physico</w:t>
      </w:r>
      <w:proofErr w:type="spellEnd"/>
      <w:r w:rsidRPr="007A0C7F">
        <w:rPr>
          <w:rFonts w:eastAsia="Times New Roman" w:cs="Times New Roman"/>
          <w:szCs w:val="24"/>
          <w:lang w:bidi="ar-SA"/>
        </w:rPr>
        <w:t xml:space="preserve">-chemical properties of two selected vegetable oils using locally sourced materials as adsorbent. </w:t>
      </w:r>
      <w:r w:rsidRPr="007A0C7F">
        <w:rPr>
          <w:rFonts w:eastAsia="Times New Roman" w:cs="Times New Roman"/>
          <w:i/>
          <w:iCs/>
          <w:szCs w:val="24"/>
          <w:lang w:bidi="ar-SA"/>
        </w:rPr>
        <w:t>Current Journal of Applied Science and Technology, 36</w:t>
      </w:r>
      <w:r w:rsidRPr="007A0C7F">
        <w:rPr>
          <w:rFonts w:eastAsia="Times New Roman" w:cs="Times New Roman"/>
          <w:szCs w:val="24"/>
          <w:lang w:bidi="ar-SA"/>
        </w:rPr>
        <w:t xml:space="preserve">(4), 1–8. </w:t>
      </w:r>
      <w:hyperlink r:id="rId19" w:history="1">
        <w:r w:rsidRPr="007A0C7F">
          <w:rPr>
            <w:rFonts w:eastAsia="Times New Roman" w:cs="Times New Roman"/>
            <w:color w:val="0000FF"/>
            <w:szCs w:val="24"/>
            <w:u w:val="single"/>
            <w:lang w:bidi="ar-SA"/>
          </w:rPr>
          <w:t>https://doi.org/10.9734/cjast/2019/v36i430244</w:t>
        </w:r>
      </w:hyperlink>
    </w:p>
    <w:p w14:paraId="517FCA5F"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Kamga, R., Kayem, G. J., &amp; </w:t>
      </w:r>
      <w:proofErr w:type="spellStart"/>
      <w:r w:rsidRPr="007A0C7F">
        <w:rPr>
          <w:rFonts w:eastAsia="Times New Roman" w:cs="Times New Roman"/>
          <w:szCs w:val="24"/>
          <w:lang w:bidi="ar-SA"/>
        </w:rPr>
        <w:t>Rouxhet</w:t>
      </w:r>
      <w:proofErr w:type="spellEnd"/>
      <w:r w:rsidRPr="007A0C7F">
        <w:rPr>
          <w:rFonts w:eastAsia="Times New Roman" w:cs="Times New Roman"/>
          <w:szCs w:val="24"/>
          <w:lang w:bidi="ar-SA"/>
        </w:rPr>
        <w:t xml:space="preserve">, P. G. (2000). Adsorption of gossypol from cottonseed oil on oxides. </w:t>
      </w:r>
      <w:r w:rsidRPr="007A0C7F">
        <w:rPr>
          <w:rFonts w:eastAsia="Times New Roman" w:cs="Times New Roman"/>
          <w:i/>
          <w:iCs/>
          <w:szCs w:val="24"/>
          <w:lang w:bidi="ar-SA"/>
        </w:rPr>
        <w:t>Journal of Colloid and Interface Science, 232</w:t>
      </w:r>
      <w:r w:rsidRPr="007A0C7F">
        <w:rPr>
          <w:rFonts w:eastAsia="Times New Roman" w:cs="Times New Roman"/>
          <w:szCs w:val="24"/>
          <w:lang w:bidi="ar-SA"/>
        </w:rPr>
        <w:t xml:space="preserve">(1), 198–206. </w:t>
      </w:r>
      <w:hyperlink r:id="rId20" w:history="1">
        <w:r w:rsidRPr="007A0C7F">
          <w:rPr>
            <w:rFonts w:eastAsia="Times New Roman" w:cs="Times New Roman"/>
            <w:color w:val="0000FF"/>
            <w:szCs w:val="24"/>
            <w:u w:val="single"/>
            <w:lang w:bidi="ar-SA"/>
          </w:rPr>
          <w:t>https://doi.org/10.1006/jcis.2000.7191</w:t>
        </w:r>
      </w:hyperlink>
    </w:p>
    <w:p w14:paraId="2E837EA5"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Khaing, S., Myint, T., Soe, T. T., Moh, M., Aye, Y. N., Aye, H. M., &amp; Hnin, C. H. (2023). Myanmar cotton value chain: Case study in Meiktila District, Mandalay Region. </w:t>
      </w:r>
      <w:r w:rsidRPr="007A0C7F">
        <w:rPr>
          <w:rFonts w:eastAsia="Times New Roman" w:cs="Times New Roman"/>
          <w:i/>
          <w:iCs/>
          <w:szCs w:val="24"/>
          <w:lang w:bidi="ar-SA"/>
        </w:rPr>
        <w:t>FFTC Agricultural Policy Platform</w:t>
      </w:r>
      <w:r w:rsidRPr="007A0C7F">
        <w:rPr>
          <w:rFonts w:eastAsia="Times New Roman" w:cs="Times New Roman"/>
          <w:szCs w:val="24"/>
          <w:lang w:bidi="ar-SA"/>
        </w:rPr>
        <w:t xml:space="preserve">. </w:t>
      </w:r>
      <w:hyperlink r:id="rId21" w:history="1">
        <w:r w:rsidRPr="007A0C7F">
          <w:rPr>
            <w:rFonts w:eastAsia="Times New Roman" w:cs="Times New Roman"/>
            <w:color w:val="0000FF"/>
            <w:szCs w:val="24"/>
            <w:u w:val="single"/>
            <w:lang w:bidi="ar-SA"/>
          </w:rPr>
          <w:t>https://ap.fftc.org.tw/article/3300</w:t>
        </w:r>
      </w:hyperlink>
    </w:p>
    <w:p w14:paraId="059E5B82"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proofErr w:type="spellStart"/>
      <w:r w:rsidRPr="007A0C7F">
        <w:rPr>
          <w:rFonts w:eastAsia="Times New Roman" w:cs="Times New Roman"/>
          <w:szCs w:val="24"/>
          <w:lang w:bidi="ar-SA"/>
        </w:rPr>
        <w:t>Mageshwaran</w:t>
      </w:r>
      <w:proofErr w:type="spellEnd"/>
      <w:r w:rsidRPr="007A0C7F">
        <w:rPr>
          <w:rFonts w:eastAsia="Times New Roman" w:cs="Times New Roman"/>
          <w:szCs w:val="24"/>
          <w:lang w:bidi="ar-SA"/>
        </w:rPr>
        <w:t xml:space="preserve">, V., &amp; Parvez, N. (2016). Gossypol detoxification and lysine enrichment in cottonseed cake by solid state fermentation. </w:t>
      </w:r>
      <w:r w:rsidRPr="007A0C7F">
        <w:rPr>
          <w:rFonts w:eastAsia="Times New Roman" w:cs="Times New Roman"/>
          <w:i/>
          <w:iCs/>
          <w:szCs w:val="24"/>
          <w:lang w:bidi="ar-SA"/>
        </w:rPr>
        <w:t>Journal of Pure and Applied Microbiology, 10</w:t>
      </w:r>
      <w:r w:rsidRPr="007A0C7F">
        <w:rPr>
          <w:rFonts w:eastAsia="Times New Roman" w:cs="Times New Roman"/>
          <w:szCs w:val="24"/>
          <w:lang w:bidi="ar-SA"/>
        </w:rPr>
        <w:t xml:space="preserve">(2), 1333–1339. </w:t>
      </w:r>
      <w:hyperlink r:id="rId22" w:history="1">
        <w:r w:rsidRPr="007A0C7F">
          <w:rPr>
            <w:rFonts w:eastAsia="Times New Roman" w:cs="Times New Roman"/>
            <w:color w:val="0000FF"/>
            <w:szCs w:val="24"/>
            <w:u w:val="single"/>
            <w:lang w:bidi="ar-SA"/>
          </w:rPr>
          <w:t>https://doi.org/10.22207/JPAM.10.2.55</w:t>
        </w:r>
      </w:hyperlink>
    </w:p>
    <w:p w14:paraId="27293C5B"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Mahesar, S. A., Shah, S. N., Sherazi, S. T. H., </w:t>
      </w:r>
      <w:proofErr w:type="spellStart"/>
      <w:r w:rsidRPr="007A0C7F">
        <w:rPr>
          <w:rFonts w:eastAsia="Times New Roman" w:cs="Times New Roman"/>
          <w:szCs w:val="24"/>
          <w:lang w:bidi="ar-SA"/>
        </w:rPr>
        <w:t>Nizamani</w:t>
      </w:r>
      <w:proofErr w:type="spellEnd"/>
      <w:r w:rsidRPr="007A0C7F">
        <w:rPr>
          <w:rFonts w:eastAsia="Times New Roman" w:cs="Times New Roman"/>
          <w:szCs w:val="24"/>
          <w:lang w:bidi="ar-SA"/>
        </w:rPr>
        <w:t xml:space="preserve">, S. M., Kandhro, A. A., &amp; Chang, A. S. (2017). Outcome of refining on the physicochemical properties of cottonseed oil. </w:t>
      </w:r>
      <w:r w:rsidRPr="007A0C7F">
        <w:rPr>
          <w:rFonts w:eastAsia="Times New Roman" w:cs="Times New Roman"/>
          <w:i/>
          <w:iCs/>
          <w:szCs w:val="24"/>
          <w:lang w:bidi="ar-SA"/>
        </w:rPr>
        <w:t>Pakistan Journal of Analytical &amp; Environmental Chemistry, 18</w:t>
      </w:r>
      <w:r w:rsidRPr="007A0C7F">
        <w:rPr>
          <w:rFonts w:eastAsia="Times New Roman" w:cs="Times New Roman"/>
          <w:szCs w:val="24"/>
          <w:lang w:bidi="ar-SA"/>
        </w:rPr>
        <w:t xml:space="preserve">(2), 105–111. </w:t>
      </w:r>
      <w:hyperlink r:id="rId23" w:history="1">
        <w:r w:rsidRPr="007A0C7F">
          <w:rPr>
            <w:rFonts w:eastAsia="Times New Roman" w:cs="Times New Roman"/>
            <w:color w:val="0000FF"/>
            <w:szCs w:val="24"/>
            <w:u w:val="single"/>
            <w:lang w:bidi="ar-SA"/>
          </w:rPr>
          <w:t>https://doi.org/10.21743/pjaec/2017.12.10</w:t>
        </w:r>
      </w:hyperlink>
    </w:p>
    <w:p w14:paraId="73FD3663"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lastRenderedPageBreak/>
        <w:t xml:space="preserve">Miller, W. J. (1955). A modification of the p-anisidine method for the determination of free and total gossypol. </w:t>
      </w:r>
      <w:r w:rsidRPr="007A0C7F">
        <w:rPr>
          <w:rFonts w:eastAsia="Times New Roman" w:cs="Times New Roman"/>
          <w:i/>
          <w:iCs/>
          <w:szCs w:val="24"/>
          <w:lang w:bidi="ar-SA"/>
        </w:rPr>
        <w:t>Journal of the American Oil Chemists’ Society, 32</w:t>
      </w:r>
      <w:r w:rsidRPr="007A0C7F">
        <w:rPr>
          <w:rFonts w:eastAsia="Times New Roman" w:cs="Times New Roman"/>
          <w:szCs w:val="24"/>
          <w:lang w:bidi="ar-SA"/>
        </w:rPr>
        <w:t xml:space="preserve">(1), 29–33. </w:t>
      </w:r>
      <w:hyperlink r:id="rId24" w:history="1">
        <w:r w:rsidRPr="007A0C7F">
          <w:rPr>
            <w:rFonts w:eastAsia="Times New Roman" w:cs="Times New Roman"/>
            <w:color w:val="0000FF"/>
            <w:szCs w:val="24"/>
            <w:u w:val="single"/>
            <w:lang w:bidi="ar-SA"/>
          </w:rPr>
          <w:t>https://doi.org/10.1007/BF02636475</w:t>
        </w:r>
      </w:hyperlink>
    </w:p>
    <w:p w14:paraId="622E6C8A" w14:textId="01C7CB86"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World Bank. (2024). </w:t>
      </w:r>
      <w:r w:rsidRPr="007A0C7F">
        <w:rPr>
          <w:rFonts w:eastAsia="Times New Roman" w:cs="Times New Roman"/>
          <w:i/>
          <w:iCs/>
          <w:szCs w:val="24"/>
          <w:lang w:bidi="ar-SA"/>
        </w:rPr>
        <w:t>Myanmar: Agricultural resilience amid deepening food insecurity: Agriculture and food security monitoring report, June 2024</w:t>
      </w:r>
      <w:r w:rsidRPr="007A0C7F">
        <w:rPr>
          <w:rFonts w:eastAsia="Times New Roman" w:cs="Times New Roman"/>
          <w:szCs w:val="24"/>
          <w:lang w:bidi="ar-SA"/>
        </w:rPr>
        <w:t xml:space="preserve">. </w:t>
      </w:r>
      <w:hyperlink r:id="rId25" w:history="1">
        <w:r w:rsidRPr="007A0C7F">
          <w:rPr>
            <w:rFonts w:eastAsia="Times New Roman" w:cs="Times New Roman"/>
            <w:color w:val="0000FF"/>
            <w:szCs w:val="24"/>
            <w:u w:val="single"/>
            <w:lang w:bidi="ar-SA"/>
          </w:rPr>
          <w:t>https://doi.org/10.1596/42108</w:t>
        </w:r>
      </w:hyperlink>
    </w:p>
    <w:p w14:paraId="2A06D5E2"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Musa, S. H., Alhassan, A. S., Ahmed, U. A., </w:t>
      </w:r>
      <w:proofErr w:type="spellStart"/>
      <w:r w:rsidRPr="007A0C7F">
        <w:rPr>
          <w:rFonts w:eastAsia="Times New Roman" w:cs="Times New Roman"/>
          <w:szCs w:val="24"/>
          <w:lang w:bidi="ar-SA"/>
        </w:rPr>
        <w:t>Magami</w:t>
      </w:r>
      <w:proofErr w:type="spellEnd"/>
      <w:r w:rsidRPr="007A0C7F">
        <w:rPr>
          <w:rFonts w:eastAsia="Times New Roman" w:cs="Times New Roman"/>
          <w:szCs w:val="24"/>
          <w:lang w:bidi="ar-SA"/>
        </w:rPr>
        <w:t xml:space="preserve">, S. M., &amp; Ahmad, Y. M. (2023). Recent advances in seed oil extraction science: A review. </w:t>
      </w:r>
      <w:r w:rsidRPr="007A0C7F">
        <w:rPr>
          <w:rFonts w:eastAsia="Times New Roman" w:cs="Times New Roman"/>
          <w:i/>
          <w:iCs/>
          <w:szCs w:val="24"/>
          <w:lang w:bidi="ar-SA"/>
        </w:rPr>
        <w:t>Journal of Applied Chemical Science International, 14</w:t>
      </w:r>
      <w:r w:rsidRPr="007A0C7F">
        <w:rPr>
          <w:rFonts w:eastAsia="Times New Roman" w:cs="Times New Roman"/>
          <w:szCs w:val="24"/>
          <w:lang w:bidi="ar-SA"/>
        </w:rPr>
        <w:t xml:space="preserve">(2), 28–34. </w:t>
      </w:r>
      <w:hyperlink r:id="rId26" w:history="1">
        <w:r w:rsidRPr="007A0C7F">
          <w:rPr>
            <w:rFonts w:eastAsia="Times New Roman" w:cs="Times New Roman"/>
            <w:color w:val="0000FF"/>
            <w:szCs w:val="24"/>
            <w:u w:val="single"/>
            <w:lang w:bidi="ar-SA"/>
          </w:rPr>
          <w:t>https://doi.org/10.56557/jacsi/2023/v14i28498</w:t>
        </w:r>
      </w:hyperlink>
    </w:p>
    <w:p w14:paraId="6347FA38"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proofErr w:type="spellStart"/>
      <w:r w:rsidRPr="007A0C7F">
        <w:rPr>
          <w:rFonts w:eastAsia="Times New Roman" w:cs="Times New Roman"/>
          <w:szCs w:val="24"/>
          <w:lang w:bidi="ar-SA"/>
        </w:rPr>
        <w:t>Ninkuu</w:t>
      </w:r>
      <w:proofErr w:type="spellEnd"/>
      <w:r w:rsidRPr="007A0C7F">
        <w:rPr>
          <w:rFonts w:eastAsia="Times New Roman" w:cs="Times New Roman"/>
          <w:szCs w:val="24"/>
          <w:lang w:bidi="ar-SA"/>
        </w:rPr>
        <w:t xml:space="preserve">, V., Liu, Z., Zhou, Y., &amp; Sun, X. (2024). The nutritional and industrial significance of cottonseeds and genetic techniques in gossypol detoxification. </w:t>
      </w:r>
      <w:r w:rsidRPr="007A0C7F">
        <w:rPr>
          <w:rFonts w:eastAsia="Times New Roman" w:cs="Times New Roman"/>
          <w:i/>
          <w:iCs/>
          <w:szCs w:val="24"/>
          <w:lang w:bidi="ar-SA"/>
        </w:rPr>
        <w:t>Plants, People, Planet, 6</w:t>
      </w:r>
      <w:r w:rsidRPr="007A0C7F">
        <w:rPr>
          <w:rFonts w:eastAsia="Times New Roman" w:cs="Times New Roman"/>
          <w:szCs w:val="24"/>
          <w:lang w:bidi="ar-SA"/>
        </w:rPr>
        <w:t xml:space="preserve">(2), 271–286. </w:t>
      </w:r>
      <w:hyperlink r:id="rId27" w:history="1">
        <w:r w:rsidRPr="007A0C7F">
          <w:rPr>
            <w:rFonts w:eastAsia="Times New Roman" w:cs="Times New Roman"/>
            <w:color w:val="0000FF"/>
            <w:szCs w:val="24"/>
            <w:u w:val="single"/>
            <w:lang w:bidi="ar-SA"/>
          </w:rPr>
          <w:t>https://doi.org/10.1002/ppp3.10433</w:t>
        </w:r>
      </w:hyperlink>
    </w:p>
    <w:p w14:paraId="5B571C3F"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Nix, A., Paull, C., &amp; </w:t>
      </w:r>
      <w:proofErr w:type="spellStart"/>
      <w:r w:rsidRPr="007A0C7F">
        <w:rPr>
          <w:rFonts w:eastAsia="Times New Roman" w:cs="Times New Roman"/>
          <w:szCs w:val="24"/>
          <w:lang w:bidi="ar-SA"/>
        </w:rPr>
        <w:t>Colgrave</w:t>
      </w:r>
      <w:proofErr w:type="spellEnd"/>
      <w:r w:rsidRPr="007A0C7F">
        <w:rPr>
          <w:rFonts w:eastAsia="Times New Roman" w:cs="Times New Roman"/>
          <w:szCs w:val="24"/>
          <w:lang w:bidi="ar-SA"/>
        </w:rPr>
        <w:t xml:space="preserve">, M. (2017). Flavonoid profile of the cotton plant, </w:t>
      </w:r>
      <w:r w:rsidRPr="007A0C7F">
        <w:rPr>
          <w:rFonts w:eastAsia="Times New Roman" w:cs="Times New Roman"/>
          <w:i/>
          <w:iCs/>
          <w:szCs w:val="24"/>
          <w:lang w:bidi="ar-SA"/>
        </w:rPr>
        <w:t>Gossypium hirsutum</w:t>
      </w:r>
      <w:r w:rsidRPr="007A0C7F">
        <w:rPr>
          <w:rFonts w:eastAsia="Times New Roman" w:cs="Times New Roman"/>
          <w:szCs w:val="24"/>
          <w:lang w:bidi="ar-SA"/>
        </w:rPr>
        <w:t xml:space="preserve">: A review. </w:t>
      </w:r>
      <w:r w:rsidRPr="007A0C7F">
        <w:rPr>
          <w:rFonts w:eastAsia="Times New Roman" w:cs="Times New Roman"/>
          <w:i/>
          <w:iCs/>
          <w:szCs w:val="24"/>
          <w:lang w:bidi="ar-SA"/>
        </w:rPr>
        <w:t>Plants, 6</w:t>
      </w:r>
      <w:r w:rsidRPr="007A0C7F">
        <w:rPr>
          <w:rFonts w:eastAsia="Times New Roman" w:cs="Times New Roman"/>
          <w:szCs w:val="24"/>
          <w:lang w:bidi="ar-SA"/>
        </w:rPr>
        <w:t xml:space="preserve">(4), 43. </w:t>
      </w:r>
      <w:hyperlink r:id="rId28" w:history="1">
        <w:r w:rsidRPr="007A0C7F">
          <w:rPr>
            <w:rFonts w:eastAsia="Times New Roman" w:cs="Times New Roman"/>
            <w:color w:val="0000FF"/>
            <w:szCs w:val="24"/>
            <w:u w:val="single"/>
            <w:lang w:bidi="ar-SA"/>
          </w:rPr>
          <w:t>https://doi.org/10.3390/plants6040043</w:t>
        </w:r>
      </w:hyperlink>
    </w:p>
    <w:p w14:paraId="37E377ED" w14:textId="2E9F090F"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O’Brien, R. D. (2002). Cottonseed oil. In F. D. Gunstone (Ed.), </w:t>
      </w:r>
      <w:r w:rsidRPr="007A0C7F">
        <w:rPr>
          <w:rFonts w:eastAsia="Times New Roman" w:cs="Times New Roman"/>
          <w:i/>
          <w:iCs/>
          <w:szCs w:val="24"/>
          <w:lang w:bidi="ar-SA"/>
        </w:rPr>
        <w:t>Vegetable oils in food technology: Composition, properties and uses</w:t>
      </w:r>
      <w:r w:rsidRPr="007A0C7F">
        <w:rPr>
          <w:rFonts w:eastAsia="Times New Roman" w:cs="Times New Roman"/>
          <w:szCs w:val="24"/>
          <w:lang w:bidi="ar-SA"/>
        </w:rPr>
        <w:t xml:space="preserve"> (pp. 203–230). Blackwell Publishing. </w:t>
      </w:r>
    </w:p>
    <w:p w14:paraId="2C7C8D2D"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O’Brien, R. D. (2009). </w:t>
      </w:r>
      <w:r w:rsidRPr="007A0C7F">
        <w:rPr>
          <w:rFonts w:eastAsia="Times New Roman" w:cs="Times New Roman"/>
          <w:i/>
          <w:iCs/>
          <w:szCs w:val="24"/>
          <w:lang w:bidi="ar-SA"/>
        </w:rPr>
        <w:t>Fats and oils: Formulating and processing for applications</w:t>
      </w:r>
      <w:r w:rsidRPr="007A0C7F">
        <w:rPr>
          <w:rFonts w:eastAsia="Times New Roman" w:cs="Times New Roman"/>
          <w:szCs w:val="24"/>
          <w:lang w:bidi="ar-SA"/>
        </w:rPr>
        <w:t xml:space="preserve"> (3rd ed.). CRC Press. </w:t>
      </w:r>
      <w:hyperlink r:id="rId29" w:history="1">
        <w:r w:rsidRPr="007A0C7F">
          <w:rPr>
            <w:rFonts w:eastAsia="Times New Roman" w:cs="Times New Roman"/>
            <w:color w:val="0000FF"/>
            <w:szCs w:val="24"/>
            <w:u w:val="single"/>
            <w:lang w:bidi="ar-SA"/>
          </w:rPr>
          <w:t>https://doi.org/10.1201/9781420061673</w:t>
        </w:r>
      </w:hyperlink>
    </w:p>
    <w:p w14:paraId="4140B52A" w14:textId="3782C3D1"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O’Brien, R. D., &amp; </w:t>
      </w:r>
      <w:proofErr w:type="spellStart"/>
      <w:r w:rsidRPr="007A0C7F">
        <w:rPr>
          <w:rFonts w:eastAsia="Times New Roman" w:cs="Times New Roman"/>
          <w:szCs w:val="24"/>
          <w:lang w:bidi="ar-SA"/>
        </w:rPr>
        <w:t>Wakelyn</w:t>
      </w:r>
      <w:proofErr w:type="spellEnd"/>
      <w:r w:rsidRPr="007A0C7F">
        <w:rPr>
          <w:rFonts w:eastAsia="Times New Roman" w:cs="Times New Roman"/>
          <w:szCs w:val="24"/>
          <w:lang w:bidi="ar-SA"/>
        </w:rPr>
        <w:t xml:space="preserve">, P. J. (2005). Cottonseed oil: An oil for trans-free options. </w:t>
      </w:r>
      <w:r w:rsidRPr="007A0C7F">
        <w:rPr>
          <w:rFonts w:eastAsia="Times New Roman" w:cs="Times New Roman"/>
          <w:i/>
          <w:iCs/>
          <w:szCs w:val="24"/>
          <w:lang w:bidi="ar-SA"/>
        </w:rPr>
        <w:t>inform, 16</w:t>
      </w:r>
      <w:r w:rsidRPr="007A0C7F">
        <w:rPr>
          <w:rFonts w:eastAsia="Times New Roman" w:cs="Times New Roman"/>
          <w:szCs w:val="24"/>
          <w:lang w:bidi="ar-SA"/>
        </w:rPr>
        <w:t xml:space="preserve">(11), 677–679. </w:t>
      </w:r>
    </w:p>
    <w:p w14:paraId="6A72E07A"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Odoom, W., &amp; </w:t>
      </w:r>
      <w:proofErr w:type="spellStart"/>
      <w:r w:rsidRPr="007A0C7F">
        <w:rPr>
          <w:rFonts w:eastAsia="Times New Roman" w:cs="Times New Roman"/>
          <w:szCs w:val="24"/>
          <w:lang w:bidi="ar-SA"/>
        </w:rPr>
        <w:t>Edusei</w:t>
      </w:r>
      <w:proofErr w:type="spellEnd"/>
      <w:r w:rsidRPr="007A0C7F">
        <w:rPr>
          <w:rFonts w:eastAsia="Times New Roman" w:cs="Times New Roman"/>
          <w:szCs w:val="24"/>
          <w:lang w:bidi="ar-SA"/>
        </w:rPr>
        <w:t xml:space="preserve">, V. O. (2015). Evaluation of saponification value, iodine value and insoluble impurities in coconut oils from </w:t>
      </w:r>
      <w:proofErr w:type="spellStart"/>
      <w:r w:rsidRPr="007A0C7F">
        <w:rPr>
          <w:rFonts w:eastAsia="Times New Roman" w:cs="Times New Roman"/>
          <w:szCs w:val="24"/>
          <w:lang w:bidi="ar-SA"/>
        </w:rPr>
        <w:t>Jomoro</w:t>
      </w:r>
      <w:proofErr w:type="spellEnd"/>
      <w:r w:rsidRPr="007A0C7F">
        <w:rPr>
          <w:rFonts w:eastAsia="Times New Roman" w:cs="Times New Roman"/>
          <w:szCs w:val="24"/>
          <w:lang w:bidi="ar-SA"/>
        </w:rPr>
        <w:t xml:space="preserve"> District of the Western Region of Ghana. </w:t>
      </w:r>
      <w:r w:rsidRPr="007A0C7F">
        <w:rPr>
          <w:rFonts w:eastAsia="Times New Roman" w:cs="Times New Roman"/>
          <w:i/>
          <w:iCs/>
          <w:szCs w:val="24"/>
          <w:lang w:bidi="ar-SA"/>
        </w:rPr>
        <w:t>Asian Journal of Agriculture and Food Sciences, 3</w:t>
      </w:r>
      <w:r w:rsidRPr="007A0C7F">
        <w:rPr>
          <w:rFonts w:eastAsia="Times New Roman" w:cs="Times New Roman"/>
          <w:szCs w:val="24"/>
          <w:lang w:bidi="ar-SA"/>
        </w:rPr>
        <w:t xml:space="preserve">(5), 494–499. </w:t>
      </w:r>
      <w:hyperlink r:id="rId30" w:history="1">
        <w:r w:rsidRPr="007A0C7F">
          <w:rPr>
            <w:rFonts w:eastAsia="Times New Roman" w:cs="Times New Roman"/>
            <w:color w:val="0000FF"/>
            <w:szCs w:val="24"/>
            <w:u w:val="single"/>
            <w:lang w:bidi="ar-SA"/>
          </w:rPr>
          <w:t>https://ajouronline.com/index.php/AJAFS/article/view/2938</w:t>
        </w:r>
      </w:hyperlink>
    </w:p>
    <w:p w14:paraId="541A8874"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Pearson, D. (1976). </w:t>
      </w:r>
      <w:r w:rsidRPr="007A0C7F">
        <w:rPr>
          <w:rFonts w:eastAsia="Times New Roman" w:cs="Times New Roman"/>
          <w:i/>
          <w:iCs/>
          <w:szCs w:val="24"/>
          <w:lang w:bidi="ar-SA"/>
        </w:rPr>
        <w:t>The chemical analysis of foods</w:t>
      </w:r>
      <w:r w:rsidRPr="007A0C7F">
        <w:rPr>
          <w:rFonts w:eastAsia="Times New Roman" w:cs="Times New Roman"/>
          <w:szCs w:val="24"/>
          <w:lang w:bidi="ar-SA"/>
        </w:rPr>
        <w:t xml:space="preserve"> (7th ed.). Churchill Livingstone. </w:t>
      </w:r>
      <w:hyperlink r:id="rId31" w:history="1">
        <w:r w:rsidRPr="007A0C7F">
          <w:rPr>
            <w:rFonts w:eastAsia="Times New Roman" w:cs="Times New Roman"/>
            <w:color w:val="0000FF"/>
            <w:szCs w:val="24"/>
            <w:u w:val="single"/>
            <w:lang w:bidi="ar-SA"/>
          </w:rPr>
          <w:t>https://catalogue.nla.gov.au/catalog/2681955</w:t>
        </w:r>
      </w:hyperlink>
    </w:p>
    <w:p w14:paraId="18F1A5B5"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Shahidi, F. (Ed.). (2005). </w:t>
      </w:r>
      <w:r w:rsidRPr="007A0C7F">
        <w:rPr>
          <w:rFonts w:eastAsia="Times New Roman" w:cs="Times New Roman"/>
          <w:i/>
          <w:iCs/>
          <w:szCs w:val="24"/>
          <w:lang w:bidi="ar-SA"/>
        </w:rPr>
        <w:t>Bailey’s industrial oil and fat products</w:t>
      </w:r>
      <w:r w:rsidRPr="007A0C7F">
        <w:rPr>
          <w:rFonts w:eastAsia="Times New Roman" w:cs="Times New Roman"/>
          <w:szCs w:val="24"/>
          <w:lang w:bidi="ar-SA"/>
        </w:rPr>
        <w:t xml:space="preserve"> (6th ed.). Wiley-</w:t>
      </w:r>
      <w:proofErr w:type="spellStart"/>
      <w:r w:rsidRPr="007A0C7F">
        <w:rPr>
          <w:rFonts w:eastAsia="Times New Roman" w:cs="Times New Roman"/>
          <w:szCs w:val="24"/>
          <w:lang w:bidi="ar-SA"/>
        </w:rPr>
        <w:t>Interscience</w:t>
      </w:r>
      <w:proofErr w:type="spellEnd"/>
      <w:r w:rsidRPr="007A0C7F">
        <w:rPr>
          <w:rFonts w:eastAsia="Times New Roman" w:cs="Times New Roman"/>
          <w:szCs w:val="24"/>
          <w:lang w:bidi="ar-SA"/>
        </w:rPr>
        <w:t xml:space="preserve">. </w:t>
      </w:r>
      <w:hyperlink r:id="rId32" w:history="1">
        <w:r w:rsidRPr="007A0C7F">
          <w:rPr>
            <w:rFonts w:eastAsia="Times New Roman" w:cs="Times New Roman"/>
            <w:color w:val="0000FF"/>
            <w:szCs w:val="24"/>
            <w:u w:val="single"/>
            <w:lang w:bidi="ar-SA"/>
          </w:rPr>
          <w:t>https://doi.org/10.1002/047167849X</w:t>
        </w:r>
      </w:hyperlink>
    </w:p>
    <w:p w14:paraId="096EC2E2"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Shimamoto, G. G., Aricetti, J. A., &amp; Tubino, M. (2016). A simple, fast, and green titrimetric method for the determination of the iodine value of vegetable oils without </w:t>
      </w:r>
      <w:proofErr w:type="spellStart"/>
      <w:r w:rsidRPr="007A0C7F">
        <w:rPr>
          <w:rFonts w:eastAsia="Times New Roman" w:cs="Times New Roman"/>
          <w:szCs w:val="24"/>
          <w:lang w:bidi="ar-SA"/>
        </w:rPr>
        <w:t>Wijs</w:t>
      </w:r>
      <w:proofErr w:type="spellEnd"/>
      <w:r w:rsidRPr="007A0C7F">
        <w:rPr>
          <w:rFonts w:eastAsia="Times New Roman" w:cs="Times New Roman"/>
          <w:szCs w:val="24"/>
          <w:lang w:bidi="ar-SA"/>
        </w:rPr>
        <w:t xml:space="preserve"> solution (</w:t>
      </w:r>
      <w:proofErr w:type="spellStart"/>
      <w:r w:rsidRPr="007A0C7F">
        <w:rPr>
          <w:rFonts w:eastAsia="Times New Roman" w:cs="Times New Roman"/>
          <w:szCs w:val="24"/>
          <w:lang w:bidi="ar-SA"/>
        </w:rPr>
        <w:t>ICl</w:t>
      </w:r>
      <w:proofErr w:type="spellEnd"/>
      <w:r w:rsidRPr="007A0C7F">
        <w:rPr>
          <w:rFonts w:eastAsia="Times New Roman" w:cs="Times New Roman"/>
          <w:szCs w:val="24"/>
          <w:lang w:bidi="ar-SA"/>
        </w:rPr>
        <w:t xml:space="preserve">). </w:t>
      </w:r>
      <w:r w:rsidRPr="007A0C7F">
        <w:rPr>
          <w:rFonts w:eastAsia="Times New Roman" w:cs="Times New Roman"/>
          <w:i/>
          <w:iCs/>
          <w:szCs w:val="24"/>
          <w:lang w:bidi="ar-SA"/>
        </w:rPr>
        <w:t>Food Analytical Methods, 9</w:t>
      </w:r>
      <w:r w:rsidRPr="007A0C7F">
        <w:rPr>
          <w:rFonts w:eastAsia="Times New Roman" w:cs="Times New Roman"/>
          <w:szCs w:val="24"/>
          <w:lang w:bidi="ar-SA"/>
        </w:rPr>
        <w:t xml:space="preserve">(9), 2479–2483. </w:t>
      </w:r>
      <w:hyperlink r:id="rId33" w:history="1">
        <w:r w:rsidRPr="007A0C7F">
          <w:rPr>
            <w:rFonts w:eastAsia="Times New Roman" w:cs="Times New Roman"/>
            <w:color w:val="0000FF"/>
            <w:szCs w:val="24"/>
            <w:u w:val="single"/>
            <w:lang w:bidi="ar-SA"/>
          </w:rPr>
          <w:t>https://doi.org/10.1007/s12161-016-0401-1</w:t>
        </w:r>
      </w:hyperlink>
    </w:p>
    <w:p w14:paraId="79371F6E"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Shweta, S., &amp; Kundu, D. (2024). Screening of neoteric solvents for gossypol extraction from cottonseed oil. </w:t>
      </w:r>
      <w:r w:rsidRPr="007A0C7F">
        <w:rPr>
          <w:rFonts w:eastAsia="Times New Roman" w:cs="Times New Roman"/>
          <w:i/>
          <w:iCs/>
          <w:szCs w:val="24"/>
          <w:lang w:bidi="ar-SA"/>
        </w:rPr>
        <w:t>Chemical Papers, 78</w:t>
      </w:r>
      <w:r w:rsidRPr="007A0C7F">
        <w:rPr>
          <w:rFonts w:eastAsia="Times New Roman" w:cs="Times New Roman"/>
          <w:szCs w:val="24"/>
          <w:lang w:bidi="ar-SA"/>
        </w:rPr>
        <w:t xml:space="preserve">, 5005–5017. </w:t>
      </w:r>
      <w:hyperlink r:id="rId34" w:history="1">
        <w:r w:rsidRPr="007A0C7F">
          <w:rPr>
            <w:rFonts w:eastAsia="Times New Roman" w:cs="Times New Roman"/>
            <w:color w:val="0000FF"/>
            <w:szCs w:val="24"/>
            <w:u w:val="single"/>
            <w:lang w:bidi="ar-SA"/>
          </w:rPr>
          <w:t>https://doi.org/10.1007/s11696-024-03448-9</w:t>
        </w:r>
      </w:hyperlink>
    </w:p>
    <w:p w14:paraId="52BDBC2A"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proofErr w:type="spellStart"/>
      <w:r w:rsidRPr="007A0C7F">
        <w:rPr>
          <w:rFonts w:eastAsia="Times New Roman" w:cs="Times New Roman"/>
          <w:szCs w:val="24"/>
          <w:lang w:bidi="ar-SA"/>
        </w:rPr>
        <w:t>Silkeberg</w:t>
      </w:r>
      <w:proofErr w:type="spellEnd"/>
      <w:r w:rsidRPr="007A0C7F">
        <w:rPr>
          <w:rFonts w:eastAsia="Times New Roman" w:cs="Times New Roman"/>
          <w:szCs w:val="24"/>
          <w:lang w:bidi="ar-SA"/>
        </w:rPr>
        <w:t xml:space="preserve">, A., &amp; Kochhar, S. P. (2000). </w:t>
      </w:r>
      <w:r w:rsidRPr="007A0C7F">
        <w:rPr>
          <w:rFonts w:eastAsia="Times New Roman" w:cs="Times New Roman"/>
          <w:i/>
          <w:iCs/>
          <w:szCs w:val="24"/>
          <w:lang w:bidi="ar-SA"/>
        </w:rPr>
        <w:t>Refining of edible oil retaining maximum antioxidative potency</w:t>
      </w:r>
      <w:r w:rsidRPr="007A0C7F">
        <w:rPr>
          <w:rFonts w:eastAsia="Times New Roman" w:cs="Times New Roman"/>
          <w:szCs w:val="24"/>
          <w:lang w:bidi="ar-SA"/>
        </w:rPr>
        <w:t xml:space="preserve"> (U.S. Patent No. 6,033,706). U.S. Patent and Trademark Office. </w:t>
      </w:r>
      <w:hyperlink r:id="rId35" w:history="1">
        <w:r w:rsidRPr="007A0C7F">
          <w:rPr>
            <w:rFonts w:eastAsia="Times New Roman" w:cs="Times New Roman"/>
            <w:color w:val="0000FF"/>
            <w:szCs w:val="24"/>
            <w:u w:val="single"/>
            <w:lang w:bidi="ar-SA"/>
          </w:rPr>
          <w:t>https://image-ppubs.uspto.gov/dirsearch-public/print/downloadPdf/6033706</w:t>
        </w:r>
      </w:hyperlink>
    </w:p>
    <w:p w14:paraId="53E8852D"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lastRenderedPageBreak/>
        <w:t xml:space="preserve">Tian, X., Ruan, J., Huang, J., Fang, X., Mao, Y., Wang, L., Chen, X., &amp; Yang, C. (2016). Gossypol: Phytoalexin of cotton. </w:t>
      </w:r>
      <w:r w:rsidRPr="007A0C7F">
        <w:rPr>
          <w:rFonts w:eastAsia="Times New Roman" w:cs="Times New Roman"/>
          <w:i/>
          <w:iCs/>
          <w:szCs w:val="24"/>
          <w:lang w:bidi="ar-SA"/>
        </w:rPr>
        <w:t>Science China Life Sciences, 59</w:t>
      </w:r>
      <w:r w:rsidRPr="007A0C7F">
        <w:rPr>
          <w:rFonts w:eastAsia="Times New Roman" w:cs="Times New Roman"/>
          <w:szCs w:val="24"/>
          <w:lang w:bidi="ar-SA"/>
        </w:rPr>
        <w:t xml:space="preserve">, 122–129. </w:t>
      </w:r>
      <w:hyperlink r:id="rId36" w:history="1">
        <w:r w:rsidRPr="007A0C7F">
          <w:rPr>
            <w:rFonts w:eastAsia="Times New Roman" w:cs="Times New Roman"/>
            <w:color w:val="0000FF"/>
            <w:szCs w:val="24"/>
            <w:u w:val="single"/>
            <w:lang w:bidi="ar-SA"/>
          </w:rPr>
          <w:t>https://doi.org/10.1007/s11427-016-5003-z</w:t>
        </w:r>
      </w:hyperlink>
    </w:p>
    <w:p w14:paraId="1A49FB19"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Wei, J., Chen, L., Qiu, X., Hu, W., Sun, H., Chen, X., Bai, Y., Gu, X., Wang, C., Chen, H., Hu, R., Zhang, H., &amp; Shen, G. (2015). Optimizing refining temperatures to reduce the loss of essential fatty acids and bioactive compounds in tea seed oil. </w:t>
      </w:r>
      <w:r w:rsidRPr="007A0C7F">
        <w:rPr>
          <w:rFonts w:eastAsia="Times New Roman" w:cs="Times New Roman"/>
          <w:i/>
          <w:iCs/>
          <w:szCs w:val="24"/>
          <w:lang w:bidi="ar-SA"/>
        </w:rPr>
        <w:t>Food and Bioproducts Processing, 94</w:t>
      </w:r>
      <w:r w:rsidRPr="007A0C7F">
        <w:rPr>
          <w:rFonts w:eastAsia="Times New Roman" w:cs="Times New Roman"/>
          <w:szCs w:val="24"/>
          <w:lang w:bidi="ar-SA"/>
        </w:rPr>
        <w:t xml:space="preserve">, 136–146. </w:t>
      </w:r>
      <w:hyperlink r:id="rId37" w:history="1">
        <w:r w:rsidRPr="007A0C7F">
          <w:rPr>
            <w:rFonts w:eastAsia="Times New Roman" w:cs="Times New Roman"/>
            <w:color w:val="0000FF"/>
            <w:szCs w:val="24"/>
            <w:u w:val="single"/>
            <w:lang w:bidi="ar-SA"/>
          </w:rPr>
          <w:t>https://doi.org/10.1016/j.fbp.2015.02.003</w:t>
        </w:r>
      </w:hyperlink>
    </w:p>
    <w:p w14:paraId="2332A934"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Xu, S., Yang, R., Wei, X., Tian, X., Fang, D., Shang, H., Liu, W., Chen, D., &amp; Ma, L. (2026). A comprehensive review on cottonseed oil: Composition, processing, quality control, and biotechnological innovations. </w:t>
      </w:r>
      <w:r w:rsidRPr="007A0C7F">
        <w:rPr>
          <w:rFonts w:eastAsia="Times New Roman" w:cs="Times New Roman"/>
          <w:i/>
          <w:iCs/>
          <w:szCs w:val="24"/>
          <w:lang w:bidi="ar-SA"/>
        </w:rPr>
        <w:t>Food Chemistry, 525</w:t>
      </w:r>
      <w:r w:rsidRPr="007A0C7F">
        <w:rPr>
          <w:rFonts w:eastAsia="Times New Roman" w:cs="Times New Roman"/>
          <w:szCs w:val="24"/>
          <w:lang w:bidi="ar-SA"/>
        </w:rPr>
        <w:t xml:space="preserve">(Pt 1), 150348. </w:t>
      </w:r>
      <w:hyperlink r:id="rId38" w:history="1">
        <w:r w:rsidRPr="007A0C7F">
          <w:rPr>
            <w:rFonts w:eastAsia="Times New Roman" w:cs="Times New Roman"/>
            <w:color w:val="0000FF"/>
            <w:szCs w:val="24"/>
            <w:u w:val="single"/>
            <w:lang w:bidi="ar-SA"/>
          </w:rPr>
          <w:t>https://doi.org/10.1016/j.foodchem.2026.150348</w:t>
        </w:r>
      </w:hyperlink>
    </w:p>
    <w:p w14:paraId="6991EF6D"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Yulchiev, A., Serkayev, Q., </w:t>
      </w:r>
      <w:proofErr w:type="spellStart"/>
      <w:r w:rsidRPr="007A0C7F">
        <w:rPr>
          <w:rFonts w:eastAsia="Times New Roman" w:cs="Times New Roman"/>
          <w:szCs w:val="24"/>
          <w:lang w:bidi="ar-SA"/>
        </w:rPr>
        <w:t>Mirzaev</w:t>
      </w:r>
      <w:proofErr w:type="spellEnd"/>
      <w:r w:rsidRPr="007A0C7F">
        <w:rPr>
          <w:rFonts w:eastAsia="Times New Roman" w:cs="Times New Roman"/>
          <w:szCs w:val="24"/>
          <w:lang w:bidi="ar-SA"/>
        </w:rPr>
        <w:t xml:space="preserve">, A., &amp; Asqarov, I. (2022). Technological scheme of refining of cottonseed oil purified from gossypol. </w:t>
      </w:r>
      <w:r w:rsidRPr="007A0C7F">
        <w:rPr>
          <w:rFonts w:eastAsia="Times New Roman" w:cs="Times New Roman"/>
          <w:i/>
          <w:iCs/>
          <w:szCs w:val="24"/>
          <w:lang w:bidi="ar-SA"/>
        </w:rPr>
        <w:t>Austrian Journal of Technical and Natural Sciences</w:t>
      </w:r>
      <w:r w:rsidRPr="007A0C7F">
        <w:rPr>
          <w:rFonts w:eastAsia="Times New Roman" w:cs="Times New Roman"/>
          <w:szCs w:val="24"/>
          <w:lang w:bidi="ar-SA"/>
        </w:rPr>
        <w:t xml:space="preserve">, (3–4), 23–29. </w:t>
      </w:r>
      <w:hyperlink r:id="rId39" w:history="1">
        <w:r w:rsidRPr="007A0C7F">
          <w:rPr>
            <w:rFonts w:eastAsia="Times New Roman" w:cs="Times New Roman"/>
            <w:color w:val="0000FF"/>
            <w:szCs w:val="24"/>
            <w:u w:val="single"/>
            <w:lang w:bidi="ar-SA"/>
          </w:rPr>
          <w:t>https://doi.org/10.29013/AJT-22-3.4-23-29</w:t>
        </w:r>
      </w:hyperlink>
    </w:p>
    <w:p w14:paraId="1E9B2A00"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Zerihun, M., &amp; Berhe, H. (2018). Physicochemical properties of cotton seeds oil and its comparison with released and improved cotton varieties in Ethiopia. </w:t>
      </w:r>
      <w:r w:rsidRPr="007A0C7F">
        <w:rPr>
          <w:rFonts w:eastAsia="Times New Roman" w:cs="Times New Roman"/>
          <w:i/>
          <w:iCs/>
          <w:szCs w:val="24"/>
          <w:lang w:bidi="ar-SA"/>
        </w:rPr>
        <w:t>Academic Research Journal of Agricultural Science and Research, 6</w:t>
      </w:r>
      <w:r w:rsidRPr="007A0C7F">
        <w:rPr>
          <w:rFonts w:eastAsia="Times New Roman" w:cs="Times New Roman"/>
          <w:szCs w:val="24"/>
          <w:lang w:bidi="ar-SA"/>
        </w:rPr>
        <w:t xml:space="preserve">(7), 443–452. </w:t>
      </w:r>
      <w:hyperlink r:id="rId40" w:history="1">
        <w:r w:rsidRPr="007A0C7F">
          <w:rPr>
            <w:rFonts w:eastAsia="Times New Roman" w:cs="Times New Roman"/>
            <w:color w:val="0000FF"/>
            <w:szCs w:val="24"/>
            <w:u w:val="single"/>
            <w:lang w:bidi="ar-SA"/>
          </w:rPr>
          <w:t>https://doi.org/10.14662/ARJASRD2018.073</w:t>
        </w:r>
      </w:hyperlink>
    </w:p>
    <w:p w14:paraId="41A71013" w14:textId="77777777" w:rsidR="007A0C7F" w:rsidRPr="007A0C7F" w:rsidRDefault="007A0C7F" w:rsidP="007A0C7F">
      <w:pPr>
        <w:spacing w:before="100" w:beforeAutospacing="1" w:after="100" w:afterAutospacing="1" w:line="240" w:lineRule="auto"/>
        <w:jc w:val="left"/>
        <w:rPr>
          <w:rFonts w:eastAsia="Times New Roman" w:cs="Times New Roman"/>
          <w:szCs w:val="24"/>
          <w:lang w:bidi="ar-SA"/>
        </w:rPr>
      </w:pPr>
      <w:r w:rsidRPr="007A0C7F">
        <w:rPr>
          <w:rFonts w:eastAsia="Times New Roman" w:cs="Times New Roman"/>
          <w:szCs w:val="24"/>
          <w:lang w:bidi="ar-SA"/>
        </w:rPr>
        <w:t xml:space="preserve">Zschau, W. (2001). Bleaching of edible fats and oils. </w:t>
      </w:r>
      <w:r w:rsidRPr="007A0C7F">
        <w:rPr>
          <w:rFonts w:eastAsia="Times New Roman" w:cs="Times New Roman"/>
          <w:i/>
          <w:iCs/>
          <w:szCs w:val="24"/>
          <w:lang w:bidi="ar-SA"/>
        </w:rPr>
        <w:t>European Journal of Lipid Science and Technology, 103</w:t>
      </w:r>
      <w:r w:rsidRPr="007A0C7F">
        <w:rPr>
          <w:rFonts w:eastAsia="Times New Roman" w:cs="Times New Roman"/>
          <w:szCs w:val="24"/>
          <w:lang w:bidi="ar-SA"/>
        </w:rPr>
        <w:t xml:space="preserve">(8), 505–551. </w:t>
      </w:r>
      <w:hyperlink r:id="rId41" w:history="1">
        <w:r w:rsidRPr="007A0C7F">
          <w:rPr>
            <w:rFonts w:eastAsia="Times New Roman" w:cs="Times New Roman"/>
            <w:color w:val="0000FF"/>
            <w:szCs w:val="24"/>
            <w:u w:val="single"/>
            <w:lang w:bidi="ar-SA"/>
          </w:rPr>
          <w:t>https://doi.org/10.1002/1438-9312(200108)103:8%3C505::AID-EJLT505%3E3.0.CO;2-7</w:t>
        </w:r>
      </w:hyperlink>
    </w:p>
    <w:p w14:paraId="0A59D35B" w14:textId="77777777" w:rsidR="007A0C7F" w:rsidRDefault="007A0C7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
    <w:p w14:paraId="63648DFD" w14:textId="77777777" w:rsidR="002C7331" w:rsidRPr="00ED3296" w:rsidRDefault="002C7331" w:rsidP="007950A5">
      <w:pPr>
        <w:spacing w:after="0" w:line="240" w:lineRule="auto"/>
        <w:rPr>
          <w:rFonts w:ascii="Helvetica" w:hAnsi="Helvetica" w:cs="Arial"/>
          <w:color w:val="222222"/>
          <w:sz w:val="20"/>
          <w:szCs w:val="20"/>
          <w:shd w:val="clear" w:color="auto" w:fill="FFFFFF"/>
        </w:rPr>
      </w:pPr>
    </w:p>
    <w:p w14:paraId="23A821B1" w14:textId="77777777" w:rsidR="002C7331" w:rsidRPr="00ED3296" w:rsidRDefault="002C7331" w:rsidP="007950A5">
      <w:pPr>
        <w:spacing w:after="0" w:line="240" w:lineRule="auto"/>
        <w:rPr>
          <w:rFonts w:ascii="Helvetica" w:hAnsi="Helvetica" w:cs="Arial"/>
          <w:color w:val="222222"/>
          <w:sz w:val="20"/>
          <w:szCs w:val="20"/>
          <w:shd w:val="clear" w:color="auto" w:fill="FFFFFF"/>
        </w:rPr>
      </w:pPr>
    </w:p>
    <w:sectPr w:rsidR="002C7331" w:rsidRPr="00ED3296" w:rsidSect="00CC2B09">
      <w:headerReference w:type="even" r:id="rId42"/>
      <w:headerReference w:type="default" r:id="rId43"/>
      <w:footerReference w:type="even" r:id="rId44"/>
      <w:footerReference w:type="default" r:id="rId45"/>
      <w:headerReference w:type="first" r:id="rId46"/>
      <w:footerReference w:type="first" r:id="rId4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5449" w14:textId="77777777" w:rsidR="00DF3EE2" w:rsidRDefault="00DF3EE2" w:rsidP="00B11BB2">
      <w:pPr>
        <w:spacing w:after="0" w:line="240" w:lineRule="auto"/>
      </w:pPr>
      <w:r>
        <w:separator/>
      </w:r>
    </w:p>
  </w:endnote>
  <w:endnote w:type="continuationSeparator" w:id="0">
    <w:p w14:paraId="5079B2D9" w14:textId="77777777" w:rsidR="00DF3EE2" w:rsidRDefault="00DF3EE2" w:rsidP="00B11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algun Gothic"/>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89EC" w14:textId="77777777" w:rsidR="004E42B1" w:rsidRDefault="004E4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5BC4" w14:textId="77777777" w:rsidR="004E42B1" w:rsidRDefault="004E4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CA82" w14:textId="77777777" w:rsidR="004E42B1" w:rsidRDefault="004E4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C09A9" w14:textId="77777777" w:rsidR="00DF3EE2" w:rsidRDefault="00DF3EE2" w:rsidP="00B11BB2">
      <w:pPr>
        <w:spacing w:after="0" w:line="240" w:lineRule="auto"/>
      </w:pPr>
      <w:r>
        <w:separator/>
      </w:r>
    </w:p>
  </w:footnote>
  <w:footnote w:type="continuationSeparator" w:id="0">
    <w:p w14:paraId="49AE79AC" w14:textId="77777777" w:rsidR="00DF3EE2" w:rsidRDefault="00DF3EE2" w:rsidP="00B11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0782" w14:textId="77777777" w:rsidR="004E42B1" w:rsidRDefault="00000000">
    <w:pPr>
      <w:pStyle w:val="Header"/>
    </w:pPr>
    <w:r>
      <w:rPr>
        <w:noProof/>
      </w:rPr>
      <w:pict w14:anchorId="776B61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8D0D" w14:textId="77777777" w:rsidR="004E42B1" w:rsidRDefault="00000000">
    <w:pPr>
      <w:pStyle w:val="Header"/>
    </w:pPr>
    <w:r>
      <w:rPr>
        <w:noProof/>
      </w:rPr>
      <w:pict w14:anchorId="6AE4D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9113" w14:textId="77777777" w:rsidR="004E42B1" w:rsidRDefault="00000000">
    <w:pPr>
      <w:pStyle w:val="Header"/>
    </w:pPr>
    <w:r>
      <w:rPr>
        <w:noProof/>
      </w:rPr>
      <w:pict w14:anchorId="710D3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6363"/>
    <w:multiLevelType w:val="hybridMultilevel"/>
    <w:tmpl w:val="32F2E2E6"/>
    <w:lvl w:ilvl="0" w:tplc="3A76300A">
      <w:start w:val="1"/>
      <w:numFmt w:val="bullet"/>
      <w:lvlText w:val="•"/>
      <w:lvlJc w:val="left"/>
      <w:pPr>
        <w:tabs>
          <w:tab w:val="num" w:pos="720"/>
        </w:tabs>
        <w:ind w:left="720" w:hanging="360"/>
      </w:pPr>
      <w:rPr>
        <w:rFonts w:ascii="Arial" w:hAnsi="Arial" w:hint="default"/>
      </w:rPr>
    </w:lvl>
    <w:lvl w:ilvl="1" w:tplc="5BA67270" w:tentative="1">
      <w:start w:val="1"/>
      <w:numFmt w:val="bullet"/>
      <w:lvlText w:val="•"/>
      <w:lvlJc w:val="left"/>
      <w:pPr>
        <w:tabs>
          <w:tab w:val="num" w:pos="1440"/>
        </w:tabs>
        <w:ind w:left="1440" w:hanging="360"/>
      </w:pPr>
      <w:rPr>
        <w:rFonts w:ascii="Arial" w:hAnsi="Arial" w:hint="default"/>
      </w:rPr>
    </w:lvl>
    <w:lvl w:ilvl="2" w:tplc="D50CDF40" w:tentative="1">
      <w:start w:val="1"/>
      <w:numFmt w:val="bullet"/>
      <w:lvlText w:val="•"/>
      <w:lvlJc w:val="left"/>
      <w:pPr>
        <w:tabs>
          <w:tab w:val="num" w:pos="2160"/>
        </w:tabs>
        <w:ind w:left="2160" w:hanging="360"/>
      </w:pPr>
      <w:rPr>
        <w:rFonts w:ascii="Arial" w:hAnsi="Arial" w:hint="default"/>
      </w:rPr>
    </w:lvl>
    <w:lvl w:ilvl="3" w:tplc="23AAA784" w:tentative="1">
      <w:start w:val="1"/>
      <w:numFmt w:val="bullet"/>
      <w:lvlText w:val="•"/>
      <w:lvlJc w:val="left"/>
      <w:pPr>
        <w:tabs>
          <w:tab w:val="num" w:pos="2880"/>
        </w:tabs>
        <w:ind w:left="2880" w:hanging="360"/>
      </w:pPr>
      <w:rPr>
        <w:rFonts w:ascii="Arial" w:hAnsi="Arial" w:hint="default"/>
      </w:rPr>
    </w:lvl>
    <w:lvl w:ilvl="4" w:tplc="0A7A26DE" w:tentative="1">
      <w:start w:val="1"/>
      <w:numFmt w:val="bullet"/>
      <w:lvlText w:val="•"/>
      <w:lvlJc w:val="left"/>
      <w:pPr>
        <w:tabs>
          <w:tab w:val="num" w:pos="3600"/>
        </w:tabs>
        <w:ind w:left="3600" w:hanging="360"/>
      </w:pPr>
      <w:rPr>
        <w:rFonts w:ascii="Arial" w:hAnsi="Arial" w:hint="default"/>
      </w:rPr>
    </w:lvl>
    <w:lvl w:ilvl="5" w:tplc="9030F5A6" w:tentative="1">
      <w:start w:val="1"/>
      <w:numFmt w:val="bullet"/>
      <w:lvlText w:val="•"/>
      <w:lvlJc w:val="left"/>
      <w:pPr>
        <w:tabs>
          <w:tab w:val="num" w:pos="4320"/>
        </w:tabs>
        <w:ind w:left="4320" w:hanging="360"/>
      </w:pPr>
      <w:rPr>
        <w:rFonts w:ascii="Arial" w:hAnsi="Arial" w:hint="default"/>
      </w:rPr>
    </w:lvl>
    <w:lvl w:ilvl="6" w:tplc="6AFCA75E" w:tentative="1">
      <w:start w:val="1"/>
      <w:numFmt w:val="bullet"/>
      <w:lvlText w:val="•"/>
      <w:lvlJc w:val="left"/>
      <w:pPr>
        <w:tabs>
          <w:tab w:val="num" w:pos="5040"/>
        </w:tabs>
        <w:ind w:left="5040" w:hanging="360"/>
      </w:pPr>
      <w:rPr>
        <w:rFonts w:ascii="Arial" w:hAnsi="Arial" w:hint="default"/>
      </w:rPr>
    </w:lvl>
    <w:lvl w:ilvl="7" w:tplc="4856972E" w:tentative="1">
      <w:start w:val="1"/>
      <w:numFmt w:val="bullet"/>
      <w:lvlText w:val="•"/>
      <w:lvlJc w:val="left"/>
      <w:pPr>
        <w:tabs>
          <w:tab w:val="num" w:pos="5760"/>
        </w:tabs>
        <w:ind w:left="5760" w:hanging="360"/>
      </w:pPr>
      <w:rPr>
        <w:rFonts w:ascii="Arial" w:hAnsi="Arial" w:hint="default"/>
      </w:rPr>
    </w:lvl>
    <w:lvl w:ilvl="8" w:tplc="51FCA26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AF57B6"/>
    <w:multiLevelType w:val="hybridMultilevel"/>
    <w:tmpl w:val="59DA559A"/>
    <w:lvl w:ilvl="0" w:tplc="4A82AD8C">
      <w:start w:val="1"/>
      <w:numFmt w:val="bullet"/>
      <w:lvlText w:val="•"/>
      <w:lvlJc w:val="left"/>
      <w:pPr>
        <w:tabs>
          <w:tab w:val="num" w:pos="720"/>
        </w:tabs>
        <w:ind w:left="720" w:hanging="360"/>
      </w:pPr>
      <w:rPr>
        <w:rFonts w:ascii="Arial" w:hAnsi="Arial" w:hint="default"/>
      </w:rPr>
    </w:lvl>
    <w:lvl w:ilvl="1" w:tplc="8202F436" w:tentative="1">
      <w:start w:val="1"/>
      <w:numFmt w:val="bullet"/>
      <w:lvlText w:val="•"/>
      <w:lvlJc w:val="left"/>
      <w:pPr>
        <w:tabs>
          <w:tab w:val="num" w:pos="1440"/>
        </w:tabs>
        <w:ind w:left="1440" w:hanging="360"/>
      </w:pPr>
      <w:rPr>
        <w:rFonts w:ascii="Arial" w:hAnsi="Arial" w:hint="default"/>
      </w:rPr>
    </w:lvl>
    <w:lvl w:ilvl="2" w:tplc="6C4C377C" w:tentative="1">
      <w:start w:val="1"/>
      <w:numFmt w:val="bullet"/>
      <w:lvlText w:val="•"/>
      <w:lvlJc w:val="left"/>
      <w:pPr>
        <w:tabs>
          <w:tab w:val="num" w:pos="2160"/>
        </w:tabs>
        <w:ind w:left="2160" w:hanging="360"/>
      </w:pPr>
      <w:rPr>
        <w:rFonts w:ascii="Arial" w:hAnsi="Arial" w:hint="default"/>
      </w:rPr>
    </w:lvl>
    <w:lvl w:ilvl="3" w:tplc="2018829E" w:tentative="1">
      <w:start w:val="1"/>
      <w:numFmt w:val="bullet"/>
      <w:lvlText w:val="•"/>
      <w:lvlJc w:val="left"/>
      <w:pPr>
        <w:tabs>
          <w:tab w:val="num" w:pos="2880"/>
        </w:tabs>
        <w:ind w:left="2880" w:hanging="360"/>
      </w:pPr>
      <w:rPr>
        <w:rFonts w:ascii="Arial" w:hAnsi="Arial" w:hint="default"/>
      </w:rPr>
    </w:lvl>
    <w:lvl w:ilvl="4" w:tplc="63308E54" w:tentative="1">
      <w:start w:val="1"/>
      <w:numFmt w:val="bullet"/>
      <w:lvlText w:val="•"/>
      <w:lvlJc w:val="left"/>
      <w:pPr>
        <w:tabs>
          <w:tab w:val="num" w:pos="3600"/>
        </w:tabs>
        <w:ind w:left="3600" w:hanging="360"/>
      </w:pPr>
      <w:rPr>
        <w:rFonts w:ascii="Arial" w:hAnsi="Arial" w:hint="default"/>
      </w:rPr>
    </w:lvl>
    <w:lvl w:ilvl="5" w:tplc="D856E1FE" w:tentative="1">
      <w:start w:val="1"/>
      <w:numFmt w:val="bullet"/>
      <w:lvlText w:val="•"/>
      <w:lvlJc w:val="left"/>
      <w:pPr>
        <w:tabs>
          <w:tab w:val="num" w:pos="4320"/>
        </w:tabs>
        <w:ind w:left="4320" w:hanging="360"/>
      </w:pPr>
      <w:rPr>
        <w:rFonts w:ascii="Arial" w:hAnsi="Arial" w:hint="default"/>
      </w:rPr>
    </w:lvl>
    <w:lvl w:ilvl="6" w:tplc="59C434B8" w:tentative="1">
      <w:start w:val="1"/>
      <w:numFmt w:val="bullet"/>
      <w:lvlText w:val="•"/>
      <w:lvlJc w:val="left"/>
      <w:pPr>
        <w:tabs>
          <w:tab w:val="num" w:pos="5040"/>
        </w:tabs>
        <w:ind w:left="5040" w:hanging="360"/>
      </w:pPr>
      <w:rPr>
        <w:rFonts w:ascii="Arial" w:hAnsi="Arial" w:hint="default"/>
      </w:rPr>
    </w:lvl>
    <w:lvl w:ilvl="7" w:tplc="03DC5C36" w:tentative="1">
      <w:start w:val="1"/>
      <w:numFmt w:val="bullet"/>
      <w:lvlText w:val="•"/>
      <w:lvlJc w:val="left"/>
      <w:pPr>
        <w:tabs>
          <w:tab w:val="num" w:pos="5760"/>
        </w:tabs>
        <w:ind w:left="5760" w:hanging="360"/>
      </w:pPr>
      <w:rPr>
        <w:rFonts w:ascii="Arial" w:hAnsi="Arial" w:hint="default"/>
      </w:rPr>
    </w:lvl>
    <w:lvl w:ilvl="8" w:tplc="F4A8565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2B0338"/>
    <w:multiLevelType w:val="hybridMultilevel"/>
    <w:tmpl w:val="61BCD8FE"/>
    <w:lvl w:ilvl="0" w:tplc="27A0853C">
      <w:start w:val="1"/>
      <w:numFmt w:val="bullet"/>
      <w:lvlText w:val=""/>
      <w:lvlJc w:val="left"/>
      <w:pPr>
        <w:tabs>
          <w:tab w:val="num" w:pos="720"/>
        </w:tabs>
        <w:ind w:left="720" w:hanging="360"/>
      </w:pPr>
      <w:rPr>
        <w:rFonts w:ascii="Wingdings" w:hAnsi="Wingdings" w:hint="default"/>
      </w:rPr>
    </w:lvl>
    <w:lvl w:ilvl="1" w:tplc="AFCCA5B2" w:tentative="1">
      <w:start w:val="1"/>
      <w:numFmt w:val="bullet"/>
      <w:lvlText w:val=""/>
      <w:lvlJc w:val="left"/>
      <w:pPr>
        <w:tabs>
          <w:tab w:val="num" w:pos="1440"/>
        </w:tabs>
        <w:ind w:left="1440" w:hanging="360"/>
      </w:pPr>
      <w:rPr>
        <w:rFonts w:ascii="Wingdings" w:hAnsi="Wingdings" w:hint="default"/>
      </w:rPr>
    </w:lvl>
    <w:lvl w:ilvl="2" w:tplc="29D6693C" w:tentative="1">
      <w:start w:val="1"/>
      <w:numFmt w:val="bullet"/>
      <w:lvlText w:val=""/>
      <w:lvlJc w:val="left"/>
      <w:pPr>
        <w:tabs>
          <w:tab w:val="num" w:pos="2160"/>
        </w:tabs>
        <w:ind w:left="2160" w:hanging="360"/>
      </w:pPr>
      <w:rPr>
        <w:rFonts w:ascii="Wingdings" w:hAnsi="Wingdings" w:hint="default"/>
      </w:rPr>
    </w:lvl>
    <w:lvl w:ilvl="3" w:tplc="BF9C3BA2" w:tentative="1">
      <w:start w:val="1"/>
      <w:numFmt w:val="bullet"/>
      <w:lvlText w:val=""/>
      <w:lvlJc w:val="left"/>
      <w:pPr>
        <w:tabs>
          <w:tab w:val="num" w:pos="2880"/>
        </w:tabs>
        <w:ind w:left="2880" w:hanging="360"/>
      </w:pPr>
      <w:rPr>
        <w:rFonts w:ascii="Wingdings" w:hAnsi="Wingdings" w:hint="default"/>
      </w:rPr>
    </w:lvl>
    <w:lvl w:ilvl="4" w:tplc="19AAFA18" w:tentative="1">
      <w:start w:val="1"/>
      <w:numFmt w:val="bullet"/>
      <w:lvlText w:val=""/>
      <w:lvlJc w:val="left"/>
      <w:pPr>
        <w:tabs>
          <w:tab w:val="num" w:pos="3600"/>
        </w:tabs>
        <w:ind w:left="3600" w:hanging="360"/>
      </w:pPr>
      <w:rPr>
        <w:rFonts w:ascii="Wingdings" w:hAnsi="Wingdings" w:hint="default"/>
      </w:rPr>
    </w:lvl>
    <w:lvl w:ilvl="5" w:tplc="1342093E" w:tentative="1">
      <w:start w:val="1"/>
      <w:numFmt w:val="bullet"/>
      <w:lvlText w:val=""/>
      <w:lvlJc w:val="left"/>
      <w:pPr>
        <w:tabs>
          <w:tab w:val="num" w:pos="4320"/>
        </w:tabs>
        <w:ind w:left="4320" w:hanging="360"/>
      </w:pPr>
      <w:rPr>
        <w:rFonts w:ascii="Wingdings" w:hAnsi="Wingdings" w:hint="default"/>
      </w:rPr>
    </w:lvl>
    <w:lvl w:ilvl="6" w:tplc="F96E896E" w:tentative="1">
      <w:start w:val="1"/>
      <w:numFmt w:val="bullet"/>
      <w:lvlText w:val=""/>
      <w:lvlJc w:val="left"/>
      <w:pPr>
        <w:tabs>
          <w:tab w:val="num" w:pos="5040"/>
        </w:tabs>
        <w:ind w:left="5040" w:hanging="360"/>
      </w:pPr>
      <w:rPr>
        <w:rFonts w:ascii="Wingdings" w:hAnsi="Wingdings" w:hint="default"/>
      </w:rPr>
    </w:lvl>
    <w:lvl w:ilvl="7" w:tplc="E64C8F90" w:tentative="1">
      <w:start w:val="1"/>
      <w:numFmt w:val="bullet"/>
      <w:lvlText w:val=""/>
      <w:lvlJc w:val="left"/>
      <w:pPr>
        <w:tabs>
          <w:tab w:val="num" w:pos="5760"/>
        </w:tabs>
        <w:ind w:left="5760" w:hanging="360"/>
      </w:pPr>
      <w:rPr>
        <w:rFonts w:ascii="Wingdings" w:hAnsi="Wingdings" w:hint="default"/>
      </w:rPr>
    </w:lvl>
    <w:lvl w:ilvl="8" w:tplc="218C80C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7055C6"/>
    <w:multiLevelType w:val="hybridMultilevel"/>
    <w:tmpl w:val="27B0D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616E4"/>
    <w:multiLevelType w:val="hybridMultilevel"/>
    <w:tmpl w:val="D2B637D6"/>
    <w:lvl w:ilvl="0" w:tplc="04FA51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7203D"/>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53D1403C"/>
    <w:multiLevelType w:val="hybridMultilevel"/>
    <w:tmpl w:val="15140E00"/>
    <w:lvl w:ilvl="0" w:tplc="96E417EA">
      <w:start w:val="1"/>
      <w:numFmt w:val="bullet"/>
      <w:lvlText w:val=""/>
      <w:lvlJc w:val="left"/>
      <w:pPr>
        <w:tabs>
          <w:tab w:val="num" w:pos="360"/>
        </w:tabs>
        <w:ind w:left="360" w:hanging="360"/>
      </w:pPr>
      <w:rPr>
        <w:rFonts w:ascii="Wingdings" w:hAnsi="Wingdings" w:hint="default"/>
      </w:rPr>
    </w:lvl>
    <w:lvl w:ilvl="1" w:tplc="ABE88186" w:tentative="1">
      <w:start w:val="1"/>
      <w:numFmt w:val="bullet"/>
      <w:lvlText w:val=""/>
      <w:lvlJc w:val="left"/>
      <w:pPr>
        <w:tabs>
          <w:tab w:val="num" w:pos="1080"/>
        </w:tabs>
        <w:ind w:left="1080" w:hanging="360"/>
      </w:pPr>
      <w:rPr>
        <w:rFonts w:ascii="Wingdings" w:hAnsi="Wingdings" w:hint="default"/>
      </w:rPr>
    </w:lvl>
    <w:lvl w:ilvl="2" w:tplc="9108576A" w:tentative="1">
      <w:start w:val="1"/>
      <w:numFmt w:val="bullet"/>
      <w:lvlText w:val=""/>
      <w:lvlJc w:val="left"/>
      <w:pPr>
        <w:tabs>
          <w:tab w:val="num" w:pos="1800"/>
        </w:tabs>
        <w:ind w:left="1800" w:hanging="360"/>
      </w:pPr>
      <w:rPr>
        <w:rFonts w:ascii="Wingdings" w:hAnsi="Wingdings" w:hint="default"/>
      </w:rPr>
    </w:lvl>
    <w:lvl w:ilvl="3" w:tplc="EFA4F16A" w:tentative="1">
      <w:start w:val="1"/>
      <w:numFmt w:val="bullet"/>
      <w:lvlText w:val=""/>
      <w:lvlJc w:val="left"/>
      <w:pPr>
        <w:tabs>
          <w:tab w:val="num" w:pos="2520"/>
        </w:tabs>
        <w:ind w:left="2520" w:hanging="360"/>
      </w:pPr>
      <w:rPr>
        <w:rFonts w:ascii="Wingdings" w:hAnsi="Wingdings" w:hint="default"/>
      </w:rPr>
    </w:lvl>
    <w:lvl w:ilvl="4" w:tplc="FE7EB1C6" w:tentative="1">
      <w:start w:val="1"/>
      <w:numFmt w:val="bullet"/>
      <w:lvlText w:val=""/>
      <w:lvlJc w:val="left"/>
      <w:pPr>
        <w:tabs>
          <w:tab w:val="num" w:pos="3240"/>
        </w:tabs>
        <w:ind w:left="3240" w:hanging="360"/>
      </w:pPr>
      <w:rPr>
        <w:rFonts w:ascii="Wingdings" w:hAnsi="Wingdings" w:hint="default"/>
      </w:rPr>
    </w:lvl>
    <w:lvl w:ilvl="5" w:tplc="A802F85E" w:tentative="1">
      <w:start w:val="1"/>
      <w:numFmt w:val="bullet"/>
      <w:lvlText w:val=""/>
      <w:lvlJc w:val="left"/>
      <w:pPr>
        <w:tabs>
          <w:tab w:val="num" w:pos="3960"/>
        </w:tabs>
        <w:ind w:left="3960" w:hanging="360"/>
      </w:pPr>
      <w:rPr>
        <w:rFonts w:ascii="Wingdings" w:hAnsi="Wingdings" w:hint="default"/>
      </w:rPr>
    </w:lvl>
    <w:lvl w:ilvl="6" w:tplc="DFD81FE8" w:tentative="1">
      <w:start w:val="1"/>
      <w:numFmt w:val="bullet"/>
      <w:lvlText w:val=""/>
      <w:lvlJc w:val="left"/>
      <w:pPr>
        <w:tabs>
          <w:tab w:val="num" w:pos="4680"/>
        </w:tabs>
        <w:ind w:left="4680" w:hanging="360"/>
      </w:pPr>
      <w:rPr>
        <w:rFonts w:ascii="Wingdings" w:hAnsi="Wingdings" w:hint="default"/>
      </w:rPr>
    </w:lvl>
    <w:lvl w:ilvl="7" w:tplc="6798BA58" w:tentative="1">
      <w:start w:val="1"/>
      <w:numFmt w:val="bullet"/>
      <w:lvlText w:val=""/>
      <w:lvlJc w:val="left"/>
      <w:pPr>
        <w:tabs>
          <w:tab w:val="num" w:pos="5400"/>
        </w:tabs>
        <w:ind w:left="5400" w:hanging="360"/>
      </w:pPr>
      <w:rPr>
        <w:rFonts w:ascii="Wingdings" w:hAnsi="Wingdings" w:hint="default"/>
      </w:rPr>
    </w:lvl>
    <w:lvl w:ilvl="8" w:tplc="6874989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0B517E0"/>
    <w:multiLevelType w:val="hybridMultilevel"/>
    <w:tmpl w:val="1338C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7926932">
    <w:abstractNumId w:val="2"/>
  </w:num>
  <w:num w:numId="2" w16cid:durableId="92164524">
    <w:abstractNumId w:val="5"/>
  </w:num>
  <w:num w:numId="3" w16cid:durableId="2039693588">
    <w:abstractNumId w:val="5"/>
  </w:num>
  <w:num w:numId="4" w16cid:durableId="755054553">
    <w:abstractNumId w:val="6"/>
  </w:num>
  <w:num w:numId="5" w16cid:durableId="1405950125">
    <w:abstractNumId w:val="4"/>
  </w:num>
  <w:num w:numId="6" w16cid:durableId="970326792">
    <w:abstractNumId w:val="5"/>
  </w:num>
  <w:num w:numId="7" w16cid:durableId="1867134450">
    <w:abstractNumId w:val="5"/>
  </w:num>
  <w:num w:numId="8" w16cid:durableId="855076041">
    <w:abstractNumId w:val="5"/>
  </w:num>
  <w:num w:numId="9" w16cid:durableId="797917930">
    <w:abstractNumId w:val="1"/>
  </w:num>
  <w:num w:numId="10" w16cid:durableId="380371120">
    <w:abstractNumId w:val="0"/>
  </w:num>
  <w:num w:numId="11" w16cid:durableId="1226405181">
    <w:abstractNumId w:val="7"/>
  </w:num>
  <w:num w:numId="12" w16cid:durableId="21171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2B09"/>
    <w:rsid w:val="0000058E"/>
    <w:rsid w:val="00000779"/>
    <w:rsid w:val="00001D84"/>
    <w:rsid w:val="00001EBA"/>
    <w:rsid w:val="00002CB4"/>
    <w:rsid w:val="000140B0"/>
    <w:rsid w:val="000170D8"/>
    <w:rsid w:val="00023D87"/>
    <w:rsid w:val="0002477B"/>
    <w:rsid w:val="000248F7"/>
    <w:rsid w:val="00032BEB"/>
    <w:rsid w:val="00033F3F"/>
    <w:rsid w:val="00042C9F"/>
    <w:rsid w:val="00046DA1"/>
    <w:rsid w:val="00047E7E"/>
    <w:rsid w:val="00051094"/>
    <w:rsid w:val="000552E5"/>
    <w:rsid w:val="00060455"/>
    <w:rsid w:val="00064148"/>
    <w:rsid w:val="00065507"/>
    <w:rsid w:val="00066149"/>
    <w:rsid w:val="00070044"/>
    <w:rsid w:val="0007271B"/>
    <w:rsid w:val="00090190"/>
    <w:rsid w:val="00097E6B"/>
    <w:rsid w:val="000A093B"/>
    <w:rsid w:val="000A7D68"/>
    <w:rsid w:val="000A7F4A"/>
    <w:rsid w:val="000B22D6"/>
    <w:rsid w:val="000B612B"/>
    <w:rsid w:val="000B6802"/>
    <w:rsid w:val="000B6C6E"/>
    <w:rsid w:val="000C0E75"/>
    <w:rsid w:val="000C257B"/>
    <w:rsid w:val="000C3DBE"/>
    <w:rsid w:val="000C3E1A"/>
    <w:rsid w:val="000D0037"/>
    <w:rsid w:val="000D2073"/>
    <w:rsid w:val="000D387C"/>
    <w:rsid w:val="000D3D19"/>
    <w:rsid w:val="000D7CF2"/>
    <w:rsid w:val="000E1C5B"/>
    <w:rsid w:val="000E29E8"/>
    <w:rsid w:val="000E64FC"/>
    <w:rsid w:val="000F4B1A"/>
    <w:rsid w:val="000F71C3"/>
    <w:rsid w:val="00104AD4"/>
    <w:rsid w:val="00110087"/>
    <w:rsid w:val="00110CA2"/>
    <w:rsid w:val="0011255E"/>
    <w:rsid w:val="001127CC"/>
    <w:rsid w:val="001128ED"/>
    <w:rsid w:val="00115404"/>
    <w:rsid w:val="00120DC7"/>
    <w:rsid w:val="00124356"/>
    <w:rsid w:val="0013113A"/>
    <w:rsid w:val="00131D00"/>
    <w:rsid w:val="00131F70"/>
    <w:rsid w:val="0014027B"/>
    <w:rsid w:val="00143559"/>
    <w:rsid w:val="001500D7"/>
    <w:rsid w:val="00150842"/>
    <w:rsid w:val="00154B77"/>
    <w:rsid w:val="00155A9C"/>
    <w:rsid w:val="00155AEB"/>
    <w:rsid w:val="001568A0"/>
    <w:rsid w:val="00180022"/>
    <w:rsid w:val="001835AA"/>
    <w:rsid w:val="00185045"/>
    <w:rsid w:val="00197CDF"/>
    <w:rsid w:val="001A016E"/>
    <w:rsid w:val="001A0587"/>
    <w:rsid w:val="001A20FB"/>
    <w:rsid w:val="001A23A2"/>
    <w:rsid w:val="001A5555"/>
    <w:rsid w:val="001B1B8B"/>
    <w:rsid w:val="001B44C1"/>
    <w:rsid w:val="001C1C90"/>
    <w:rsid w:val="001C7844"/>
    <w:rsid w:val="001D0BE0"/>
    <w:rsid w:val="001D5BA7"/>
    <w:rsid w:val="001E21DF"/>
    <w:rsid w:val="001E34E7"/>
    <w:rsid w:val="001E6B3A"/>
    <w:rsid w:val="001E6DAD"/>
    <w:rsid w:val="001F71DB"/>
    <w:rsid w:val="00216335"/>
    <w:rsid w:val="002200A0"/>
    <w:rsid w:val="00223AE3"/>
    <w:rsid w:val="00223B4F"/>
    <w:rsid w:val="00236286"/>
    <w:rsid w:val="00237344"/>
    <w:rsid w:val="00240591"/>
    <w:rsid w:val="00241CFD"/>
    <w:rsid w:val="002456C3"/>
    <w:rsid w:val="00257938"/>
    <w:rsid w:val="00257C9B"/>
    <w:rsid w:val="00260EB2"/>
    <w:rsid w:val="00270CB0"/>
    <w:rsid w:val="00274CCD"/>
    <w:rsid w:val="002827FD"/>
    <w:rsid w:val="002838FE"/>
    <w:rsid w:val="002853A4"/>
    <w:rsid w:val="002860F7"/>
    <w:rsid w:val="002A03F3"/>
    <w:rsid w:val="002A7F50"/>
    <w:rsid w:val="002B1081"/>
    <w:rsid w:val="002B1ADF"/>
    <w:rsid w:val="002B3601"/>
    <w:rsid w:val="002B3A12"/>
    <w:rsid w:val="002C5F8C"/>
    <w:rsid w:val="002C7331"/>
    <w:rsid w:val="002D345B"/>
    <w:rsid w:val="002D5FA4"/>
    <w:rsid w:val="002E0DFE"/>
    <w:rsid w:val="002E2120"/>
    <w:rsid w:val="002E2C7D"/>
    <w:rsid w:val="002E6262"/>
    <w:rsid w:val="002F11DE"/>
    <w:rsid w:val="002F1454"/>
    <w:rsid w:val="002F1CEC"/>
    <w:rsid w:val="002F461D"/>
    <w:rsid w:val="002F4C23"/>
    <w:rsid w:val="002F59F6"/>
    <w:rsid w:val="00302E74"/>
    <w:rsid w:val="003049A9"/>
    <w:rsid w:val="00310906"/>
    <w:rsid w:val="003136A3"/>
    <w:rsid w:val="00316605"/>
    <w:rsid w:val="003169B6"/>
    <w:rsid w:val="0031704E"/>
    <w:rsid w:val="00321ED6"/>
    <w:rsid w:val="00325C97"/>
    <w:rsid w:val="00331174"/>
    <w:rsid w:val="00334F0D"/>
    <w:rsid w:val="00335793"/>
    <w:rsid w:val="00345A63"/>
    <w:rsid w:val="003462CB"/>
    <w:rsid w:val="00352F3F"/>
    <w:rsid w:val="00353C55"/>
    <w:rsid w:val="00363BAF"/>
    <w:rsid w:val="00366D49"/>
    <w:rsid w:val="0036747F"/>
    <w:rsid w:val="00373399"/>
    <w:rsid w:val="003751D1"/>
    <w:rsid w:val="003816FE"/>
    <w:rsid w:val="00382180"/>
    <w:rsid w:val="00392EA3"/>
    <w:rsid w:val="00393464"/>
    <w:rsid w:val="00393C75"/>
    <w:rsid w:val="003A558C"/>
    <w:rsid w:val="003A644D"/>
    <w:rsid w:val="003B1E26"/>
    <w:rsid w:val="003B573C"/>
    <w:rsid w:val="003B6D4D"/>
    <w:rsid w:val="003C0350"/>
    <w:rsid w:val="003C42C1"/>
    <w:rsid w:val="003C7EF9"/>
    <w:rsid w:val="003D2F04"/>
    <w:rsid w:val="003D465B"/>
    <w:rsid w:val="003D46C8"/>
    <w:rsid w:val="003E403A"/>
    <w:rsid w:val="004005D5"/>
    <w:rsid w:val="00404BFB"/>
    <w:rsid w:val="004060C1"/>
    <w:rsid w:val="00406B78"/>
    <w:rsid w:val="004079C4"/>
    <w:rsid w:val="00411221"/>
    <w:rsid w:val="0041656B"/>
    <w:rsid w:val="00420D66"/>
    <w:rsid w:val="004238B2"/>
    <w:rsid w:val="00423FD7"/>
    <w:rsid w:val="00427300"/>
    <w:rsid w:val="0042744F"/>
    <w:rsid w:val="00432DF0"/>
    <w:rsid w:val="00441323"/>
    <w:rsid w:val="00443EB7"/>
    <w:rsid w:val="0044437D"/>
    <w:rsid w:val="00455CF3"/>
    <w:rsid w:val="00456C17"/>
    <w:rsid w:val="00462183"/>
    <w:rsid w:val="00473D1B"/>
    <w:rsid w:val="00474605"/>
    <w:rsid w:val="004815FC"/>
    <w:rsid w:val="00486B3E"/>
    <w:rsid w:val="00494992"/>
    <w:rsid w:val="00497450"/>
    <w:rsid w:val="004A19A5"/>
    <w:rsid w:val="004A1B93"/>
    <w:rsid w:val="004A477F"/>
    <w:rsid w:val="004A49EC"/>
    <w:rsid w:val="004A7D78"/>
    <w:rsid w:val="004B2454"/>
    <w:rsid w:val="004C0D47"/>
    <w:rsid w:val="004C5D9C"/>
    <w:rsid w:val="004C64CD"/>
    <w:rsid w:val="004D0471"/>
    <w:rsid w:val="004D5933"/>
    <w:rsid w:val="004E0411"/>
    <w:rsid w:val="004E21A7"/>
    <w:rsid w:val="004E42B1"/>
    <w:rsid w:val="004F3DA9"/>
    <w:rsid w:val="004F51EB"/>
    <w:rsid w:val="004F6AF7"/>
    <w:rsid w:val="004F7201"/>
    <w:rsid w:val="004F77E9"/>
    <w:rsid w:val="00500E78"/>
    <w:rsid w:val="005016DD"/>
    <w:rsid w:val="00504F4D"/>
    <w:rsid w:val="00505CDB"/>
    <w:rsid w:val="00506CEF"/>
    <w:rsid w:val="00507B92"/>
    <w:rsid w:val="00512105"/>
    <w:rsid w:val="005141E1"/>
    <w:rsid w:val="0052020A"/>
    <w:rsid w:val="00525958"/>
    <w:rsid w:val="00526202"/>
    <w:rsid w:val="00531A8C"/>
    <w:rsid w:val="0054067D"/>
    <w:rsid w:val="00543D43"/>
    <w:rsid w:val="00550380"/>
    <w:rsid w:val="005568CB"/>
    <w:rsid w:val="00561685"/>
    <w:rsid w:val="005624F1"/>
    <w:rsid w:val="00564101"/>
    <w:rsid w:val="0057070F"/>
    <w:rsid w:val="00572326"/>
    <w:rsid w:val="00574704"/>
    <w:rsid w:val="00575274"/>
    <w:rsid w:val="00577CBD"/>
    <w:rsid w:val="005B017D"/>
    <w:rsid w:val="005B2CA5"/>
    <w:rsid w:val="005C2A91"/>
    <w:rsid w:val="005C3443"/>
    <w:rsid w:val="005C3C07"/>
    <w:rsid w:val="005C4B3D"/>
    <w:rsid w:val="005D0D9C"/>
    <w:rsid w:val="005D17DD"/>
    <w:rsid w:val="005D1880"/>
    <w:rsid w:val="005D3117"/>
    <w:rsid w:val="005D7E66"/>
    <w:rsid w:val="005E084D"/>
    <w:rsid w:val="005E189A"/>
    <w:rsid w:val="005E1CCC"/>
    <w:rsid w:val="005E2158"/>
    <w:rsid w:val="005E3170"/>
    <w:rsid w:val="005F1788"/>
    <w:rsid w:val="005F77A2"/>
    <w:rsid w:val="005F77A8"/>
    <w:rsid w:val="00600DD2"/>
    <w:rsid w:val="006012F5"/>
    <w:rsid w:val="00604B6D"/>
    <w:rsid w:val="006054B6"/>
    <w:rsid w:val="00605558"/>
    <w:rsid w:val="00605576"/>
    <w:rsid w:val="00607F4F"/>
    <w:rsid w:val="00612157"/>
    <w:rsid w:val="0061304B"/>
    <w:rsid w:val="006133D3"/>
    <w:rsid w:val="006137A8"/>
    <w:rsid w:val="00615045"/>
    <w:rsid w:val="0062497F"/>
    <w:rsid w:val="006300C4"/>
    <w:rsid w:val="0063271A"/>
    <w:rsid w:val="00633C13"/>
    <w:rsid w:val="00637FDF"/>
    <w:rsid w:val="00644742"/>
    <w:rsid w:val="006513A1"/>
    <w:rsid w:val="00651A64"/>
    <w:rsid w:val="00654CFD"/>
    <w:rsid w:val="0065523C"/>
    <w:rsid w:val="006577E8"/>
    <w:rsid w:val="006606F3"/>
    <w:rsid w:val="00661223"/>
    <w:rsid w:val="0067118F"/>
    <w:rsid w:val="00672DE3"/>
    <w:rsid w:val="00673D89"/>
    <w:rsid w:val="006763BD"/>
    <w:rsid w:val="00677DEE"/>
    <w:rsid w:val="00684A2C"/>
    <w:rsid w:val="00686B5D"/>
    <w:rsid w:val="00692731"/>
    <w:rsid w:val="006927DC"/>
    <w:rsid w:val="0069620B"/>
    <w:rsid w:val="00696324"/>
    <w:rsid w:val="006A3001"/>
    <w:rsid w:val="006A63B9"/>
    <w:rsid w:val="006D0C37"/>
    <w:rsid w:val="006D18DB"/>
    <w:rsid w:val="006D1CE5"/>
    <w:rsid w:val="006D253B"/>
    <w:rsid w:val="006D28BB"/>
    <w:rsid w:val="006D4051"/>
    <w:rsid w:val="006D6A2F"/>
    <w:rsid w:val="006E2476"/>
    <w:rsid w:val="006E5FF9"/>
    <w:rsid w:val="006E6AF5"/>
    <w:rsid w:val="006F203C"/>
    <w:rsid w:val="006F5520"/>
    <w:rsid w:val="006F5D97"/>
    <w:rsid w:val="006F622F"/>
    <w:rsid w:val="007048DD"/>
    <w:rsid w:val="00704CA9"/>
    <w:rsid w:val="0071024E"/>
    <w:rsid w:val="0071105E"/>
    <w:rsid w:val="00716412"/>
    <w:rsid w:val="007171A6"/>
    <w:rsid w:val="00720092"/>
    <w:rsid w:val="0072159F"/>
    <w:rsid w:val="00730B7D"/>
    <w:rsid w:val="0073638F"/>
    <w:rsid w:val="00736E35"/>
    <w:rsid w:val="00740636"/>
    <w:rsid w:val="00750E6E"/>
    <w:rsid w:val="00754BDF"/>
    <w:rsid w:val="007618F9"/>
    <w:rsid w:val="007628B6"/>
    <w:rsid w:val="0076602B"/>
    <w:rsid w:val="007712FD"/>
    <w:rsid w:val="0077182C"/>
    <w:rsid w:val="00772C9F"/>
    <w:rsid w:val="00775ACC"/>
    <w:rsid w:val="00780635"/>
    <w:rsid w:val="00784126"/>
    <w:rsid w:val="007866A9"/>
    <w:rsid w:val="007867C4"/>
    <w:rsid w:val="00786938"/>
    <w:rsid w:val="00786A10"/>
    <w:rsid w:val="00792F48"/>
    <w:rsid w:val="007947C8"/>
    <w:rsid w:val="007950A5"/>
    <w:rsid w:val="007A07F9"/>
    <w:rsid w:val="007A0C7F"/>
    <w:rsid w:val="007A25E5"/>
    <w:rsid w:val="007A7BFB"/>
    <w:rsid w:val="007A7D30"/>
    <w:rsid w:val="007B46EA"/>
    <w:rsid w:val="007C1C16"/>
    <w:rsid w:val="007D068E"/>
    <w:rsid w:val="007D53AE"/>
    <w:rsid w:val="007E0217"/>
    <w:rsid w:val="007E275A"/>
    <w:rsid w:val="007E6A59"/>
    <w:rsid w:val="007F1DEF"/>
    <w:rsid w:val="007F252D"/>
    <w:rsid w:val="007F42FF"/>
    <w:rsid w:val="007F7E0D"/>
    <w:rsid w:val="008040BA"/>
    <w:rsid w:val="00804835"/>
    <w:rsid w:val="008053BC"/>
    <w:rsid w:val="00807630"/>
    <w:rsid w:val="00811323"/>
    <w:rsid w:val="00814F1B"/>
    <w:rsid w:val="008155E0"/>
    <w:rsid w:val="00820019"/>
    <w:rsid w:val="008241D6"/>
    <w:rsid w:val="00826442"/>
    <w:rsid w:val="008333CC"/>
    <w:rsid w:val="008379DB"/>
    <w:rsid w:val="00841EE0"/>
    <w:rsid w:val="00846899"/>
    <w:rsid w:val="00852E50"/>
    <w:rsid w:val="00857072"/>
    <w:rsid w:val="00867395"/>
    <w:rsid w:val="00870FAC"/>
    <w:rsid w:val="00883219"/>
    <w:rsid w:val="00890D76"/>
    <w:rsid w:val="008930A1"/>
    <w:rsid w:val="008942C9"/>
    <w:rsid w:val="008A11C6"/>
    <w:rsid w:val="008A6CA5"/>
    <w:rsid w:val="008B03EA"/>
    <w:rsid w:val="008B1685"/>
    <w:rsid w:val="008B3B55"/>
    <w:rsid w:val="008B50C3"/>
    <w:rsid w:val="008C0DC2"/>
    <w:rsid w:val="008C38B6"/>
    <w:rsid w:val="008C39CD"/>
    <w:rsid w:val="008C488F"/>
    <w:rsid w:val="008C634F"/>
    <w:rsid w:val="008D2C49"/>
    <w:rsid w:val="008D4D4F"/>
    <w:rsid w:val="008D6E07"/>
    <w:rsid w:val="008D7E31"/>
    <w:rsid w:val="008D7E84"/>
    <w:rsid w:val="008E2027"/>
    <w:rsid w:val="008E311B"/>
    <w:rsid w:val="00904AD2"/>
    <w:rsid w:val="009100E3"/>
    <w:rsid w:val="0091139C"/>
    <w:rsid w:val="00920EF4"/>
    <w:rsid w:val="009222B3"/>
    <w:rsid w:val="00923309"/>
    <w:rsid w:val="0092454F"/>
    <w:rsid w:val="00930669"/>
    <w:rsid w:val="00945C8D"/>
    <w:rsid w:val="00946E0A"/>
    <w:rsid w:val="0094759C"/>
    <w:rsid w:val="00953219"/>
    <w:rsid w:val="0095779D"/>
    <w:rsid w:val="00967BB6"/>
    <w:rsid w:val="00973671"/>
    <w:rsid w:val="00981409"/>
    <w:rsid w:val="00981454"/>
    <w:rsid w:val="00991951"/>
    <w:rsid w:val="00996B2B"/>
    <w:rsid w:val="00996C6E"/>
    <w:rsid w:val="009A0CE4"/>
    <w:rsid w:val="009A14CB"/>
    <w:rsid w:val="009A2A03"/>
    <w:rsid w:val="009A77BA"/>
    <w:rsid w:val="009A7977"/>
    <w:rsid w:val="009C015D"/>
    <w:rsid w:val="009C24A9"/>
    <w:rsid w:val="009C459B"/>
    <w:rsid w:val="009C4ACF"/>
    <w:rsid w:val="009C56C2"/>
    <w:rsid w:val="009C5C6B"/>
    <w:rsid w:val="009D08C3"/>
    <w:rsid w:val="009D2EE7"/>
    <w:rsid w:val="009D3744"/>
    <w:rsid w:val="009E5F70"/>
    <w:rsid w:val="009E62DE"/>
    <w:rsid w:val="009E7B15"/>
    <w:rsid w:val="009E7E55"/>
    <w:rsid w:val="00A01014"/>
    <w:rsid w:val="00A0142B"/>
    <w:rsid w:val="00A02623"/>
    <w:rsid w:val="00A11163"/>
    <w:rsid w:val="00A12A66"/>
    <w:rsid w:val="00A14C29"/>
    <w:rsid w:val="00A25524"/>
    <w:rsid w:val="00A312A8"/>
    <w:rsid w:val="00A32AF0"/>
    <w:rsid w:val="00A44649"/>
    <w:rsid w:val="00A46924"/>
    <w:rsid w:val="00A46DB6"/>
    <w:rsid w:val="00A475CE"/>
    <w:rsid w:val="00A54D53"/>
    <w:rsid w:val="00A579E5"/>
    <w:rsid w:val="00A626E5"/>
    <w:rsid w:val="00A73877"/>
    <w:rsid w:val="00A76FC1"/>
    <w:rsid w:val="00A8375D"/>
    <w:rsid w:val="00A84B0B"/>
    <w:rsid w:val="00A914A0"/>
    <w:rsid w:val="00A95BE3"/>
    <w:rsid w:val="00AB0A26"/>
    <w:rsid w:val="00AB1A44"/>
    <w:rsid w:val="00AB3434"/>
    <w:rsid w:val="00AB4DD7"/>
    <w:rsid w:val="00AB5E81"/>
    <w:rsid w:val="00AB7D3C"/>
    <w:rsid w:val="00AC1325"/>
    <w:rsid w:val="00AC1614"/>
    <w:rsid w:val="00AC7D4C"/>
    <w:rsid w:val="00AD11BF"/>
    <w:rsid w:val="00AD446A"/>
    <w:rsid w:val="00AD6EBD"/>
    <w:rsid w:val="00AE0E1D"/>
    <w:rsid w:val="00AE2AB5"/>
    <w:rsid w:val="00AE2C56"/>
    <w:rsid w:val="00AE62B5"/>
    <w:rsid w:val="00AE697D"/>
    <w:rsid w:val="00AE77E1"/>
    <w:rsid w:val="00AF0BB1"/>
    <w:rsid w:val="00AF134D"/>
    <w:rsid w:val="00B0291F"/>
    <w:rsid w:val="00B0365B"/>
    <w:rsid w:val="00B05AE6"/>
    <w:rsid w:val="00B11BB2"/>
    <w:rsid w:val="00B1455A"/>
    <w:rsid w:val="00B23109"/>
    <w:rsid w:val="00B2449B"/>
    <w:rsid w:val="00B25C74"/>
    <w:rsid w:val="00B36783"/>
    <w:rsid w:val="00B425A5"/>
    <w:rsid w:val="00B44E3A"/>
    <w:rsid w:val="00B45DB9"/>
    <w:rsid w:val="00B467B7"/>
    <w:rsid w:val="00B516D8"/>
    <w:rsid w:val="00B54DA8"/>
    <w:rsid w:val="00B56BA3"/>
    <w:rsid w:val="00B57F9B"/>
    <w:rsid w:val="00B615FB"/>
    <w:rsid w:val="00B713E9"/>
    <w:rsid w:val="00B7778A"/>
    <w:rsid w:val="00B83165"/>
    <w:rsid w:val="00B84A70"/>
    <w:rsid w:val="00B906CE"/>
    <w:rsid w:val="00B945A0"/>
    <w:rsid w:val="00B9678E"/>
    <w:rsid w:val="00BA2564"/>
    <w:rsid w:val="00BA2D28"/>
    <w:rsid w:val="00BA6CBD"/>
    <w:rsid w:val="00BA75B2"/>
    <w:rsid w:val="00BB0010"/>
    <w:rsid w:val="00BB0335"/>
    <w:rsid w:val="00BB2200"/>
    <w:rsid w:val="00BB3C63"/>
    <w:rsid w:val="00BB4E3D"/>
    <w:rsid w:val="00BB7569"/>
    <w:rsid w:val="00BC1ACA"/>
    <w:rsid w:val="00BC245E"/>
    <w:rsid w:val="00BC478F"/>
    <w:rsid w:val="00BD376C"/>
    <w:rsid w:val="00BD7419"/>
    <w:rsid w:val="00BE0ED4"/>
    <w:rsid w:val="00BE46D3"/>
    <w:rsid w:val="00BE4D7A"/>
    <w:rsid w:val="00BE65A6"/>
    <w:rsid w:val="00BF05F7"/>
    <w:rsid w:val="00BF4358"/>
    <w:rsid w:val="00BF535C"/>
    <w:rsid w:val="00C1049E"/>
    <w:rsid w:val="00C12F87"/>
    <w:rsid w:val="00C132D3"/>
    <w:rsid w:val="00C13F38"/>
    <w:rsid w:val="00C215AB"/>
    <w:rsid w:val="00C36E82"/>
    <w:rsid w:val="00C4652B"/>
    <w:rsid w:val="00C54DD1"/>
    <w:rsid w:val="00C6121C"/>
    <w:rsid w:val="00C614BF"/>
    <w:rsid w:val="00C71CA7"/>
    <w:rsid w:val="00C80E15"/>
    <w:rsid w:val="00C833C8"/>
    <w:rsid w:val="00C836F6"/>
    <w:rsid w:val="00C8735A"/>
    <w:rsid w:val="00C911AE"/>
    <w:rsid w:val="00C941FE"/>
    <w:rsid w:val="00C95116"/>
    <w:rsid w:val="00C9637A"/>
    <w:rsid w:val="00CA27D8"/>
    <w:rsid w:val="00CA3084"/>
    <w:rsid w:val="00CA76BA"/>
    <w:rsid w:val="00CB22FB"/>
    <w:rsid w:val="00CB2DEE"/>
    <w:rsid w:val="00CB72DF"/>
    <w:rsid w:val="00CB79B1"/>
    <w:rsid w:val="00CC2B09"/>
    <w:rsid w:val="00CC31ED"/>
    <w:rsid w:val="00CC5F3C"/>
    <w:rsid w:val="00CD1F5D"/>
    <w:rsid w:val="00CD252C"/>
    <w:rsid w:val="00CD412A"/>
    <w:rsid w:val="00CE0783"/>
    <w:rsid w:val="00CE3046"/>
    <w:rsid w:val="00CE40B6"/>
    <w:rsid w:val="00CE6AEF"/>
    <w:rsid w:val="00CF39A4"/>
    <w:rsid w:val="00CF5343"/>
    <w:rsid w:val="00CF6CC1"/>
    <w:rsid w:val="00CF709E"/>
    <w:rsid w:val="00CF7D78"/>
    <w:rsid w:val="00D02AD2"/>
    <w:rsid w:val="00D10662"/>
    <w:rsid w:val="00D11163"/>
    <w:rsid w:val="00D111EE"/>
    <w:rsid w:val="00D1412F"/>
    <w:rsid w:val="00D2131C"/>
    <w:rsid w:val="00D21DA4"/>
    <w:rsid w:val="00D370A2"/>
    <w:rsid w:val="00D4180D"/>
    <w:rsid w:val="00D420FA"/>
    <w:rsid w:val="00D44AD2"/>
    <w:rsid w:val="00D45092"/>
    <w:rsid w:val="00D46F70"/>
    <w:rsid w:val="00D5607E"/>
    <w:rsid w:val="00D575D0"/>
    <w:rsid w:val="00D57A2B"/>
    <w:rsid w:val="00D7074C"/>
    <w:rsid w:val="00D71C0A"/>
    <w:rsid w:val="00D72620"/>
    <w:rsid w:val="00D75922"/>
    <w:rsid w:val="00D75FC8"/>
    <w:rsid w:val="00D815E3"/>
    <w:rsid w:val="00D8220B"/>
    <w:rsid w:val="00D8311F"/>
    <w:rsid w:val="00D84C1D"/>
    <w:rsid w:val="00D84E0F"/>
    <w:rsid w:val="00D91B54"/>
    <w:rsid w:val="00D91DC8"/>
    <w:rsid w:val="00DA0B16"/>
    <w:rsid w:val="00DB0FBB"/>
    <w:rsid w:val="00DB1366"/>
    <w:rsid w:val="00DB16EB"/>
    <w:rsid w:val="00DB66DF"/>
    <w:rsid w:val="00DB6A66"/>
    <w:rsid w:val="00DC2266"/>
    <w:rsid w:val="00DC6494"/>
    <w:rsid w:val="00DD64E3"/>
    <w:rsid w:val="00DE10AE"/>
    <w:rsid w:val="00DE2F26"/>
    <w:rsid w:val="00DF3EE2"/>
    <w:rsid w:val="00E01F5A"/>
    <w:rsid w:val="00E033BE"/>
    <w:rsid w:val="00E131E7"/>
    <w:rsid w:val="00E17DDE"/>
    <w:rsid w:val="00E17FEA"/>
    <w:rsid w:val="00E21692"/>
    <w:rsid w:val="00E21913"/>
    <w:rsid w:val="00E21AEF"/>
    <w:rsid w:val="00E30834"/>
    <w:rsid w:val="00E3273A"/>
    <w:rsid w:val="00E408DA"/>
    <w:rsid w:val="00E41FF0"/>
    <w:rsid w:val="00E45DEE"/>
    <w:rsid w:val="00E54611"/>
    <w:rsid w:val="00E55E73"/>
    <w:rsid w:val="00E6442C"/>
    <w:rsid w:val="00E67B3E"/>
    <w:rsid w:val="00E71535"/>
    <w:rsid w:val="00E76162"/>
    <w:rsid w:val="00E76615"/>
    <w:rsid w:val="00E816E4"/>
    <w:rsid w:val="00E82EA2"/>
    <w:rsid w:val="00E82F99"/>
    <w:rsid w:val="00E869D9"/>
    <w:rsid w:val="00E878B7"/>
    <w:rsid w:val="00E91306"/>
    <w:rsid w:val="00E91493"/>
    <w:rsid w:val="00E9329D"/>
    <w:rsid w:val="00E93DCB"/>
    <w:rsid w:val="00E94574"/>
    <w:rsid w:val="00EA1B4F"/>
    <w:rsid w:val="00EA2917"/>
    <w:rsid w:val="00EA3946"/>
    <w:rsid w:val="00EA50A6"/>
    <w:rsid w:val="00EB1D0D"/>
    <w:rsid w:val="00EC5A96"/>
    <w:rsid w:val="00ED3296"/>
    <w:rsid w:val="00EE0ED5"/>
    <w:rsid w:val="00EF49E9"/>
    <w:rsid w:val="00EF7A29"/>
    <w:rsid w:val="00F00A59"/>
    <w:rsid w:val="00F01CA3"/>
    <w:rsid w:val="00F03178"/>
    <w:rsid w:val="00F03F15"/>
    <w:rsid w:val="00F1041B"/>
    <w:rsid w:val="00F11E23"/>
    <w:rsid w:val="00F12A49"/>
    <w:rsid w:val="00F140EC"/>
    <w:rsid w:val="00F27F5E"/>
    <w:rsid w:val="00F3024E"/>
    <w:rsid w:val="00F330CF"/>
    <w:rsid w:val="00F34C6D"/>
    <w:rsid w:val="00F34F75"/>
    <w:rsid w:val="00F44DCB"/>
    <w:rsid w:val="00F51FFD"/>
    <w:rsid w:val="00F54850"/>
    <w:rsid w:val="00F54939"/>
    <w:rsid w:val="00F64272"/>
    <w:rsid w:val="00F87CF8"/>
    <w:rsid w:val="00F90F72"/>
    <w:rsid w:val="00F9598B"/>
    <w:rsid w:val="00F96FF4"/>
    <w:rsid w:val="00FA47B9"/>
    <w:rsid w:val="00FA5674"/>
    <w:rsid w:val="00FA5D9F"/>
    <w:rsid w:val="00FA699D"/>
    <w:rsid w:val="00FA7FB2"/>
    <w:rsid w:val="00FB14EB"/>
    <w:rsid w:val="00FB4389"/>
    <w:rsid w:val="00FB455A"/>
    <w:rsid w:val="00FC4D5A"/>
    <w:rsid w:val="00FE2181"/>
    <w:rsid w:val="00FE2806"/>
    <w:rsid w:val="00FE3703"/>
    <w:rsid w:val="00FE5577"/>
    <w:rsid w:val="00FF0DCE"/>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0919"/>
  <w15:docId w15:val="{E0207B69-0901-466D-8F3E-476474D4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B09"/>
    <w:pPr>
      <w:spacing w:after="160" w:line="360" w:lineRule="auto"/>
      <w:jc w:val="both"/>
    </w:pPr>
    <w:rPr>
      <w:rFonts w:ascii="Times New Roman" w:hAnsi="Times New Roman"/>
      <w:sz w:val="24"/>
      <w:lang w:bidi="my-MM"/>
    </w:rPr>
  </w:style>
  <w:style w:type="paragraph" w:styleId="Heading1">
    <w:name w:val="heading 1"/>
    <w:basedOn w:val="Normal"/>
    <w:next w:val="Normal"/>
    <w:link w:val="Heading1Char"/>
    <w:uiPriority w:val="9"/>
    <w:qFormat/>
    <w:rsid w:val="009E7B15"/>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E7B15"/>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E7B15"/>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E7B15"/>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E7B15"/>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E7B15"/>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E7B15"/>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E7B1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E7B1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D345B"/>
    <w:pPr>
      <w:widowControl w:val="0"/>
      <w:autoSpaceDE w:val="0"/>
      <w:autoSpaceDN w:val="0"/>
      <w:spacing w:after="0" w:line="240" w:lineRule="auto"/>
      <w:jc w:val="left"/>
    </w:pPr>
    <w:rPr>
      <w:rFonts w:eastAsia="Times New Roman" w:cs="Times New Roman"/>
      <w:szCs w:val="24"/>
      <w:lang w:bidi="ar-SA"/>
    </w:rPr>
  </w:style>
  <w:style w:type="character" w:customStyle="1" w:styleId="BodyTextChar">
    <w:name w:val="Body Text Char"/>
    <w:basedOn w:val="DefaultParagraphFont"/>
    <w:link w:val="BodyText"/>
    <w:uiPriority w:val="1"/>
    <w:rsid w:val="002D345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252D"/>
    <w:rPr>
      <w:color w:val="0000FF"/>
      <w:u w:val="single"/>
    </w:rPr>
  </w:style>
  <w:style w:type="paragraph" w:styleId="NormalWeb">
    <w:name w:val="Normal (Web)"/>
    <w:basedOn w:val="Normal"/>
    <w:uiPriority w:val="99"/>
    <w:unhideWhenUsed/>
    <w:rsid w:val="00420D66"/>
    <w:pPr>
      <w:spacing w:before="100" w:beforeAutospacing="1" w:after="100" w:afterAutospacing="1" w:line="240" w:lineRule="auto"/>
      <w:jc w:val="left"/>
    </w:pPr>
    <w:rPr>
      <w:rFonts w:eastAsia="Times New Roman" w:cs="Times New Roman"/>
      <w:szCs w:val="24"/>
      <w:lang w:bidi="ar-SA"/>
    </w:rPr>
  </w:style>
  <w:style w:type="character" w:customStyle="1" w:styleId="Heading1Char">
    <w:name w:val="Heading 1 Char"/>
    <w:basedOn w:val="DefaultParagraphFont"/>
    <w:link w:val="Heading1"/>
    <w:uiPriority w:val="9"/>
    <w:rsid w:val="009E7B15"/>
    <w:rPr>
      <w:rFonts w:asciiTheme="majorHAnsi" w:eastAsiaTheme="majorEastAsia" w:hAnsiTheme="majorHAnsi" w:cstheme="majorBidi"/>
      <w:b/>
      <w:bCs/>
      <w:color w:val="365F91" w:themeColor="accent1" w:themeShade="BF"/>
      <w:sz w:val="28"/>
      <w:szCs w:val="28"/>
      <w:lang w:bidi="my-MM"/>
    </w:rPr>
  </w:style>
  <w:style w:type="character" w:customStyle="1" w:styleId="Heading2Char">
    <w:name w:val="Heading 2 Char"/>
    <w:basedOn w:val="DefaultParagraphFont"/>
    <w:link w:val="Heading2"/>
    <w:uiPriority w:val="9"/>
    <w:semiHidden/>
    <w:rsid w:val="009E7B15"/>
    <w:rPr>
      <w:rFonts w:asciiTheme="majorHAnsi" w:eastAsiaTheme="majorEastAsia" w:hAnsiTheme="majorHAnsi" w:cstheme="majorBidi"/>
      <w:b/>
      <w:bCs/>
      <w:color w:val="4F81BD" w:themeColor="accent1"/>
      <w:sz w:val="26"/>
      <w:szCs w:val="26"/>
      <w:lang w:bidi="my-MM"/>
    </w:rPr>
  </w:style>
  <w:style w:type="character" w:customStyle="1" w:styleId="Heading3Char">
    <w:name w:val="Heading 3 Char"/>
    <w:basedOn w:val="DefaultParagraphFont"/>
    <w:link w:val="Heading3"/>
    <w:uiPriority w:val="9"/>
    <w:semiHidden/>
    <w:rsid w:val="009E7B15"/>
    <w:rPr>
      <w:rFonts w:asciiTheme="majorHAnsi" w:eastAsiaTheme="majorEastAsia" w:hAnsiTheme="majorHAnsi" w:cstheme="majorBidi"/>
      <w:b/>
      <w:bCs/>
      <w:color w:val="4F81BD" w:themeColor="accent1"/>
      <w:sz w:val="24"/>
      <w:lang w:bidi="my-MM"/>
    </w:rPr>
  </w:style>
  <w:style w:type="character" w:customStyle="1" w:styleId="Heading4Char">
    <w:name w:val="Heading 4 Char"/>
    <w:basedOn w:val="DefaultParagraphFont"/>
    <w:link w:val="Heading4"/>
    <w:uiPriority w:val="9"/>
    <w:semiHidden/>
    <w:rsid w:val="009E7B15"/>
    <w:rPr>
      <w:rFonts w:asciiTheme="majorHAnsi" w:eastAsiaTheme="majorEastAsia" w:hAnsiTheme="majorHAnsi" w:cstheme="majorBidi"/>
      <w:b/>
      <w:bCs/>
      <w:i/>
      <w:iCs/>
      <w:color w:val="4F81BD" w:themeColor="accent1"/>
      <w:sz w:val="24"/>
      <w:lang w:bidi="my-MM"/>
    </w:rPr>
  </w:style>
  <w:style w:type="character" w:customStyle="1" w:styleId="Heading5Char">
    <w:name w:val="Heading 5 Char"/>
    <w:basedOn w:val="DefaultParagraphFont"/>
    <w:link w:val="Heading5"/>
    <w:uiPriority w:val="9"/>
    <w:semiHidden/>
    <w:rsid w:val="009E7B15"/>
    <w:rPr>
      <w:rFonts w:asciiTheme="majorHAnsi" w:eastAsiaTheme="majorEastAsia" w:hAnsiTheme="majorHAnsi" w:cstheme="majorBidi"/>
      <w:color w:val="243F60" w:themeColor="accent1" w:themeShade="7F"/>
      <w:sz w:val="24"/>
      <w:lang w:bidi="my-MM"/>
    </w:rPr>
  </w:style>
  <w:style w:type="character" w:customStyle="1" w:styleId="Heading6Char">
    <w:name w:val="Heading 6 Char"/>
    <w:basedOn w:val="DefaultParagraphFont"/>
    <w:link w:val="Heading6"/>
    <w:uiPriority w:val="9"/>
    <w:semiHidden/>
    <w:rsid w:val="009E7B15"/>
    <w:rPr>
      <w:rFonts w:asciiTheme="majorHAnsi" w:eastAsiaTheme="majorEastAsia" w:hAnsiTheme="majorHAnsi" w:cstheme="majorBidi"/>
      <w:i/>
      <w:iCs/>
      <w:color w:val="243F60" w:themeColor="accent1" w:themeShade="7F"/>
      <w:sz w:val="24"/>
      <w:lang w:bidi="my-MM"/>
    </w:rPr>
  </w:style>
  <w:style w:type="character" w:customStyle="1" w:styleId="Heading7Char">
    <w:name w:val="Heading 7 Char"/>
    <w:basedOn w:val="DefaultParagraphFont"/>
    <w:link w:val="Heading7"/>
    <w:uiPriority w:val="9"/>
    <w:semiHidden/>
    <w:rsid w:val="009E7B15"/>
    <w:rPr>
      <w:rFonts w:asciiTheme="majorHAnsi" w:eastAsiaTheme="majorEastAsia" w:hAnsiTheme="majorHAnsi" w:cstheme="majorBidi"/>
      <w:i/>
      <w:iCs/>
      <w:color w:val="404040" w:themeColor="text1" w:themeTint="BF"/>
      <w:sz w:val="24"/>
      <w:lang w:bidi="my-MM"/>
    </w:rPr>
  </w:style>
  <w:style w:type="character" w:customStyle="1" w:styleId="Heading8Char">
    <w:name w:val="Heading 8 Char"/>
    <w:basedOn w:val="DefaultParagraphFont"/>
    <w:link w:val="Heading8"/>
    <w:uiPriority w:val="9"/>
    <w:semiHidden/>
    <w:rsid w:val="009E7B15"/>
    <w:rPr>
      <w:rFonts w:asciiTheme="majorHAnsi" w:eastAsiaTheme="majorEastAsia" w:hAnsiTheme="majorHAnsi" w:cstheme="majorBidi"/>
      <w:color w:val="404040" w:themeColor="text1" w:themeTint="BF"/>
      <w:sz w:val="20"/>
      <w:szCs w:val="20"/>
      <w:lang w:bidi="my-MM"/>
    </w:rPr>
  </w:style>
  <w:style w:type="character" w:customStyle="1" w:styleId="Heading9Char">
    <w:name w:val="Heading 9 Char"/>
    <w:basedOn w:val="DefaultParagraphFont"/>
    <w:link w:val="Heading9"/>
    <w:uiPriority w:val="9"/>
    <w:semiHidden/>
    <w:rsid w:val="009E7B15"/>
    <w:rPr>
      <w:rFonts w:asciiTheme="majorHAnsi" w:eastAsiaTheme="majorEastAsia" w:hAnsiTheme="majorHAnsi" w:cstheme="majorBidi"/>
      <w:i/>
      <w:iCs/>
      <w:color w:val="404040" w:themeColor="text1" w:themeTint="BF"/>
      <w:sz w:val="20"/>
      <w:szCs w:val="20"/>
      <w:lang w:bidi="my-MM"/>
    </w:rPr>
  </w:style>
  <w:style w:type="paragraph" w:styleId="BalloonText">
    <w:name w:val="Balloon Text"/>
    <w:basedOn w:val="Normal"/>
    <w:link w:val="BalloonTextChar"/>
    <w:uiPriority w:val="99"/>
    <w:semiHidden/>
    <w:unhideWhenUsed/>
    <w:rsid w:val="00A91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4A0"/>
    <w:rPr>
      <w:rFonts w:ascii="Tahoma" w:hAnsi="Tahoma" w:cs="Tahoma"/>
      <w:sz w:val="16"/>
      <w:szCs w:val="16"/>
      <w:lang w:bidi="my-MM"/>
    </w:rPr>
  </w:style>
  <w:style w:type="character" w:styleId="Emphasis">
    <w:name w:val="Emphasis"/>
    <w:basedOn w:val="DefaultParagraphFont"/>
    <w:uiPriority w:val="20"/>
    <w:qFormat/>
    <w:rsid w:val="007867C4"/>
    <w:rPr>
      <w:i/>
      <w:iCs/>
    </w:rPr>
  </w:style>
  <w:style w:type="character" w:styleId="Strong">
    <w:name w:val="Strong"/>
    <w:basedOn w:val="DefaultParagraphFont"/>
    <w:uiPriority w:val="22"/>
    <w:qFormat/>
    <w:rsid w:val="007867C4"/>
    <w:rPr>
      <w:b/>
      <w:bCs/>
    </w:rPr>
  </w:style>
  <w:style w:type="paragraph" w:styleId="Header">
    <w:name w:val="header"/>
    <w:basedOn w:val="Normal"/>
    <w:link w:val="HeaderChar"/>
    <w:uiPriority w:val="99"/>
    <w:unhideWhenUsed/>
    <w:rsid w:val="0071105E"/>
    <w:pPr>
      <w:tabs>
        <w:tab w:val="center" w:pos="4680"/>
        <w:tab w:val="right" w:pos="9360"/>
      </w:tabs>
      <w:spacing w:after="0" w:line="240" w:lineRule="auto"/>
      <w:ind w:left="1267" w:hanging="1267"/>
    </w:pPr>
    <w:rPr>
      <w:kern w:val="2"/>
      <w:lang w:bidi="ar-SA"/>
    </w:rPr>
  </w:style>
  <w:style w:type="character" w:customStyle="1" w:styleId="HeaderChar">
    <w:name w:val="Header Char"/>
    <w:basedOn w:val="DefaultParagraphFont"/>
    <w:link w:val="Header"/>
    <w:uiPriority w:val="99"/>
    <w:rsid w:val="0071105E"/>
    <w:rPr>
      <w:rFonts w:ascii="Times New Roman" w:hAnsi="Times New Roman"/>
      <w:kern w:val="2"/>
      <w:sz w:val="24"/>
    </w:rPr>
  </w:style>
  <w:style w:type="paragraph" w:customStyle="1" w:styleId="isselectedend">
    <w:name w:val="isselectedend"/>
    <w:basedOn w:val="Normal"/>
    <w:rsid w:val="006E2476"/>
    <w:pPr>
      <w:spacing w:before="100" w:beforeAutospacing="1" w:after="100" w:afterAutospacing="1" w:line="240" w:lineRule="auto"/>
      <w:jc w:val="left"/>
    </w:pPr>
    <w:rPr>
      <w:rFonts w:eastAsia="Times New Roman" w:cs="Times New Roman"/>
      <w:szCs w:val="24"/>
      <w:lang w:bidi="ar-SA"/>
    </w:rPr>
  </w:style>
  <w:style w:type="paragraph" w:customStyle="1" w:styleId="pdq2pgselectionanchorcontainer">
    <w:name w:val="pdq2pg_selectionanchorcontainer"/>
    <w:basedOn w:val="Normal"/>
    <w:rsid w:val="00D57A2B"/>
    <w:pPr>
      <w:spacing w:before="100" w:beforeAutospacing="1" w:after="100" w:afterAutospacing="1" w:line="240" w:lineRule="auto"/>
      <w:jc w:val="left"/>
    </w:pPr>
    <w:rPr>
      <w:rFonts w:eastAsia="Times New Roman" w:cs="Times New Roman"/>
      <w:szCs w:val="24"/>
    </w:rPr>
  </w:style>
  <w:style w:type="paragraph" w:styleId="NoSpacing">
    <w:name w:val="No Spacing"/>
    <w:uiPriority w:val="1"/>
    <w:qFormat/>
    <w:rsid w:val="00B83165"/>
    <w:pPr>
      <w:spacing w:after="0" w:line="240" w:lineRule="auto"/>
      <w:jc w:val="both"/>
    </w:pPr>
    <w:rPr>
      <w:rFonts w:ascii="Times New Roman" w:hAnsi="Times New Roman"/>
      <w:sz w:val="24"/>
      <w:lang w:bidi="my-MM"/>
    </w:rPr>
  </w:style>
  <w:style w:type="paragraph" w:styleId="ListParagraph">
    <w:name w:val="List Paragraph"/>
    <w:basedOn w:val="Normal"/>
    <w:uiPriority w:val="34"/>
    <w:qFormat/>
    <w:rsid w:val="002E2120"/>
    <w:pPr>
      <w:spacing w:after="0" w:line="240" w:lineRule="auto"/>
      <w:ind w:left="720"/>
      <w:contextualSpacing/>
      <w:jc w:val="left"/>
    </w:pPr>
    <w:rPr>
      <w:rFonts w:eastAsia="Times New Roman" w:cs="Times New Roman"/>
      <w:szCs w:val="24"/>
      <w:lang w:bidi="ar-SA"/>
    </w:rPr>
  </w:style>
  <w:style w:type="paragraph" w:styleId="Footer">
    <w:name w:val="footer"/>
    <w:basedOn w:val="Normal"/>
    <w:link w:val="FooterChar"/>
    <w:uiPriority w:val="99"/>
    <w:unhideWhenUsed/>
    <w:rsid w:val="00B11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BB2"/>
    <w:rPr>
      <w:rFonts w:ascii="Times New Roman" w:hAnsi="Times New Roman"/>
      <w:sz w:val="24"/>
      <w:lang w:bidi="my-MM"/>
    </w:rPr>
  </w:style>
  <w:style w:type="character" w:styleId="UnresolvedMention">
    <w:name w:val="Unresolved Mention"/>
    <w:basedOn w:val="DefaultParagraphFont"/>
    <w:uiPriority w:val="99"/>
    <w:semiHidden/>
    <w:unhideWhenUsed/>
    <w:rsid w:val="00F03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422">
      <w:bodyDiv w:val="1"/>
      <w:marLeft w:val="0"/>
      <w:marRight w:val="0"/>
      <w:marTop w:val="0"/>
      <w:marBottom w:val="0"/>
      <w:divBdr>
        <w:top w:val="none" w:sz="0" w:space="0" w:color="auto"/>
        <w:left w:val="none" w:sz="0" w:space="0" w:color="auto"/>
        <w:bottom w:val="none" w:sz="0" w:space="0" w:color="auto"/>
        <w:right w:val="none" w:sz="0" w:space="0" w:color="auto"/>
      </w:divBdr>
    </w:div>
    <w:div w:id="91560414">
      <w:bodyDiv w:val="1"/>
      <w:marLeft w:val="0"/>
      <w:marRight w:val="0"/>
      <w:marTop w:val="0"/>
      <w:marBottom w:val="0"/>
      <w:divBdr>
        <w:top w:val="none" w:sz="0" w:space="0" w:color="auto"/>
        <w:left w:val="none" w:sz="0" w:space="0" w:color="auto"/>
        <w:bottom w:val="none" w:sz="0" w:space="0" w:color="auto"/>
        <w:right w:val="none" w:sz="0" w:space="0" w:color="auto"/>
      </w:divBdr>
    </w:div>
    <w:div w:id="202258833">
      <w:bodyDiv w:val="1"/>
      <w:marLeft w:val="0"/>
      <w:marRight w:val="0"/>
      <w:marTop w:val="0"/>
      <w:marBottom w:val="0"/>
      <w:divBdr>
        <w:top w:val="none" w:sz="0" w:space="0" w:color="auto"/>
        <w:left w:val="none" w:sz="0" w:space="0" w:color="auto"/>
        <w:bottom w:val="none" w:sz="0" w:space="0" w:color="auto"/>
        <w:right w:val="none" w:sz="0" w:space="0" w:color="auto"/>
      </w:divBdr>
    </w:div>
    <w:div w:id="278340371">
      <w:bodyDiv w:val="1"/>
      <w:marLeft w:val="0"/>
      <w:marRight w:val="0"/>
      <w:marTop w:val="0"/>
      <w:marBottom w:val="0"/>
      <w:divBdr>
        <w:top w:val="none" w:sz="0" w:space="0" w:color="auto"/>
        <w:left w:val="none" w:sz="0" w:space="0" w:color="auto"/>
        <w:bottom w:val="none" w:sz="0" w:space="0" w:color="auto"/>
        <w:right w:val="none" w:sz="0" w:space="0" w:color="auto"/>
      </w:divBdr>
      <w:divsChild>
        <w:div w:id="1222443686">
          <w:marLeft w:val="446"/>
          <w:marRight w:val="0"/>
          <w:marTop w:val="0"/>
          <w:marBottom w:val="0"/>
          <w:divBdr>
            <w:top w:val="none" w:sz="0" w:space="0" w:color="auto"/>
            <w:left w:val="none" w:sz="0" w:space="0" w:color="auto"/>
            <w:bottom w:val="none" w:sz="0" w:space="0" w:color="auto"/>
            <w:right w:val="none" w:sz="0" w:space="0" w:color="auto"/>
          </w:divBdr>
        </w:div>
      </w:divsChild>
    </w:div>
    <w:div w:id="287668265">
      <w:bodyDiv w:val="1"/>
      <w:marLeft w:val="0"/>
      <w:marRight w:val="0"/>
      <w:marTop w:val="0"/>
      <w:marBottom w:val="0"/>
      <w:divBdr>
        <w:top w:val="none" w:sz="0" w:space="0" w:color="auto"/>
        <w:left w:val="none" w:sz="0" w:space="0" w:color="auto"/>
        <w:bottom w:val="none" w:sz="0" w:space="0" w:color="auto"/>
        <w:right w:val="none" w:sz="0" w:space="0" w:color="auto"/>
      </w:divBdr>
    </w:div>
    <w:div w:id="301078463">
      <w:bodyDiv w:val="1"/>
      <w:marLeft w:val="0"/>
      <w:marRight w:val="0"/>
      <w:marTop w:val="0"/>
      <w:marBottom w:val="0"/>
      <w:divBdr>
        <w:top w:val="none" w:sz="0" w:space="0" w:color="auto"/>
        <w:left w:val="none" w:sz="0" w:space="0" w:color="auto"/>
        <w:bottom w:val="none" w:sz="0" w:space="0" w:color="auto"/>
        <w:right w:val="none" w:sz="0" w:space="0" w:color="auto"/>
      </w:divBdr>
    </w:div>
    <w:div w:id="398794875">
      <w:bodyDiv w:val="1"/>
      <w:marLeft w:val="0"/>
      <w:marRight w:val="0"/>
      <w:marTop w:val="0"/>
      <w:marBottom w:val="0"/>
      <w:divBdr>
        <w:top w:val="none" w:sz="0" w:space="0" w:color="auto"/>
        <w:left w:val="none" w:sz="0" w:space="0" w:color="auto"/>
        <w:bottom w:val="none" w:sz="0" w:space="0" w:color="auto"/>
        <w:right w:val="none" w:sz="0" w:space="0" w:color="auto"/>
      </w:divBdr>
    </w:div>
    <w:div w:id="481237823">
      <w:bodyDiv w:val="1"/>
      <w:marLeft w:val="0"/>
      <w:marRight w:val="0"/>
      <w:marTop w:val="0"/>
      <w:marBottom w:val="0"/>
      <w:divBdr>
        <w:top w:val="none" w:sz="0" w:space="0" w:color="auto"/>
        <w:left w:val="none" w:sz="0" w:space="0" w:color="auto"/>
        <w:bottom w:val="none" w:sz="0" w:space="0" w:color="auto"/>
        <w:right w:val="none" w:sz="0" w:space="0" w:color="auto"/>
      </w:divBdr>
    </w:div>
    <w:div w:id="536744087">
      <w:bodyDiv w:val="1"/>
      <w:marLeft w:val="0"/>
      <w:marRight w:val="0"/>
      <w:marTop w:val="0"/>
      <w:marBottom w:val="0"/>
      <w:divBdr>
        <w:top w:val="none" w:sz="0" w:space="0" w:color="auto"/>
        <w:left w:val="none" w:sz="0" w:space="0" w:color="auto"/>
        <w:bottom w:val="none" w:sz="0" w:space="0" w:color="auto"/>
        <w:right w:val="none" w:sz="0" w:space="0" w:color="auto"/>
      </w:divBdr>
    </w:div>
    <w:div w:id="560796675">
      <w:bodyDiv w:val="1"/>
      <w:marLeft w:val="0"/>
      <w:marRight w:val="0"/>
      <w:marTop w:val="0"/>
      <w:marBottom w:val="0"/>
      <w:divBdr>
        <w:top w:val="none" w:sz="0" w:space="0" w:color="auto"/>
        <w:left w:val="none" w:sz="0" w:space="0" w:color="auto"/>
        <w:bottom w:val="none" w:sz="0" w:space="0" w:color="auto"/>
        <w:right w:val="none" w:sz="0" w:space="0" w:color="auto"/>
      </w:divBdr>
    </w:div>
    <w:div w:id="568033010">
      <w:bodyDiv w:val="1"/>
      <w:marLeft w:val="0"/>
      <w:marRight w:val="0"/>
      <w:marTop w:val="0"/>
      <w:marBottom w:val="0"/>
      <w:divBdr>
        <w:top w:val="none" w:sz="0" w:space="0" w:color="auto"/>
        <w:left w:val="none" w:sz="0" w:space="0" w:color="auto"/>
        <w:bottom w:val="none" w:sz="0" w:space="0" w:color="auto"/>
        <w:right w:val="none" w:sz="0" w:space="0" w:color="auto"/>
      </w:divBdr>
    </w:div>
    <w:div w:id="577057628">
      <w:bodyDiv w:val="1"/>
      <w:marLeft w:val="0"/>
      <w:marRight w:val="0"/>
      <w:marTop w:val="0"/>
      <w:marBottom w:val="0"/>
      <w:divBdr>
        <w:top w:val="none" w:sz="0" w:space="0" w:color="auto"/>
        <w:left w:val="none" w:sz="0" w:space="0" w:color="auto"/>
        <w:bottom w:val="none" w:sz="0" w:space="0" w:color="auto"/>
        <w:right w:val="none" w:sz="0" w:space="0" w:color="auto"/>
      </w:divBdr>
    </w:div>
    <w:div w:id="601882880">
      <w:bodyDiv w:val="1"/>
      <w:marLeft w:val="0"/>
      <w:marRight w:val="0"/>
      <w:marTop w:val="0"/>
      <w:marBottom w:val="0"/>
      <w:divBdr>
        <w:top w:val="none" w:sz="0" w:space="0" w:color="auto"/>
        <w:left w:val="none" w:sz="0" w:space="0" w:color="auto"/>
        <w:bottom w:val="none" w:sz="0" w:space="0" w:color="auto"/>
        <w:right w:val="none" w:sz="0" w:space="0" w:color="auto"/>
      </w:divBdr>
    </w:div>
    <w:div w:id="649096520">
      <w:bodyDiv w:val="1"/>
      <w:marLeft w:val="0"/>
      <w:marRight w:val="0"/>
      <w:marTop w:val="0"/>
      <w:marBottom w:val="0"/>
      <w:divBdr>
        <w:top w:val="none" w:sz="0" w:space="0" w:color="auto"/>
        <w:left w:val="none" w:sz="0" w:space="0" w:color="auto"/>
        <w:bottom w:val="none" w:sz="0" w:space="0" w:color="auto"/>
        <w:right w:val="none" w:sz="0" w:space="0" w:color="auto"/>
      </w:divBdr>
    </w:div>
    <w:div w:id="693656627">
      <w:bodyDiv w:val="1"/>
      <w:marLeft w:val="0"/>
      <w:marRight w:val="0"/>
      <w:marTop w:val="0"/>
      <w:marBottom w:val="0"/>
      <w:divBdr>
        <w:top w:val="none" w:sz="0" w:space="0" w:color="auto"/>
        <w:left w:val="none" w:sz="0" w:space="0" w:color="auto"/>
        <w:bottom w:val="none" w:sz="0" w:space="0" w:color="auto"/>
        <w:right w:val="none" w:sz="0" w:space="0" w:color="auto"/>
      </w:divBdr>
    </w:div>
    <w:div w:id="803473211">
      <w:bodyDiv w:val="1"/>
      <w:marLeft w:val="0"/>
      <w:marRight w:val="0"/>
      <w:marTop w:val="0"/>
      <w:marBottom w:val="0"/>
      <w:divBdr>
        <w:top w:val="none" w:sz="0" w:space="0" w:color="auto"/>
        <w:left w:val="none" w:sz="0" w:space="0" w:color="auto"/>
        <w:bottom w:val="none" w:sz="0" w:space="0" w:color="auto"/>
        <w:right w:val="none" w:sz="0" w:space="0" w:color="auto"/>
      </w:divBdr>
    </w:div>
    <w:div w:id="848329809">
      <w:bodyDiv w:val="1"/>
      <w:marLeft w:val="0"/>
      <w:marRight w:val="0"/>
      <w:marTop w:val="0"/>
      <w:marBottom w:val="0"/>
      <w:divBdr>
        <w:top w:val="none" w:sz="0" w:space="0" w:color="auto"/>
        <w:left w:val="none" w:sz="0" w:space="0" w:color="auto"/>
        <w:bottom w:val="none" w:sz="0" w:space="0" w:color="auto"/>
        <w:right w:val="none" w:sz="0" w:space="0" w:color="auto"/>
      </w:divBdr>
    </w:div>
    <w:div w:id="863326412">
      <w:bodyDiv w:val="1"/>
      <w:marLeft w:val="0"/>
      <w:marRight w:val="0"/>
      <w:marTop w:val="0"/>
      <w:marBottom w:val="0"/>
      <w:divBdr>
        <w:top w:val="none" w:sz="0" w:space="0" w:color="auto"/>
        <w:left w:val="none" w:sz="0" w:space="0" w:color="auto"/>
        <w:bottom w:val="none" w:sz="0" w:space="0" w:color="auto"/>
        <w:right w:val="none" w:sz="0" w:space="0" w:color="auto"/>
      </w:divBdr>
    </w:div>
    <w:div w:id="913516805">
      <w:bodyDiv w:val="1"/>
      <w:marLeft w:val="0"/>
      <w:marRight w:val="0"/>
      <w:marTop w:val="0"/>
      <w:marBottom w:val="0"/>
      <w:divBdr>
        <w:top w:val="none" w:sz="0" w:space="0" w:color="auto"/>
        <w:left w:val="none" w:sz="0" w:space="0" w:color="auto"/>
        <w:bottom w:val="none" w:sz="0" w:space="0" w:color="auto"/>
        <w:right w:val="none" w:sz="0" w:space="0" w:color="auto"/>
      </w:divBdr>
    </w:div>
    <w:div w:id="915044992">
      <w:bodyDiv w:val="1"/>
      <w:marLeft w:val="0"/>
      <w:marRight w:val="0"/>
      <w:marTop w:val="0"/>
      <w:marBottom w:val="0"/>
      <w:divBdr>
        <w:top w:val="none" w:sz="0" w:space="0" w:color="auto"/>
        <w:left w:val="none" w:sz="0" w:space="0" w:color="auto"/>
        <w:bottom w:val="none" w:sz="0" w:space="0" w:color="auto"/>
        <w:right w:val="none" w:sz="0" w:space="0" w:color="auto"/>
      </w:divBdr>
    </w:div>
    <w:div w:id="937299503">
      <w:bodyDiv w:val="1"/>
      <w:marLeft w:val="0"/>
      <w:marRight w:val="0"/>
      <w:marTop w:val="0"/>
      <w:marBottom w:val="0"/>
      <w:divBdr>
        <w:top w:val="none" w:sz="0" w:space="0" w:color="auto"/>
        <w:left w:val="none" w:sz="0" w:space="0" w:color="auto"/>
        <w:bottom w:val="none" w:sz="0" w:space="0" w:color="auto"/>
        <w:right w:val="none" w:sz="0" w:space="0" w:color="auto"/>
      </w:divBdr>
    </w:div>
    <w:div w:id="1030035040">
      <w:bodyDiv w:val="1"/>
      <w:marLeft w:val="0"/>
      <w:marRight w:val="0"/>
      <w:marTop w:val="0"/>
      <w:marBottom w:val="0"/>
      <w:divBdr>
        <w:top w:val="none" w:sz="0" w:space="0" w:color="auto"/>
        <w:left w:val="none" w:sz="0" w:space="0" w:color="auto"/>
        <w:bottom w:val="none" w:sz="0" w:space="0" w:color="auto"/>
        <w:right w:val="none" w:sz="0" w:space="0" w:color="auto"/>
      </w:divBdr>
    </w:div>
    <w:div w:id="1038244420">
      <w:bodyDiv w:val="1"/>
      <w:marLeft w:val="0"/>
      <w:marRight w:val="0"/>
      <w:marTop w:val="0"/>
      <w:marBottom w:val="0"/>
      <w:divBdr>
        <w:top w:val="none" w:sz="0" w:space="0" w:color="auto"/>
        <w:left w:val="none" w:sz="0" w:space="0" w:color="auto"/>
        <w:bottom w:val="none" w:sz="0" w:space="0" w:color="auto"/>
        <w:right w:val="none" w:sz="0" w:space="0" w:color="auto"/>
      </w:divBdr>
    </w:div>
    <w:div w:id="1061830990">
      <w:bodyDiv w:val="1"/>
      <w:marLeft w:val="0"/>
      <w:marRight w:val="0"/>
      <w:marTop w:val="0"/>
      <w:marBottom w:val="0"/>
      <w:divBdr>
        <w:top w:val="none" w:sz="0" w:space="0" w:color="auto"/>
        <w:left w:val="none" w:sz="0" w:space="0" w:color="auto"/>
        <w:bottom w:val="none" w:sz="0" w:space="0" w:color="auto"/>
        <w:right w:val="none" w:sz="0" w:space="0" w:color="auto"/>
      </w:divBdr>
    </w:div>
    <w:div w:id="1066345092">
      <w:bodyDiv w:val="1"/>
      <w:marLeft w:val="0"/>
      <w:marRight w:val="0"/>
      <w:marTop w:val="0"/>
      <w:marBottom w:val="0"/>
      <w:divBdr>
        <w:top w:val="none" w:sz="0" w:space="0" w:color="auto"/>
        <w:left w:val="none" w:sz="0" w:space="0" w:color="auto"/>
        <w:bottom w:val="none" w:sz="0" w:space="0" w:color="auto"/>
        <w:right w:val="none" w:sz="0" w:space="0" w:color="auto"/>
      </w:divBdr>
    </w:div>
    <w:div w:id="1069763340">
      <w:bodyDiv w:val="1"/>
      <w:marLeft w:val="0"/>
      <w:marRight w:val="0"/>
      <w:marTop w:val="0"/>
      <w:marBottom w:val="0"/>
      <w:divBdr>
        <w:top w:val="none" w:sz="0" w:space="0" w:color="auto"/>
        <w:left w:val="none" w:sz="0" w:space="0" w:color="auto"/>
        <w:bottom w:val="none" w:sz="0" w:space="0" w:color="auto"/>
        <w:right w:val="none" w:sz="0" w:space="0" w:color="auto"/>
      </w:divBdr>
    </w:div>
    <w:div w:id="1075053798">
      <w:bodyDiv w:val="1"/>
      <w:marLeft w:val="0"/>
      <w:marRight w:val="0"/>
      <w:marTop w:val="0"/>
      <w:marBottom w:val="0"/>
      <w:divBdr>
        <w:top w:val="none" w:sz="0" w:space="0" w:color="auto"/>
        <w:left w:val="none" w:sz="0" w:space="0" w:color="auto"/>
        <w:bottom w:val="none" w:sz="0" w:space="0" w:color="auto"/>
        <w:right w:val="none" w:sz="0" w:space="0" w:color="auto"/>
      </w:divBdr>
    </w:div>
    <w:div w:id="1160081365">
      <w:bodyDiv w:val="1"/>
      <w:marLeft w:val="0"/>
      <w:marRight w:val="0"/>
      <w:marTop w:val="0"/>
      <w:marBottom w:val="0"/>
      <w:divBdr>
        <w:top w:val="none" w:sz="0" w:space="0" w:color="auto"/>
        <w:left w:val="none" w:sz="0" w:space="0" w:color="auto"/>
        <w:bottom w:val="none" w:sz="0" w:space="0" w:color="auto"/>
        <w:right w:val="none" w:sz="0" w:space="0" w:color="auto"/>
      </w:divBdr>
    </w:div>
    <w:div w:id="1168011057">
      <w:bodyDiv w:val="1"/>
      <w:marLeft w:val="0"/>
      <w:marRight w:val="0"/>
      <w:marTop w:val="0"/>
      <w:marBottom w:val="0"/>
      <w:divBdr>
        <w:top w:val="none" w:sz="0" w:space="0" w:color="auto"/>
        <w:left w:val="none" w:sz="0" w:space="0" w:color="auto"/>
        <w:bottom w:val="none" w:sz="0" w:space="0" w:color="auto"/>
        <w:right w:val="none" w:sz="0" w:space="0" w:color="auto"/>
      </w:divBdr>
    </w:div>
    <w:div w:id="1189367859">
      <w:bodyDiv w:val="1"/>
      <w:marLeft w:val="0"/>
      <w:marRight w:val="0"/>
      <w:marTop w:val="0"/>
      <w:marBottom w:val="0"/>
      <w:divBdr>
        <w:top w:val="none" w:sz="0" w:space="0" w:color="auto"/>
        <w:left w:val="none" w:sz="0" w:space="0" w:color="auto"/>
        <w:bottom w:val="none" w:sz="0" w:space="0" w:color="auto"/>
        <w:right w:val="none" w:sz="0" w:space="0" w:color="auto"/>
      </w:divBdr>
    </w:div>
    <w:div w:id="1232697790">
      <w:bodyDiv w:val="1"/>
      <w:marLeft w:val="0"/>
      <w:marRight w:val="0"/>
      <w:marTop w:val="0"/>
      <w:marBottom w:val="0"/>
      <w:divBdr>
        <w:top w:val="none" w:sz="0" w:space="0" w:color="auto"/>
        <w:left w:val="none" w:sz="0" w:space="0" w:color="auto"/>
        <w:bottom w:val="none" w:sz="0" w:space="0" w:color="auto"/>
        <w:right w:val="none" w:sz="0" w:space="0" w:color="auto"/>
      </w:divBdr>
    </w:div>
    <w:div w:id="1257594355">
      <w:bodyDiv w:val="1"/>
      <w:marLeft w:val="0"/>
      <w:marRight w:val="0"/>
      <w:marTop w:val="0"/>
      <w:marBottom w:val="0"/>
      <w:divBdr>
        <w:top w:val="none" w:sz="0" w:space="0" w:color="auto"/>
        <w:left w:val="none" w:sz="0" w:space="0" w:color="auto"/>
        <w:bottom w:val="none" w:sz="0" w:space="0" w:color="auto"/>
        <w:right w:val="none" w:sz="0" w:space="0" w:color="auto"/>
      </w:divBdr>
      <w:divsChild>
        <w:div w:id="1145508647">
          <w:marLeft w:val="547"/>
          <w:marRight w:val="0"/>
          <w:marTop w:val="0"/>
          <w:marBottom w:val="0"/>
          <w:divBdr>
            <w:top w:val="none" w:sz="0" w:space="0" w:color="auto"/>
            <w:left w:val="none" w:sz="0" w:space="0" w:color="auto"/>
            <w:bottom w:val="none" w:sz="0" w:space="0" w:color="auto"/>
            <w:right w:val="none" w:sz="0" w:space="0" w:color="auto"/>
          </w:divBdr>
        </w:div>
      </w:divsChild>
    </w:div>
    <w:div w:id="1257904126">
      <w:bodyDiv w:val="1"/>
      <w:marLeft w:val="0"/>
      <w:marRight w:val="0"/>
      <w:marTop w:val="0"/>
      <w:marBottom w:val="0"/>
      <w:divBdr>
        <w:top w:val="none" w:sz="0" w:space="0" w:color="auto"/>
        <w:left w:val="none" w:sz="0" w:space="0" w:color="auto"/>
        <w:bottom w:val="none" w:sz="0" w:space="0" w:color="auto"/>
        <w:right w:val="none" w:sz="0" w:space="0" w:color="auto"/>
      </w:divBdr>
    </w:div>
    <w:div w:id="1310552508">
      <w:bodyDiv w:val="1"/>
      <w:marLeft w:val="0"/>
      <w:marRight w:val="0"/>
      <w:marTop w:val="0"/>
      <w:marBottom w:val="0"/>
      <w:divBdr>
        <w:top w:val="none" w:sz="0" w:space="0" w:color="auto"/>
        <w:left w:val="none" w:sz="0" w:space="0" w:color="auto"/>
        <w:bottom w:val="none" w:sz="0" w:space="0" w:color="auto"/>
        <w:right w:val="none" w:sz="0" w:space="0" w:color="auto"/>
      </w:divBdr>
    </w:div>
    <w:div w:id="1336999954">
      <w:bodyDiv w:val="1"/>
      <w:marLeft w:val="0"/>
      <w:marRight w:val="0"/>
      <w:marTop w:val="0"/>
      <w:marBottom w:val="0"/>
      <w:divBdr>
        <w:top w:val="none" w:sz="0" w:space="0" w:color="auto"/>
        <w:left w:val="none" w:sz="0" w:space="0" w:color="auto"/>
        <w:bottom w:val="none" w:sz="0" w:space="0" w:color="auto"/>
        <w:right w:val="none" w:sz="0" w:space="0" w:color="auto"/>
      </w:divBdr>
    </w:div>
    <w:div w:id="1345012088">
      <w:bodyDiv w:val="1"/>
      <w:marLeft w:val="0"/>
      <w:marRight w:val="0"/>
      <w:marTop w:val="0"/>
      <w:marBottom w:val="0"/>
      <w:divBdr>
        <w:top w:val="none" w:sz="0" w:space="0" w:color="auto"/>
        <w:left w:val="none" w:sz="0" w:space="0" w:color="auto"/>
        <w:bottom w:val="none" w:sz="0" w:space="0" w:color="auto"/>
        <w:right w:val="none" w:sz="0" w:space="0" w:color="auto"/>
      </w:divBdr>
    </w:div>
    <w:div w:id="1382897418">
      <w:bodyDiv w:val="1"/>
      <w:marLeft w:val="0"/>
      <w:marRight w:val="0"/>
      <w:marTop w:val="0"/>
      <w:marBottom w:val="0"/>
      <w:divBdr>
        <w:top w:val="none" w:sz="0" w:space="0" w:color="auto"/>
        <w:left w:val="none" w:sz="0" w:space="0" w:color="auto"/>
        <w:bottom w:val="none" w:sz="0" w:space="0" w:color="auto"/>
        <w:right w:val="none" w:sz="0" w:space="0" w:color="auto"/>
      </w:divBdr>
    </w:div>
    <w:div w:id="1407072581">
      <w:bodyDiv w:val="1"/>
      <w:marLeft w:val="0"/>
      <w:marRight w:val="0"/>
      <w:marTop w:val="0"/>
      <w:marBottom w:val="0"/>
      <w:divBdr>
        <w:top w:val="none" w:sz="0" w:space="0" w:color="auto"/>
        <w:left w:val="none" w:sz="0" w:space="0" w:color="auto"/>
        <w:bottom w:val="none" w:sz="0" w:space="0" w:color="auto"/>
        <w:right w:val="none" w:sz="0" w:space="0" w:color="auto"/>
      </w:divBdr>
    </w:div>
    <w:div w:id="1445346013">
      <w:bodyDiv w:val="1"/>
      <w:marLeft w:val="0"/>
      <w:marRight w:val="0"/>
      <w:marTop w:val="0"/>
      <w:marBottom w:val="0"/>
      <w:divBdr>
        <w:top w:val="none" w:sz="0" w:space="0" w:color="auto"/>
        <w:left w:val="none" w:sz="0" w:space="0" w:color="auto"/>
        <w:bottom w:val="none" w:sz="0" w:space="0" w:color="auto"/>
        <w:right w:val="none" w:sz="0" w:space="0" w:color="auto"/>
      </w:divBdr>
    </w:div>
    <w:div w:id="1488285405">
      <w:bodyDiv w:val="1"/>
      <w:marLeft w:val="0"/>
      <w:marRight w:val="0"/>
      <w:marTop w:val="0"/>
      <w:marBottom w:val="0"/>
      <w:divBdr>
        <w:top w:val="none" w:sz="0" w:space="0" w:color="auto"/>
        <w:left w:val="none" w:sz="0" w:space="0" w:color="auto"/>
        <w:bottom w:val="none" w:sz="0" w:space="0" w:color="auto"/>
        <w:right w:val="none" w:sz="0" w:space="0" w:color="auto"/>
      </w:divBdr>
    </w:div>
    <w:div w:id="1507743945">
      <w:bodyDiv w:val="1"/>
      <w:marLeft w:val="0"/>
      <w:marRight w:val="0"/>
      <w:marTop w:val="0"/>
      <w:marBottom w:val="0"/>
      <w:divBdr>
        <w:top w:val="none" w:sz="0" w:space="0" w:color="auto"/>
        <w:left w:val="none" w:sz="0" w:space="0" w:color="auto"/>
        <w:bottom w:val="none" w:sz="0" w:space="0" w:color="auto"/>
        <w:right w:val="none" w:sz="0" w:space="0" w:color="auto"/>
      </w:divBdr>
    </w:div>
    <w:div w:id="1542667677">
      <w:bodyDiv w:val="1"/>
      <w:marLeft w:val="0"/>
      <w:marRight w:val="0"/>
      <w:marTop w:val="0"/>
      <w:marBottom w:val="0"/>
      <w:divBdr>
        <w:top w:val="none" w:sz="0" w:space="0" w:color="auto"/>
        <w:left w:val="none" w:sz="0" w:space="0" w:color="auto"/>
        <w:bottom w:val="none" w:sz="0" w:space="0" w:color="auto"/>
        <w:right w:val="none" w:sz="0" w:space="0" w:color="auto"/>
      </w:divBdr>
    </w:div>
    <w:div w:id="1576742126">
      <w:bodyDiv w:val="1"/>
      <w:marLeft w:val="0"/>
      <w:marRight w:val="0"/>
      <w:marTop w:val="0"/>
      <w:marBottom w:val="0"/>
      <w:divBdr>
        <w:top w:val="none" w:sz="0" w:space="0" w:color="auto"/>
        <w:left w:val="none" w:sz="0" w:space="0" w:color="auto"/>
        <w:bottom w:val="none" w:sz="0" w:space="0" w:color="auto"/>
        <w:right w:val="none" w:sz="0" w:space="0" w:color="auto"/>
      </w:divBdr>
    </w:div>
    <w:div w:id="1585139108">
      <w:bodyDiv w:val="1"/>
      <w:marLeft w:val="0"/>
      <w:marRight w:val="0"/>
      <w:marTop w:val="0"/>
      <w:marBottom w:val="0"/>
      <w:divBdr>
        <w:top w:val="none" w:sz="0" w:space="0" w:color="auto"/>
        <w:left w:val="none" w:sz="0" w:space="0" w:color="auto"/>
        <w:bottom w:val="none" w:sz="0" w:space="0" w:color="auto"/>
        <w:right w:val="none" w:sz="0" w:space="0" w:color="auto"/>
      </w:divBdr>
    </w:div>
    <w:div w:id="1588683801">
      <w:bodyDiv w:val="1"/>
      <w:marLeft w:val="0"/>
      <w:marRight w:val="0"/>
      <w:marTop w:val="0"/>
      <w:marBottom w:val="0"/>
      <w:divBdr>
        <w:top w:val="none" w:sz="0" w:space="0" w:color="auto"/>
        <w:left w:val="none" w:sz="0" w:space="0" w:color="auto"/>
        <w:bottom w:val="none" w:sz="0" w:space="0" w:color="auto"/>
        <w:right w:val="none" w:sz="0" w:space="0" w:color="auto"/>
      </w:divBdr>
    </w:div>
    <w:div w:id="1613514838">
      <w:bodyDiv w:val="1"/>
      <w:marLeft w:val="0"/>
      <w:marRight w:val="0"/>
      <w:marTop w:val="0"/>
      <w:marBottom w:val="0"/>
      <w:divBdr>
        <w:top w:val="none" w:sz="0" w:space="0" w:color="auto"/>
        <w:left w:val="none" w:sz="0" w:space="0" w:color="auto"/>
        <w:bottom w:val="none" w:sz="0" w:space="0" w:color="auto"/>
        <w:right w:val="none" w:sz="0" w:space="0" w:color="auto"/>
      </w:divBdr>
    </w:div>
    <w:div w:id="1640572206">
      <w:bodyDiv w:val="1"/>
      <w:marLeft w:val="0"/>
      <w:marRight w:val="0"/>
      <w:marTop w:val="0"/>
      <w:marBottom w:val="0"/>
      <w:divBdr>
        <w:top w:val="none" w:sz="0" w:space="0" w:color="auto"/>
        <w:left w:val="none" w:sz="0" w:space="0" w:color="auto"/>
        <w:bottom w:val="none" w:sz="0" w:space="0" w:color="auto"/>
        <w:right w:val="none" w:sz="0" w:space="0" w:color="auto"/>
      </w:divBdr>
    </w:div>
    <w:div w:id="1643776589">
      <w:bodyDiv w:val="1"/>
      <w:marLeft w:val="0"/>
      <w:marRight w:val="0"/>
      <w:marTop w:val="0"/>
      <w:marBottom w:val="0"/>
      <w:divBdr>
        <w:top w:val="none" w:sz="0" w:space="0" w:color="auto"/>
        <w:left w:val="none" w:sz="0" w:space="0" w:color="auto"/>
        <w:bottom w:val="none" w:sz="0" w:space="0" w:color="auto"/>
        <w:right w:val="none" w:sz="0" w:space="0" w:color="auto"/>
      </w:divBdr>
    </w:div>
    <w:div w:id="1690371035">
      <w:bodyDiv w:val="1"/>
      <w:marLeft w:val="0"/>
      <w:marRight w:val="0"/>
      <w:marTop w:val="0"/>
      <w:marBottom w:val="0"/>
      <w:divBdr>
        <w:top w:val="none" w:sz="0" w:space="0" w:color="auto"/>
        <w:left w:val="none" w:sz="0" w:space="0" w:color="auto"/>
        <w:bottom w:val="none" w:sz="0" w:space="0" w:color="auto"/>
        <w:right w:val="none" w:sz="0" w:space="0" w:color="auto"/>
      </w:divBdr>
    </w:div>
    <w:div w:id="1745953083">
      <w:bodyDiv w:val="1"/>
      <w:marLeft w:val="0"/>
      <w:marRight w:val="0"/>
      <w:marTop w:val="0"/>
      <w:marBottom w:val="0"/>
      <w:divBdr>
        <w:top w:val="none" w:sz="0" w:space="0" w:color="auto"/>
        <w:left w:val="none" w:sz="0" w:space="0" w:color="auto"/>
        <w:bottom w:val="none" w:sz="0" w:space="0" w:color="auto"/>
        <w:right w:val="none" w:sz="0" w:space="0" w:color="auto"/>
      </w:divBdr>
    </w:div>
    <w:div w:id="1827091531">
      <w:bodyDiv w:val="1"/>
      <w:marLeft w:val="0"/>
      <w:marRight w:val="0"/>
      <w:marTop w:val="0"/>
      <w:marBottom w:val="0"/>
      <w:divBdr>
        <w:top w:val="none" w:sz="0" w:space="0" w:color="auto"/>
        <w:left w:val="none" w:sz="0" w:space="0" w:color="auto"/>
        <w:bottom w:val="none" w:sz="0" w:space="0" w:color="auto"/>
        <w:right w:val="none" w:sz="0" w:space="0" w:color="auto"/>
      </w:divBdr>
    </w:div>
    <w:div w:id="1827865512">
      <w:bodyDiv w:val="1"/>
      <w:marLeft w:val="0"/>
      <w:marRight w:val="0"/>
      <w:marTop w:val="0"/>
      <w:marBottom w:val="0"/>
      <w:divBdr>
        <w:top w:val="none" w:sz="0" w:space="0" w:color="auto"/>
        <w:left w:val="none" w:sz="0" w:space="0" w:color="auto"/>
        <w:bottom w:val="none" w:sz="0" w:space="0" w:color="auto"/>
        <w:right w:val="none" w:sz="0" w:space="0" w:color="auto"/>
      </w:divBdr>
      <w:divsChild>
        <w:div w:id="1304580675">
          <w:marLeft w:val="547"/>
          <w:marRight w:val="0"/>
          <w:marTop w:val="0"/>
          <w:marBottom w:val="0"/>
          <w:divBdr>
            <w:top w:val="none" w:sz="0" w:space="0" w:color="auto"/>
            <w:left w:val="none" w:sz="0" w:space="0" w:color="auto"/>
            <w:bottom w:val="none" w:sz="0" w:space="0" w:color="auto"/>
            <w:right w:val="none" w:sz="0" w:space="0" w:color="auto"/>
          </w:divBdr>
        </w:div>
      </w:divsChild>
    </w:div>
    <w:div w:id="1846289498">
      <w:bodyDiv w:val="1"/>
      <w:marLeft w:val="0"/>
      <w:marRight w:val="0"/>
      <w:marTop w:val="0"/>
      <w:marBottom w:val="0"/>
      <w:divBdr>
        <w:top w:val="none" w:sz="0" w:space="0" w:color="auto"/>
        <w:left w:val="none" w:sz="0" w:space="0" w:color="auto"/>
        <w:bottom w:val="none" w:sz="0" w:space="0" w:color="auto"/>
        <w:right w:val="none" w:sz="0" w:space="0" w:color="auto"/>
      </w:divBdr>
    </w:div>
    <w:div w:id="1873037434">
      <w:bodyDiv w:val="1"/>
      <w:marLeft w:val="0"/>
      <w:marRight w:val="0"/>
      <w:marTop w:val="0"/>
      <w:marBottom w:val="0"/>
      <w:divBdr>
        <w:top w:val="none" w:sz="0" w:space="0" w:color="auto"/>
        <w:left w:val="none" w:sz="0" w:space="0" w:color="auto"/>
        <w:bottom w:val="none" w:sz="0" w:space="0" w:color="auto"/>
        <w:right w:val="none" w:sz="0" w:space="0" w:color="auto"/>
      </w:divBdr>
    </w:div>
    <w:div w:id="1936328504">
      <w:bodyDiv w:val="1"/>
      <w:marLeft w:val="0"/>
      <w:marRight w:val="0"/>
      <w:marTop w:val="0"/>
      <w:marBottom w:val="0"/>
      <w:divBdr>
        <w:top w:val="none" w:sz="0" w:space="0" w:color="auto"/>
        <w:left w:val="none" w:sz="0" w:space="0" w:color="auto"/>
        <w:bottom w:val="none" w:sz="0" w:space="0" w:color="auto"/>
        <w:right w:val="none" w:sz="0" w:space="0" w:color="auto"/>
      </w:divBdr>
    </w:div>
    <w:div w:id="1950967407">
      <w:bodyDiv w:val="1"/>
      <w:marLeft w:val="0"/>
      <w:marRight w:val="0"/>
      <w:marTop w:val="0"/>
      <w:marBottom w:val="0"/>
      <w:divBdr>
        <w:top w:val="none" w:sz="0" w:space="0" w:color="auto"/>
        <w:left w:val="none" w:sz="0" w:space="0" w:color="auto"/>
        <w:bottom w:val="none" w:sz="0" w:space="0" w:color="auto"/>
        <w:right w:val="none" w:sz="0" w:space="0" w:color="auto"/>
      </w:divBdr>
    </w:div>
    <w:div w:id="2016372649">
      <w:bodyDiv w:val="1"/>
      <w:marLeft w:val="0"/>
      <w:marRight w:val="0"/>
      <w:marTop w:val="0"/>
      <w:marBottom w:val="0"/>
      <w:divBdr>
        <w:top w:val="none" w:sz="0" w:space="0" w:color="auto"/>
        <w:left w:val="none" w:sz="0" w:space="0" w:color="auto"/>
        <w:bottom w:val="none" w:sz="0" w:space="0" w:color="auto"/>
        <w:right w:val="none" w:sz="0" w:space="0" w:color="auto"/>
      </w:divBdr>
    </w:div>
    <w:div w:id="2058971301">
      <w:bodyDiv w:val="1"/>
      <w:marLeft w:val="0"/>
      <w:marRight w:val="0"/>
      <w:marTop w:val="0"/>
      <w:marBottom w:val="0"/>
      <w:divBdr>
        <w:top w:val="none" w:sz="0" w:space="0" w:color="auto"/>
        <w:left w:val="none" w:sz="0" w:space="0" w:color="auto"/>
        <w:bottom w:val="none" w:sz="0" w:space="0" w:color="auto"/>
        <w:right w:val="none" w:sz="0" w:space="0" w:color="auto"/>
      </w:divBdr>
    </w:div>
    <w:div w:id="212750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molecules28135177" TargetMode="External"/><Relationship Id="rId18" Type="http://schemas.openxmlformats.org/officeDocument/2006/relationships/hyperlink" Target="https://doi.org/10.1155/2014/231635" TargetMode="External"/><Relationship Id="rId26" Type="http://schemas.openxmlformats.org/officeDocument/2006/relationships/hyperlink" Target="https://doi.org/10.56557/jacsi/2023/v14i28498" TargetMode="External"/><Relationship Id="rId39" Type="http://schemas.openxmlformats.org/officeDocument/2006/relationships/hyperlink" Target="https://doi.org/10.29013/AJT-22-3.4-23-29" TargetMode="External"/><Relationship Id="rId21" Type="http://schemas.openxmlformats.org/officeDocument/2006/relationships/hyperlink" Target="https://ap.fftc.org.tw/article/3300" TargetMode="External"/><Relationship Id="rId34" Type="http://schemas.openxmlformats.org/officeDocument/2006/relationships/hyperlink" Target="https://doi.org/10.1007/s11696-024-03448-9"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biortech.2007.07.015" TargetMode="External"/><Relationship Id="rId29" Type="http://schemas.openxmlformats.org/officeDocument/2006/relationships/hyperlink" Target="https://doi.org/10.1201/9781420061673" TargetMode="External"/><Relationship Id="rId11" Type="http://schemas.openxmlformats.org/officeDocument/2006/relationships/hyperlink" Target="https://doi.org/10.19026/crjbs.6.5194" TargetMode="External"/><Relationship Id="rId24" Type="http://schemas.openxmlformats.org/officeDocument/2006/relationships/hyperlink" Target="https://doi.org/10.1007/BF02636475" TargetMode="External"/><Relationship Id="rId32" Type="http://schemas.openxmlformats.org/officeDocument/2006/relationships/hyperlink" Target="https://doi.org/10.1002/047167849X" TargetMode="External"/><Relationship Id="rId37" Type="http://schemas.openxmlformats.org/officeDocument/2006/relationships/hyperlink" Target="https://doi.org/10.1016/j.fbp.2015.02.003" TargetMode="External"/><Relationship Id="rId40" Type="http://schemas.openxmlformats.org/officeDocument/2006/relationships/hyperlink" Target="https://doi.org/10.14662/ARJASRD2018.073"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390/pr6030022" TargetMode="External"/><Relationship Id="rId23" Type="http://schemas.openxmlformats.org/officeDocument/2006/relationships/hyperlink" Target="https://doi.org/10.21743/pjaec/2017.12.10" TargetMode="External"/><Relationship Id="rId28" Type="http://schemas.openxmlformats.org/officeDocument/2006/relationships/hyperlink" Target="https://doi.org/10.3390/plants6040043" TargetMode="External"/><Relationship Id="rId36" Type="http://schemas.openxmlformats.org/officeDocument/2006/relationships/hyperlink" Target="https://doi.org/10.1007/s11427-016-5003-z" TargetMode="External"/><Relationship Id="rId49" Type="http://schemas.openxmlformats.org/officeDocument/2006/relationships/theme" Target="theme/theme1.xml"/><Relationship Id="rId10" Type="http://schemas.openxmlformats.org/officeDocument/2006/relationships/hyperlink" Target="https://doi.org/10.1111/j.1365-2621.2001.00523.x" TargetMode="External"/><Relationship Id="rId19" Type="http://schemas.openxmlformats.org/officeDocument/2006/relationships/hyperlink" Target="https://doi.org/10.9734/cjast/2019/v36i430244" TargetMode="External"/><Relationship Id="rId31" Type="http://schemas.openxmlformats.org/officeDocument/2006/relationships/hyperlink" Target="https://catalogue.nla.gov.au/catalog/2681955"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02/fsn3.71121" TargetMode="External"/><Relationship Id="rId14" Type="http://schemas.openxmlformats.org/officeDocument/2006/relationships/hyperlink" Target="https://doi.org/10.1016/j.heliyon.2024.e24060" TargetMode="External"/><Relationship Id="rId22" Type="http://schemas.openxmlformats.org/officeDocument/2006/relationships/hyperlink" Target="https://doi.org/10.22207/JPAM.10.2.55" TargetMode="External"/><Relationship Id="rId27" Type="http://schemas.openxmlformats.org/officeDocument/2006/relationships/hyperlink" Target="https://doi.org/10.1002/ppp3.10433" TargetMode="External"/><Relationship Id="rId30" Type="http://schemas.openxmlformats.org/officeDocument/2006/relationships/hyperlink" Target="https://ajouronline.com/index.php/AJAFS/article/view/2938" TargetMode="External"/><Relationship Id="rId35" Type="http://schemas.openxmlformats.org/officeDocument/2006/relationships/hyperlink" Target="https://image-ppubs.uspto.gov/dirsearch-public/print/downloadPdf/6033706"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hyperlink" Target="https://doi.org/10.1016/S0151-9107(02)80020-4" TargetMode="External"/><Relationship Id="rId17" Type="http://schemas.openxmlformats.org/officeDocument/2006/relationships/hyperlink" Target="https://agris.fao.org/search/en/providers/122535/records/65de0cfb6eef00c2ce9fa9ad" TargetMode="External"/><Relationship Id="rId25" Type="http://schemas.openxmlformats.org/officeDocument/2006/relationships/hyperlink" Target="https://doi.org/10.1596/42108" TargetMode="External"/><Relationship Id="rId33" Type="http://schemas.openxmlformats.org/officeDocument/2006/relationships/hyperlink" Target="https://doi.org/10.1007/s12161-016-0401-1" TargetMode="External"/><Relationship Id="rId38" Type="http://schemas.openxmlformats.org/officeDocument/2006/relationships/hyperlink" Target="https://doi.org/10.1016/j.foodchem.2026.150348" TargetMode="External"/><Relationship Id="rId46" Type="http://schemas.openxmlformats.org/officeDocument/2006/relationships/header" Target="header3.xml"/><Relationship Id="rId20" Type="http://schemas.openxmlformats.org/officeDocument/2006/relationships/hyperlink" Target="https://doi.org/10.1006/jcis.2000.7191" TargetMode="External"/><Relationship Id="rId41" Type="http://schemas.openxmlformats.org/officeDocument/2006/relationships/hyperlink" Target="https://doi.org/10.1002/1438-9312(200108)103:8%3C505::AID-EJLT505%3E3.0.CO;2-7"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Thesis\Excel%20File\Experiment%201&amp;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'Experiment 2'!$M$24</c:f>
              <c:strCache>
                <c:ptCount val="1"/>
                <c:pt idx="0">
                  <c:v>Control</c:v>
                </c:pt>
              </c:strCache>
            </c:strRef>
          </c:tx>
          <c:spPr>
            <a:solidFill>
              <a:schemeClr val="tx2">
                <a:lumMod val="60000"/>
                <a:lumOff val="40000"/>
              </a:schemeClr>
            </a:solidFill>
          </c:spPr>
          <c:invertIfNegative val="0"/>
          <c:cat>
            <c:strRef>
              <c:f>'Experiment 2'!$N$23:$R$23</c:f>
              <c:strCache>
                <c:ptCount val="5"/>
                <c:pt idx="0">
                  <c:v>L*</c:v>
                </c:pt>
                <c:pt idx="2">
                  <c:v>a*</c:v>
                </c:pt>
                <c:pt idx="4">
                  <c:v>b* </c:v>
                </c:pt>
              </c:strCache>
            </c:strRef>
          </c:cat>
          <c:val>
            <c:numRef>
              <c:f>'Experiment 2'!$N$24:$R$24</c:f>
              <c:numCache>
                <c:formatCode>General</c:formatCode>
                <c:ptCount val="5"/>
                <c:pt idx="0">
                  <c:v>11.55</c:v>
                </c:pt>
                <c:pt idx="2">
                  <c:v>-2.8</c:v>
                </c:pt>
                <c:pt idx="4">
                  <c:v>4.45</c:v>
                </c:pt>
              </c:numCache>
            </c:numRef>
          </c:val>
          <c:extLst>
            <c:ext xmlns:c16="http://schemas.microsoft.com/office/drawing/2014/chart" uri="{C3380CC4-5D6E-409C-BE32-E72D297353CC}">
              <c16:uniqueId val="{00000000-BC84-474C-B0BE-ED09A674442B}"/>
            </c:ext>
          </c:extLst>
        </c:ser>
        <c:ser>
          <c:idx val="1"/>
          <c:order val="1"/>
          <c:tx>
            <c:strRef>
              <c:f>'Experiment 2'!$M$25</c:f>
              <c:strCache>
                <c:ptCount val="1"/>
                <c:pt idx="0">
                  <c:v>AC(0.5)</c:v>
                </c:pt>
              </c:strCache>
            </c:strRef>
          </c:tx>
          <c:spPr>
            <a:solidFill>
              <a:schemeClr val="accent6"/>
            </a:solidFill>
          </c:spPr>
          <c:invertIfNegative val="0"/>
          <c:cat>
            <c:strRef>
              <c:f>'Experiment 2'!$N$23:$R$23</c:f>
              <c:strCache>
                <c:ptCount val="5"/>
                <c:pt idx="0">
                  <c:v>L*</c:v>
                </c:pt>
                <c:pt idx="2">
                  <c:v>a*</c:v>
                </c:pt>
                <c:pt idx="4">
                  <c:v>b* </c:v>
                </c:pt>
              </c:strCache>
            </c:strRef>
          </c:cat>
          <c:val>
            <c:numRef>
              <c:f>'Experiment 2'!$N$25:$R$25</c:f>
              <c:numCache>
                <c:formatCode>General</c:formatCode>
                <c:ptCount val="5"/>
                <c:pt idx="0">
                  <c:v>14.63</c:v>
                </c:pt>
                <c:pt idx="2">
                  <c:v>0.57999999999999996</c:v>
                </c:pt>
                <c:pt idx="4">
                  <c:v>7.48</c:v>
                </c:pt>
              </c:numCache>
            </c:numRef>
          </c:val>
          <c:extLst>
            <c:ext xmlns:c16="http://schemas.microsoft.com/office/drawing/2014/chart" uri="{C3380CC4-5D6E-409C-BE32-E72D297353CC}">
              <c16:uniqueId val="{00000001-BC84-474C-B0BE-ED09A674442B}"/>
            </c:ext>
          </c:extLst>
        </c:ser>
        <c:ser>
          <c:idx val="2"/>
          <c:order val="2"/>
          <c:tx>
            <c:strRef>
              <c:f>'Experiment 2'!$M$26</c:f>
              <c:strCache>
                <c:ptCount val="1"/>
                <c:pt idx="0">
                  <c:v>AC( 1.0)</c:v>
                </c:pt>
              </c:strCache>
            </c:strRef>
          </c:tx>
          <c:spPr>
            <a:solidFill>
              <a:schemeClr val="bg2">
                <a:lumMod val="75000"/>
              </a:schemeClr>
            </a:solidFill>
          </c:spPr>
          <c:invertIfNegative val="0"/>
          <c:cat>
            <c:strRef>
              <c:f>'Experiment 2'!$N$23:$R$23</c:f>
              <c:strCache>
                <c:ptCount val="5"/>
                <c:pt idx="0">
                  <c:v>L*</c:v>
                </c:pt>
                <c:pt idx="2">
                  <c:v>a*</c:v>
                </c:pt>
                <c:pt idx="4">
                  <c:v>b* </c:v>
                </c:pt>
              </c:strCache>
            </c:strRef>
          </c:cat>
          <c:val>
            <c:numRef>
              <c:f>'Experiment 2'!$N$26:$R$26</c:f>
              <c:numCache>
                <c:formatCode>General</c:formatCode>
                <c:ptCount val="5"/>
                <c:pt idx="0">
                  <c:v>14.3</c:v>
                </c:pt>
                <c:pt idx="2">
                  <c:v>0.23</c:v>
                </c:pt>
                <c:pt idx="4">
                  <c:v>6.13</c:v>
                </c:pt>
              </c:numCache>
            </c:numRef>
          </c:val>
          <c:extLst>
            <c:ext xmlns:c16="http://schemas.microsoft.com/office/drawing/2014/chart" uri="{C3380CC4-5D6E-409C-BE32-E72D297353CC}">
              <c16:uniqueId val="{00000002-BC84-474C-B0BE-ED09A674442B}"/>
            </c:ext>
          </c:extLst>
        </c:ser>
        <c:ser>
          <c:idx val="3"/>
          <c:order val="3"/>
          <c:tx>
            <c:strRef>
              <c:f>'Experiment 2'!$M$27</c:f>
              <c:strCache>
                <c:ptCount val="1"/>
                <c:pt idx="0">
                  <c:v>AC(1.5)</c:v>
                </c:pt>
              </c:strCache>
            </c:strRef>
          </c:tx>
          <c:spPr>
            <a:solidFill>
              <a:srgbClr val="FFFF00"/>
            </a:solidFill>
          </c:spPr>
          <c:invertIfNegative val="0"/>
          <c:cat>
            <c:strRef>
              <c:f>'Experiment 2'!$N$23:$R$23</c:f>
              <c:strCache>
                <c:ptCount val="5"/>
                <c:pt idx="0">
                  <c:v>L*</c:v>
                </c:pt>
                <c:pt idx="2">
                  <c:v>a*</c:v>
                </c:pt>
                <c:pt idx="4">
                  <c:v>b* </c:v>
                </c:pt>
              </c:strCache>
            </c:strRef>
          </c:cat>
          <c:val>
            <c:numRef>
              <c:f>'Experiment 2'!$N$27:$R$27</c:f>
              <c:numCache>
                <c:formatCode>General</c:formatCode>
                <c:ptCount val="5"/>
                <c:pt idx="0">
                  <c:v>15.63</c:v>
                </c:pt>
                <c:pt idx="2">
                  <c:v>1.85</c:v>
                </c:pt>
                <c:pt idx="4">
                  <c:v>7.73</c:v>
                </c:pt>
              </c:numCache>
            </c:numRef>
          </c:val>
          <c:extLst>
            <c:ext xmlns:c16="http://schemas.microsoft.com/office/drawing/2014/chart" uri="{C3380CC4-5D6E-409C-BE32-E72D297353CC}">
              <c16:uniqueId val="{00000003-BC84-474C-B0BE-ED09A674442B}"/>
            </c:ext>
          </c:extLst>
        </c:ser>
        <c:ser>
          <c:idx val="4"/>
          <c:order val="4"/>
          <c:tx>
            <c:strRef>
              <c:f>'Experiment 2'!$M$28</c:f>
              <c:strCache>
                <c:ptCount val="1"/>
                <c:pt idx="0">
                  <c:v>BE(0.5)</c:v>
                </c:pt>
              </c:strCache>
            </c:strRef>
          </c:tx>
          <c:spPr>
            <a:solidFill>
              <a:srgbClr val="FF99CC"/>
            </a:solidFill>
          </c:spPr>
          <c:invertIfNegative val="0"/>
          <c:cat>
            <c:strRef>
              <c:f>'Experiment 2'!$N$23:$R$23</c:f>
              <c:strCache>
                <c:ptCount val="5"/>
                <c:pt idx="0">
                  <c:v>L*</c:v>
                </c:pt>
                <c:pt idx="2">
                  <c:v>a*</c:v>
                </c:pt>
                <c:pt idx="4">
                  <c:v>b* </c:v>
                </c:pt>
              </c:strCache>
            </c:strRef>
          </c:cat>
          <c:val>
            <c:numRef>
              <c:f>'Experiment 2'!$N$28:$R$28</c:f>
              <c:numCache>
                <c:formatCode>General</c:formatCode>
                <c:ptCount val="5"/>
                <c:pt idx="0">
                  <c:v>16.68</c:v>
                </c:pt>
                <c:pt idx="2">
                  <c:v>1.43</c:v>
                </c:pt>
                <c:pt idx="4">
                  <c:v>5.8</c:v>
                </c:pt>
              </c:numCache>
            </c:numRef>
          </c:val>
          <c:extLst>
            <c:ext xmlns:c16="http://schemas.microsoft.com/office/drawing/2014/chart" uri="{C3380CC4-5D6E-409C-BE32-E72D297353CC}">
              <c16:uniqueId val="{00000004-BC84-474C-B0BE-ED09A674442B}"/>
            </c:ext>
          </c:extLst>
        </c:ser>
        <c:ser>
          <c:idx val="5"/>
          <c:order val="5"/>
          <c:tx>
            <c:strRef>
              <c:f>'Experiment 2'!$M$29</c:f>
              <c:strCache>
                <c:ptCount val="1"/>
                <c:pt idx="0">
                  <c:v>BE( 1.0 )</c:v>
                </c:pt>
              </c:strCache>
            </c:strRef>
          </c:tx>
          <c:spPr>
            <a:solidFill>
              <a:srgbClr val="92D050"/>
            </a:solidFill>
          </c:spPr>
          <c:invertIfNegative val="0"/>
          <c:cat>
            <c:strRef>
              <c:f>'Experiment 2'!$N$23:$R$23</c:f>
              <c:strCache>
                <c:ptCount val="5"/>
                <c:pt idx="0">
                  <c:v>L*</c:v>
                </c:pt>
                <c:pt idx="2">
                  <c:v>a*</c:v>
                </c:pt>
                <c:pt idx="4">
                  <c:v>b* </c:v>
                </c:pt>
              </c:strCache>
            </c:strRef>
          </c:cat>
          <c:val>
            <c:numRef>
              <c:f>'Experiment 2'!$N$29:$R$29</c:f>
              <c:numCache>
                <c:formatCode>General</c:formatCode>
                <c:ptCount val="5"/>
                <c:pt idx="0">
                  <c:v>14.65</c:v>
                </c:pt>
                <c:pt idx="2">
                  <c:v>0.4</c:v>
                </c:pt>
                <c:pt idx="4">
                  <c:v>4.75</c:v>
                </c:pt>
              </c:numCache>
            </c:numRef>
          </c:val>
          <c:extLst>
            <c:ext xmlns:c16="http://schemas.microsoft.com/office/drawing/2014/chart" uri="{C3380CC4-5D6E-409C-BE32-E72D297353CC}">
              <c16:uniqueId val="{00000005-BC84-474C-B0BE-ED09A674442B}"/>
            </c:ext>
          </c:extLst>
        </c:ser>
        <c:ser>
          <c:idx val="6"/>
          <c:order val="6"/>
          <c:tx>
            <c:strRef>
              <c:f>'Experiment 2'!$M$30</c:f>
              <c:strCache>
                <c:ptCount val="1"/>
                <c:pt idx="0">
                  <c:v>BE(1.5)</c:v>
                </c:pt>
              </c:strCache>
            </c:strRef>
          </c:tx>
          <c:spPr>
            <a:solidFill>
              <a:schemeClr val="accent4">
                <a:lumMod val="40000"/>
                <a:lumOff val="60000"/>
              </a:schemeClr>
            </a:solidFill>
          </c:spPr>
          <c:invertIfNegative val="0"/>
          <c:cat>
            <c:strRef>
              <c:f>'Experiment 2'!$N$23:$R$23</c:f>
              <c:strCache>
                <c:ptCount val="5"/>
                <c:pt idx="0">
                  <c:v>L*</c:v>
                </c:pt>
                <c:pt idx="2">
                  <c:v>a*</c:v>
                </c:pt>
                <c:pt idx="4">
                  <c:v>b* </c:v>
                </c:pt>
              </c:strCache>
            </c:strRef>
          </c:cat>
          <c:val>
            <c:numRef>
              <c:f>'Experiment 2'!$N$30:$R$30</c:f>
              <c:numCache>
                <c:formatCode>General</c:formatCode>
                <c:ptCount val="5"/>
                <c:pt idx="0">
                  <c:v>15.75</c:v>
                </c:pt>
                <c:pt idx="2">
                  <c:v>2.27</c:v>
                </c:pt>
                <c:pt idx="4">
                  <c:v>8.25</c:v>
                </c:pt>
              </c:numCache>
            </c:numRef>
          </c:val>
          <c:extLst>
            <c:ext xmlns:c16="http://schemas.microsoft.com/office/drawing/2014/chart" uri="{C3380CC4-5D6E-409C-BE32-E72D297353CC}">
              <c16:uniqueId val="{00000006-BC84-474C-B0BE-ED09A674442B}"/>
            </c:ext>
          </c:extLst>
        </c:ser>
        <c:dLbls>
          <c:showLegendKey val="0"/>
          <c:showVal val="0"/>
          <c:showCatName val="0"/>
          <c:showSerName val="0"/>
          <c:showPercent val="0"/>
          <c:showBubbleSize val="0"/>
        </c:dLbls>
        <c:gapWidth val="75"/>
        <c:overlap val="-25"/>
        <c:axId val="234871424"/>
        <c:axId val="253940480"/>
      </c:barChart>
      <c:catAx>
        <c:axId val="234871424"/>
        <c:scaling>
          <c:orientation val="minMax"/>
        </c:scaling>
        <c:delete val="0"/>
        <c:axPos val="b"/>
        <c:title>
          <c:tx>
            <c:rich>
              <a:bodyPr/>
              <a:lstStyle/>
              <a:p>
                <a:pPr>
                  <a:defRPr sz="1100"/>
                </a:pPr>
                <a:r>
                  <a:rPr lang="en-US" sz="1100">
                    <a:latin typeface="Times New Roman" pitchFamily="18" charset="0"/>
                    <a:cs typeface="Times New Roman" pitchFamily="18" charset="0"/>
                  </a:rPr>
                  <a:t>Color</a:t>
                </a:r>
                <a:r>
                  <a:rPr lang="en-US" sz="1100" baseline="0">
                    <a:latin typeface="Times New Roman" pitchFamily="18" charset="0"/>
                    <a:cs typeface="Times New Roman" pitchFamily="18" charset="0"/>
                  </a:rPr>
                  <a:t> Attributes</a:t>
                </a:r>
                <a:endParaRPr lang="en-US" sz="1100">
                  <a:latin typeface="Times New Roman" pitchFamily="18" charset="0"/>
                  <a:cs typeface="Times New Roman" pitchFamily="18" charset="0"/>
                </a:endParaRPr>
              </a:p>
            </c:rich>
          </c:tx>
          <c:layout>
            <c:manualLayout>
              <c:xMode val="edge"/>
              <c:yMode val="edge"/>
              <c:x val="0.4177257777490968"/>
              <c:y val="0.76978042378848988"/>
            </c:manualLayout>
          </c:layout>
          <c:overlay val="0"/>
        </c:title>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253940480"/>
        <c:crosses val="autoZero"/>
        <c:auto val="1"/>
        <c:lblAlgn val="ctr"/>
        <c:lblOffset val="100"/>
        <c:noMultiLvlLbl val="0"/>
      </c:catAx>
      <c:valAx>
        <c:axId val="253940480"/>
        <c:scaling>
          <c:orientation val="minMax"/>
        </c:scaling>
        <c:delete val="0"/>
        <c:axPos val="l"/>
        <c:majorGridlines>
          <c:spPr>
            <a:ln>
              <a:noFill/>
            </a:ln>
          </c:spPr>
        </c:majorGridlines>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Color</a:t>
                </a:r>
                <a:r>
                  <a:rPr lang="en-US" sz="1100" baseline="0">
                    <a:latin typeface="Arial" panose="020B0604020202020204" pitchFamily="34" charset="0"/>
                    <a:cs typeface="Arial" panose="020B0604020202020204" pitchFamily="34" charset="0"/>
                  </a:rPr>
                  <a:t> Value</a:t>
                </a:r>
                <a:endParaRPr lang="en-US" sz="1100">
                  <a:latin typeface="Arial" panose="020B0604020202020204" pitchFamily="34" charset="0"/>
                  <a:cs typeface="Arial" panose="020B0604020202020204" pitchFamily="34" charset="0"/>
                </a:endParaRPr>
              </a:p>
            </c:rich>
          </c:tx>
          <c:overlay val="0"/>
        </c:title>
        <c:numFmt formatCode="General" sourceLinked="1"/>
        <c:majorTickMark val="none"/>
        <c:minorTickMark val="none"/>
        <c:tickLblPos val="nextTo"/>
        <c:spPr>
          <a:ln w="9525">
            <a:noFill/>
          </a:ln>
        </c:spPr>
        <c:txPr>
          <a:bodyPr/>
          <a:lstStyle/>
          <a:p>
            <a:pPr>
              <a:defRPr sz="1000" b="1">
                <a:latin typeface="Arial" panose="020B0604020202020204" pitchFamily="34" charset="0"/>
                <a:cs typeface="Arial" panose="020B0604020202020204" pitchFamily="34" charset="0"/>
              </a:defRPr>
            </a:pPr>
            <a:endParaRPr lang="en-US"/>
          </a:p>
        </c:txPr>
        <c:crossAx val="234871424"/>
        <c:crosses val="autoZero"/>
        <c:crossBetween val="between"/>
      </c:valAx>
    </c:plotArea>
    <c:legend>
      <c:legendPos val="b"/>
      <c:legendEntry>
        <c:idx val="3"/>
        <c:txPr>
          <a:bodyPr/>
          <a:lstStyle/>
          <a:p>
            <a:pPr>
              <a:defRPr sz="1000" b="0">
                <a:latin typeface="Arial" panose="020B0604020202020204" pitchFamily="34" charset="0"/>
                <a:cs typeface="Arial" panose="020B0604020202020204" pitchFamily="34" charset="0"/>
              </a:defRPr>
            </a:pPr>
            <a:endParaRPr lang="en-US"/>
          </a:p>
        </c:txPr>
      </c:legendEntry>
      <c:layout>
        <c:manualLayout>
          <c:xMode val="edge"/>
          <c:yMode val="edge"/>
          <c:x val="0.18769295385513951"/>
          <c:y val="0.84619102490237497"/>
          <c:w val="0.77803828834494737"/>
          <c:h val="0.15380895436952771"/>
        </c:manualLayout>
      </c:layout>
      <c:overlay val="0"/>
      <c:txPr>
        <a:bodyPr/>
        <a:lstStyle/>
        <a:p>
          <a:pPr>
            <a:defRPr sz="1000" b="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0.18114</cdr:x>
      <cdr:y>0.66768</cdr:y>
    </cdr:from>
    <cdr:to>
      <cdr:x>0.96041</cdr:x>
      <cdr:y>0.75</cdr:y>
    </cdr:to>
    <cdr:sp macro="" textlink="">
      <cdr:nvSpPr>
        <cdr:cNvPr id="2" name="Text Box 2"/>
        <cdr:cNvSpPr txBox="1"/>
      </cdr:nvSpPr>
      <cdr:spPr>
        <a:xfrm xmlns:a="http://schemas.openxmlformats.org/drawingml/2006/main">
          <a:off x="828040" y="2085975"/>
          <a:ext cx="3562350" cy="257175"/>
        </a:xfrm>
        <a:prstGeom xmlns:a="http://schemas.openxmlformats.org/drawingml/2006/main" prst="rect">
          <a:avLst/>
        </a:prstGeom>
        <a:solidFill xmlns:a="http://schemas.openxmlformats.org/drawingml/2006/main">
          <a:schemeClr val="lt1"/>
        </a:solidFill>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just">
            <a:lnSpc>
              <a:spcPct val="150000"/>
            </a:lnSpc>
            <a:spcBef>
              <a:spcPts val="0"/>
            </a:spcBef>
            <a:spcAft>
              <a:spcPts val="800"/>
            </a:spcAft>
          </a:pPr>
          <a:r>
            <a:rPr lang="en-US" sz="1000">
              <a:effectLst/>
              <a:latin typeface="Arial" panose="020B0604020202020204" pitchFamily="34" charset="0"/>
              <a:ea typeface="Calibri" panose="020F0502020204030204" pitchFamily="34" charset="0"/>
              <a:cs typeface="Arial" panose="020B0604020202020204" pitchFamily="34" charset="0"/>
            </a:rPr>
            <a:t>L* (lightness), a* (green to red), b* (blue to yellow)</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B5EA5-C212-467D-817B-ED96F039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4919</TotalTime>
  <Pages>11</Pages>
  <Words>5601</Words>
  <Characters>31928</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1087</cp:lastModifiedBy>
  <cp:revision>362</cp:revision>
  <cp:lastPrinted>2026-07-07T14:15:00Z</cp:lastPrinted>
  <dcterms:created xsi:type="dcterms:W3CDTF">2026-06-23T06:28:00Z</dcterms:created>
  <dcterms:modified xsi:type="dcterms:W3CDTF">2026-08-18T13:02:00Z</dcterms:modified>
</cp:coreProperties>
</file>