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9A54F" w14:textId="77777777" w:rsidR="00AB5DCE" w:rsidRPr="00C501D4" w:rsidRDefault="00000000" w:rsidP="00C501D4">
      <w:pPr>
        <w:spacing w:after="40"/>
        <w:jc w:val="both"/>
        <w:rPr>
          <w:color w:val="000000" w:themeColor="text1"/>
        </w:rPr>
      </w:pPr>
      <w:r w:rsidRPr="00C501D4">
        <w:rPr>
          <w:rFonts w:ascii="Cambria" w:eastAsia="Cambria" w:hAnsi="Cambria" w:cs="Cambria"/>
          <w:b/>
          <w:bCs/>
          <w:color w:val="000000" w:themeColor="text1"/>
          <w:sz w:val="32"/>
          <w:szCs w:val="32"/>
        </w:rPr>
        <w:t>Tri-Layered Hybrid Privacy Architectures for Deep Neural Networks: Synergizing Split Learning, Differential Privacy, and CKKS Homomorphic Encryption</w:t>
      </w:r>
    </w:p>
    <w:p w14:paraId="7D2785BD" w14:textId="77777777" w:rsidR="005B1F34" w:rsidRPr="00C501D4" w:rsidRDefault="005B1F34" w:rsidP="00C501D4">
      <w:pPr>
        <w:spacing w:after="300"/>
        <w:jc w:val="both"/>
        <w:rPr>
          <w:rFonts w:ascii="Cambria" w:eastAsia="Cambria" w:hAnsi="Cambria" w:cs="Cambria"/>
          <w:i/>
          <w:iCs/>
          <w:color w:val="000000" w:themeColor="text1"/>
        </w:rPr>
      </w:pPr>
    </w:p>
    <w:p w14:paraId="70428CC8" w14:textId="77777777" w:rsidR="00AB5DCE" w:rsidRPr="00C501D4" w:rsidRDefault="00000000" w:rsidP="00C501D4">
      <w:pPr>
        <w:spacing w:before="100" w:after="100"/>
        <w:jc w:val="both"/>
      </w:pPr>
      <w:r w:rsidRPr="00C501D4">
        <w:rPr>
          <w:rFonts w:ascii="Cambria" w:eastAsia="Cambria" w:hAnsi="Cambria" w:cs="Cambria"/>
          <w:b/>
          <w:bCs/>
          <w:sz w:val="22"/>
          <w:szCs w:val="22"/>
        </w:rPr>
        <w:t>Abstract</w:t>
      </w:r>
    </w:p>
    <w:p w14:paraId="441FCEDD" w14:textId="77777777" w:rsidR="00AE06F1" w:rsidRPr="00C501D4" w:rsidRDefault="00AE06F1" w:rsidP="00C501D4">
      <w:pPr>
        <w:spacing w:after="260"/>
        <w:jc w:val="both"/>
        <w:rPr>
          <w:rFonts w:ascii="Cambria" w:eastAsia="Cambria" w:hAnsi="Cambria" w:cs="Cambria"/>
          <w:sz w:val="22"/>
          <w:szCs w:val="22"/>
        </w:rPr>
      </w:pPr>
      <w:r w:rsidRPr="00C501D4">
        <w:rPr>
          <w:rFonts w:ascii="Cambria" w:eastAsia="Cambria" w:hAnsi="Cambria" w:cs="Cambria"/>
          <w:sz w:val="22"/>
          <w:szCs w:val="22"/>
        </w:rPr>
        <w:t xml:space="preserve">Deep learning is becoming increasingly collaborative and outsourced, with neural computation split between resource-constrained clients and capable servers. While split learning reduces the computational load on the client, the transferred intermediate activations are vulnerable to feature-space reconstruction and model inversion attacks, while gradient exchanges are vulnerable to membership inference attacks. In this paper, we design, </w:t>
      </w:r>
      <w:proofErr w:type="spellStart"/>
      <w:r w:rsidRPr="00C501D4">
        <w:rPr>
          <w:rFonts w:ascii="Cambria" w:eastAsia="Cambria" w:hAnsi="Cambria" w:cs="Cambria"/>
          <w:sz w:val="22"/>
          <w:szCs w:val="22"/>
        </w:rPr>
        <w:t>formalise</w:t>
      </w:r>
      <w:proofErr w:type="spellEnd"/>
      <w:r w:rsidRPr="00C501D4">
        <w:rPr>
          <w:rFonts w:ascii="Cambria" w:eastAsia="Cambria" w:hAnsi="Cambria" w:cs="Cambria"/>
          <w:sz w:val="22"/>
          <w:szCs w:val="22"/>
        </w:rPr>
        <w:t xml:space="preserve">, and empirically evaluate a tri-layered hybrid privacy architecture that integrates split learning, differential privacy (DP), and Cheon-Kim-Kim-Song (CKKS) fully homomorphic encryption (FHE) into a single coherent pipeline. We demonstrate how each layer addresses a different threat class: split learning restricts exposure of raw data, DP bounds statistical leakage from gradients and activations, and CKKS enforces computational indistinguishability for data that must cross the network boundary. We provide a formal composition of the privacy layers, a reference architecture with client- and server-side responsibilities, and an experimental evaluation across three datasets, including a seven-class electrical fault-diagnosis dataset. Our results demonstrate that the tri-layered configuration achieves 89.9% accuracy at </w:t>
      </w:r>
      <m:oMath>
        <m:r>
          <w:rPr>
            <w:rFonts w:ascii="Cambria Math" w:eastAsia="Cambria" w:hAnsi="Cambria Math" w:cs="Cambria"/>
            <w:sz w:val="22"/>
            <w:szCs w:val="22"/>
          </w:rPr>
          <m:t>ϵ=8</m:t>
        </m:r>
      </m:oMath>
      <w:r w:rsidRPr="00C501D4">
        <w:rPr>
          <w:rFonts w:ascii="Cambria" w:eastAsia="Cambria" w:hAnsi="Cambria" w:cs="Cambria"/>
          <w:sz w:val="22"/>
          <w:szCs w:val="22"/>
        </w:rPr>
        <w:t xml:space="preserve"> (only 4.7 percentage points below a non-private baseline of 94.6%), with computational security against an honest-but-curious server and a measured latency overhead of </w:t>
      </w:r>
      <m:oMath>
        <m:r>
          <w:rPr>
            <w:rFonts w:ascii="Cambria Math" w:eastAsia="Cambria" w:hAnsi="Cambria Math" w:cs="Cambria"/>
            <w:sz w:val="22"/>
            <w:szCs w:val="22"/>
          </w:rPr>
          <m:t>≈10.4×</m:t>
        </m:r>
      </m:oMath>
      <w:r w:rsidRPr="00C501D4">
        <w:rPr>
          <w:rFonts w:ascii="Cambria" w:eastAsia="Cambria" w:hAnsi="Cambria" w:cs="Cambria"/>
          <w:sz w:val="22"/>
          <w:szCs w:val="22"/>
        </w:rPr>
        <w:t xml:space="preserve"> relative to plaintext split inference. We also quantify the marginal contribution of each layer to overall threat-model coverage and provide guidance on jointly tuning the noise multiplier, clipping norm, and CKKS multiplicative depth rather than treating them independently.</w:t>
      </w:r>
    </w:p>
    <w:p w14:paraId="134FD805" w14:textId="77777777" w:rsidR="005E78B7" w:rsidRPr="00C501D4" w:rsidRDefault="00905A4D" w:rsidP="00C501D4">
      <w:pPr>
        <w:spacing w:after="260"/>
        <w:jc w:val="both"/>
        <w:rPr>
          <w:rFonts w:ascii="Cambria" w:eastAsia="Cambria" w:hAnsi="Cambria" w:cs="Cambria"/>
          <w:i/>
          <w:iCs/>
        </w:rPr>
      </w:pPr>
      <w:r w:rsidRPr="00C501D4">
        <w:rPr>
          <w:rFonts w:ascii="Cambria" w:eastAsia="Cambria" w:hAnsi="Cambria" w:cs="Cambria"/>
          <w:b/>
          <w:bCs/>
          <w:i/>
          <w:iCs/>
        </w:rPr>
        <w:t>Keywords—</w:t>
      </w:r>
      <w:r w:rsidRPr="00C501D4">
        <w:rPr>
          <w:rFonts w:ascii="Cambria" w:eastAsia="Cambria" w:hAnsi="Cambria" w:cs="Cambria"/>
          <w:i/>
          <w:iCs/>
        </w:rPr>
        <w:t>split learning, differential privacy, homomorphic encryption, CKKS, privacy-preserving machine learning, tri-layered architecture, secure inference</w:t>
      </w:r>
    </w:p>
    <w:p w14:paraId="791EE239" w14:textId="77777777" w:rsidR="005E78B7" w:rsidRPr="00C501D4" w:rsidRDefault="005E78B7" w:rsidP="00C501D4">
      <w:pPr>
        <w:pStyle w:val="ListParagraph"/>
        <w:numPr>
          <w:ilvl w:val="0"/>
          <w:numId w:val="4"/>
        </w:numPr>
        <w:spacing w:after="260"/>
        <w:jc w:val="both"/>
        <w:rPr>
          <w:rFonts w:ascii="Cambria" w:eastAsia="Cambria" w:hAnsi="Cambria" w:cs="Cambria"/>
          <w:b/>
          <w:bCs/>
          <w:caps/>
          <w:sz w:val="26"/>
          <w:szCs w:val="26"/>
        </w:rPr>
      </w:pPr>
      <w:r w:rsidRPr="00C501D4">
        <w:rPr>
          <w:rFonts w:ascii="Cambria" w:eastAsia="Cambria" w:hAnsi="Cambria" w:cs="Cambria"/>
          <w:b/>
          <w:bCs/>
          <w:caps/>
          <w:sz w:val="26"/>
          <w:szCs w:val="26"/>
        </w:rPr>
        <w:t>introduction</w:t>
      </w:r>
    </w:p>
    <w:p w14:paraId="30D99D91" w14:textId="77777777" w:rsidR="005E78B7" w:rsidRPr="00C501D4" w:rsidRDefault="005E78B7" w:rsidP="00C501D4">
      <w:pPr>
        <w:spacing w:after="260"/>
        <w:jc w:val="both"/>
        <w:rPr>
          <w:rFonts w:ascii="Cambria" w:eastAsia="Cambria" w:hAnsi="Cambria" w:cs="Cambria"/>
          <w:sz w:val="22"/>
          <w:szCs w:val="22"/>
        </w:rPr>
      </w:pPr>
      <w:r w:rsidRPr="00C501D4">
        <w:rPr>
          <w:rFonts w:ascii="Cambria" w:eastAsia="Cambria" w:hAnsi="Cambria" w:cs="Cambria"/>
          <w:sz w:val="22"/>
          <w:szCs w:val="22"/>
        </w:rPr>
        <w:t>The increasing deployment of deep neural networks in sensitive domains such as healthcare diagnostics, biometric authentication, and critical infrastructure monitoring, including power transmission and distribution fault diagnosis, has led to increased interest in privacy-preserving machine learning (PPML). Three broad families of techniques have emerged: (</w:t>
      </w:r>
      <w:proofErr w:type="spellStart"/>
      <w:r w:rsidRPr="00C501D4">
        <w:rPr>
          <w:rFonts w:ascii="Cambria" w:eastAsia="Cambria" w:hAnsi="Cambria" w:cs="Cambria"/>
          <w:sz w:val="22"/>
          <w:szCs w:val="22"/>
        </w:rPr>
        <w:t>i</w:t>
      </w:r>
      <w:proofErr w:type="spellEnd"/>
      <w:r w:rsidRPr="00C501D4">
        <w:rPr>
          <w:rFonts w:ascii="Cambria" w:eastAsia="Cambria" w:hAnsi="Cambria" w:cs="Cambria"/>
          <w:sz w:val="22"/>
          <w:szCs w:val="22"/>
        </w:rPr>
        <w:t>) architectural approaches, such as split learning and federated learning, that limit the raw data that ever leave a client device; (ii) statistical approaches, such as differential privacy, that bound the information an adversary can extract from model outputs, gradients, or aggregated statistics; and (iii) cryptographic approaches, such as homomorphic encryption and secure multi-party computation, that allow computation directly over encrypted data.</w:t>
      </w:r>
    </w:p>
    <w:p w14:paraId="277E9D11" w14:textId="77777777" w:rsidR="00F90BEA" w:rsidRPr="00C501D4" w:rsidRDefault="00000000" w:rsidP="00C501D4">
      <w:pPr>
        <w:spacing w:after="260"/>
        <w:jc w:val="both"/>
      </w:pPr>
      <w:r w:rsidRPr="00C501D4">
        <w:rPr>
          <w:rFonts w:ascii="Cambria" w:hAnsi="Cambria"/>
          <w:b/>
          <w:sz w:val="22"/>
        </w:rPr>
        <w:t xml:space="preserve">Recent syntheses of privacy-preserving machine learning and federated learning similarly distinguish architectural, statistical, and cryptographic safeguards, and they </w:t>
      </w:r>
      <w:proofErr w:type="spellStart"/>
      <w:r w:rsidRPr="00C501D4">
        <w:rPr>
          <w:rFonts w:ascii="Cambria" w:hAnsi="Cambria"/>
          <w:b/>
          <w:sz w:val="22"/>
        </w:rPr>
        <w:t>emphasise</w:t>
      </w:r>
      <w:proofErr w:type="spellEnd"/>
      <w:r w:rsidRPr="00C501D4">
        <w:rPr>
          <w:rFonts w:ascii="Cambria" w:hAnsi="Cambria"/>
          <w:b/>
          <w:sz w:val="22"/>
        </w:rPr>
        <w:t xml:space="preserve"> that privacy protections should be selected in relation to the threat model and implementation constraints (Hu et al., 2024; </w:t>
      </w:r>
      <w:proofErr w:type="spellStart"/>
      <w:r w:rsidRPr="00C501D4">
        <w:rPr>
          <w:rFonts w:ascii="Cambria" w:hAnsi="Cambria"/>
          <w:b/>
          <w:sz w:val="22"/>
        </w:rPr>
        <w:t>Mohanarajah</w:t>
      </w:r>
      <w:proofErr w:type="spellEnd"/>
      <w:r w:rsidRPr="00C501D4">
        <w:rPr>
          <w:rFonts w:ascii="Cambria" w:hAnsi="Cambria"/>
          <w:b/>
          <w:sz w:val="22"/>
        </w:rPr>
        <w:t xml:space="preserve"> et al., 2025; Nguyen et al., 2025).</w:t>
      </w:r>
    </w:p>
    <w:p w14:paraId="3F5C6367" w14:textId="77777777" w:rsidR="005E78B7" w:rsidRPr="00C501D4" w:rsidRDefault="005E78B7" w:rsidP="00C501D4">
      <w:pPr>
        <w:spacing w:after="260"/>
        <w:jc w:val="both"/>
        <w:rPr>
          <w:rFonts w:ascii="Cambria" w:eastAsia="Cambria" w:hAnsi="Cambria" w:cs="Cambria"/>
          <w:sz w:val="22"/>
          <w:szCs w:val="22"/>
        </w:rPr>
      </w:pPr>
      <w:r w:rsidRPr="00C501D4">
        <w:rPr>
          <w:rFonts w:ascii="Cambria" w:eastAsia="Cambria" w:hAnsi="Cambria" w:cs="Cambria"/>
          <w:sz w:val="22"/>
          <w:szCs w:val="22"/>
        </w:rPr>
        <w:t xml:space="preserve">Each family, taken in isolation, addresses only part of the threat surface. Split learning alone still sends plaintext intermediate activations that have been shown to allow reconstruction of the original input through model-inversion attacks (Gupta &amp; </w:t>
      </w:r>
      <w:proofErr w:type="spellStart"/>
      <w:r w:rsidRPr="00C501D4">
        <w:rPr>
          <w:rFonts w:ascii="Cambria" w:eastAsia="Cambria" w:hAnsi="Cambria" w:cs="Cambria"/>
          <w:sz w:val="22"/>
          <w:szCs w:val="22"/>
        </w:rPr>
        <w:t>Raskar</w:t>
      </w:r>
      <w:proofErr w:type="spellEnd"/>
      <w:r w:rsidRPr="00C501D4">
        <w:rPr>
          <w:rFonts w:ascii="Cambria" w:eastAsia="Cambria" w:hAnsi="Cambria" w:cs="Cambria"/>
          <w:sz w:val="22"/>
          <w:szCs w:val="22"/>
        </w:rPr>
        <w:t xml:space="preserve">, 2018; </w:t>
      </w:r>
      <w:proofErr w:type="spellStart"/>
      <w:r w:rsidRPr="00C501D4">
        <w:rPr>
          <w:rFonts w:ascii="Cambria" w:eastAsia="Cambria" w:hAnsi="Cambria" w:cs="Cambria"/>
          <w:sz w:val="22"/>
          <w:szCs w:val="22"/>
        </w:rPr>
        <w:t>Vepakomma</w:t>
      </w:r>
      <w:proofErr w:type="spellEnd"/>
      <w:r w:rsidRPr="00C501D4">
        <w:rPr>
          <w:rFonts w:ascii="Cambria" w:eastAsia="Cambria" w:hAnsi="Cambria" w:cs="Cambria"/>
          <w:sz w:val="22"/>
          <w:szCs w:val="22"/>
        </w:rPr>
        <w:t xml:space="preserve"> et al., 2018). Differential </w:t>
      </w:r>
      <w:r w:rsidRPr="00C501D4">
        <w:rPr>
          <w:rFonts w:ascii="Cambria" w:eastAsia="Cambria" w:hAnsi="Cambria" w:cs="Cambria"/>
          <w:sz w:val="22"/>
          <w:szCs w:val="22"/>
        </w:rPr>
        <w:lastRenderedPageBreak/>
        <w:t xml:space="preserve">privacy by itself protects statistical properties of a dataset but does nothing to prevent an eavesdropping or honest-but-curious server from directly inspecting transmitted tensors (Abadi et al., 2016; Dwork &amp; Roth, 2014). Homomorphic encryption by itself yields strong computational security but, if used on an entire network without an architectural split, results in prohibitive latency and does not bound the information leaked through the choice of queries or through side-channel timing </w:t>
      </w:r>
      <w:proofErr w:type="spellStart"/>
      <w:r w:rsidRPr="00C501D4">
        <w:rPr>
          <w:rFonts w:ascii="Cambria" w:eastAsia="Cambria" w:hAnsi="Cambria" w:cs="Cambria"/>
          <w:sz w:val="22"/>
          <w:szCs w:val="22"/>
        </w:rPr>
        <w:t>behaviour</w:t>
      </w:r>
      <w:proofErr w:type="spellEnd"/>
      <w:r w:rsidRPr="00C501D4">
        <w:rPr>
          <w:rFonts w:ascii="Cambria" w:eastAsia="Cambria" w:hAnsi="Cambria" w:cs="Cambria"/>
          <w:sz w:val="22"/>
          <w:szCs w:val="22"/>
        </w:rPr>
        <w:t xml:space="preserve"> (Cheon et al., 2017; Gilad-Bachrach et al., 2016).</w:t>
      </w:r>
    </w:p>
    <w:p w14:paraId="565E322B" w14:textId="77777777" w:rsidR="00F90BEA" w:rsidRPr="00C501D4" w:rsidRDefault="00000000" w:rsidP="00C501D4">
      <w:pPr>
        <w:spacing w:after="260"/>
        <w:jc w:val="both"/>
      </w:pPr>
      <w:r w:rsidRPr="00C501D4">
        <w:rPr>
          <w:rFonts w:ascii="Cambria" w:hAnsi="Cambria"/>
          <w:b/>
          <w:sz w:val="22"/>
        </w:rPr>
        <w:t>Recent application and benchmarking studies further illustrate the practical trade-off: homomorphic encryption has been integrated with collaborative learning for privacy-sensitive smart-grid analysis, while CKKS benchmarking with Microsoft SEAL identifies multiplication and squaring as major contributors to homomorphic computation cost (Adedayo-Ajayi et al., 2026; Deng et al., 2024).</w:t>
      </w:r>
    </w:p>
    <w:p w14:paraId="76B78DF5" w14:textId="77777777" w:rsidR="00F90BEA" w:rsidRPr="00C501D4" w:rsidRDefault="00000000" w:rsidP="00C501D4">
      <w:pPr>
        <w:spacing w:after="260"/>
        <w:jc w:val="both"/>
      </w:pPr>
      <w:r w:rsidRPr="00C501D4">
        <w:rPr>
          <w:rFonts w:ascii="Cambria" w:hAnsi="Cambria"/>
          <w:b/>
          <w:sz w:val="22"/>
        </w:rPr>
        <w:t>Research gap. Within the scope of this manuscript, a gap remains in establishing and evaluating a single architecture in which split learning, differential privacy, and CKKS homomorphic encryption are composed under a unified threat model while their accuracy, latency, and communication implications are examined together.</w:t>
      </w:r>
    </w:p>
    <w:p w14:paraId="7ACDF73F" w14:textId="77777777" w:rsidR="005E78B7" w:rsidRPr="00C501D4" w:rsidRDefault="005E78B7" w:rsidP="00C501D4">
      <w:pPr>
        <w:spacing w:after="260"/>
        <w:jc w:val="both"/>
        <w:rPr>
          <w:rFonts w:ascii="Cambria" w:eastAsia="Cambria" w:hAnsi="Cambria" w:cs="Cambria"/>
          <w:sz w:val="22"/>
          <w:szCs w:val="22"/>
        </w:rPr>
      </w:pPr>
      <w:r w:rsidRPr="00C501D4">
        <w:rPr>
          <w:rFonts w:ascii="Cambria" w:eastAsia="Cambria" w:hAnsi="Cambria" w:cs="Cambria"/>
          <w:sz w:val="22"/>
          <w:szCs w:val="22"/>
        </w:rPr>
        <w:t>In this paper, we focus particularly on the sub-problem of tri-layered hybrid privacy architectures: how split learning, differential privacy, and CKKS-based fully homomorphic encryption can be combined synergistically so that each layer compensates for the blind spots of the others. The contributions of this work are threefold: (1) a formal composition argument describing how the privacy guarantees of the three layers compose under a unified threat model; (2) a reference tri-layered architecture with explicit client- and server-side responsibilities, including where CKKS bootstrapping and DP noise injection occur relative to the split boundary; and (3) an empirical study quantifying the accuracy, latency, and communication cost of the tri-layered design relative to single- and dual-layer baselines.</w:t>
      </w:r>
    </w:p>
    <w:p w14:paraId="4A9326D8" w14:textId="77777777" w:rsidR="00F90BEA" w:rsidRPr="00C501D4" w:rsidRDefault="00000000" w:rsidP="00C501D4">
      <w:pPr>
        <w:spacing w:after="260"/>
        <w:jc w:val="both"/>
      </w:pPr>
      <w:r w:rsidRPr="00C501D4">
        <w:rPr>
          <w:rFonts w:ascii="Cambria" w:hAnsi="Cambria"/>
          <w:b/>
          <w:sz w:val="22"/>
        </w:rPr>
        <w:t xml:space="preserve">Objective. The objective of this study is to design, </w:t>
      </w:r>
      <w:proofErr w:type="spellStart"/>
      <w:r w:rsidRPr="00C501D4">
        <w:rPr>
          <w:rFonts w:ascii="Cambria" w:hAnsi="Cambria"/>
          <w:b/>
          <w:sz w:val="22"/>
        </w:rPr>
        <w:t>formalise</w:t>
      </w:r>
      <w:proofErr w:type="spellEnd"/>
      <w:r w:rsidRPr="00C501D4">
        <w:rPr>
          <w:rFonts w:ascii="Cambria" w:hAnsi="Cambria"/>
          <w:b/>
          <w:sz w:val="22"/>
        </w:rPr>
        <w:t>, and empirically evaluate a tri-layered hybrid privacy architecture combining split learning, differential privacy, and CKKS homomorphic encryption, and to compare its accuracy, latency, and communication cost with single- and dual-layer baselines.</w:t>
      </w:r>
    </w:p>
    <w:p w14:paraId="0A460929" w14:textId="77777777" w:rsidR="005E78B7" w:rsidRPr="00C501D4" w:rsidRDefault="00000000" w:rsidP="00C501D4">
      <w:pPr>
        <w:spacing w:after="260"/>
        <w:jc w:val="both"/>
        <w:rPr>
          <w:rFonts w:ascii="Cambria" w:eastAsia="Cambria" w:hAnsi="Cambria" w:cs="Cambria"/>
          <w:b/>
          <w:bCs/>
          <w:caps/>
          <w:sz w:val="26"/>
          <w:szCs w:val="26"/>
        </w:rPr>
      </w:pPr>
      <w:r w:rsidRPr="00C501D4">
        <w:rPr>
          <w:rFonts w:ascii="Cambria" w:eastAsia="Cambria" w:hAnsi="Cambria" w:cs="Cambria"/>
          <w:b/>
          <w:bCs/>
          <w:caps/>
          <w:sz w:val="26"/>
          <w:szCs w:val="26"/>
        </w:rPr>
        <w:t>II. Related Work</w:t>
      </w:r>
    </w:p>
    <w:p w14:paraId="3BDA1175" w14:textId="77777777" w:rsidR="00EF5E86" w:rsidRPr="00C501D4" w:rsidRDefault="00EF5E86" w:rsidP="00C501D4">
      <w:pPr>
        <w:spacing w:after="160" w:line="276" w:lineRule="auto"/>
        <w:jc w:val="both"/>
      </w:pPr>
      <w:r w:rsidRPr="00C501D4">
        <w:rPr>
          <w:sz w:val="22"/>
          <w:szCs w:val="22"/>
        </w:rPr>
        <w:t xml:space="preserve">The increasing deployment of deep neural networks in sensitive and important areas such as biometric authentication, healthcare diagnostics, and critical infrastructure monitoring has triggered sustained interest in privacy-preserving machine learning (PPML). Three major families of techniques have emerged: architectural approaches that control the raw data leaving a client device (Gupta &amp; </w:t>
      </w:r>
      <w:proofErr w:type="spellStart"/>
      <w:r w:rsidRPr="00C501D4">
        <w:rPr>
          <w:sz w:val="22"/>
          <w:szCs w:val="22"/>
        </w:rPr>
        <w:t>Raskar</w:t>
      </w:r>
      <w:proofErr w:type="spellEnd"/>
      <w:r w:rsidRPr="00C501D4">
        <w:rPr>
          <w:sz w:val="22"/>
          <w:szCs w:val="22"/>
        </w:rPr>
        <w:t xml:space="preserve">, 2018; </w:t>
      </w:r>
      <w:proofErr w:type="spellStart"/>
      <w:r w:rsidRPr="00C501D4">
        <w:rPr>
          <w:sz w:val="22"/>
          <w:szCs w:val="22"/>
        </w:rPr>
        <w:t>Vepakomma</w:t>
      </w:r>
      <w:proofErr w:type="spellEnd"/>
      <w:r w:rsidRPr="00C501D4">
        <w:rPr>
          <w:sz w:val="22"/>
          <w:szCs w:val="22"/>
        </w:rPr>
        <w:t xml:space="preserve"> et al., 2018); statistical approaches that bound the extractable information from model outputs, gradients, or statistical aggregates (Abadi et al., 2016; Dwork &amp; Roth, 2014; Mironov, 2017); and cryptographic approaches that allow direct computation over encrypted data (Bonawitz et al., 2017; Cheon et al., 2017; Gilad-Bachrach et al., 2016). The subsections below review each family and conclude with the current state of attempts to combine them.</w:t>
      </w:r>
    </w:p>
    <w:p w14:paraId="37DC8BBF" w14:textId="77777777" w:rsidR="00EF5E86" w:rsidRPr="00C501D4" w:rsidRDefault="00EF5E86" w:rsidP="00C501D4">
      <w:pPr>
        <w:spacing w:before="200" w:after="100"/>
        <w:jc w:val="both"/>
      </w:pPr>
      <w:r w:rsidRPr="00C501D4">
        <w:rPr>
          <w:b/>
          <w:bCs/>
          <w:sz w:val="22"/>
          <w:szCs w:val="22"/>
        </w:rPr>
        <w:t>A. Split Learning</w:t>
      </w:r>
    </w:p>
    <w:p w14:paraId="22E9FADA" w14:textId="77777777" w:rsidR="005F75EC" w:rsidRPr="00C501D4" w:rsidRDefault="00EF5E86" w:rsidP="00C501D4">
      <w:pPr>
        <w:spacing w:after="160" w:line="276" w:lineRule="auto"/>
        <w:jc w:val="both"/>
        <w:rPr>
          <w:sz w:val="22"/>
          <w:szCs w:val="22"/>
        </w:rPr>
      </w:pPr>
      <w:r w:rsidRPr="00C501D4">
        <w:rPr>
          <w:sz w:val="22"/>
          <w:szCs w:val="22"/>
        </w:rPr>
        <w:t xml:space="preserve">Split learning partitions a neural network at a chosen layer: the client executes the first few layers and sends the resulting representation to the server; the server completes the forward pass and computes the loss, then </w:t>
      </w:r>
      <w:r w:rsidRPr="00C501D4">
        <w:rPr>
          <w:sz w:val="22"/>
          <w:szCs w:val="22"/>
        </w:rPr>
        <w:lastRenderedPageBreak/>
        <w:t xml:space="preserve">returns the gradients for the client-side layers (Gupta &amp; </w:t>
      </w:r>
      <w:proofErr w:type="spellStart"/>
      <w:r w:rsidRPr="00C501D4">
        <w:rPr>
          <w:sz w:val="22"/>
          <w:szCs w:val="22"/>
        </w:rPr>
        <w:t>Raskar</w:t>
      </w:r>
      <w:proofErr w:type="spellEnd"/>
      <w:r w:rsidRPr="00C501D4">
        <w:rPr>
          <w:sz w:val="22"/>
          <w:szCs w:val="22"/>
        </w:rPr>
        <w:t>, 2018). This approach reduces on-device computation but has repeatedly been shown to leak substantial information about the input through the transmitted “Smashed Data”, principally at shallow split points (</w:t>
      </w:r>
      <w:proofErr w:type="spellStart"/>
      <w:r w:rsidRPr="00C501D4">
        <w:rPr>
          <w:sz w:val="22"/>
          <w:szCs w:val="22"/>
        </w:rPr>
        <w:t>Vepakomma</w:t>
      </w:r>
      <w:proofErr w:type="spellEnd"/>
      <w:r w:rsidRPr="00C501D4">
        <w:rPr>
          <w:sz w:val="22"/>
          <w:szCs w:val="22"/>
        </w:rPr>
        <w:t xml:space="preserve"> et al., 2018). Several studies from 2023 to 2025 address this gap directly. Nguyen et al. (2024) present a client-side representation transform that measurably reduces reconstruction effectiveness in model-inversion attacks at a modest accuracy cost, while Khan et al. (2024a) present a stronger protocol resistant to inversion collusion between a server and an auxiliary dataset. Khan et al. (2024b) identify feature-space hijacking, in which a malicious server directs the client-side representation towards an attacker-chosen pattern during training, as a distinct attack surface; this threat was later </w:t>
      </w:r>
      <w:proofErr w:type="spellStart"/>
      <w:r w:rsidRPr="00C501D4">
        <w:rPr>
          <w:sz w:val="22"/>
          <w:szCs w:val="22"/>
        </w:rPr>
        <w:t>generalised</w:t>
      </w:r>
      <w:proofErr w:type="spellEnd"/>
      <w:r w:rsidRPr="00C501D4">
        <w:rPr>
          <w:sz w:val="22"/>
          <w:szCs w:val="22"/>
        </w:rPr>
        <w:t xml:space="preserve"> to a broader set of advanced threats using function secret sharing (Khan et al., 2025). This body of work on data-leakage threats across split-learning variants was consolidated in a survey covering work from 2018 to 2024 (Pham &amp; </w:t>
      </w:r>
      <w:proofErr w:type="spellStart"/>
      <w:r w:rsidRPr="00C501D4">
        <w:rPr>
          <w:sz w:val="22"/>
          <w:szCs w:val="22"/>
        </w:rPr>
        <w:t>Chilamkurti</w:t>
      </w:r>
      <w:proofErr w:type="spellEnd"/>
      <w:r w:rsidRPr="00C501D4">
        <w:rPr>
          <w:sz w:val="22"/>
          <w:szCs w:val="22"/>
        </w:rPr>
        <w:t xml:space="preserve">, 2023), which concludes that leakage through smashed data remains largely unresolved despite the partitioning scheme. A wider practical comparison of privacy-preserving split-learning methods is provided by Alhindi et al. (2025), illustrating the continuing difficulty of balancing privacy and utility in resource-constrained deployment. Closer to the hybrid design proposed in this manuscript, Pham et al. (2025) present a differentially private split-learning variant that improves the accuracy trade-off relative to naïve DP-SGD applied at the split boundary. In addition, </w:t>
      </w:r>
      <w:proofErr w:type="gramStart"/>
      <w:r w:rsidRPr="00C501D4">
        <w:rPr>
          <w:sz w:val="22"/>
          <w:szCs w:val="22"/>
        </w:rPr>
        <w:t>Oh</w:t>
      </w:r>
      <w:proofErr w:type="gramEnd"/>
      <w:r w:rsidRPr="00C501D4">
        <w:rPr>
          <w:sz w:val="22"/>
          <w:szCs w:val="22"/>
        </w:rPr>
        <w:t xml:space="preserve"> et al. (2024) extend split learning to Vision Transformer backbones using a patch-wise </w:t>
      </w:r>
      <w:proofErr w:type="spellStart"/>
      <w:r w:rsidRPr="00C501D4">
        <w:rPr>
          <w:sz w:val="22"/>
          <w:szCs w:val="22"/>
        </w:rPr>
        <w:t>randomised</w:t>
      </w:r>
      <w:proofErr w:type="spellEnd"/>
      <w:r w:rsidRPr="00C501D4">
        <w:rPr>
          <w:sz w:val="22"/>
          <w:szCs w:val="22"/>
        </w:rPr>
        <w:t xml:space="preserve"> </w:t>
      </w:r>
      <w:proofErr w:type="spellStart"/>
      <w:r w:rsidRPr="00C501D4">
        <w:rPr>
          <w:sz w:val="22"/>
          <w:szCs w:val="22"/>
        </w:rPr>
        <w:t>CutMix</w:t>
      </w:r>
      <w:proofErr w:type="spellEnd"/>
      <w:r w:rsidRPr="00C501D4">
        <w:rPr>
          <w:sz w:val="22"/>
          <w:szCs w:val="22"/>
        </w:rPr>
        <w:t xml:space="preserve"> mechanism combined with DP, showing that transformer-specific </w:t>
      </w:r>
      <w:proofErr w:type="spellStart"/>
      <w:r w:rsidRPr="00C501D4">
        <w:rPr>
          <w:sz w:val="22"/>
          <w:szCs w:val="22"/>
        </w:rPr>
        <w:t>patchification</w:t>
      </w:r>
      <w:proofErr w:type="spellEnd"/>
      <w:r w:rsidRPr="00C501D4">
        <w:rPr>
          <w:sz w:val="22"/>
          <w:szCs w:val="22"/>
        </w:rPr>
        <w:t xml:space="preserve"> changes the leakage surface relative to convolutional split points.</w:t>
      </w:r>
    </w:p>
    <w:p w14:paraId="05493638" w14:textId="77777777" w:rsidR="00EF5E86" w:rsidRPr="00C501D4" w:rsidRDefault="00EF5E86" w:rsidP="00C501D4">
      <w:pPr>
        <w:spacing w:before="200" w:after="100"/>
        <w:jc w:val="both"/>
      </w:pPr>
      <w:r w:rsidRPr="00C501D4">
        <w:rPr>
          <w:b/>
          <w:bCs/>
          <w:sz w:val="22"/>
          <w:szCs w:val="22"/>
        </w:rPr>
        <w:t>B. Differential Privacy for Deep Learning</w:t>
      </w:r>
    </w:p>
    <w:p w14:paraId="64B1BE96" w14:textId="77777777" w:rsidR="00422D3F" w:rsidRPr="00C501D4" w:rsidRDefault="00B4191B" w:rsidP="00C501D4">
      <w:pPr>
        <w:spacing w:after="160" w:line="276" w:lineRule="auto"/>
        <w:jc w:val="both"/>
        <w:rPr>
          <w:sz w:val="22"/>
          <w:szCs w:val="22"/>
        </w:rPr>
      </w:pPr>
      <w:r w:rsidRPr="00C501D4">
        <w:rPr>
          <w:sz w:val="22"/>
          <w:szCs w:val="22"/>
        </w:rPr>
        <w:t xml:space="preserve">Differentially private stochastic gradient descent (DP-SGD) adds calibrated Gaussian noise with a multiplier σ to per-example gradients clipped to a bound C before the update step, providing an (ε, δ)-DP guarantee using the moments accountant (Abadi et al., 2016) or Rényi DP composition (Mironov, 2017). This provides a strong, information-theoretic bound on the effect of any single training example on the final model (Dwork &amp; Roth, 2014), although the guarantee applies to the entire training procedure rather than to individual transmitted tensors, encouraging its combination with an architectural or cryptographic mechanism, as in this manuscript. Much of the literature from 2023 to 2025 has focused on tightening the accounting used to certify ε for a given (σ, C) pair. Birrell et al. (2024) derive a Rényi DP accountant for fixed-size subsampling, with and without replacement, that improves on the best previously computable bound by a factor of four. Yu et al. (2023) show that the single worst-case ε conventionally reported for a trained model, as in Table 4 of this manuscript, substantially understates the protection afforded to most individual examples, with training loss and per-example privacy being correlated—a finding of direct relevance to a fault-diagnosis dataset in which the seven fault classes are unlikely to be equally represented. A parallel empirical-auditing literature has revisited the tightness of these theoretical bounds in practice: Aerni et al. (2024) show that several published empirical evaluations of DP </w:t>
      </w:r>
      <w:proofErr w:type="spellStart"/>
      <w:r w:rsidRPr="00C501D4">
        <w:rPr>
          <w:sz w:val="22"/>
          <w:szCs w:val="22"/>
        </w:rPr>
        <w:t>defences</w:t>
      </w:r>
      <w:proofErr w:type="spellEnd"/>
      <w:r w:rsidRPr="00C501D4">
        <w:rPr>
          <w:sz w:val="22"/>
          <w:szCs w:val="22"/>
        </w:rPr>
        <w:t xml:space="preserve"> overstate the achieved protection because of weak attack baselines, while Annamalai and De Cristofaro (2024) develop black-box auditing methods that reduce the gap between certified and empirically demonstrated privacy loss. </w:t>
      </w:r>
      <w:proofErr w:type="spellStart"/>
      <w:r w:rsidRPr="00C501D4">
        <w:rPr>
          <w:sz w:val="22"/>
          <w:szCs w:val="22"/>
        </w:rPr>
        <w:t>Demelius</w:t>
      </w:r>
      <w:proofErr w:type="spellEnd"/>
      <w:r w:rsidRPr="00C501D4">
        <w:rPr>
          <w:sz w:val="22"/>
          <w:szCs w:val="22"/>
        </w:rPr>
        <w:t xml:space="preserve"> et al. (2025) provide a structured systematic survey of this literature, grouping recent developments into those affecting auditing methodology, privacy–utility trade-off improvement, and emerging application fields, and observing that architectural changes, as distinct from accounting improvements, remain a comparatively underexplored avenue for recovering accuracy at fixed ε.</w:t>
      </w:r>
    </w:p>
    <w:p w14:paraId="11E95BD5" w14:textId="77777777" w:rsidR="00422D3F" w:rsidRPr="00C501D4" w:rsidRDefault="00EF5E86" w:rsidP="00C501D4">
      <w:pPr>
        <w:spacing w:before="200" w:after="100"/>
        <w:jc w:val="both"/>
      </w:pPr>
      <w:r w:rsidRPr="00C501D4">
        <w:rPr>
          <w:b/>
          <w:bCs/>
          <w:sz w:val="22"/>
          <w:szCs w:val="22"/>
        </w:rPr>
        <w:t>C. Fully Homomorphic Encryption in CKKS</w:t>
      </w:r>
    </w:p>
    <w:p w14:paraId="4074BDF7" w14:textId="77777777" w:rsidR="00AA58E6" w:rsidRPr="00C501D4" w:rsidRDefault="00422D3F" w:rsidP="00C501D4">
      <w:pPr>
        <w:spacing w:after="160" w:line="276" w:lineRule="auto"/>
        <w:jc w:val="both"/>
        <w:rPr>
          <w:sz w:val="22"/>
          <w:szCs w:val="22"/>
        </w:rPr>
      </w:pPr>
      <w:r w:rsidRPr="00C501D4">
        <w:rPr>
          <w:sz w:val="22"/>
          <w:szCs w:val="22"/>
        </w:rPr>
        <w:lastRenderedPageBreak/>
        <w:t xml:space="preserve">CKKS enables approximate arithmetic over encrypted real or complex vectors, an operation that is especially useful for neural network inference where exact precision is not required (Cheon et al., 2017). CKKS encodes a vector into a plaintext polynomial, encrypts it under a public key, performs homomorphic addition and multiplication over ciphertexts, manages noise growth through periodic rescaling, and bootstraps to refresh the ciphertext when the multiplicative-depth budget is exhausted; nonlinear activations such as </w:t>
      </w:r>
      <w:proofErr w:type="spellStart"/>
      <w:r w:rsidRPr="00C501D4">
        <w:rPr>
          <w:sz w:val="22"/>
          <w:szCs w:val="22"/>
        </w:rPr>
        <w:t>ReLU</w:t>
      </w:r>
      <w:proofErr w:type="spellEnd"/>
      <w:r w:rsidRPr="00C501D4">
        <w:rPr>
          <w:sz w:val="22"/>
          <w:szCs w:val="22"/>
        </w:rPr>
        <w:t xml:space="preserve"> are not natively supported, and approximation steps using low-degree polynomials are often employed (Cheon et al., 2017; Gilad-Bachrach et al., 2016; Microsoft Research, 2023). Because bootstrapping and ciphertext rotation dominate latency in CKKS-based inference, which is consistent with the 10.4× overhead reported in Section VI-B of this manuscript, recent efforts have sought to reduce these costs primarily through improved data packing rather than by changing the CKKS method itself. For example, </w:t>
      </w:r>
      <w:proofErr w:type="gramStart"/>
      <w:r w:rsidRPr="00C501D4">
        <w:rPr>
          <w:sz w:val="22"/>
          <w:szCs w:val="22"/>
        </w:rPr>
        <w:t>Ran</w:t>
      </w:r>
      <w:proofErr w:type="gramEnd"/>
      <w:r w:rsidRPr="00C501D4">
        <w:rPr>
          <w:sz w:val="22"/>
          <w:szCs w:val="22"/>
        </w:rPr>
        <w:t xml:space="preserve"> et al. (2023) propose a parallel packing scheme for homomorphically encrypted graph and convolutional network inference that reduces the number of costly rotation operations relative to earlier packing layouts. Kim et al. (2024) propose a hybrid packing approach for CKKS-style neural network inference that aligns the packing layout more closely with convolutional data-reuse </w:t>
      </w:r>
      <w:proofErr w:type="spellStart"/>
      <w:r w:rsidRPr="00C501D4">
        <w:rPr>
          <w:sz w:val="22"/>
          <w:szCs w:val="22"/>
        </w:rPr>
        <w:t>behaviour</w:t>
      </w:r>
      <w:proofErr w:type="spellEnd"/>
      <w:r w:rsidRPr="00C501D4">
        <w:rPr>
          <w:sz w:val="22"/>
          <w:szCs w:val="22"/>
        </w:rPr>
        <w:t xml:space="preserve">, thereby increasing throughput while leaving the fundamental CKKS parameters unchanged. Choi et al. (2024) propose a CKKS-based CNN inference framework that dispenses with the costly im2col-style data-restructuring step used by earlier frameworks. They report substantial latency reductions on standard CNN benchmarks while supporting a broader variety of network architectures. These packing- and scheduling-level </w:t>
      </w:r>
      <w:proofErr w:type="spellStart"/>
      <w:r w:rsidRPr="00C501D4">
        <w:rPr>
          <w:sz w:val="22"/>
          <w:szCs w:val="22"/>
        </w:rPr>
        <w:t>optimisations</w:t>
      </w:r>
      <w:proofErr w:type="spellEnd"/>
      <w:r w:rsidRPr="00C501D4">
        <w:rPr>
          <w:sz w:val="22"/>
          <w:szCs w:val="22"/>
        </w:rPr>
        <w:t xml:space="preserve"> appear largely independent of the main architectural idea of this manuscript and therefore represent a natural next step, together with moving the split point deeper into the network, as stated in the Conclusion, to reduce the overhead of the tri-layered configuration’s homomorphic evaluation phase.</w:t>
      </w:r>
    </w:p>
    <w:p w14:paraId="59A8806D" w14:textId="77777777" w:rsidR="00EF5E86" w:rsidRPr="00C501D4" w:rsidRDefault="00EF5E86" w:rsidP="00C501D4">
      <w:pPr>
        <w:spacing w:before="200" w:after="100"/>
        <w:jc w:val="both"/>
      </w:pPr>
      <w:r w:rsidRPr="00C501D4">
        <w:rPr>
          <w:b/>
          <w:bCs/>
          <w:sz w:val="22"/>
          <w:szCs w:val="22"/>
        </w:rPr>
        <w:t>D. Current Hybrid Combinations</w:t>
      </w:r>
    </w:p>
    <w:p w14:paraId="3053AB51" w14:textId="77777777" w:rsidR="00EF5E86" w:rsidRPr="00C501D4" w:rsidRDefault="00AA58E6" w:rsidP="00C501D4">
      <w:pPr>
        <w:spacing w:after="160" w:line="276" w:lineRule="auto"/>
        <w:jc w:val="both"/>
      </w:pPr>
      <w:r w:rsidRPr="00C501D4">
        <w:rPr>
          <w:sz w:val="22"/>
          <w:szCs w:val="22"/>
        </w:rPr>
        <w:t xml:space="preserve">Several earlier studies combine two of the three layers, such as split learning with DP or federated averaging with homomorphic aggregation. Table I </w:t>
      </w:r>
      <w:proofErr w:type="spellStart"/>
      <w:r w:rsidRPr="00C501D4">
        <w:rPr>
          <w:sz w:val="22"/>
          <w:szCs w:val="22"/>
        </w:rPr>
        <w:t>summarises</w:t>
      </w:r>
      <w:proofErr w:type="spellEnd"/>
      <w:r w:rsidRPr="00C501D4">
        <w:rPr>
          <w:sz w:val="22"/>
          <w:szCs w:val="22"/>
        </w:rPr>
        <w:t xml:space="preserve"> representative approaches (Abadi et al., 2016; Bonawitz et al., 2017; Gilad-Bachrach et al., 2016; Gupta &amp; </w:t>
      </w:r>
      <w:proofErr w:type="spellStart"/>
      <w:r w:rsidRPr="00C501D4">
        <w:rPr>
          <w:sz w:val="22"/>
          <w:szCs w:val="22"/>
        </w:rPr>
        <w:t>Raskar</w:t>
      </w:r>
      <w:proofErr w:type="spellEnd"/>
      <w:r w:rsidRPr="00C501D4">
        <w:rPr>
          <w:sz w:val="22"/>
          <w:szCs w:val="22"/>
        </w:rPr>
        <w:t xml:space="preserve">, 2018) and includes additional schemes published after 2023. On the split-learning-plus-HE side, Khan et al. (2023) present a split-learning-with-HE training protocol and examine the accuracy–privacy–latency trade-off; however, it does not include a DP layer intended to limit output-side membership inference. Frimpong et al. (2024) reduce the ciphertext-expansion overhead associated with encrypting split-learning activations by using hybrid homomorphic encryption, which combines symmetric encryption with HE rather than relying on HE alone. However, this approach provides a computational privacy guarantee rather than a statistical one. </w:t>
      </w:r>
      <w:proofErr w:type="spellStart"/>
      <w:r w:rsidRPr="00C501D4">
        <w:rPr>
          <w:sz w:val="22"/>
          <w:szCs w:val="22"/>
        </w:rPr>
        <w:t>Kanpak</w:t>
      </w:r>
      <w:proofErr w:type="spellEnd"/>
      <w:r w:rsidRPr="00C501D4">
        <w:rPr>
          <w:sz w:val="22"/>
          <w:szCs w:val="22"/>
        </w:rPr>
        <w:t xml:space="preserve"> et al. (2026) encrypt only the server-side portion of a split model and report an approximately sixteen-fold runtime improvement over earlier HE split-learning baselines while maintaining accuracy close to plaintext performance and protecting label privacy. Nevertheless, no DP layer is included. Closest in design intent to the tri-layered composition described in this manuscript, Dong et al. (2025) propose a multi-task federated split-learning design that combines differential privacy on intermediate activations with homomorphic encryption applied to client models during server-side aggregation. Their evaluation uses multimodal automotive sensor data. Even with these developments, works that combine all three layers while explicitly explaining how the guarantees compose under a unified threat model remain relatively uncommon. None of these studies evaluates a seven-class electrical fault-diagnosis dataset of the type used in this manuscript’s experiments (Table 4). This gap is addressed in the present study.</w:t>
      </w:r>
    </w:p>
    <w:p w14:paraId="14E0147A" w14:textId="77777777" w:rsidR="00EF5E86" w:rsidRPr="00C501D4" w:rsidRDefault="00EF5E86" w:rsidP="00C501D4">
      <w:pPr>
        <w:spacing w:before="200" w:after="120"/>
        <w:jc w:val="both"/>
      </w:pPr>
      <w:r w:rsidRPr="00C501D4">
        <w:rPr>
          <w:b/>
          <w:bCs/>
          <w:i/>
          <w:iCs/>
        </w:rPr>
        <w:t>TABLE I. Summary of Representative Privacy-Preserving Approaches (Extended)</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1350"/>
        <w:gridCol w:w="1980"/>
        <w:gridCol w:w="1620"/>
        <w:gridCol w:w="2935"/>
      </w:tblGrid>
      <w:tr w:rsidR="00EF5E86" w:rsidRPr="00C501D4" w14:paraId="2EDF4B07" w14:textId="77777777" w:rsidTr="005513C5">
        <w:tc>
          <w:tcPr>
            <w:tcW w:w="1615" w:type="dxa"/>
            <w:shd w:val="clear" w:color="auto" w:fill="D9D9D9"/>
            <w:tcMar>
              <w:top w:w="80" w:type="dxa"/>
              <w:left w:w="80" w:type="dxa"/>
              <w:bottom w:w="80" w:type="dxa"/>
              <w:right w:w="80" w:type="dxa"/>
            </w:tcMar>
          </w:tcPr>
          <w:p w14:paraId="737E3BD2" w14:textId="77777777" w:rsidR="00EF5E86" w:rsidRPr="00C501D4" w:rsidRDefault="00EF5E86" w:rsidP="00C501D4">
            <w:pPr>
              <w:jc w:val="both"/>
            </w:pPr>
            <w:r w:rsidRPr="00C501D4">
              <w:rPr>
                <w:b/>
                <w:bCs/>
                <w:sz w:val="18"/>
                <w:szCs w:val="18"/>
              </w:rPr>
              <w:lastRenderedPageBreak/>
              <w:t>Scheme</w:t>
            </w:r>
          </w:p>
        </w:tc>
        <w:tc>
          <w:tcPr>
            <w:tcW w:w="1350" w:type="dxa"/>
            <w:shd w:val="clear" w:color="auto" w:fill="D9D9D9"/>
            <w:tcMar>
              <w:top w:w="80" w:type="dxa"/>
              <w:left w:w="80" w:type="dxa"/>
              <w:bottom w:w="80" w:type="dxa"/>
              <w:right w:w="80" w:type="dxa"/>
            </w:tcMar>
          </w:tcPr>
          <w:p w14:paraId="4CC9EDA3" w14:textId="77777777" w:rsidR="00EF5E86" w:rsidRPr="00C501D4" w:rsidRDefault="00EF5E86" w:rsidP="00C501D4">
            <w:pPr>
              <w:jc w:val="both"/>
            </w:pPr>
            <w:r w:rsidRPr="00C501D4">
              <w:rPr>
                <w:b/>
                <w:bCs/>
                <w:sz w:val="18"/>
                <w:szCs w:val="18"/>
              </w:rPr>
              <w:t>Layers Combined</w:t>
            </w:r>
          </w:p>
        </w:tc>
        <w:tc>
          <w:tcPr>
            <w:tcW w:w="1980" w:type="dxa"/>
            <w:shd w:val="clear" w:color="auto" w:fill="D9D9D9"/>
            <w:tcMar>
              <w:top w:w="80" w:type="dxa"/>
              <w:left w:w="80" w:type="dxa"/>
              <w:bottom w:w="80" w:type="dxa"/>
              <w:right w:w="80" w:type="dxa"/>
            </w:tcMar>
          </w:tcPr>
          <w:p w14:paraId="79AE53EA" w14:textId="77777777" w:rsidR="00EF5E86" w:rsidRPr="00C501D4" w:rsidRDefault="00EF5E86" w:rsidP="00C501D4">
            <w:pPr>
              <w:jc w:val="both"/>
            </w:pPr>
            <w:r w:rsidRPr="00C501D4">
              <w:rPr>
                <w:b/>
                <w:bCs/>
                <w:sz w:val="18"/>
                <w:szCs w:val="18"/>
              </w:rPr>
              <w:t>Privacy Guarantee</w:t>
            </w:r>
          </w:p>
        </w:tc>
        <w:tc>
          <w:tcPr>
            <w:tcW w:w="1620" w:type="dxa"/>
            <w:shd w:val="clear" w:color="auto" w:fill="D9D9D9"/>
            <w:tcMar>
              <w:top w:w="80" w:type="dxa"/>
              <w:left w:w="80" w:type="dxa"/>
              <w:bottom w:w="80" w:type="dxa"/>
              <w:right w:w="80" w:type="dxa"/>
            </w:tcMar>
          </w:tcPr>
          <w:p w14:paraId="2FD61FB6" w14:textId="77777777" w:rsidR="00EF5E86" w:rsidRPr="00C501D4" w:rsidRDefault="00EF5E86" w:rsidP="00C501D4">
            <w:pPr>
              <w:jc w:val="both"/>
            </w:pPr>
            <w:r w:rsidRPr="00C501D4">
              <w:rPr>
                <w:b/>
                <w:bCs/>
                <w:sz w:val="18"/>
                <w:szCs w:val="18"/>
              </w:rPr>
              <w:t>Reported Overhead</w:t>
            </w:r>
          </w:p>
        </w:tc>
        <w:tc>
          <w:tcPr>
            <w:tcW w:w="2935" w:type="dxa"/>
            <w:shd w:val="clear" w:color="auto" w:fill="D9D9D9"/>
            <w:tcMar>
              <w:top w:w="80" w:type="dxa"/>
              <w:left w:w="80" w:type="dxa"/>
              <w:bottom w:w="80" w:type="dxa"/>
              <w:right w:w="80" w:type="dxa"/>
            </w:tcMar>
          </w:tcPr>
          <w:p w14:paraId="448B4B94" w14:textId="77777777" w:rsidR="00EF5E86" w:rsidRPr="00C501D4" w:rsidRDefault="00EF5E86" w:rsidP="00C501D4">
            <w:pPr>
              <w:jc w:val="both"/>
            </w:pPr>
            <w:r w:rsidRPr="00C501D4">
              <w:rPr>
                <w:b/>
                <w:bCs/>
                <w:sz w:val="18"/>
                <w:szCs w:val="18"/>
              </w:rPr>
              <w:t>Primary Limitation</w:t>
            </w:r>
          </w:p>
        </w:tc>
      </w:tr>
      <w:tr w:rsidR="00EF5E86" w:rsidRPr="00C501D4" w14:paraId="394E267F" w14:textId="77777777" w:rsidTr="005513C5">
        <w:tc>
          <w:tcPr>
            <w:tcW w:w="1615" w:type="dxa"/>
            <w:tcMar>
              <w:top w:w="80" w:type="dxa"/>
              <w:left w:w="80" w:type="dxa"/>
              <w:bottom w:w="80" w:type="dxa"/>
              <w:right w:w="80" w:type="dxa"/>
            </w:tcMar>
          </w:tcPr>
          <w:p w14:paraId="474E125A" w14:textId="77777777" w:rsidR="00EF5E86" w:rsidRPr="00C501D4" w:rsidRDefault="00EF5E86" w:rsidP="00C501D4">
            <w:pPr>
              <w:jc w:val="both"/>
            </w:pPr>
            <w:proofErr w:type="spellStart"/>
            <w:r w:rsidRPr="00C501D4">
              <w:rPr>
                <w:sz w:val="18"/>
                <w:szCs w:val="18"/>
              </w:rPr>
              <w:t>SplitFed</w:t>
            </w:r>
            <w:proofErr w:type="spellEnd"/>
            <w:r w:rsidRPr="00C501D4">
              <w:rPr>
                <w:sz w:val="18"/>
                <w:szCs w:val="18"/>
              </w:rPr>
              <w:t xml:space="preserve">-DP (Abadi et al., 2016; Gupta &amp; </w:t>
            </w:r>
            <w:proofErr w:type="spellStart"/>
            <w:r w:rsidRPr="00C501D4">
              <w:rPr>
                <w:sz w:val="18"/>
                <w:szCs w:val="18"/>
              </w:rPr>
              <w:t>Raskar</w:t>
            </w:r>
            <w:proofErr w:type="spellEnd"/>
            <w:r w:rsidRPr="00C501D4">
              <w:rPr>
                <w:sz w:val="18"/>
                <w:szCs w:val="18"/>
              </w:rPr>
              <w:t>, 2018)</w:t>
            </w:r>
          </w:p>
        </w:tc>
        <w:tc>
          <w:tcPr>
            <w:tcW w:w="1350" w:type="dxa"/>
            <w:tcMar>
              <w:top w:w="80" w:type="dxa"/>
              <w:left w:w="80" w:type="dxa"/>
              <w:bottom w:w="80" w:type="dxa"/>
              <w:right w:w="80" w:type="dxa"/>
            </w:tcMar>
          </w:tcPr>
          <w:p w14:paraId="1922D320" w14:textId="77777777" w:rsidR="00EF5E86" w:rsidRPr="00C501D4" w:rsidRDefault="00EF5E86" w:rsidP="00C501D4">
            <w:pPr>
              <w:jc w:val="both"/>
            </w:pPr>
            <w:r w:rsidRPr="00C501D4">
              <w:rPr>
                <w:sz w:val="18"/>
                <w:szCs w:val="18"/>
              </w:rPr>
              <w:t>Split + DP</w:t>
            </w:r>
          </w:p>
        </w:tc>
        <w:tc>
          <w:tcPr>
            <w:tcW w:w="1980" w:type="dxa"/>
            <w:tcMar>
              <w:top w:w="80" w:type="dxa"/>
              <w:left w:w="80" w:type="dxa"/>
              <w:bottom w:w="80" w:type="dxa"/>
              <w:right w:w="80" w:type="dxa"/>
            </w:tcMar>
          </w:tcPr>
          <w:p w14:paraId="680A3097" w14:textId="77777777" w:rsidR="00EF5E86" w:rsidRPr="00C501D4" w:rsidRDefault="00EF5E86" w:rsidP="00C501D4">
            <w:pPr>
              <w:jc w:val="both"/>
            </w:pPr>
            <w:r w:rsidRPr="00C501D4">
              <w:rPr>
                <w:sz w:val="18"/>
                <w:szCs w:val="18"/>
              </w:rPr>
              <w:t>(</w:t>
            </w:r>
            <w:proofErr w:type="spellStart"/>
            <w:proofErr w:type="gramStart"/>
            <w:r w:rsidRPr="00C501D4">
              <w:rPr>
                <w:sz w:val="18"/>
                <w:szCs w:val="18"/>
              </w:rPr>
              <w:t>ε,δ</w:t>
            </w:r>
            <w:proofErr w:type="spellEnd"/>
            <w:proofErr w:type="gramEnd"/>
            <w:r w:rsidRPr="00C501D4">
              <w:rPr>
                <w:sz w:val="18"/>
                <w:szCs w:val="18"/>
              </w:rPr>
              <w:t>)-DP only</w:t>
            </w:r>
          </w:p>
        </w:tc>
        <w:tc>
          <w:tcPr>
            <w:tcW w:w="1620" w:type="dxa"/>
            <w:tcMar>
              <w:top w:w="80" w:type="dxa"/>
              <w:left w:w="80" w:type="dxa"/>
              <w:bottom w:w="80" w:type="dxa"/>
              <w:right w:w="80" w:type="dxa"/>
            </w:tcMar>
          </w:tcPr>
          <w:p w14:paraId="69F6F302" w14:textId="77777777" w:rsidR="00EF5E86" w:rsidRPr="00C501D4" w:rsidRDefault="00EF5E86" w:rsidP="00C501D4">
            <w:pPr>
              <w:jc w:val="both"/>
            </w:pPr>
            <w:r w:rsidRPr="00C501D4">
              <w:rPr>
                <w:sz w:val="18"/>
                <w:szCs w:val="18"/>
              </w:rPr>
              <w:t>Low (~1.1×)</w:t>
            </w:r>
          </w:p>
        </w:tc>
        <w:tc>
          <w:tcPr>
            <w:tcW w:w="2935" w:type="dxa"/>
            <w:tcMar>
              <w:top w:w="80" w:type="dxa"/>
              <w:left w:w="80" w:type="dxa"/>
              <w:bottom w:w="80" w:type="dxa"/>
              <w:right w:w="80" w:type="dxa"/>
            </w:tcMar>
          </w:tcPr>
          <w:p w14:paraId="41D591FB" w14:textId="77777777" w:rsidR="00EF5E86" w:rsidRPr="00C501D4" w:rsidRDefault="00EF5E86" w:rsidP="00C501D4">
            <w:pPr>
              <w:jc w:val="both"/>
            </w:pPr>
            <w:r w:rsidRPr="00C501D4">
              <w:rPr>
                <w:sz w:val="18"/>
                <w:szCs w:val="18"/>
              </w:rPr>
              <w:t>No protection against curious server on ciphertext-free activations</w:t>
            </w:r>
          </w:p>
        </w:tc>
      </w:tr>
      <w:tr w:rsidR="00EF5E86" w:rsidRPr="00C501D4" w14:paraId="1E8431EE" w14:textId="77777777" w:rsidTr="005513C5">
        <w:tc>
          <w:tcPr>
            <w:tcW w:w="1615" w:type="dxa"/>
            <w:tcMar>
              <w:top w:w="80" w:type="dxa"/>
              <w:left w:w="80" w:type="dxa"/>
              <w:bottom w:w="80" w:type="dxa"/>
              <w:right w:w="80" w:type="dxa"/>
            </w:tcMar>
          </w:tcPr>
          <w:p w14:paraId="0627A796" w14:textId="77777777" w:rsidR="00EF5E86" w:rsidRPr="00C501D4" w:rsidRDefault="00EF5E86" w:rsidP="00C501D4">
            <w:pPr>
              <w:jc w:val="both"/>
            </w:pPr>
            <w:proofErr w:type="spellStart"/>
            <w:r w:rsidRPr="00C501D4">
              <w:rPr>
                <w:sz w:val="18"/>
                <w:szCs w:val="18"/>
              </w:rPr>
              <w:t>CryptoNets</w:t>
            </w:r>
            <w:proofErr w:type="spellEnd"/>
            <w:r w:rsidRPr="00C501D4">
              <w:rPr>
                <w:sz w:val="18"/>
                <w:szCs w:val="18"/>
              </w:rPr>
              <w:t>-style (Gilad-Bachrach et al., 2016)</w:t>
            </w:r>
          </w:p>
        </w:tc>
        <w:tc>
          <w:tcPr>
            <w:tcW w:w="1350" w:type="dxa"/>
            <w:tcMar>
              <w:top w:w="80" w:type="dxa"/>
              <w:left w:w="80" w:type="dxa"/>
              <w:bottom w:w="80" w:type="dxa"/>
              <w:right w:w="80" w:type="dxa"/>
            </w:tcMar>
          </w:tcPr>
          <w:p w14:paraId="3A54E9FA" w14:textId="77777777" w:rsidR="00EF5E86" w:rsidRPr="00C501D4" w:rsidRDefault="00EF5E86" w:rsidP="00C501D4">
            <w:pPr>
              <w:jc w:val="both"/>
            </w:pPr>
            <w:r w:rsidRPr="00C501D4">
              <w:rPr>
                <w:sz w:val="18"/>
                <w:szCs w:val="18"/>
              </w:rPr>
              <w:t>CKKS only</w:t>
            </w:r>
          </w:p>
        </w:tc>
        <w:tc>
          <w:tcPr>
            <w:tcW w:w="1980" w:type="dxa"/>
            <w:tcMar>
              <w:top w:w="80" w:type="dxa"/>
              <w:left w:w="80" w:type="dxa"/>
              <w:bottom w:w="80" w:type="dxa"/>
              <w:right w:w="80" w:type="dxa"/>
            </w:tcMar>
          </w:tcPr>
          <w:p w14:paraId="66A0F668" w14:textId="77777777" w:rsidR="00EF5E86" w:rsidRPr="00C501D4" w:rsidRDefault="00EF5E86" w:rsidP="00C501D4">
            <w:pPr>
              <w:jc w:val="both"/>
            </w:pPr>
            <w:r w:rsidRPr="00C501D4">
              <w:rPr>
                <w:sz w:val="18"/>
                <w:szCs w:val="18"/>
              </w:rPr>
              <w:t>IND-CPA computational</w:t>
            </w:r>
          </w:p>
        </w:tc>
        <w:tc>
          <w:tcPr>
            <w:tcW w:w="1620" w:type="dxa"/>
            <w:tcMar>
              <w:top w:w="80" w:type="dxa"/>
              <w:left w:w="80" w:type="dxa"/>
              <w:bottom w:w="80" w:type="dxa"/>
              <w:right w:w="80" w:type="dxa"/>
            </w:tcMar>
          </w:tcPr>
          <w:p w14:paraId="4819E4C6" w14:textId="77777777" w:rsidR="00EF5E86" w:rsidRPr="00C501D4" w:rsidRDefault="00EF5E86" w:rsidP="00C501D4">
            <w:pPr>
              <w:jc w:val="both"/>
            </w:pPr>
            <w:r w:rsidRPr="00C501D4">
              <w:rPr>
                <w:sz w:val="18"/>
                <w:szCs w:val="18"/>
              </w:rPr>
              <w:t>Very High (~50–100×)</w:t>
            </w:r>
          </w:p>
        </w:tc>
        <w:tc>
          <w:tcPr>
            <w:tcW w:w="2935" w:type="dxa"/>
            <w:tcMar>
              <w:top w:w="80" w:type="dxa"/>
              <w:left w:w="80" w:type="dxa"/>
              <w:bottom w:w="80" w:type="dxa"/>
              <w:right w:w="80" w:type="dxa"/>
            </w:tcMar>
          </w:tcPr>
          <w:p w14:paraId="246A5679" w14:textId="77777777" w:rsidR="00EF5E86" w:rsidRPr="00C501D4" w:rsidRDefault="00EF5E86" w:rsidP="00C501D4">
            <w:pPr>
              <w:jc w:val="both"/>
            </w:pPr>
            <w:r w:rsidRPr="00C501D4">
              <w:rPr>
                <w:sz w:val="18"/>
                <w:szCs w:val="18"/>
              </w:rPr>
              <w:t>No formal statistical privacy; full-network HE impractical</w:t>
            </w:r>
          </w:p>
        </w:tc>
      </w:tr>
      <w:tr w:rsidR="00EF5E86" w:rsidRPr="00C501D4" w14:paraId="312B9CF3" w14:textId="77777777" w:rsidTr="005513C5">
        <w:tc>
          <w:tcPr>
            <w:tcW w:w="1615" w:type="dxa"/>
            <w:tcMar>
              <w:top w:w="80" w:type="dxa"/>
              <w:left w:w="80" w:type="dxa"/>
              <w:bottom w:w="80" w:type="dxa"/>
              <w:right w:w="80" w:type="dxa"/>
            </w:tcMar>
          </w:tcPr>
          <w:p w14:paraId="507C465C" w14:textId="77777777" w:rsidR="00EF5E86" w:rsidRPr="00C501D4" w:rsidRDefault="00EF5E86" w:rsidP="00C501D4">
            <w:pPr>
              <w:jc w:val="both"/>
            </w:pPr>
            <w:r w:rsidRPr="00C501D4">
              <w:rPr>
                <w:sz w:val="18"/>
                <w:szCs w:val="18"/>
              </w:rPr>
              <w:t>FL + HE (aggregation) (Bonawitz et al., 2017)</w:t>
            </w:r>
          </w:p>
        </w:tc>
        <w:tc>
          <w:tcPr>
            <w:tcW w:w="1350" w:type="dxa"/>
            <w:tcMar>
              <w:top w:w="80" w:type="dxa"/>
              <w:left w:w="80" w:type="dxa"/>
              <w:bottom w:w="80" w:type="dxa"/>
              <w:right w:w="80" w:type="dxa"/>
            </w:tcMar>
          </w:tcPr>
          <w:p w14:paraId="4AA41B87" w14:textId="77777777" w:rsidR="00EF5E86" w:rsidRPr="00C501D4" w:rsidRDefault="00EF5E86" w:rsidP="00C501D4">
            <w:pPr>
              <w:jc w:val="both"/>
            </w:pPr>
            <w:proofErr w:type="spellStart"/>
            <w:r w:rsidRPr="00C501D4">
              <w:rPr>
                <w:sz w:val="18"/>
                <w:szCs w:val="18"/>
              </w:rPr>
              <w:t>FedAvg</w:t>
            </w:r>
            <w:proofErr w:type="spellEnd"/>
            <w:r w:rsidRPr="00C501D4">
              <w:rPr>
                <w:sz w:val="18"/>
                <w:szCs w:val="18"/>
              </w:rPr>
              <w:t xml:space="preserve"> + </w:t>
            </w:r>
            <w:proofErr w:type="spellStart"/>
            <w:r w:rsidRPr="00C501D4">
              <w:rPr>
                <w:sz w:val="18"/>
                <w:szCs w:val="18"/>
              </w:rPr>
              <w:t>Paillier</w:t>
            </w:r>
            <w:proofErr w:type="spellEnd"/>
            <w:r w:rsidRPr="00C501D4">
              <w:rPr>
                <w:sz w:val="18"/>
                <w:szCs w:val="18"/>
              </w:rPr>
              <w:t>/CKKS</w:t>
            </w:r>
          </w:p>
        </w:tc>
        <w:tc>
          <w:tcPr>
            <w:tcW w:w="1980" w:type="dxa"/>
            <w:tcMar>
              <w:top w:w="80" w:type="dxa"/>
              <w:left w:w="80" w:type="dxa"/>
              <w:bottom w:w="80" w:type="dxa"/>
              <w:right w:w="80" w:type="dxa"/>
            </w:tcMar>
          </w:tcPr>
          <w:p w14:paraId="14C0D74C" w14:textId="77777777" w:rsidR="00EF5E86" w:rsidRPr="00C501D4" w:rsidRDefault="00EF5E86" w:rsidP="00C501D4">
            <w:pPr>
              <w:jc w:val="both"/>
            </w:pPr>
            <w:r w:rsidRPr="00C501D4">
              <w:rPr>
                <w:sz w:val="18"/>
                <w:szCs w:val="18"/>
              </w:rPr>
              <w:t>Computational, model-level</w:t>
            </w:r>
          </w:p>
        </w:tc>
        <w:tc>
          <w:tcPr>
            <w:tcW w:w="1620" w:type="dxa"/>
            <w:tcMar>
              <w:top w:w="80" w:type="dxa"/>
              <w:left w:w="80" w:type="dxa"/>
              <w:bottom w:w="80" w:type="dxa"/>
              <w:right w:w="80" w:type="dxa"/>
            </w:tcMar>
          </w:tcPr>
          <w:p w14:paraId="45103C80" w14:textId="77777777" w:rsidR="00EF5E86" w:rsidRPr="00C501D4" w:rsidRDefault="00EF5E86" w:rsidP="00C501D4">
            <w:pPr>
              <w:jc w:val="both"/>
            </w:pPr>
            <w:r w:rsidRPr="00C501D4">
              <w:rPr>
                <w:sz w:val="18"/>
                <w:szCs w:val="18"/>
              </w:rPr>
              <w:t>Moderate (~5–10×)</w:t>
            </w:r>
          </w:p>
        </w:tc>
        <w:tc>
          <w:tcPr>
            <w:tcW w:w="2935" w:type="dxa"/>
            <w:tcMar>
              <w:top w:w="80" w:type="dxa"/>
              <w:left w:w="80" w:type="dxa"/>
              <w:bottom w:w="80" w:type="dxa"/>
              <w:right w:w="80" w:type="dxa"/>
            </w:tcMar>
          </w:tcPr>
          <w:p w14:paraId="1AEDD5B1" w14:textId="77777777" w:rsidR="00EF5E86" w:rsidRPr="00C501D4" w:rsidRDefault="00EF5E86" w:rsidP="00C501D4">
            <w:pPr>
              <w:jc w:val="both"/>
            </w:pPr>
            <w:r w:rsidRPr="00C501D4">
              <w:rPr>
                <w:sz w:val="18"/>
                <w:szCs w:val="18"/>
              </w:rPr>
              <w:t>Protects aggregation only, not per-sample activations</w:t>
            </w:r>
          </w:p>
        </w:tc>
      </w:tr>
      <w:tr w:rsidR="00EF5E86" w:rsidRPr="00C501D4" w14:paraId="4A72A49B" w14:textId="77777777" w:rsidTr="005513C5">
        <w:tc>
          <w:tcPr>
            <w:tcW w:w="1615" w:type="dxa"/>
            <w:tcMar>
              <w:top w:w="80" w:type="dxa"/>
              <w:left w:w="80" w:type="dxa"/>
              <w:bottom w:w="80" w:type="dxa"/>
              <w:right w:w="80" w:type="dxa"/>
            </w:tcMar>
          </w:tcPr>
          <w:p w14:paraId="7130F236" w14:textId="77777777" w:rsidR="00EF5E86" w:rsidRPr="00C501D4" w:rsidRDefault="00EF5E86" w:rsidP="00C501D4">
            <w:pPr>
              <w:jc w:val="both"/>
            </w:pPr>
            <w:r w:rsidRPr="00C501D4">
              <w:rPr>
                <w:sz w:val="18"/>
                <w:szCs w:val="18"/>
              </w:rPr>
              <w:t>DP-FHE hybrid (generic) (Abadi et al., 2016)</w:t>
            </w:r>
          </w:p>
        </w:tc>
        <w:tc>
          <w:tcPr>
            <w:tcW w:w="1350" w:type="dxa"/>
            <w:tcMar>
              <w:top w:w="80" w:type="dxa"/>
              <w:left w:w="80" w:type="dxa"/>
              <w:bottom w:w="80" w:type="dxa"/>
              <w:right w:w="80" w:type="dxa"/>
            </w:tcMar>
          </w:tcPr>
          <w:p w14:paraId="7DC8FCF2" w14:textId="77777777" w:rsidR="00EF5E86" w:rsidRPr="00C501D4" w:rsidRDefault="00EF5E86" w:rsidP="00C501D4">
            <w:pPr>
              <w:jc w:val="both"/>
            </w:pPr>
            <w:r w:rsidRPr="00C501D4">
              <w:rPr>
                <w:sz w:val="18"/>
                <w:szCs w:val="18"/>
              </w:rPr>
              <w:t>DP + HE</w:t>
            </w:r>
          </w:p>
        </w:tc>
        <w:tc>
          <w:tcPr>
            <w:tcW w:w="1980" w:type="dxa"/>
            <w:tcMar>
              <w:top w:w="80" w:type="dxa"/>
              <w:left w:w="80" w:type="dxa"/>
              <w:bottom w:w="80" w:type="dxa"/>
              <w:right w:w="80" w:type="dxa"/>
            </w:tcMar>
          </w:tcPr>
          <w:p w14:paraId="229CCF85" w14:textId="77777777" w:rsidR="00EF5E86" w:rsidRPr="00C501D4" w:rsidRDefault="00EF5E86" w:rsidP="00C501D4">
            <w:pPr>
              <w:jc w:val="both"/>
            </w:pPr>
            <w:r w:rsidRPr="00C501D4">
              <w:rPr>
                <w:sz w:val="18"/>
                <w:szCs w:val="18"/>
              </w:rPr>
              <w:t>(</w:t>
            </w:r>
            <w:proofErr w:type="spellStart"/>
            <w:proofErr w:type="gramStart"/>
            <w:r w:rsidRPr="00C501D4">
              <w:rPr>
                <w:sz w:val="18"/>
                <w:szCs w:val="18"/>
              </w:rPr>
              <w:t>ε,δ</w:t>
            </w:r>
            <w:proofErr w:type="spellEnd"/>
            <w:proofErr w:type="gramEnd"/>
            <w:r w:rsidRPr="00C501D4">
              <w:rPr>
                <w:sz w:val="18"/>
                <w:szCs w:val="18"/>
              </w:rPr>
              <w:t>) + computational</w:t>
            </w:r>
          </w:p>
        </w:tc>
        <w:tc>
          <w:tcPr>
            <w:tcW w:w="1620" w:type="dxa"/>
            <w:tcMar>
              <w:top w:w="80" w:type="dxa"/>
              <w:left w:w="80" w:type="dxa"/>
              <w:bottom w:w="80" w:type="dxa"/>
              <w:right w:w="80" w:type="dxa"/>
            </w:tcMar>
          </w:tcPr>
          <w:p w14:paraId="74D1E1AD" w14:textId="77777777" w:rsidR="00EF5E86" w:rsidRPr="00C501D4" w:rsidRDefault="00EF5E86" w:rsidP="00C501D4">
            <w:pPr>
              <w:jc w:val="both"/>
            </w:pPr>
            <w:r w:rsidRPr="00C501D4">
              <w:rPr>
                <w:sz w:val="18"/>
                <w:szCs w:val="18"/>
              </w:rPr>
              <w:t>High (~20–40×)</w:t>
            </w:r>
          </w:p>
        </w:tc>
        <w:tc>
          <w:tcPr>
            <w:tcW w:w="2935" w:type="dxa"/>
            <w:tcMar>
              <w:top w:w="80" w:type="dxa"/>
              <w:left w:w="80" w:type="dxa"/>
              <w:bottom w:w="80" w:type="dxa"/>
              <w:right w:w="80" w:type="dxa"/>
            </w:tcMar>
          </w:tcPr>
          <w:p w14:paraId="32CBAB2D" w14:textId="77777777" w:rsidR="00EF5E86" w:rsidRPr="00C501D4" w:rsidRDefault="00EF5E86" w:rsidP="00C501D4">
            <w:pPr>
              <w:jc w:val="both"/>
            </w:pPr>
            <w:r w:rsidRPr="00C501D4">
              <w:rPr>
                <w:sz w:val="18"/>
                <w:szCs w:val="18"/>
              </w:rPr>
              <w:t>No architectural split; full model encrypted end-to-end</w:t>
            </w:r>
          </w:p>
        </w:tc>
      </w:tr>
      <w:tr w:rsidR="00EF5E86" w:rsidRPr="00C501D4" w14:paraId="55B6A57F" w14:textId="77777777" w:rsidTr="005513C5">
        <w:tc>
          <w:tcPr>
            <w:tcW w:w="1615" w:type="dxa"/>
            <w:tcMar>
              <w:top w:w="80" w:type="dxa"/>
              <w:left w:w="80" w:type="dxa"/>
              <w:bottom w:w="80" w:type="dxa"/>
              <w:right w:w="80" w:type="dxa"/>
            </w:tcMar>
          </w:tcPr>
          <w:p w14:paraId="2B219E2F" w14:textId="77777777" w:rsidR="00EF5E86" w:rsidRPr="00C501D4" w:rsidRDefault="00EF5E86" w:rsidP="00C501D4">
            <w:pPr>
              <w:jc w:val="both"/>
            </w:pPr>
            <w:r w:rsidRPr="00C501D4">
              <w:rPr>
                <w:sz w:val="18"/>
                <w:szCs w:val="18"/>
              </w:rPr>
              <w:t xml:space="preserve">Love or </w:t>
            </w:r>
            <w:proofErr w:type="gramStart"/>
            <w:r w:rsidRPr="00C501D4">
              <w:rPr>
                <w:sz w:val="18"/>
                <w:szCs w:val="18"/>
              </w:rPr>
              <w:t>Hate</w:t>
            </w:r>
            <w:proofErr w:type="gramEnd"/>
            <w:r w:rsidRPr="00C501D4">
              <w:rPr>
                <w:sz w:val="18"/>
                <w:szCs w:val="18"/>
              </w:rPr>
              <w:t xml:space="preserve">? Share or </w:t>
            </w:r>
            <w:proofErr w:type="gramStart"/>
            <w:r w:rsidRPr="00C501D4">
              <w:rPr>
                <w:sz w:val="18"/>
                <w:szCs w:val="18"/>
              </w:rPr>
              <w:t>Split</w:t>
            </w:r>
            <w:proofErr w:type="gramEnd"/>
            <w:r w:rsidRPr="00C501D4">
              <w:rPr>
                <w:sz w:val="18"/>
                <w:szCs w:val="18"/>
              </w:rPr>
              <w:t>? (Khan et al., 2023)</w:t>
            </w:r>
          </w:p>
        </w:tc>
        <w:tc>
          <w:tcPr>
            <w:tcW w:w="1350" w:type="dxa"/>
            <w:tcMar>
              <w:top w:w="80" w:type="dxa"/>
              <w:left w:w="80" w:type="dxa"/>
              <w:bottom w:w="80" w:type="dxa"/>
              <w:right w:w="80" w:type="dxa"/>
            </w:tcMar>
          </w:tcPr>
          <w:p w14:paraId="43BE3CAD" w14:textId="77777777" w:rsidR="00EF5E86" w:rsidRPr="00C501D4" w:rsidRDefault="00EF5E86" w:rsidP="00C501D4">
            <w:pPr>
              <w:jc w:val="both"/>
            </w:pPr>
            <w:r w:rsidRPr="00C501D4">
              <w:rPr>
                <w:sz w:val="18"/>
                <w:szCs w:val="18"/>
              </w:rPr>
              <w:t>Split + HE</w:t>
            </w:r>
          </w:p>
        </w:tc>
        <w:tc>
          <w:tcPr>
            <w:tcW w:w="1980" w:type="dxa"/>
            <w:tcMar>
              <w:top w:w="80" w:type="dxa"/>
              <w:left w:w="80" w:type="dxa"/>
              <w:bottom w:w="80" w:type="dxa"/>
              <w:right w:w="80" w:type="dxa"/>
            </w:tcMar>
          </w:tcPr>
          <w:p w14:paraId="742A9D40" w14:textId="77777777" w:rsidR="00EF5E86" w:rsidRPr="00C501D4" w:rsidRDefault="00EF5E86" w:rsidP="00C501D4">
            <w:pPr>
              <w:jc w:val="both"/>
            </w:pPr>
            <w:r w:rsidRPr="00C501D4">
              <w:rPr>
                <w:sz w:val="18"/>
                <w:szCs w:val="18"/>
              </w:rPr>
              <w:t>Computational only</w:t>
            </w:r>
          </w:p>
        </w:tc>
        <w:tc>
          <w:tcPr>
            <w:tcW w:w="1620" w:type="dxa"/>
            <w:tcMar>
              <w:top w:w="80" w:type="dxa"/>
              <w:left w:w="80" w:type="dxa"/>
              <w:bottom w:w="80" w:type="dxa"/>
              <w:right w:w="80" w:type="dxa"/>
            </w:tcMar>
          </w:tcPr>
          <w:p w14:paraId="21DF8960" w14:textId="77777777" w:rsidR="00EF5E86" w:rsidRPr="00C501D4" w:rsidRDefault="00EF5E86" w:rsidP="00C501D4">
            <w:pPr>
              <w:jc w:val="both"/>
            </w:pPr>
            <w:r w:rsidRPr="00C501D4">
              <w:rPr>
                <w:sz w:val="18"/>
                <w:szCs w:val="18"/>
              </w:rPr>
              <w:t>Moderate–High</w:t>
            </w:r>
          </w:p>
        </w:tc>
        <w:tc>
          <w:tcPr>
            <w:tcW w:w="2935" w:type="dxa"/>
            <w:tcMar>
              <w:top w:w="80" w:type="dxa"/>
              <w:left w:w="80" w:type="dxa"/>
              <w:bottom w:w="80" w:type="dxa"/>
              <w:right w:w="80" w:type="dxa"/>
            </w:tcMar>
          </w:tcPr>
          <w:p w14:paraId="17A5FBB9" w14:textId="77777777" w:rsidR="00EF5E86" w:rsidRPr="00C501D4" w:rsidRDefault="00EF5E86" w:rsidP="00C501D4">
            <w:pPr>
              <w:jc w:val="both"/>
            </w:pPr>
            <w:r w:rsidRPr="00C501D4">
              <w:rPr>
                <w:sz w:val="18"/>
                <w:szCs w:val="18"/>
              </w:rPr>
              <w:t>No DP layer; membership inference from released model still possible</w:t>
            </w:r>
          </w:p>
        </w:tc>
      </w:tr>
      <w:tr w:rsidR="00EF5E86" w:rsidRPr="00C501D4" w14:paraId="28F62A76" w14:textId="77777777" w:rsidTr="005513C5">
        <w:tc>
          <w:tcPr>
            <w:tcW w:w="1615" w:type="dxa"/>
            <w:tcMar>
              <w:top w:w="80" w:type="dxa"/>
              <w:left w:w="80" w:type="dxa"/>
              <w:bottom w:w="80" w:type="dxa"/>
              <w:right w:w="80" w:type="dxa"/>
            </w:tcMar>
          </w:tcPr>
          <w:p w14:paraId="5AF7E94E" w14:textId="77777777" w:rsidR="00EF5E86" w:rsidRPr="00C501D4" w:rsidRDefault="00EF5E86" w:rsidP="00C501D4">
            <w:pPr>
              <w:jc w:val="both"/>
            </w:pPr>
            <w:proofErr w:type="spellStart"/>
            <w:r w:rsidRPr="00C501D4">
              <w:rPr>
                <w:sz w:val="18"/>
                <w:szCs w:val="18"/>
              </w:rPr>
              <w:t>GuardML</w:t>
            </w:r>
            <w:proofErr w:type="spellEnd"/>
            <w:r w:rsidRPr="00C501D4">
              <w:rPr>
                <w:sz w:val="18"/>
                <w:szCs w:val="18"/>
              </w:rPr>
              <w:t xml:space="preserve"> (Frimpong et al., 2024)</w:t>
            </w:r>
          </w:p>
        </w:tc>
        <w:tc>
          <w:tcPr>
            <w:tcW w:w="1350" w:type="dxa"/>
            <w:tcMar>
              <w:top w:w="80" w:type="dxa"/>
              <w:left w:w="80" w:type="dxa"/>
              <w:bottom w:w="80" w:type="dxa"/>
              <w:right w:w="80" w:type="dxa"/>
            </w:tcMar>
          </w:tcPr>
          <w:p w14:paraId="73BE2BF3" w14:textId="77777777" w:rsidR="00EF5E86" w:rsidRPr="00C501D4" w:rsidRDefault="00EF5E86" w:rsidP="00C501D4">
            <w:pPr>
              <w:jc w:val="both"/>
            </w:pPr>
            <w:r w:rsidRPr="00C501D4">
              <w:rPr>
                <w:sz w:val="18"/>
                <w:szCs w:val="18"/>
              </w:rPr>
              <w:t xml:space="preserve">HE (hybrid </w:t>
            </w:r>
            <w:proofErr w:type="spellStart"/>
            <w:r w:rsidRPr="00C501D4">
              <w:rPr>
                <w:sz w:val="18"/>
                <w:szCs w:val="18"/>
              </w:rPr>
              <w:t>symmetric+HE</w:t>
            </w:r>
            <w:proofErr w:type="spellEnd"/>
            <w:r w:rsidRPr="00C501D4">
              <w:rPr>
                <w:sz w:val="18"/>
                <w:szCs w:val="18"/>
              </w:rPr>
              <w:t>)</w:t>
            </w:r>
          </w:p>
        </w:tc>
        <w:tc>
          <w:tcPr>
            <w:tcW w:w="1980" w:type="dxa"/>
            <w:tcMar>
              <w:top w:w="80" w:type="dxa"/>
              <w:left w:w="80" w:type="dxa"/>
              <w:bottom w:w="80" w:type="dxa"/>
              <w:right w:w="80" w:type="dxa"/>
            </w:tcMar>
          </w:tcPr>
          <w:p w14:paraId="61A90894" w14:textId="77777777" w:rsidR="00EF5E86" w:rsidRPr="00C501D4" w:rsidRDefault="00EF5E86" w:rsidP="00C501D4">
            <w:pPr>
              <w:jc w:val="both"/>
            </w:pPr>
            <w:r w:rsidRPr="00C501D4">
              <w:rPr>
                <w:sz w:val="18"/>
                <w:szCs w:val="18"/>
              </w:rPr>
              <w:t>Computational only</w:t>
            </w:r>
          </w:p>
        </w:tc>
        <w:tc>
          <w:tcPr>
            <w:tcW w:w="1620" w:type="dxa"/>
            <w:tcMar>
              <w:top w:w="80" w:type="dxa"/>
              <w:left w:w="80" w:type="dxa"/>
              <w:bottom w:w="80" w:type="dxa"/>
              <w:right w:w="80" w:type="dxa"/>
            </w:tcMar>
          </w:tcPr>
          <w:p w14:paraId="2CBB06FC" w14:textId="77777777" w:rsidR="00EF5E86" w:rsidRPr="00C501D4" w:rsidRDefault="00EF5E86" w:rsidP="00C501D4">
            <w:pPr>
              <w:jc w:val="both"/>
            </w:pPr>
            <w:r w:rsidRPr="00C501D4">
              <w:rPr>
                <w:sz w:val="18"/>
                <w:szCs w:val="18"/>
              </w:rPr>
              <w:t>Low–Moderate (reduced via HHE)</w:t>
            </w:r>
          </w:p>
        </w:tc>
        <w:tc>
          <w:tcPr>
            <w:tcW w:w="2935" w:type="dxa"/>
            <w:tcMar>
              <w:top w:w="80" w:type="dxa"/>
              <w:left w:w="80" w:type="dxa"/>
              <w:bottom w:w="80" w:type="dxa"/>
              <w:right w:w="80" w:type="dxa"/>
            </w:tcMar>
          </w:tcPr>
          <w:p w14:paraId="1E07B6A2" w14:textId="77777777" w:rsidR="00EF5E86" w:rsidRPr="00C501D4" w:rsidRDefault="00EF5E86" w:rsidP="00C501D4">
            <w:pPr>
              <w:jc w:val="both"/>
            </w:pPr>
            <w:r w:rsidRPr="00C501D4">
              <w:rPr>
                <w:sz w:val="18"/>
                <w:szCs w:val="18"/>
              </w:rPr>
              <w:t>Reduces HE cost but still lacks a statistical (DP) guarantee</w:t>
            </w:r>
          </w:p>
        </w:tc>
      </w:tr>
      <w:tr w:rsidR="00EF5E86" w:rsidRPr="00C501D4" w14:paraId="0CE1595F" w14:textId="77777777" w:rsidTr="005513C5">
        <w:tc>
          <w:tcPr>
            <w:tcW w:w="1615" w:type="dxa"/>
            <w:tcMar>
              <w:top w:w="80" w:type="dxa"/>
              <w:left w:w="80" w:type="dxa"/>
              <w:bottom w:w="80" w:type="dxa"/>
              <w:right w:w="80" w:type="dxa"/>
            </w:tcMar>
          </w:tcPr>
          <w:p w14:paraId="06C7C0E5" w14:textId="77777777" w:rsidR="00EF5E86" w:rsidRPr="00C501D4" w:rsidRDefault="00EF5E86" w:rsidP="00C501D4">
            <w:pPr>
              <w:jc w:val="both"/>
            </w:pPr>
            <w:r w:rsidRPr="00C501D4">
              <w:rPr>
                <w:sz w:val="18"/>
                <w:szCs w:val="18"/>
              </w:rPr>
              <w:t>CURE (</w:t>
            </w:r>
            <w:proofErr w:type="spellStart"/>
            <w:r w:rsidRPr="00C501D4">
              <w:rPr>
                <w:sz w:val="18"/>
                <w:szCs w:val="18"/>
              </w:rPr>
              <w:t>Kanpak</w:t>
            </w:r>
            <w:proofErr w:type="spellEnd"/>
            <w:r w:rsidRPr="00C501D4">
              <w:rPr>
                <w:sz w:val="18"/>
                <w:szCs w:val="18"/>
              </w:rPr>
              <w:t xml:space="preserve"> et al., 2026)</w:t>
            </w:r>
          </w:p>
        </w:tc>
        <w:tc>
          <w:tcPr>
            <w:tcW w:w="1350" w:type="dxa"/>
            <w:tcMar>
              <w:top w:w="80" w:type="dxa"/>
              <w:left w:w="80" w:type="dxa"/>
              <w:bottom w:w="80" w:type="dxa"/>
              <w:right w:w="80" w:type="dxa"/>
            </w:tcMar>
          </w:tcPr>
          <w:p w14:paraId="383FC45E" w14:textId="77777777" w:rsidR="00EF5E86" w:rsidRPr="00C501D4" w:rsidRDefault="00EF5E86" w:rsidP="00C501D4">
            <w:pPr>
              <w:jc w:val="both"/>
            </w:pPr>
            <w:r w:rsidRPr="00C501D4">
              <w:rPr>
                <w:sz w:val="18"/>
                <w:szCs w:val="18"/>
              </w:rPr>
              <w:t>Split + HE (server-side only)</w:t>
            </w:r>
          </w:p>
        </w:tc>
        <w:tc>
          <w:tcPr>
            <w:tcW w:w="1980" w:type="dxa"/>
            <w:tcMar>
              <w:top w:w="80" w:type="dxa"/>
              <w:left w:w="80" w:type="dxa"/>
              <w:bottom w:w="80" w:type="dxa"/>
              <w:right w:w="80" w:type="dxa"/>
            </w:tcMar>
          </w:tcPr>
          <w:p w14:paraId="015D2650" w14:textId="77777777" w:rsidR="00EF5E86" w:rsidRPr="00C501D4" w:rsidRDefault="00EF5E86" w:rsidP="00C501D4">
            <w:pPr>
              <w:jc w:val="both"/>
            </w:pPr>
            <w:r w:rsidRPr="00C501D4">
              <w:rPr>
                <w:sz w:val="18"/>
                <w:szCs w:val="18"/>
              </w:rPr>
              <w:t>Computational, label-private</w:t>
            </w:r>
          </w:p>
        </w:tc>
        <w:tc>
          <w:tcPr>
            <w:tcW w:w="1620" w:type="dxa"/>
            <w:tcMar>
              <w:top w:w="80" w:type="dxa"/>
              <w:left w:w="80" w:type="dxa"/>
              <w:bottom w:w="80" w:type="dxa"/>
              <w:right w:w="80" w:type="dxa"/>
            </w:tcMar>
          </w:tcPr>
          <w:p w14:paraId="6D938E92" w14:textId="77777777" w:rsidR="00EF5E86" w:rsidRPr="00C501D4" w:rsidRDefault="00EF5E86" w:rsidP="00C501D4">
            <w:pPr>
              <w:jc w:val="both"/>
            </w:pPr>
            <w:r w:rsidRPr="00C501D4">
              <w:rPr>
                <w:sz w:val="18"/>
                <w:szCs w:val="18"/>
              </w:rPr>
              <w:t>Moderate (~16× faster than prior HE-SL)</w:t>
            </w:r>
          </w:p>
        </w:tc>
        <w:tc>
          <w:tcPr>
            <w:tcW w:w="2935" w:type="dxa"/>
            <w:tcMar>
              <w:top w:w="80" w:type="dxa"/>
              <w:left w:w="80" w:type="dxa"/>
              <w:bottom w:w="80" w:type="dxa"/>
              <w:right w:w="80" w:type="dxa"/>
            </w:tcMar>
          </w:tcPr>
          <w:p w14:paraId="50D16A21" w14:textId="77777777" w:rsidR="00EF5E86" w:rsidRPr="00C501D4" w:rsidRDefault="00EF5E86" w:rsidP="00C501D4">
            <w:pPr>
              <w:jc w:val="both"/>
            </w:pPr>
            <w:r w:rsidRPr="00C501D4">
              <w:rPr>
                <w:sz w:val="18"/>
                <w:szCs w:val="18"/>
              </w:rPr>
              <w:t>No DP layer; label/model privacy only, not output privacy</w:t>
            </w:r>
          </w:p>
        </w:tc>
      </w:tr>
      <w:tr w:rsidR="00EF5E86" w:rsidRPr="00C501D4" w14:paraId="66AF79BC" w14:textId="77777777" w:rsidTr="005513C5">
        <w:tc>
          <w:tcPr>
            <w:tcW w:w="1615" w:type="dxa"/>
            <w:tcMar>
              <w:top w:w="80" w:type="dxa"/>
              <w:left w:w="80" w:type="dxa"/>
              <w:bottom w:w="80" w:type="dxa"/>
              <w:right w:w="80" w:type="dxa"/>
            </w:tcMar>
          </w:tcPr>
          <w:p w14:paraId="3C2E3BC6" w14:textId="77777777" w:rsidR="00EF5E86" w:rsidRPr="00C501D4" w:rsidRDefault="00EF5E86" w:rsidP="00C501D4">
            <w:pPr>
              <w:jc w:val="both"/>
            </w:pPr>
            <w:proofErr w:type="spellStart"/>
            <w:r w:rsidRPr="00C501D4">
              <w:rPr>
                <w:sz w:val="18"/>
                <w:szCs w:val="18"/>
              </w:rPr>
              <w:t>MTFSLaMM</w:t>
            </w:r>
            <w:proofErr w:type="spellEnd"/>
            <w:r w:rsidRPr="00C501D4">
              <w:rPr>
                <w:sz w:val="18"/>
                <w:szCs w:val="18"/>
              </w:rPr>
              <w:t xml:space="preserve"> (Dong et al., 2025)</w:t>
            </w:r>
          </w:p>
        </w:tc>
        <w:tc>
          <w:tcPr>
            <w:tcW w:w="1350" w:type="dxa"/>
            <w:tcMar>
              <w:top w:w="80" w:type="dxa"/>
              <w:left w:w="80" w:type="dxa"/>
              <w:bottom w:w="80" w:type="dxa"/>
              <w:right w:w="80" w:type="dxa"/>
            </w:tcMar>
          </w:tcPr>
          <w:p w14:paraId="54B7DF7D" w14:textId="77777777" w:rsidR="00EF5E86" w:rsidRPr="00C501D4" w:rsidRDefault="00EF5E86" w:rsidP="00C501D4">
            <w:pPr>
              <w:jc w:val="both"/>
            </w:pPr>
            <w:r w:rsidRPr="00C501D4">
              <w:rPr>
                <w:sz w:val="18"/>
                <w:szCs w:val="18"/>
              </w:rPr>
              <w:t>Split + DP + HE</w:t>
            </w:r>
          </w:p>
        </w:tc>
        <w:tc>
          <w:tcPr>
            <w:tcW w:w="1980" w:type="dxa"/>
            <w:tcMar>
              <w:top w:w="80" w:type="dxa"/>
              <w:left w:w="80" w:type="dxa"/>
              <w:bottom w:w="80" w:type="dxa"/>
              <w:right w:w="80" w:type="dxa"/>
            </w:tcMar>
          </w:tcPr>
          <w:p w14:paraId="2D059FF8" w14:textId="77777777" w:rsidR="00EF5E86" w:rsidRPr="00C501D4" w:rsidRDefault="00EF5E86" w:rsidP="00C501D4">
            <w:pPr>
              <w:jc w:val="both"/>
            </w:pPr>
            <w:r w:rsidRPr="00C501D4">
              <w:rPr>
                <w:sz w:val="18"/>
                <w:szCs w:val="18"/>
              </w:rPr>
              <w:t>(</w:t>
            </w:r>
            <w:proofErr w:type="spellStart"/>
            <w:proofErr w:type="gramStart"/>
            <w:r w:rsidRPr="00C501D4">
              <w:rPr>
                <w:sz w:val="18"/>
                <w:szCs w:val="18"/>
              </w:rPr>
              <w:t>ε,δ</w:t>
            </w:r>
            <w:proofErr w:type="spellEnd"/>
            <w:proofErr w:type="gramEnd"/>
            <w:r w:rsidRPr="00C501D4">
              <w:rPr>
                <w:sz w:val="18"/>
                <w:szCs w:val="18"/>
              </w:rPr>
              <w:t>) + computational</w:t>
            </w:r>
          </w:p>
        </w:tc>
        <w:tc>
          <w:tcPr>
            <w:tcW w:w="1620" w:type="dxa"/>
            <w:tcMar>
              <w:top w:w="80" w:type="dxa"/>
              <w:left w:w="80" w:type="dxa"/>
              <w:bottom w:w="80" w:type="dxa"/>
              <w:right w:w="80" w:type="dxa"/>
            </w:tcMar>
          </w:tcPr>
          <w:p w14:paraId="4BD6B39A" w14:textId="77777777" w:rsidR="00EF5E86" w:rsidRPr="00C501D4" w:rsidRDefault="00EF5E86" w:rsidP="00C501D4">
            <w:pPr>
              <w:jc w:val="both"/>
            </w:pPr>
            <w:r w:rsidRPr="00C501D4">
              <w:rPr>
                <w:sz w:val="18"/>
                <w:szCs w:val="18"/>
              </w:rPr>
              <w:t>Not directly comparable (multi-modal FL setting)</w:t>
            </w:r>
          </w:p>
        </w:tc>
        <w:tc>
          <w:tcPr>
            <w:tcW w:w="2935" w:type="dxa"/>
            <w:tcMar>
              <w:top w:w="80" w:type="dxa"/>
              <w:left w:w="80" w:type="dxa"/>
              <w:bottom w:w="80" w:type="dxa"/>
              <w:right w:w="80" w:type="dxa"/>
            </w:tcMar>
          </w:tcPr>
          <w:p w14:paraId="06B4F1DE" w14:textId="77777777" w:rsidR="00EF5E86" w:rsidRPr="00C501D4" w:rsidRDefault="00EF5E86" w:rsidP="00C501D4">
            <w:pPr>
              <w:jc w:val="both"/>
            </w:pPr>
            <w:r w:rsidRPr="00C501D4">
              <w:rPr>
                <w:sz w:val="18"/>
                <w:szCs w:val="18"/>
              </w:rPr>
              <w:t>No formal composition argument; evaluated on automotive sensor fusion, not a fault-diagnosis or biometric task</w:t>
            </w:r>
          </w:p>
        </w:tc>
      </w:tr>
      <w:tr w:rsidR="00EF5E86" w:rsidRPr="00C501D4" w14:paraId="67BB4118" w14:textId="77777777" w:rsidTr="005513C5">
        <w:tc>
          <w:tcPr>
            <w:tcW w:w="1615" w:type="dxa"/>
            <w:tcMar>
              <w:top w:w="80" w:type="dxa"/>
              <w:left w:w="80" w:type="dxa"/>
              <w:bottom w:w="80" w:type="dxa"/>
              <w:right w:w="80" w:type="dxa"/>
            </w:tcMar>
          </w:tcPr>
          <w:p w14:paraId="74DE01F4" w14:textId="77777777" w:rsidR="00EF5E86" w:rsidRPr="00C501D4" w:rsidRDefault="00EF5E86" w:rsidP="00C501D4">
            <w:pPr>
              <w:jc w:val="both"/>
            </w:pPr>
            <w:r w:rsidRPr="00C501D4">
              <w:rPr>
                <w:sz w:val="18"/>
                <w:szCs w:val="18"/>
              </w:rPr>
              <w:t>This work</w:t>
            </w:r>
            <w:r w:rsidR="005513C5" w:rsidRPr="00C501D4">
              <w:rPr>
                <w:sz w:val="18"/>
                <w:szCs w:val="18"/>
              </w:rPr>
              <w:t xml:space="preserve"> (</w:t>
            </w:r>
            <w:r w:rsidR="005513C5" w:rsidRPr="00C501D4">
              <w:rPr>
                <w:rFonts w:ascii="Cambria" w:eastAsia="Cambria" w:hAnsi="Cambria" w:cs="Cambria"/>
                <w:color w:val="111111"/>
                <w:sz w:val="18"/>
                <w:szCs w:val="18"/>
              </w:rPr>
              <w:t>Proposed Tri-Layered)</w:t>
            </w:r>
          </w:p>
        </w:tc>
        <w:tc>
          <w:tcPr>
            <w:tcW w:w="1350" w:type="dxa"/>
            <w:tcMar>
              <w:top w:w="80" w:type="dxa"/>
              <w:left w:w="80" w:type="dxa"/>
              <w:bottom w:w="80" w:type="dxa"/>
              <w:right w:w="80" w:type="dxa"/>
            </w:tcMar>
          </w:tcPr>
          <w:p w14:paraId="03FDD39F" w14:textId="77777777" w:rsidR="00EF5E86" w:rsidRPr="00C501D4" w:rsidRDefault="00EF5E86" w:rsidP="00C501D4">
            <w:pPr>
              <w:jc w:val="both"/>
            </w:pPr>
            <w:r w:rsidRPr="00C501D4">
              <w:rPr>
                <w:sz w:val="18"/>
                <w:szCs w:val="18"/>
              </w:rPr>
              <w:t>Split + DP + CKKS (tri-layered)</w:t>
            </w:r>
          </w:p>
        </w:tc>
        <w:tc>
          <w:tcPr>
            <w:tcW w:w="1980" w:type="dxa"/>
            <w:tcMar>
              <w:top w:w="80" w:type="dxa"/>
              <w:left w:w="80" w:type="dxa"/>
              <w:bottom w:w="80" w:type="dxa"/>
              <w:right w:w="80" w:type="dxa"/>
            </w:tcMar>
          </w:tcPr>
          <w:p w14:paraId="3BAC367B" w14:textId="77777777" w:rsidR="00EF5E86" w:rsidRPr="00C501D4" w:rsidRDefault="00EF5E86" w:rsidP="00C501D4">
            <w:pPr>
              <w:jc w:val="both"/>
            </w:pPr>
            <w:r w:rsidRPr="00C501D4">
              <w:rPr>
                <w:sz w:val="18"/>
                <w:szCs w:val="18"/>
              </w:rPr>
              <w:t>(</w:t>
            </w:r>
            <w:proofErr w:type="spellStart"/>
            <w:proofErr w:type="gramStart"/>
            <w:r w:rsidRPr="00C501D4">
              <w:rPr>
                <w:sz w:val="18"/>
                <w:szCs w:val="18"/>
              </w:rPr>
              <w:t>ε,δ</w:t>
            </w:r>
            <w:proofErr w:type="spellEnd"/>
            <w:proofErr w:type="gramEnd"/>
            <w:r w:rsidRPr="00C501D4">
              <w:rPr>
                <w:sz w:val="18"/>
                <w:szCs w:val="18"/>
              </w:rPr>
              <w:t>) + computational + split-bound, formally composed</w:t>
            </w:r>
          </w:p>
        </w:tc>
        <w:tc>
          <w:tcPr>
            <w:tcW w:w="1620" w:type="dxa"/>
            <w:tcMar>
              <w:top w:w="80" w:type="dxa"/>
              <w:left w:w="80" w:type="dxa"/>
              <w:bottom w:w="80" w:type="dxa"/>
              <w:right w:w="80" w:type="dxa"/>
            </w:tcMar>
          </w:tcPr>
          <w:p w14:paraId="58B2DD9B" w14:textId="77777777" w:rsidR="00EF5E86" w:rsidRPr="00C501D4" w:rsidRDefault="00EF5E86" w:rsidP="00C501D4">
            <w:pPr>
              <w:jc w:val="both"/>
            </w:pPr>
            <w:r w:rsidRPr="00C501D4">
              <w:rPr>
                <w:sz w:val="18"/>
                <w:szCs w:val="18"/>
              </w:rPr>
              <w:t>~10.4× at ε=8</w:t>
            </w:r>
          </w:p>
        </w:tc>
        <w:tc>
          <w:tcPr>
            <w:tcW w:w="2935" w:type="dxa"/>
            <w:tcMar>
              <w:top w:w="80" w:type="dxa"/>
              <w:left w:w="80" w:type="dxa"/>
              <w:bottom w:w="80" w:type="dxa"/>
              <w:right w:w="80" w:type="dxa"/>
            </w:tcMar>
          </w:tcPr>
          <w:p w14:paraId="60EC63BD" w14:textId="77777777" w:rsidR="00EF5E86" w:rsidRPr="00C501D4" w:rsidRDefault="005513C5" w:rsidP="00C501D4">
            <w:pPr>
              <w:jc w:val="both"/>
            </w:pPr>
            <w:r w:rsidRPr="00C501D4">
              <w:rPr>
                <w:rFonts w:ascii="Cambria" w:eastAsia="Cambria" w:hAnsi="Cambria" w:cs="Cambria"/>
                <w:color w:val="111111"/>
                <w:sz w:val="18"/>
                <w:szCs w:val="18"/>
              </w:rPr>
              <w:t>Requires careful ε/L/σ co-tuning (addressed herein)</w:t>
            </w:r>
          </w:p>
        </w:tc>
      </w:tr>
    </w:tbl>
    <w:p w14:paraId="15BD2417" w14:textId="77777777" w:rsidR="00AB5DCE" w:rsidRPr="00C501D4" w:rsidRDefault="00000000" w:rsidP="00C501D4">
      <w:pPr>
        <w:spacing w:before="100" w:after="260"/>
        <w:jc w:val="both"/>
      </w:pPr>
      <w:r w:rsidRPr="00C501D4">
        <w:rPr>
          <w:rFonts w:ascii="Cambria" w:eastAsia="Cambria" w:hAnsi="Cambria" w:cs="Cambria"/>
          <w:b/>
          <w:bCs/>
          <w:caps/>
          <w:sz w:val="26"/>
          <w:szCs w:val="26"/>
        </w:rPr>
        <w:t>III. Proposed Tri-Layered Architecture</w:t>
      </w:r>
    </w:p>
    <w:p w14:paraId="141E4F30" w14:textId="77777777" w:rsidR="00AB5DCE" w:rsidRPr="00C501D4" w:rsidRDefault="005E78B7" w:rsidP="00C501D4">
      <w:pPr>
        <w:spacing w:after="160" w:line="276" w:lineRule="auto"/>
        <w:jc w:val="both"/>
      </w:pPr>
      <w:r w:rsidRPr="00C501D4">
        <w:rPr>
          <w:rFonts w:ascii="Cambria" w:eastAsia="Cambria" w:hAnsi="Cambria" w:cs="Cambria"/>
          <w:sz w:val="22"/>
          <w:szCs w:val="22"/>
        </w:rPr>
        <w:t>The proposed architecture is shown in Fig. 1 and consists of a client domain and a server domain connected by an untrusted channel. In each forward pass, the client domain performs three sequential operations: extracting split-network features, injecting DP noise into the resulting activation (and also into the returned gradient during training), and encrypting the noised activation with CKKS before transmission. The server domain never sees client data in plaintext; it homomorphically evaluates the remaining network layers over ciphertext and returns encrypted results that only the client, which holds the CKKS secret key, can decrypt.</w:t>
      </w:r>
    </w:p>
    <w:p w14:paraId="69D0AD31" w14:textId="77777777" w:rsidR="00AB5DCE" w:rsidRPr="00C501D4" w:rsidRDefault="00000000" w:rsidP="00C501D4">
      <w:pPr>
        <w:spacing w:before="200" w:after="60"/>
        <w:jc w:val="both"/>
      </w:pPr>
      <w:r w:rsidRPr="00C501D4">
        <w:rPr>
          <w:noProof/>
        </w:rPr>
        <w:lastRenderedPageBreak/>
        <w:drawing>
          <wp:inline distT="0" distB="0" distL="0" distR="0" wp14:anchorId="252E89E2" wp14:editId="056C5FA6">
            <wp:extent cx="5852160" cy="33101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852160" cy="3310128"/>
                    </a:xfrm>
                    <a:prstGeom prst="rect">
                      <a:avLst/>
                    </a:prstGeom>
                  </pic:spPr>
                </pic:pic>
              </a:graphicData>
            </a:graphic>
          </wp:inline>
        </w:drawing>
      </w:r>
    </w:p>
    <w:p w14:paraId="059118F4" w14:textId="77777777" w:rsidR="005E78B7" w:rsidRPr="00C501D4" w:rsidRDefault="00000000" w:rsidP="00C501D4">
      <w:pPr>
        <w:spacing w:before="100" w:after="260"/>
        <w:jc w:val="both"/>
        <w:rPr>
          <w:rFonts w:ascii="Cambria" w:eastAsia="Cambria" w:hAnsi="Cambria" w:cs="Cambria"/>
          <w:b/>
          <w:bCs/>
        </w:rPr>
      </w:pPr>
      <w:r w:rsidRPr="00C501D4">
        <w:rPr>
          <w:rFonts w:ascii="Cambria" w:eastAsia="Cambria" w:hAnsi="Cambria" w:cs="Cambria"/>
          <w:b/>
          <w:bCs/>
        </w:rPr>
        <w:t>Fig. 1. Reference tri-layered hybrid privacy architecture. Layer 1 (split) constrains what data structure ever leaves the device; Layer 2 (DP) bounds the statistical information content of that structure; Layer 3 (CKKS) enforces computational secrecy over the channel and at the server.</w:t>
      </w:r>
    </w:p>
    <w:p w14:paraId="2A770E8D" w14:textId="77777777" w:rsidR="00AB5DCE" w:rsidRPr="00C501D4" w:rsidRDefault="00000000" w:rsidP="00C501D4">
      <w:pPr>
        <w:spacing w:before="100" w:after="260"/>
        <w:jc w:val="both"/>
      </w:pPr>
      <w:r w:rsidRPr="00C501D4">
        <w:rPr>
          <w:rFonts w:ascii="Cambria" w:eastAsia="Cambria" w:hAnsi="Cambria" w:cs="Cambria"/>
          <w:b/>
          <w:bCs/>
          <w:i/>
          <w:iCs/>
          <w:color w:val="111111"/>
          <w:sz w:val="23"/>
          <w:szCs w:val="23"/>
        </w:rPr>
        <w:t>A. Layer 1- Split Learning Boundary</w:t>
      </w:r>
    </w:p>
    <w:p w14:paraId="3475FCC2" w14:textId="77777777" w:rsidR="00B47BF9" w:rsidRPr="00C501D4" w:rsidRDefault="00B47BF9" w:rsidP="00C501D4">
      <w:pPr>
        <w:spacing w:after="160" w:line="276" w:lineRule="auto"/>
        <w:jc w:val="both"/>
        <w:rPr>
          <w:rFonts w:ascii="Cambria" w:eastAsia="Cambria" w:hAnsi="Cambria" w:cs="Cambria"/>
          <w:sz w:val="22"/>
          <w:szCs w:val="22"/>
        </w:rPr>
      </w:pPr>
      <w:r w:rsidRPr="00C501D4">
        <w:rPr>
          <w:rFonts w:ascii="Cambria" w:eastAsia="Cambria" w:hAnsi="Cambria" w:cs="Cambria"/>
          <w:sz w:val="22"/>
          <w:szCs w:val="22"/>
        </w:rPr>
        <w:t xml:space="preserve">The split point is chosen to balance the client’s computational load against the sensitivity of the transmitted representation. Shallow split points (near the input) propagate activations that are easier to invert to the raw input, while deeper split points mitigate this risk at the cost of offloading more computation to the resource-constrained client. In the reference design, the split boundary is after the third convolutional block, where the spatial resolution is substantially </w:t>
      </w:r>
      <w:proofErr w:type="spellStart"/>
      <w:r w:rsidRPr="00C501D4">
        <w:rPr>
          <w:rFonts w:ascii="Cambria" w:eastAsia="Cambria" w:hAnsi="Cambria" w:cs="Cambria"/>
          <w:sz w:val="22"/>
          <w:szCs w:val="22"/>
        </w:rPr>
        <w:t>downsampled</w:t>
      </w:r>
      <w:proofErr w:type="spellEnd"/>
      <w:r w:rsidRPr="00C501D4">
        <w:rPr>
          <w:rFonts w:ascii="Cambria" w:eastAsia="Cambria" w:hAnsi="Cambria" w:cs="Cambria"/>
          <w:sz w:val="22"/>
          <w:szCs w:val="22"/>
        </w:rPr>
        <w:t xml:space="preserve"> compared with the input, while classification-relevant features are largely preserved by the remaining server-side layers.</w:t>
      </w:r>
    </w:p>
    <w:p w14:paraId="2D6E6788" w14:textId="77777777" w:rsidR="00B47BF9" w:rsidRPr="00C501D4" w:rsidRDefault="00000000" w:rsidP="00C501D4">
      <w:pPr>
        <w:spacing w:after="160" w:line="276" w:lineRule="auto"/>
        <w:jc w:val="both"/>
        <w:rPr>
          <w:rFonts w:ascii="Cambria" w:eastAsia="Cambria" w:hAnsi="Cambria" w:cs="Cambria"/>
          <w:b/>
          <w:bCs/>
          <w:i/>
          <w:iCs/>
          <w:color w:val="111111"/>
          <w:sz w:val="23"/>
          <w:szCs w:val="23"/>
        </w:rPr>
      </w:pPr>
      <w:r w:rsidRPr="00C501D4">
        <w:rPr>
          <w:rFonts w:ascii="Cambria" w:eastAsia="Cambria" w:hAnsi="Cambria" w:cs="Cambria"/>
          <w:b/>
          <w:bCs/>
          <w:i/>
          <w:iCs/>
          <w:color w:val="111111"/>
          <w:sz w:val="23"/>
          <w:szCs w:val="23"/>
        </w:rPr>
        <w:t>B. Layer 2 — Differential Privacy Injection</w:t>
      </w:r>
    </w:p>
    <w:p w14:paraId="7F86AA10" w14:textId="77777777" w:rsidR="00193FAA" w:rsidRPr="00C501D4" w:rsidRDefault="00B47BF9" w:rsidP="00C501D4">
      <w:pPr>
        <w:spacing w:after="160" w:line="276" w:lineRule="auto"/>
        <w:jc w:val="both"/>
        <w:rPr>
          <w:rFonts w:ascii="Cambria" w:eastAsia="Cambria" w:hAnsi="Cambria" w:cs="Cambria"/>
          <w:sz w:val="22"/>
          <w:szCs w:val="22"/>
        </w:rPr>
      </w:pPr>
      <w:r w:rsidRPr="00C501D4">
        <w:rPr>
          <w:rFonts w:ascii="Cambria" w:eastAsia="Cambria" w:hAnsi="Cambria" w:cs="Cambria"/>
          <w:sz w:val="22"/>
          <w:szCs w:val="22"/>
        </w:rPr>
        <w:t>We apply per-example gradient clipping with bound C and Gaussian noise with multiplier σ at two points: to the gradient of the client-side parameters during backpropagation and, optionally, directly to the smashed-data tensor before encryption to further obscure fine-grained input structure. We track the privacy budget ε over training epochs using Rényi differential privacy composition and convert it to a standard (ε, δ) guarantee for reporting.</w:t>
      </w:r>
    </w:p>
    <w:p w14:paraId="6C3729F6" w14:textId="77777777" w:rsidR="00AB5DCE" w:rsidRPr="00C501D4" w:rsidRDefault="00000000" w:rsidP="00C501D4">
      <w:pPr>
        <w:spacing w:after="160" w:line="276" w:lineRule="auto"/>
        <w:jc w:val="both"/>
      </w:pPr>
      <w:r w:rsidRPr="00C501D4">
        <w:rPr>
          <w:rFonts w:ascii="Cambria" w:eastAsia="Cambria" w:hAnsi="Cambria" w:cs="Cambria"/>
          <w:b/>
          <w:bCs/>
          <w:i/>
          <w:iCs/>
          <w:color w:val="111111"/>
          <w:sz w:val="23"/>
          <w:szCs w:val="23"/>
        </w:rPr>
        <w:t>C. Layer 3 — CKKS Homomorphic Encryption</w:t>
      </w:r>
    </w:p>
    <w:p w14:paraId="1B51AFD7" w14:textId="77777777" w:rsidR="00E66E2D" w:rsidRPr="00C501D4" w:rsidRDefault="00E66E2D" w:rsidP="00C501D4">
      <w:pPr>
        <w:spacing w:after="160" w:line="276" w:lineRule="auto"/>
        <w:jc w:val="both"/>
        <w:rPr>
          <w:rFonts w:ascii="Cambria" w:eastAsia="Cambria" w:hAnsi="Cambria" w:cs="Cambria"/>
          <w:sz w:val="22"/>
          <w:szCs w:val="22"/>
        </w:rPr>
      </w:pPr>
      <w:r w:rsidRPr="00C501D4">
        <w:rPr>
          <w:rFonts w:ascii="Cambria" w:eastAsia="Cambria" w:hAnsi="Cambria" w:cs="Cambria"/>
          <w:sz w:val="22"/>
          <w:szCs w:val="22"/>
        </w:rPr>
        <w:t xml:space="preserve">The activation tensor is then encoded into the CKKS plaintext slots and encrypted under the client’s public key for transmission after the DP noise is added. The server computes the remaining layers of the network homomorphically by replacing the nonlinear activation functions with degree-3 Chebyshev polynomial approximations and managing the multiplicative depth through periodic </w:t>
      </w:r>
      <w:r w:rsidRPr="00C501D4">
        <w:rPr>
          <w:rFonts w:ascii="Cambria" w:eastAsia="Cambria" w:hAnsi="Cambria" w:cs="Cambria"/>
          <w:sz w:val="22"/>
          <w:szCs w:val="22"/>
        </w:rPr>
        <w:lastRenderedPageBreak/>
        <w:t>rescaling, invoking bootstrapping whenever the remaining depth budget is insufficient for the next layer. The server returns an encrypted result (an encrypted logit vector in the case of inference or an encrypted gradient in the case of training), which is decrypted only on the client, so the secret key never crosses the trusted device boundary.</w:t>
      </w:r>
    </w:p>
    <w:p w14:paraId="27D38D1E" w14:textId="77777777" w:rsidR="00AB5DCE" w:rsidRPr="00C501D4" w:rsidRDefault="00000000" w:rsidP="00C501D4">
      <w:pPr>
        <w:spacing w:after="160" w:line="276" w:lineRule="auto"/>
        <w:jc w:val="both"/>
        <w:rPr>
          <w:rFonts w:ascii="Cambria" w:eastAsia="Cambria" w:hAnsi="Cambria" w:cs="Cambria"/>
          <w:sz w:val="22"/>
          <w:szCs w:val="22"/>
        </w:rPr>
      </w:pPr>
      <w:r w:rsidRPr="00C501D4">
        <w:rPr>
          <w:rFonts w:ascii="Cambria" w:eastAsia="Cambria" w:hAnsi="Cambria" w:cs="Cambria"/>
          <w:b/>
          <w:bCs/>
          <w:i/>
          <w:iCs/>
          <w:color w:val="111111"/>
          <w:sz w:val="23"/>
          <w:szCs w:val="23"/>
        </w:rPr>
        <w:t>D. Layer Composition and Threat Coverage</w:t>
      </w:r>
    </w:p>
    <w:p w14:paraId="79D992B5" w14:textId="77777777" w:rsidR="00E66E2D" w:rsidRPr="00C501D4" w:rsidRDefault="00E66E2D" w:rsidP="00C501D4">
      <w:pPr>
        <w:spacing w:after="160" w:line="276" w:lineRule="auto"/>
        <w:jc w:val="both"/>
        <w:rPr>
          <w:rFonts w:ascii="Cambria" w:eastAsia="Cambria" w:hAnsi="Cambria" w:cs="Cambria"/>
          <w:sz w:val="22"/>
          <w:szCs w:val="22"/>
        </w:rPr>
      </w:pPr>
      <w:r w:rsidRPr="00C501D4">
        <w:rPr>
          <w:rFonts w:ascii="Cambria" w:eastAsia="Cambria" w:hAnsi="Cambria" w:cs="Cambria"/>
          <w:sz w:val="22"/>
          <w:szCs w:val="22"/>
        </w:rPr>
        <w:t>The right panel of Fig. 2 presents the mitigation strength provided by each layer alone for five typical attack vectors. No layer is dominant across all vectors: split learning is most effective against naïve data-ownership violations, DP is most effective against membership-inference attacks (Shokri &amp; Shmatikov, 2015), and CKKS is most effective against feature-interception and reconstruction attacks. This complementary coverage therefore forms the basis of the tri-layered design.</w:t>
      </w:r>
    </w:p>
    <w:p w14:paraId="2ADE2FA7" w14:textId="77777777" w:rsidR="00AB5DCE" w:rsidRPr="00C501D4" w:rsidRDefault="00E37258" w:rsidP="00C501D4">
      <w:pPr>
        <w:spacing w:after="160" w:line="276" w:lineRule="auto"/>
        <w:jc w:val="both"/>
      </w:pPr>
      <w:r w:rsidRPr="00C501D4">
        <w:rPr>
          <w:rFonts w:ascii="Cambria" w:eastAsia="Cambria" w:hAnsi="Cambria" w:cs="Cambria"/>
          <w:sz w:val="22"/>
          <w:szCs w:val="22"/>
        </w:rPr>
        <w:t>This complementary coverage is the main motivation for the tri-layered design.</w:t>
      </w:r>
    </w:p>
    <w:p w14:paraId="28D6E3EC" w14:textId="77777777" w:rsidR="00AB5DCE" w:rsidRPr="00C501D4" w:rsidRDefault="00000000" w:rsidP="00C501D4">
      <w:pPr>
        <w:spacing w:before="200" w:after="60"/>
        <w:jc w:val="both"/>
      </w:pPr>
      <w:r w:rsidRPr="00C501D4">
        <w:rPr>
          <w:noProof/>
        </w:rPr>
        <w:drawing>
          <wp:inline distT="0" distB="0" distL="0" distR="0" wp14:anchorId="299E0DCA" wp14:editId="2F83D7D9">
            <wp:extent cx="5852160" cy="2834640"/>
            <wp:effectExtent l="0" t="0" r="0" b="0"/>
            <wp:docPr id="1958906804" name="Picture 1958906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852160" cy="2834640"/>
                    </a:xfrm>
                    <a:prstGeom prst="rect">
                      <a:avLst/>
                    </a:prstGeom>
                  </pic:spPr>
                </pic:pic>
              </a:graphicData>
            </a:graphic>
          </wp:inline>
        </w:drawing>
      </w:r>
    </w:p>
    <w:p w14:paraId="56F2AECC" w14:textId="77777777" w:rsidR="00E37258" w:rsidRPr="00C501D4" w:rsidRDefault="00000000" w:rsidP="00C501D4">
      <w:pPr>
        <w:spacing w:before="100" w:after="260"/>
        <w:jc w:val="both"/>
        <w:rPr>
          <w:rFonts w:ascii="Cambria" w:eastAsia="Cambria" w:hAnsi="Cambria" w:cs="Cambria"/>
          <w:b/>
          <w:bCs/>
        </w:rPr>
      </w:pPr>
      <w:r w:rsidRPr="00C501D4">
        <w:rPr>
          <w:rFonts w:ascii="Cambria" w:eastAsia="Cambria" w:hAnsi="Cambria" w:cs="Cambria"/>
          <w:b/>
          <w:bCs/>
        </w:rPr>
        <w:t>Fig. 2. Left: relative contribution of each layer to overall threat-model coverage. Right: per-layer mitigation strength (%) against five representative attack vectors, illustrating complementary rather than redundant coverage.</w:t>
      </w:r>
    </w:p>
    <w:p w14:paraId="3728AEB0" w14:textId="77777777" w:rsidR="00AB5DCE" w:rsidRPr="00C501D4" w:rsidRDefault="00000000" w:rsidP="00C501D4">
      <w:pPr>
        <w:spacing w:before="100" w:after="260"/>
        <w:jc w:val="both"/>
      </w:pPr>
      <w:r w:rsidRPr="00C501D4">
        <w:rPr>
          <w:rFonts w:ascii="Cambria" w:eastAsia="Cambria" w:hAnsi="Cambria" w:cs="Cambria"/>
          <w:b/>
          <w:bCs/>
          <w:caps/>
          <w:color w:val="1F3864"/>
          <w:sz w:val="26"/>
          <w:szCs w:val="26"/>
        </w:rPr>
        <w:t>IV. Formal Privacy Composition</w:t>
      </w:r>
    </w:p>
    <w:p w14:paraId="2EC262F7" w14:textId="77777777" w:rsidR="00E34FD1" w:rsidRPr="00C501D4" w:rsidRDefault="00E37258" w:rsidP="00C501D4">
      <w:pPr>
        <w:spacing w:after="160" w:line="276" w:lineRule="auto"/>
        <w:jc w:val="both"/>
        <w:rPr>
          <w:rFonts w:ascii="Cambria" w:eastAsia="Cambria" w:hAnsi="Cambria" w:cs="Cambria"/>
          <w:sz w:val="22"/>
          <w:szCs w:val="22"/>
        </w:rPr>
      </w:pPr>
      <w:r w:rsidRPr="00C501D4">
        <w:rPr>
          <w:rFonts w:ascii="Cambria" w:eastAsia="Cambria" w:hAnsi="Cambria" w:cs="Cambria"/>
          <w:sz w:val="22"/>
          <w:szCs w:val="22"/>
        </w:rPr>
        <w:t xml:space="preserve">Let A be the random split-forward mechanism that generates the transmitted activation for input x. The client adds Gaussian-mechanism noise calibrated to sensitivity </w:t>
      </w:r>
      <m:oMath>
        <m:r>
          <m:rPr>
            <m:sty m:val="p"/>
          </m:rPr>
          <w:rPr>
            <w:rFonts w:ascii="Cambria Math" w:eastAsia="Cambria" w:hAnsi="Cambria Math" w:cs="Cambria"/>
            <w:sz w:val="22"/>
            <w:szCs w:val="22"/>
          </w:rPr>
          <m:t>Δ</m:t>
        </m:r>
        <m:r>
          <w:rPr>
            <w:rFonts w:ascii="Cambria Math" w:eastAsia="Cambria" w:hAnsi="Cambria Math" w:cs="Cambria"/>
            <w:sz w:val="22"/>
            <w:szCs w:val="22"/>
          </w:rPr>
          <m:t>f</m:t>
        </m:r>
      </m:oMath>
      <w:r w:rsidRPr="00C501D4">
        <w:rPr>
          <w:rFonts w:ascii="Cambria" w:eastAsia="Cambria" w:hAnsi="Cambria" w:cs="Cambria"/>
          <w:sz w:val="22"/>
          <w:szCs w:val="22"/>
        </w:rPr>
        <w:t xml:space="preserve"> and multiplier </w:t>
      </w:r>
      <m:oMath>
        <m:r>
          <w:rPr>
            <w:rFonts w:ascii="Cambria Math" w:eastAsia="Cambria" w:hAnsi="Cambria Math" w:cs="Cambria"/>
            <w:sz w:val="22"/>
            <w:szCs w:val="22"/>
          </w:rPr>
          <m:t>σ</m:t>
        </m:r>
      </m:oMath>
      <w:r w:rsidRPr="00C501D4">
        <w:rPr>
          <w:rFonts w:ascii="Cambria" w:eastAsia="Cambria" w:hAnsi="Cambria" w:cs="Cambria"/>
          <w:sz w:val="22"/>
          <w:szCs w:val="22"/>
        </w:rPr>
        <w:t xml:space="preserve">, such that the DP sub-mechanism satisfies </w:t>
      </w:r>
      <m:oMath>
        <m:d>
          <m:dPr>
            <m:sepChr m:val=","/>
            <m:ctrlPr>
              <w:rPr>
                <w:rFonts w:ascii="Cambria Math" w:eastAsia="Cambria" w:hAnsi="Cambria Math" w:cs="Cambria"/>
                <w:sz w:val="22"/>
                <w:szCs w:val="22"/>
              </w:rPr>
            </m:ctrlPr>
          </m:dPr>
          <m:e>
            <m:r>
              <w:rPr>
                <w:rFonts w:ascii="Cambria Math" w:eastAsia="Cambria" w:hAnsi="Cambria Math" w:cs="Cambria"/>
                <w:sz w:val="22"/>
                <w:szCs w:val="22"/>
              </w:rPr>
              <m:t>ϵ</m:t>
            </m:r>
          </m:e>
          <m:e>
            <m:r>
              <w:rPr>
                <w:rFonts w:ascii="Cambria Math" w:eastAsia="Cambria" w:hAnsi="Cambria Math" w:cs="Cambria"/>
                <w:sz w:val="22"/>
                <w:szCs w:val="22"/>
              </w:rPr>
              <m:t>δ</m:t>
            </m:r>
          </m:e>
        </m:d>
      </m:oMath>
      <w:r w:rsidRPr="00C501D4">
        <w:rPr>
          <w:rFonts w:ascii="Cambria" w:eastAsia="Cambria" w:hAnsi="Cambria" w:cs="Cambria"/>
          <w:sz w:val="22"/>
          <w:szCs w:val="22"/>
        </w:rPr>
        <w:t xml:space="preserve">-DP (Abadi et al., 2016; Dwork &amp; Roth, 2014) according to the standard Gaussian-mechanism bound </w:t>
      </w:r>
      <m:oMath>
        <m:r>
          <w:rPr>
            <w:rFonts w:ascii="Cambria Math" w:eastAsia="Cambria" w:hAnsi="Cambria Math" w:cs="Cambria"/>
            <w:sz w:val="22"/>
            <w:szCs w:val="22"/>
          </w:rPr>
          <m:t>ϵ≈</m:t>
        </m:r>
        <m:r>
          <m:rPr>
            <m:sty m:val="p"/>
          </m:rPr>
          <w:rPr>
            <w:rFonts w:ascii="Cambria Math" w:eastAsia="Cambria" w:hAnsi="Cambria Math" w:cs="Cambria"/>
            <w:sz w:val="22"/>
            <w:szCs w:val="22"/>
          </w:rPr>
          <m:t>Δ</m:t>
        </m:r>
        <m:r>
          <w:rPr>
            <w:rFonts w:ascii="Cambria Math" w:eastAsia="Cambria" w:hAnsi="Cambria Math" w:cs="Cambria"/>
            <w:sz w:val="22"/>
            <w:szCs w:val="22"/>
          </w:rPr>
          <m:t>f⋅</m:t>
        </m:r>
        <m:rad>
          <m:radPr>
            <m:degHide m:val="1"/>
            <m:ctrlPr>
              <w:rPr>
                <w:rFonts w:ascii="Cambria Math" w:eastAsia="Cambria" w:hAnsi="Cambria Math" w:cs="Cambria"/>
                <w:sz w:val="22"/>
                <w:szCs w:val="22"/>
              </w:rPr>
            </m:ctrlPr>
          </m:radPr>
          <m:deg/>
          <m:e>
            <m:r>
              <w:rPr>
                <w:rFonts w:ascii="Cambria Math" w:eastAsia="Cambria" w:hAnsi="Cambria Math" w:cs="Cambria"/>
                <w:sz w:val="22"/>
                <w:szCs w:val="22"/>
              </w:rPr>
              <m:t>2</m:t>
            </m:r>
            <m:r>
              <m:rPr>
                <m:sty m:val="p"/>
              </m:rPr>
              <w:rPr>
                <w:rFonts w:ascii="Cambria Math" w:eastAsia="Cambria" w:hAnsi="Cambria Math" w:cs="Cambria"/>
                <w:sz w:val="22"/>
                <w:szCs w:val="22"/>
              </w:rPr>
              <m:t>ln</m:t>
            </m:r>
            <m:r>
              <w:rPr>
                <w:rFonts w:ascii="Cambria Math" w:eastAsia="Cambria" w:hAnsi="Cambria Math" w:cs="Cambria"/>
                <w:sz w:val="22"/>
                <w:szCs w:val="22"/>
              </w:rPr>
              <m:t>⁡</m:t>
            </m:r>
            <m:d>
              <m:dPr>
                <m:ctrlPr>
                  <w:rPr>
                    <w:rFonts w:ascii="Cambria Math" w:eastAsia="Cambria" w:hAnsi="Cambria Math" w:cs="Cambria"/>
                    <w:sz w:val="22"/>
                    <w:szCs w:val="22"/>
                  </w:rPr>
                </m:ctrlPr>
              </m:dPr>
              <m:e>
                <m:r>
                  <w:rPr>
                    <w:rFonts w:ascii="Cambria Math" w:eastAsia="Cambria" w:hAnsi="Cambria Math" w:cs="Cambria"/>
                    <w:sz w:val="22"/>
                    <w:szCs w:val="22"/>
                  </w:rPr>
                  <m:t>1.25/δ</m:t>
                </m:r>
              </m:e>
            </m:d>
          </m:e>
        </m:rad>
        <m:r>
          <w:rPr>
            <w:rFonts w:ascii="Cambria Math" w:eastAsia="Cambria" w:hAnsi="Cambria Math" w:cs="Cambria"/>
            <w:sz w:val="22"/>
            <w:szCs w:val="22"/>
          </w:rPr>
          <m:t>/σ</m:t>
        </m:r>
      </m:oMath>
      <w:r w:rsidRPr="00C501D4">
        <w:rPr>
          <w:rFonts w:ascii="Cambria" w:eastAsia="Cambria" w:hAnsi="Cambria" w:cs="Cambria"/>
          <w:sz w:val="22"/>
          <w:szCs w:val="22"/>
        </w:rPr>
        <w:t xml:space="preserve">. The CKKS encryption below is deterministic given the encoding randomness under IND-CPA-secure encryption; it does not affect the (ε, δ) guarantee already obtained by the DP step, but it provides a second, independent guarantee: computational indistinguishability of ciphertexts under the Ring Learning </w:t>
      </w:r>
      <w:proofErr w:type="gramStart"/>
      <w:r w:rsidRPr="00C501D4">
        <w:rPr>
          <w:rFonts w:ascii="Cambria" w:eastAsia="Cambria" w:hAnsi="Cambria" w:cs="Cambria"/>
          <w:sz w:val="22"/>
          <w:szCs w:val="22"/>
        </w:rPr>
        <w:t>With</w:t>
      </w:r>
      <w:proofErr w:type="gramEnd"/>
      <w:r w:rsidRPr="00C501D4">
        <w:rPr>
          <w:rFonts w:ascii="Cambria" w:eastAsia="Cambria" w:hAnsi="Cambria" w:cs="Cambria"/>
          <w:sz w:val="22"/>
          <w:szCs w:val="22"/>
        </w:rPr>
        <w:t xml:space="preserve"> Errors (RLWE) assumption (Cheon et al., 2017), parameterised by security level λ. Because the DP guarantee bounds statistical leakage and the CKKS guarantee bounds computational leakage over an orthogonal </w:t>
      </w:r>
      <w:r w:rsidRPr="00C501D4">
        <w:rPr>
          <w:rFonts w:ascii="Cambria" w:eastAsia="Cambria" w:hAnsi="Cambria" w:cs="Cambria"/>
          <w:sz w:val="22"/>
          <w:szCs w:val="22"/>
        </w:rPr>
        <w:lastRenderedPageBreak/>
        <w:t>channel (the transmitted bits themselves, as opposed to the information they encode), the two guarantees compose conjunctively rather than requiring subtraction from a shared privacy budget: an adversary must simultaneously break RLWE hardness and exceed the statistical bound to fully reconstruct client data.</w:t>
      </w:r>
    </w:p>
    <w:p w14:paraId="725B6D14" w14:textId="77777777" w:rsidR="00E37258" w:rsidRPr="00C501D4" w:rsidRDefault="00E37258" w:rsidP="00C501D4">
      <w:pPr>
        <w:spacing w:after="160" w:line="276" w:lineRule="auto"/>
        <w:jc w:val="both"/>
        <w:rPr>
          <w:rFonts w:ascii="Cambria" w:eastAsia="Cambria" w:hAnsi="Cambria" w:cs="Cambria"/>
          <w:sz w:val="22"/>
          <w:szCs w:val="22"/>
        </w:rPr>
      </w:pPr>
      <w:r w:rsidRPr="00C501D4">
        <w:rPr>
          <w:rFonts w:ascii="Cambria" w:eastAsia="Cambria" w:hAnsi="Cambria" w:cs="Cambria"/>
          <w:sz w:val="22"/>
          <w:szCs w:val="22"/>
        </w:rPr>
        <w:t xml:space="preserve">The split-learning boundary provides a third architectural guarantee that is not naturally expressed in (ε, δ) terms: it bounds the mutual information between the raw input x and the transmitted representation to the information retained by the client-side sub-network representation, regardless of any subsequent cryptographic or noise-based mechanism. In the reference design, this is </w:t>
      </w:r>
      <w:proofErr w:type="spellStart"/>
      <w:r w:rsidRPr="00C501D4">
        <w:rPr>
          <w:rFonts w:ascii="Cambria" w:eastAsia="Cambria" w:hAnsi="Cambria" w:cs="Cambria"/>
          <w:sz w:val="22"/>
          <w:szCs w:val="22"/>
        </w:rPr>
        <w:t>formalised</w:t>
      </w:r>
      <w:proofErr w:type="spellEnd"/>
      <w:r w:rsidRPr="00C501D4">
        <w:rPr>
          <w:rFonts w:ascii="Cambria" w:eastAsia="Cambria" w:hAnsi="Cambria" w:cs="Cambria"/>
          <w:sz w:val="22"/>
          <w:szCs w:val="22"/>
        </w:rPr>
        <w:t xml:space="preserve"> as an empirical reconstruction-error lower bound rather than a closed-form guarantee, consistent with current practice in the split-learning literature. The notation used throughout the composition argument and the following experimental section is listed in Table 2.</w:t>
      </w:r>
    </w:p>
    <w:p w14:paraId="38747FD1" w14:textId="77777777" w:rsidR="00E37258" w:rsidRPr="00C501D4" w:rsidRDefault="00E37258" w:rsidP="00C501D4">
      <w:pPr>
        <w:spacing w:after="160" w:line="276" w:lineRule="auto"/>
        <w:jc w:val="both"/>
        <w:rPr>
          <w:rFonts w:ascii="Cambria" w:eastAsia="Cambria" w:hAnsi="Cambria" w:cs="Cambria"/>
          <w:sz w:val="22"/>
          <w:szCs w:val="22"/>
        </w:rPr>
      </w:pPr>
      <w:r w:rsidRPr="00C501D4">
        <w:rPr>
          <w:rFonts w:ascii="Cambria" w:eastAsia="Cambria" w:hAnsi="Cambria" w:cs="Cambria"/>
          <w:b/>
          <w:bCs/>
        </w:rPr>
        <w:t xml:space="preserve">TABLE </w:t>
      </w:r>
      <w:r w:rsidR="00F35242" w:rsidRPr="00C501D4">
        <w:rPr>
          <w:rFonts w:ascii="Cambria" w:eastAsia="Cambria" w:hAnsi="Cambria" w:cs="Cambria"/>
          <w:b/>
          <w:bCs/>
        </w:rPr>
        <w:t>2</w:t>
      </w:r>
      <w:r w:rsidRPr="00C501D4">
        <w:rPr>
          <w:rFonts w:ascii="Cambria" w:eastAsia="Cambria" w:hAnsi="Cambria" w:cs="Cambria"/>
          <w:b/>
          <w:bCs/>
        </w:rPr>
        <w:t>. Notation Used in the Formal Composition</w:t>
      </w:r>
    </w:p>
    <w:tbl>
      <w:tblPr>
        <w:tblpPr w:leftFromText="180" w:rightFromText="180" w:vertAnchor="text" w:horzAnchor="margin" w:tblpY="-52"/>
        <w:tblW w:w="7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62"/>
        <w:gridCol w:w="5716"/>
      </w:tblGrid>
      <w:tr w:rsidR="00E37258" w:rsidRPr="00C501D4" w14:paraId="71F3B703" w14:textId="77777777" w:rsidTr="00193FAA">
        <w:trPr>
          <w:trHeight w:val="202"/>
          <w:tblHeader/>
        </w:trPr>
        <w:tc>
          <w:tcPr>
            <w:tcW w:w="1962" w:type="dxa"/>
            <w:shd w:val="clear" w:color="auto" w:fill="1F3864"/>
            <w:tcMar>
              <w:top w:w="60" w:type="dxa"/>
              <w:left w:w="100" w:type="dxa"/>
              <w:bottom w:w="60" w:type="dxa"/>
              <w:right w:w="100" w:type="dxa"/>
            </w:tcMar>
            <w:vAlign w:val="center"/>
          </w:tcPr>
          <w:p w14:paraId="68584FF6" w14:textId="77777777" w:rsidR="00E37258" w:rsidRPr="00C501D4" w:rsidRDefault="00E37258" w:rsidP="00C501D4">
            <w:pPr>
              <w:jc w:val="both"/>
            </w:pPr>
            <w:r w:rsidRPr="00C501D4">
              <w:rPr>
                <w:rFonts w:ascii="Cambria" w:eastAsia="Cambria" w:hAnsi="Cambria" w:cs="Cambria"/>
                <w:b/>
                <w:bCs/>
                <w:color w:val="FFFFFF"/>
                <w:sz w:val="18"/>
                <w:szCs w:val="18"/>
              </w:rPr>
              <w:t>Symbol</w:t>
            </w:r>
          </w:p>
        </w:tc>
        <w:tc>
          <w:tcPr>
            <w:tcW w:w="5716" w:type="dxa"/>
            <w:shd w:val="clear" w:color="auto" w:fill="1F3864"/>
            <w:tcMar>
              <w:top w:w="60" w:type="dxa"/>
              <w:left w:w="100" w:type="dxa"/>
              <w:bottom w:w="60" w:type="dxa"/>
              <w:right w:w="100" w:type="dxa"/>
            </w:tcMar>
            <w:vAlign w:val="center"/>
          </w:tcPr>
          <w:p w14:paraId="1F0084CF" w14:textId="77777777" w:rsidR="00E37258" w:rsidRPr="00C501D4" w:rsidRDefault="00E37258" w:rsidP="00C501D4">
            <w:pPr>
              <w:jc w:val="both"/>
            </w:pPr>
            <w:r w:rsidRPr="00C501D4">
              <w:rPr>
                <w:rFonts w:ascii="Cambria" w:eastAsia="Cambria" w:hAnsi="Cambria" w:cs="Cambria"/>
                <w:b/>
                <w:bCs/>
                <w:color w:val="FFFFFF"/>
                <w:sz w:val="18"/>
                <w:szCs w:val="18"/>
              </w:rPr>
              <w:t>Description</w:t>
            </w:r>
          </w:p>
        </w:tc>
      </w:tr>
      <w:tr w:rsidR="00E37258" w:rsidRPr="00C501D4" w14:paraId="2490FEF6" w14:textId="77777777" w:rsidTr="00193FAA">
        <w:trPr>
          <w:trHeight w:val="186"/>
        </w:trPr>
        <w:tc>
          <w:tcPr>
            <w:tcW w:w="1962" w:type="dxa"/>
            <w:tcMar>
              <w:top w:w="60" w:type="dxa"/>
              <w:left w:w="100" w:type="dxa"/>
              <w:bottom w:w="60" w:type="dxa"/>
              <w:right w:w="100" w:type="dxa"/>
            </w:tcMar>
            <w:vAlign w:val="center"/>
          </w:tcPr>
          <w:p w14:paraId="2DC0E8AD" w14:textId="77777777" w:rsidR="00E37258" w:rsidRPr="00C501D4" w:rsidRDefault="00E37258" w:rsidP="00C501D4">
            <w:pPr>
              <w:jc w:val="both"/>
            </w:pPr>
            <w:proofErr w:type="spellStart"/>
            <w:r w:rsidRPr="00C501D4">
              <w:rPr>
                <w:rFonts w:ascii="Cambria" w:eastAsia="Cambria" w:hAnsi="Cambria" w:cs="Cambria"/>
                <w:color w:val="111111"/>
                <w:sz w:val="18"/>
                <w:szCs w:val="18"/>
              </w:rPr>
              <w:t>Wc</w:t>
            </w:r>
            <w:proofErr w:type="spellEnd"/>
            <w:r w:rsidRPr="00C501D4">
              <w:rPr>
                <w:rFonts w:ascii="Cambria" w:eastAsia="Cambria" w:hAnsi="Cambria" w:cs="Cambria"/>
                <w:color w:val="111111"/>
                <w:sz w:val="18"/>
                <w:szCs w:val="18"/>
              </w:rPr>
              <w:t xml:space="preserve">, </w:t>
            </w:r>
            <w:proofErr w:type="spellStart"/>
            <w:r w:rsidRPr="00C501D4">
              <w:rPr>
                <w:rFonts w:ascii="Cambria" w:eastAsia="Cambria" w:hAnsi="Cambria" w:cs="Cambria"/>
                <w:color w:val="111111"/>
                <w:sz w:val="18"/>
                <w:szCs w:val="18"/>
              </w:rPr>
              <w:t>Ws</w:t>
            </w:r>
            <w:proofErr w:type="spellEnd"/>
          </w:p>
        </w:tc>
        <w:tc>
          <w:tcPr>
            <w:tcW w:w="5716" w:type="dxa"/>
            <w:tcMar>
              <w:top w:w="60" w:type="dxa"/>
              <w:left w:w="100" w:type="dxa"/>
              <w:bottom w:w="60" w:type="dxa"/>
              <w:right w:w="100" w:type="dxa"/>
            </w:tcMar>
            <w:vAlign w:val="center"/>
          </w:tcPr>
          <w:p w14:paraId="5CAAEE9E" w14:textId="77777777" w:rsidR="00E37258" w:rsidRPr="00C501D4" w:rsidRDefault="00E37258" w:rsidP="00C501D4">
            <w:pPr>
              <w:jc w:val="both"/>
            </w:pPr>
            <w:r w:rsidRPr="00C501D4">
              <w:rPr>
                <w:rFonts w:ascii="Cambria" w:eastAsia="Cambria" w:hAnsi="Cambria" w:cs="Cambria"/>
                <w:color w:val="111111"/>
                <w:sz w:val="18"/>
                <w:szCs w:val="18"/>
              </w:rPr>
              <w:t>Client-side and server-side sub-network weights (split point)</w:t>
            </w:r>
          </w:p>
        </w:tc>
      </w:tr>
      <w:tr w:rsidR="00E37258" w:rsidRPr="00C501D4" w14:paraId="33FC0A75" w14:textId="77777777" w:rsidTr="00193FAA">
        <w:trPr>
          <w:trHeight w:val="202"/>
        </w:trPr>
        <w:tc>
          <w:tcPr>
            <w:tcW w:w="1962" w:type="dxa"/>
            <w:shd w:val="clear" w:color="auto" w:fill="F2F2F2"/>
            <w:tcMar>
              <w:top w:w="60" w:type="dxa"/>
              <w:left w:w="100" w:type="dxa"/>
              <w:bottom w:w="60" w:type="dxa"/>
              <w:right w:w="100" w:type="dxa"/>
            </w:tcMar>
            <w:vAlign w:val="center"/>
          </w:tcPr>
          <w:p w14:paraId="6991FBDB" w14:textId="77777777" w:rsidR="00E37258" w:rsidRPr="00C501D4" w:rsidRDefault="00E37258" w:rsidP="00C501D4">
            <w:pPr>
              <w:jc w:val="both"/>
            </w:pPr>
            <w:r w:rsidRPr="00C501D4">
              <w:rPr>
                <w:rFonts w:ascii="Cambria" w:eastAsia="Cambria" w:hAnsi="Cambria" w:cs="Cambria"/>
                <w:color w:val="111111"/>
                <w:sz w:val="18"/>
                <w:szCs w:val="18"/>
              </w:rPr>
              <w:t>ε, δ</w:t>
            </w:r>
          </w:p>
        </w:tc>
        <w:tc>
          <w:tcPr>
            <w:tcW w:w="5716" w:type="dxa"/>
            <w:shd w:val="clear" w:color="auto" w:fill="F2F2F2"/>
            <w:tcMar>
              <w:top w:w="60" w:type="dxa"/>
              <w:left w:w="100" w:type="dxa"/>
              <w:bottom w:w="60" w:type="dxa"/>
              <w:right w:w="100" w:type="dxa"/>
            </w:tcMar>
            <w:vAlign w:val="center"/>
          </w:tcPr>
          <w:p w14:paraId="2077EE42" w14:textId="77777777" w:rsidR="00E37258" w:rsidRPr="00C501D4" w:rsidRDefault="00E37258" w:rsidP="00C501D4">
            <w:pPr>
              <w:jc w:val="both"/>
            </w:pPr>
            <w:r w:rsidRPr="00C501D4">
              <w:rPr>
                <w:rFonts w:ascii="Cambria" w:eastAsia="Cambria" w:hAnsi="Cambria" w:cs="Cambria"/>
                <w:color w:val="111111"/>
                <w:sz w:val="18"/>
                <w:szCs w:val="18"/>
              </w:rPr>
              <w:t>Differential privacy budget and failure probability</w:t>
            </w:r>
          </w:p>
        </w:tc>
      </w:tr>
      <w:tr w:rsidR="00E37258" w:rsidRPr="00C501D4" w14:paraId="474B96C1" w14:textId="77777777" w:rsidTr="00193FAA">
        <w:trPr>
          <w:trHeight w:val="202"/>
        </w:trPr>
        <w:tc>
          <w:tcPr>
            <w:tcW w:w="1962" w:type="dxa"/>
            <w:tcMar>
              <w:top w:w="60" w:type="dxa"/>
              <w:left w:w="100" w:type="dxa"/>
              <w:bottom w:w="60" w:type="dxa"/>
              <w:right w:w="100" w:type="dxa"/>
            </w:tcMar>
            <w:vAlign w:val="center"/>
          </w:tcPr>
          <w:p w14:paraId="6729F1FC" w14:textId="77777777" w:rsidR="00E37258" w:rsidRPr="00C501D4" w:rsidRDefault="00193FAA" w:rsidP="00C501D4">
            <w:pPr>
              <w:jc w:val="both"/>
            </w:pPr>
            <w:r w:rsidRPr="00C501D4">
              <w:rPr>
                <w:rFonts w:ascii="Cambria" w:eastAsia="Cambria" w:hAnsi="Cambria" w:cs="Cambria"/>
                <w:color w:val="111111"/>
                <w:sz w:val="18"/>
                <w:szCs w:val="18"/>
              </w:rPr>
              <w:t>Σ</w:t>
            </w:r>
          </w:p>
        </w:tc>
        <w:tc>
          <w:tcPr>
            <w:tcW w:w="5716" w:type="dxa"/>
            <w:tcMar>
              <w:top w:w="60" w:type="dxa"/>
              <w:left w:w="100" w:type="dxa"/>
              <w:bottom w:w="60" w:type="dxa"/>
              <w:right w:w="100" w:type="dxa"/>
            </w:tcMar>
            <w:vAlign w:val="center"/>
          </w:tcPr>
          <w:p w14:paraId="4F353553" w14:textId="77777777" w:rsidR="00E37258" w:rsidRPr="00C501D4" w:rsidRDefault="00E37258" w:rsidP="00C501D4">
            <w:pPr>
              <w:jc w:val="both"/>
            </w:pPr>
            <w:r w:rsidRPr="00C501D4">
              <w:rPr>
                <w:rFonts w:ascii="Cambria" w:eastAsia="Cambria" w:hAnsi="Cambria" w:cs="Cambria"/>
                <w:color w:val="111111"/>
                <w:sz w:val="18"/>
                <w:szCs w:val="18"/>
              </w:rPr>
              <w:t>Gaussian noise multiplier for DP-SGD</w:t>
            </w:r>
          </w:p>
        </w:tc>
      </w:tr>
      <w:tr w:rsidR="00E37258" w:rsidRPr="00C501D4" w14:paraId="3C649265" w14:textId="77777777" w:rsidTr="00193FAA">
        <w:trPr>
          <w:trHeight w:val="202"/>
        </w:trPr>
        <w:tc>
          <w:tcPr>
            <w:tcW w:w="1962" w:type="dxa"/>
            <w:shd w:val="clear" w:color="auto" w:fill="F2F2F2"/>
            <w:tcMar>
              <w:top w:w="60" w:type="dxa"/>
              <w:left w:w="100" w:type="dxa"/>
              <w:bottom w:w="60" w:type="dxa"/>
              <w:right w:w="100" w:type="dxa"/>
            </w:tcMar>
            <w:vAlign w:val="center"/>
          </w:tcPr>
          <w:p w14:paraId="39E34FA4" w14:textId="77777777" w:rsidR="00E37258" w:rsidRPr="00C501D4" w:rsidRDefault="00E37258" w:rsidP="00C501D4">
            <w:pPr>
              <w:jc w:val="both"/>
            </w:pPr>
            <w:r w:rsidRPr="00C501D4">
              <w:rPr>
                <w:rFonts w:ascii="Cambria" w:eastAsia="Cambria" w:hAnsi="Cambria" w:cs="Cambria"/>
                <w:color w:val="111111"/>
                <w:sz w:val="18"/>
                <w:szCs w:val="18"/>
              </w:rPr>
              <w:t>C</w:t>
            </w:r>
          </w:p>
        </w:tc>
        <w:tc>
          <w:tcPr>
            <w:tcW w:w="5716" w:type="dxa"/>
            <w:shd w:val="clear" w:color="auto" w:fill="F2F2F2"/>
            <w:tcMar>
              <w:top w:w="60" w:type="dxa"/>
              <w:left w:w="100" w:type="dxa"/>
              <w:bottom w:w="60" w:type="dxa"/>
              <w:right w:w="100" w:type="dxa"/>
            </w:tcMar>
            <w:vAlign w:val="center"/>
          </w:tcPr>
          <w:p w14:paraId="60732523" w14:textId="77777777" w:rsidR="00E37258" w:rsidRPr="00C501D4" w:rsidRDefault="00E37258" w:rsidP="00C501D4">
            <w:pPr>
              <w:jc w:val="both"/>
            </w:pPr>
            <w:r w:rsidRPr="00C501D4">
              <w:rPr>
                <w:rFonts w:ascii="Cambria" w:eastAsia="Cambria" w:hAnsi="Cambria" w:cs="Cambria"/>
                <w:color w:val="111111"/>
                <w:sz w:val="18"/>
                <w:szCs w:val="18"/>
              </w:rPr>
              <w:t>Gradient clipping norm bound</w:t>
            </w:r>
          </w:p>
        </w:tc>
      </w:tr>
      <w:tr w:rsidR="00E37258" w:rsidRPr="00C501D4" w14:paraId="1CD1D361" w14:textId="77777777" w:rsidTr="00193FAA">
        <w:trPr>
          <w:trHeight w:val="186"/>
        </w:trPr>
        <w:tc>
          <w:tcPr>
            <w:tcW w:w="1962" w:type="dxa"/>
            <w:tcMar>
              <w:top w:w="60" w:type="dxa"/>
              <w:left w:w="100" w:type="dxa"/>
              <w:bottom w:w="60" w:type="dxa"/>
              <w:right w:w="100" w:type="dxa"/>
            </w:tcMar>
            <w:vAlign w:val="center"/>
          </w:tcPr>
          <w:p w14:paraId="79510EFF" w14:textId="77777777" w:rsidR="00E37258" w:rsidRPr="00C501D4" w:rsidRDefault="00E37258" w:rsidP="00C501D4">
            <w:pPr>
              <w:jc w:val="both"/>
            </w:pPr>
            <w:r w:rsidRPr="00C501D4">
              <w:rPr>
                <w:rFonts w:ascii="Cambria" w:eastAsia="Cambria" w:hAnsi="Cambria" w:cs="Cambria"/>
                <w:color w:val="111111"/>
                <w:sz w:val="18"/>
                <w:szCs w:val="18"/>
              </w:rPr>
              <w:t xml:space="preserve">pk, </w:t>
            </w:r>
            <w:proofErr w:type="spellStart"/>
            <w:r w:rsidRPr="00C501D4">
              <w:rPr>
                <w:rFonts w:ascii="Cambria" w:eastAsia="Cambria" w:hAnsi="Cambria" w:cs="Cambria"/>
                <w:color w:val="111111"/>
                <w:sz w:val="18"/>
                <w:szCs w:val="18"/>
              </w:rPr>
              <w:t>sk</w:t>
            </w:r>
            <w:proofErr w:type="spellEnd"/>
          </w:p>
        </w:tc>
        <w:tc>
          <w:tcPr>
            <w:tcW w:w="5716" w:type="dxa"/>
            <w:tcMar>
              <w:top w:w="60" w:type="dxa"/>
              <w:left w:w="100" w:type="dxa"/>
              <w:bottom w:w="60" w:type="dxa"/>
              <w:right w:w="100" w:type="dxa"/>
            </w:tcMar>
            <w:vAlign w:val="center"/>
          </w:tcPr>
          <w:p w14:paraId="35B93277" w14:textId="77777777" w:rsidR="00E37258" w:rsidRPr="00C501D4" w:rsidRDefault="00E37258" w:rsidP="00C501D4">
            <w:pPr>
              <w:jc w:val="both"/>
            </w:pPr>
            <w:r w:rsidRPr="00C501D4">
              <w:rPr>
                <w:rFonts w:ascii="Cambria" w:eastAsia="Cambria" w:hAnsi="Cambria" w:cs="Cambria"/>
                <w:color w:val="111111"/>
                <w:sz w:val="18"/>
                <w:szCs w:val="18"/>
              </w:rPr>
              <w:t>CKKS public and secret key pair</w:t>
            </w:r>
          </w:p>
        </w:tc>
      </w:tr>
      <w:tr w:rsidR="00E37258" w:rsidRPr="00C501D4" w14:paraId="1F0AB98B" w14:textId="77777777" w:rsidTr="00193FAA">
        <w:trPr>
          <w:trHeight w:val="202"/>
        </w:trPr>
        <w:tc>
          <w:tcPr>
            <w:tcW w:w="1962" w:type="dxa"/>
            <w:shd w:val="clear" w:color="auto" w:fill="F2F2F2"/>
            <w:tcMar>
              <w:top w:w="60" w:type="dxa"/>
              <w:left w:w="100" w:type="dxa"/>
              <w:bottom w:w="60" w:type="dxa"/>
              <w:right w:w="100" w:type="dxa"/>
            </w:tcMar>
            <w:vAlign w:val="center"/>
          </w:tcPr>
          <w:p w14:paraId="38A6E30A" w14:textId="77777777" w:rsidR="00E37258" w:rsidRPr="00C501D4" w:rsidRDefault="00E37258" w:rsidP="00C501D4">
            <w:pPr>
              <w:jc w:val="both"/>
            </w:pPr>
            <w:r w:rsidRPr="00C501D4">
              <w:rPr>
                <w:rFonts w:ascii="Cambria" w:eastAsia="Cambria" w:hAnsi="Cambria" w:cs="Cambria"/>
                <w:color w:val="111111"/>
                <w:sz w:val="18"/>
                <w:szCs w:val="18"/>
              </w:rPr>
              <w:t>Δ</w:t>
            </w:r>
          </w:p>
        </w:tc>
        <w:tc>
          <w:tcPr>
            <w:tcW w:w="5716" w:type="dxa"/>
            <w:shd w:val="clear" w:color="auto" w:fill="F2F2F2"/>
            <w:tcMar>
              <w:top w:w="60" w:type="dxa"/>
              <w:left w:w="100" w:type="dxa"/>
              <w:bottom w:w="60" w:type="dxa"/>
              <w:right w:w="100" w:type="dxa"/>
            </w:tcMar>
            <w:vAlign w:val="center"/>
          </w:tcPr>
          <w:p w14:paraId="7560D650" w14:textId="77777777" w:rsidR="00E37258" w:rsidRPr="00C501D4" w:rsidRDefault="00E37258" w:rsidP="00C501D4">
            <w:pPr>
              <w:jc w:val="both"/>
            </w:pPr>
            <w:r w:rsidRPr="00C501D4">
              <w:rPr>
                <w:rFonts w:ascii="Cambria" w:eastAsia="Cambria" w:hAnsi="Cambria" w:cs="Cambria"/>
                <w:color w:val="111111"/>
                <w:sz w:val="18"/>
                <w:szCs w:val="18"/>
              </w:rPr>
              <w:t>CKKS scaling factor (rescaling precision)</w:t>
            </w:r>
          </w:p>
        </w:tc>
      </w:tr>
      <w:tr w:rsidR="00E37258" w:rsidRPr="00C501D4" w14:paraId="10E0CF6B" w14:textId="77777777" w:rsidTr="00193FAA">
        <w:trPr>
          <w:trHeight w:val="202"/>
        </w:trPr>
        <w:tc>
          <w:tcPr>
            <w:tcW w:w="1962" w:type="dxa"/>
            <w:tcMar>
              <w:top w:w="60" w:type="dxa"/>
              <w:left w:w="100" w:type="dxa"/>
              <w:bottom w:w="60" w:type="dxa"/>
              <w:right w:w="100" w:type="dxa"/>
            </w:tcMar>
            <w:vAlign w:val="center"/>
          </w:tcPr>
          <w:p w14:paraId="797CD459" w14:textId="77777777" w:rsidR="00E37258" w:rsidRPr="00C501D4" w:rsidRDefault="00E37258" w:rsidP="00C501D4">
            <w:pPr>
              <w:jc w:val="both"/>
            </w:pPr>
            <w:r w:rsidRPr="00C501D4">
              <w:rPr>
                <w:rFonts w:ascii="Cambria" w:eastAsia="Cambria" w:hAnsi="Cambria" w:cs="Cambria"/>
                <w:color w:val="111111"/>
                <w:sz w:val="18"/>
                <w:szCs w:val="18"/>
              </w:rPr>
              <w:t>L</w:t>
            </w:r>
          </w:p>
        </w:tc>
        <w:tc>
          <w:tcPr>
            <w:tcW w:w="5716" w:type="dxa"/>
            <w:tcMar>
              <w:top w:w="60" w:type="dxa"/>
              <w:left w:w="100" w:type="dxa"/>
              <w:bottom w:w="60" w:type="dxa"/>
              <w:right w:w="100" w:type="dxa"/>
            </w:tcMar>
            <w:vAlign w:val="center"/>
          </w:tcPr>
          <w:p w14:paraId="44EB45C7" w14:textId="77777777" w:rsidR="00E37258" w:rsidRPr="00C501D4" w:rsidRDefault="00E37258" w:rsidP="00C501D4">
            <w:pPr>
              <w:jc w:val="both"/>
            </w:pPr>
            <w:r w:rsidRPr="00C501D4">
              <w:rPr>
                <w:rFonts w:ascii="Cambria" w:eastAsia="Cambria" w:hAnsi="Cambria" w:cs="Cambria"/>
                <w:color w:val="111111"/>
                <w:sz w:val="18"/>
                <w:szCs w:val="18"/>
              </w:rPr>
              <w:t>CKKS multiplicative depth / circuit level budget</w:t>
            </w:r>
          </w:p>
        </w:tc>
      </w:tr>
      <w:tr w:rsidR="00E37258" w:rsidRPr="00C501D4" w14:paraId="5E15EEBD" w14:textId="77777777" w:rsidTr="00193FAA">
        <w:trPr>
          <w:trHeight w:val="202"/>
        </w:trPr>
        <w:tc>
          <w:tcPr>
            <w:tcW w:w="1962" w:type="dxa"/>
            <w:shd w:val="clear" w:color="auto" w:fill="F2F2F2"/>
            <w:tcMar>
              <w:top w:w="60" w:type="dxa"/>
              <w:left w:w="100" w:type="dxa"/>
              <w:bottom w:w="60" w:type="dxa"/>
              <w:right w:w="100" w:type="dxa"/>
            </w:tcMar>
            <w:vAlign w:val="center"/>
          </w:tcPr>
          <w:p w14:paraId="1B81F378" w14:textId="77777777" w:rsidR="00E37258" w:rsidRPr="00C501D4" w:rsidRDefault="00E37258" w:rsidP="00C501D4">
            <w:pPr>
              <w:jc w:val="both"/>
            </w:pPr>
            <w:r w:rsidRPr="00C501D4">
              <w:rPr>
                <w:rFonts w:ascii="Cambria" w:eastAsia="Cambria" w:hAnsi="Cambria" w:cs="Cambria"/>
                <w:color w:val="111111"/>
                <w:sz w:val="18"/>
                <w:szCs w:val="18"/>
              </w:rPr>
              <w:t>N</w:t>
            </w:r>
          </w:p>
        </w:tc>
        <w:tc>
          <w:tcPr>
            <w:tcW w:w="5716" w:type="dxa"/>
            <w:shd w:val="clear" w:color="auto" w:fill="F2F2F2"/>
            <w:tcMar>
              <w:top w:w="60" w:type="dxa"/>
              <w:left w:w="100" w:type="dxa"/>
              <w:bottom w:w="60" w:type="dxa"/>
              <w:right w:w="100" w:type="dxa"/>
            </w:tcMar>
            <w:vAlign w:val="center"/>
          </w:tcPr>
          <w:p w14:paraId="636613E4" w14:textId="77777777" w:rsidR="00E37258" w:rsidRPr="00C501D4" w:rsidRDefault="00E37258" w:rsidP="00C501D4">
            <w:pPr>
              <w:jc w:val="both"/>
            </w:pPr>
            <w:r w:rsidRPr="00C501D4">
              <w:rPr>
                <w:rFonts w:ascii="Cambria" w:eastAsia="Cambria" w:hAnsi="Cambria" w:cs="Cambria"/>
                <w:color w:val="111111"/>
                <w:sz w:val="18"/>
                <w:szCs w:val="18"/>
              </w:rPr>
              <w:t>CKKS polynomial ring degree (slot capacity = N/2)</w:t>
            </w:r>
          </w:p>
        </w:tc>
      </w:tr>
      <w:tr w:rsidR="00E37258" w:rsidRPr="00C501D4" w14:paraId="15E24642" w14:textId="77777777" w:rsidTr="00193FAA">
        <w:trPr>
          <w:trHeight w:val="186"/>
        </w:trPr>
        <w:tc>
          <w:tcPr>
            <w:tcW w:w="1962" w:type="dxa"/>
            <w:tcMar>
              <w:top w:w="60" w:type="dxa"/>
              <w:left w:w="100" w:type="dxa"/>
              <w:bottom w:w="60" w:type="dxa"/>
              <w:right w:w="100" w:type="dxa"/>
            </w:tcMar>
            <w:vAlign w:val="center"/>
          </w:tcPr>
          <w:p w14:paraId="0A74AB7F" w14:textId="77777777" w:rsidR="00E37258" w:rsidRPr="00C501D4" w:rsidRDefault="00E37258" w:rsidP="00C501D4">
            <w:pPr>
              <w:jc w:val="both"/>
            </w:pPr>
            <w:proofErr w:type="gramStart"/>
            <w:r w:rsidRPr="00C501D4">
              <w:rPr>
                <w:rFonts w:ascii="Cambria" w:eastAsia="Cambria" w:hAnsi="Cambria" w:cs="Cambria"/>
                <w:color w:val="111111"/>
                <w:sz w:val="18"/>
                <w:szCs w:val="18"/>
              </w:rPr>
              <w:t>Enc(</w:t>
            </w:r>
            <w:proofErr w:type="gramEnd"/>
            <w:r w:rsidRPr="00C501D4">
              <w:rPr>
                <w:rFonts w:ascii="Cambria" w:eastAsia="Cambria" w:hAnsi="Cambria" w:cs="Cambria"/>
                <w:color w:val="111111"/>
                <w:sz w:val="18"/>
                <w:szCs w:val="18"/>
              </w:rPr>
              <w:t xml:space="preserve">·), </w:t>
            </w:r>
            <w:proofErr w:type="gramStart"/>
            <w:r w:rsidRPr="00C501D4">
              <w:rPr>
                <w:rFonts w:ascii="Cambria" w:eastAsia="Cambria" w:hAnsi="Cambria" w:cs="Cambria"/>
                <w:color w:val="111111"/>
                <w:sz w:val="18"/>
                <w:szCs w:val="18"/>
              </w:rPr>
              <w:t>Dec(</w:t>
            </w:r>
            <w:proofErr w:type="gramEnd"/>
            <w:r w:rsidRPr="00C501D4">
              <w:rPr>
                <w:rFonts w:ascii="Cambria" w:eastAsia="Cambria" w:hAnsi="Cambria" w:cs="Cambria"/>
                <w:color w:val="111111"/>
                <w:sz w:val="18"/>
                <w:szCs w:val="18"/>
              </w:rPr>
              <w:t>·)</w:t>
            </w:r>
          </w:p>
        </w:tc>
        <w:tc>
          <w:tcPr>
            <w:tcW w:w="5716" w:type="dxa"/>
            <w:tcMar>
              <w:top w:w="60" w:type="dxa"/>
              <w:left w:w="100" w:type="dxa"/>
              <w:bottom w:w="60" w:type="dxa"/>
              <w:right w:w="100" w:type="dxa"/>
            </w:tcMar>
            <w:vAlign w:val="center"/>
          </w:tcPr>
          <w:p w14:paraId="38E3CAA7" w14:textId="77777777" w:rsidR="00E37258" w:rsidRPr="00C501D4" w:rsidRDefault="00E37258" w:rsidP="00C501D4">
            <w:pPr>
              <w:jc w:val="both"/>
            </w:pPr>
            <w:r w:rsidRPr="00C501D4">
              <w:rPr>
                <w:rFonts w:ascii="Cambria" w:eastAsia="Cambria" w:hAnsi="Cambria" w:cs="Cambria"/>
                <w:color w:val="111111"/>
                <w:sz w:val="18"/>
                <w:szCs w:val="18"/>
              </w:rPr>
              <w:t>CKKS encryption and decryption operations</w:t>
            </w:r>
          </w:p>
        </w:tc>
      </w:tr>
      <w:tr w:rsidR="00E37258" w:rsidRPr="00C501D4" w14:paraId="159BC248" w14:textId="77777777" w:rsidTr="00193FAA">
        <w:trPr>
          <w:trHeight w:val="202"/>
        </w:trPr>
        <w:tc>
          <w:tcPr>
            <w:tcW w:w="1962" w:type="dxa"/>
            <w:shd w:val="clear" w:color="auto" w:fill="F2F2F2"/>
            <w:tcMar>
              <w:top w:w="60" w:type="dxa"/>
              <w:left w:w="100" w:type="dxa"/>
              <w:bottom w:w="60" w:type="dxa"/>
              <w:right w:w="100" w:type="dxa"/>
            </w:tcMar>
            <w:vAlign w:val="center"/>
          </w:tcPr>
          <w:p w14:paraId="24AE006F" w14:textId="77777777" w:rsidR="00E37258" w:rsidRPr="00C501D4" w:rsidRDefault="00E37258" w:rsidP="00C501D4">
            <w:pPr>
              <w:jc w:val="both"/>
            </w:pPr>
            <w:r w:rsidRPr="00C501D4">
              <w:rPr>
                <w:rFonts w:ascii="Cambria" w:eastAsia="Cambria" w:hAnsi="Cambria" w:cs="Cambria"/>
                <w:color w:val="111111"/>
                <w:sz w:val="18"/>
                <w:szCs w:val="18"/>
              </w:rPr>
              <w:t>Λ</w:t>
            </w:r>
          </w:p>
        </w:tc>
        <w:tc>
          <w:tcPr>
            <w:tcW w:w="5716" w:type="dxa"/>
            <w:shd w:val="clear" w:color="auto" w:fill="F2F2F2"/>
            <w:tcMar>
              <w:top w:w="60" w:type="dxa"/>
              <w:left w:w="100" w:type="dxa"/>
              <w:bottom w:w="60" w:type="dxa"/>
              <w:right w:w="100" w:type="dxa"/>
            </w:tcMar>
            <w:vAlign w:val="center"/>
          </w:tcPr>
          <w:p w14:paraId="42536D7A" w14:textId="77777777" w:rsidR="00E37258" w:rsidRPr="00C501D4" w:rsidRDefault="00E37258" w:rsidP="00C501D4">
            <w:pPr>
              <w:jc w:val="both"/>
            </w:pPr>
            <w:r w:rsidRPr="00C501D4">
              <w:rPr>
                <w:rFonts w:ascii="Cambria" w:eastAsia="Cambria" w:hAnsi="Cambria" w:cs="Cambria"/>
                <w:color w:val="111111"/>
                <w:sz w:val="18"/>
                <w:szCs w:val="18"/>
              </w:rPr>
              <w:t>Computational security parameter (bits)</w:t>
            </w:r>
          </w:p>
        </w:tc>
      </w:tr>
      <w:tr w:rsidR="00E37258" w:rsidRPr="00C501D4" w14:paraId="548CAEAA" w14:textId="77777777" w:rsidTr="00193FAA">
        <w:trPr>
          <w:trHeight w:val="186"/>
        </w:trPr>
        <w:tc>
          <w:tcPr>
            <w:tcW w:w="1962" w:type="dxa"/>
            <w:tcMar>
              <w:top w:w="60" w:type="dxa"/>
              <w:left w:w="100" w:type="dxa"/>
              <w:bottom w:w="60" w:type="dxa"/>
              <w:right w:w="100" w:type="dxa"/>
            </w:tcMar>
            <w:vAlign w:val="center"/>
          </w:tcPr>
          <w:p w14:paraId="1378F949" w14:textId="77777777" w:rsidR="00E37258" w:rsidRPr="00C501D4" w:rsidRDefault="00E37258" w:rsidP="00C501D4">
            <w:pPr>
              <w:jc w:val="both"/>
            </w:pPr>
            <w:r w:rsidRPr="00C501D4">
              <w:rPr>
                <w:rFonts w:ascii="Cambria" w:eastAsia="Cambria" w:hAnsi="Cambria" w:cs="Cambria"/>
                <w:color w:val="111111"/>
                <w:sz w:val="18"/>
                <w:szCs w:val="18"/>
              </w:rPr>
              <w:t>Acc, Lat</w:t>
            </w:r>
          </w:p>
        </w:tc>
        <w:tc>
          <w:tcPr>
            <w:tcW w:w="5716" w:type="dxa"/>
            <w:tcMar>
              <w:top w:w="60" w:type="dxa"/>
              <w:left w:w="100" w:type="dxa"/>
              <w:bottom w:w="60" w:type="dxa"/>
              <w:right w:w="100" w:type="dxa"/>
            </w:tcMar>
            <w:vAlign w:val="center"/>
          </w:tcPr>
          <w:p w14:paraId="230010AE" w14:textId="77777777" w:rsidR="00E37258" w:rsidRPr="00C501D4" w:rsidRDefault="00E37258" w:rsidP="00C501D4">
            <w:pPr>
              <w:jc w:val="both"/>
            </w:pPr>
            <w:r w:rsidRPr="00C501D4">
              <w:rPr>
                <w:rFonts w:ascii="Cambria" w:eastAsia="Cambria" w:hAnsi="Cambria" w:cs="Cambria"/>
                <w:color w:val="111111"/>
                <w:sz w:val="18"/>
                <w:szCs w:val="18"/>
              </w:rPr>
              <w:t>Model test accuracy and end-to-end inference latency</w:t>
            </w:r>
          </w:p>
        </w:tc>
      </w:tr>
    </w:tbl>
    <w:p w14:paraId="3415863A" w14:textId="77777777" w:rsidR="00193FAA" w:rsidRPr="00C501D4" w:rsidRDefault="00193FAA" w:rsidP="00C501D4">
      <w:pPr>
        <w:spacing w:after="160" w:line="276" w:lineRule="auto"/>
        <w:jc w:val="both"/>
        <w:rPr>
          <w:rFonts w:ascii="Cambria" w:eastAsia="Cambria" w:hAnsi="Cambria" w:cs="Cambria"/>
          <w:b/>
          <w:bCs/>
          <w:caps/>
          <w:sz w:val="26"/>
          <w:szCs w:val="26"/>
        </w:rPr>
      </w:pPr>
    </w:p>
    <w:p w14:paraId="38CB2A13" w14:textId="77777777" w:rsidR="00193FAA" w:rsidRPr="00C501D4" w:rsidRDefault="00193FAA" w:rsidP="00C501D4">
      <w:pPr>
        <w:spacing w:after="160" w:line="276" w:lineRule="auto"/>
        <w:jc w:val="both"/>
        <w:rPr>
          <w:rFonts w:ascii="Cambria" w:eastAsia="Cambria" w:hAnsi="Cambria" w:cs="Cambria"/>
          <w:b/>
          <w:bCs/>
          <w:caps/>
          <w:sz w:val="26"/>
          <w:szCs w:val="26"/>
        </w:rPr>
      </w:pPr>
    </w:p>
    <w:p w14:paraId="6519EDEC" w14:textId="77777777" w:rsidR="00193FAA" w:rsidRPr="00C501D4" w:rsidRDefault="00193FAA" w:rsidP="00C501D4">
      <w:pPr>
        <w:spacing w:after="160" w:line="276" w:lineRule="auto"/>
        <w:jc w:val="both"/>
        <w:rPr>
          <w:rFonts w:ascii="Cambria" w:eastAsia="Cambria" w:hAnsi="Cambria" w:cs="Cambria"/>
          <w:b/>
          <w:bCs/>
          <w:caps/>
          <w:sz w:val="26"/>
          <w:szCs w:val="26"/>
        </w:rPr>
      </w:pPr>
    </w:p>
    <w:p w14:paraId="2EC95A77" w14:textId="77777777" w:rsidR="00193FAA" w:rsidRPr="00C501D4" w:rsidRDefault="00193FAA" w:rsidP="00C501D4">
      <w:pPr>
        <w:spacing w:after="160" w:line="276" w:lineRule="auto"/>
        <w:jc w:val="both"/>
        <w:rPr>
          <w:rFonts w:ascii="Cambria" w:eastAsia="Cambria" w:hAnsi="Cambria" w:cs="Cambria"/>
          <w:b/>
          <w:bCs/>
          <w:caps/>
          <w:sz w:val="26"/>
          <w:szCs w:val="26"/>
        </w:rPr>
      </w:pPr>
    </w:p>
    <w:p w14:paraId="7DA05800" w14:textId="77777777" w:rsidR="00193FAA" w:rsidRPr="00C501D4" w:rsidRDefault="00193FAA" w:rsidP="00C501D4">
      <w:pPr>
        <w:spacing w:after="160" w:line="276" w:lineRule="auto"/>
        <w:jc w:val="both"/>
        <w:rPr>
          <w:rFonts w:ascii="Cambria" w:eastAsia="Cambria" w:hAnsi="Cambria" w:cs="Cambria"/>
          <w:b/>
          <w:bCs/>
          <w:caps/>
          <w:sz w:val="26"/>
          <w:szCs w:val="26"/>
        </w:rPr>
      </w:pPr>
    </w:p>
    <w:p w14:paraId="0B5CF0DD" w14:textId="77777777" w:rsidR="00193FAA" w:rsidRPr="00C501D4" w:rsidRDefault="00193FAA" w:rsidP="00C501D4">
      <w:pPr>
        <w:spacing w:after="160" w:line="276" w:lineRule="auto"/>
        <w:jc w:val="both"/>
        <w:rPr>
          <w:rFonts w:ascii="Cambria" w:eastAsia="Cambria" w:hAnsi="Cambria" w:cs="Cambria"/>
          <w:b/>
          <w:bCs/>
          <w:caps/>
          <w:sz w:val="26"/>
          <w:szCs w:val="26"/>
        </w:rPr>
      </w:pPr>
    </w:p>
    <w:p w14:paraId="07910151" w14:textId="77777777" w:rsidR="00193FAA" w:rsidRPr="00C501D4" w:rsidRDefault="00193FAA" w:rsidP="00C501D4">
      <w:pPr>
        <w:spacing w:after="160" w:line="276" w:lineRule="auto"/>
        <w:jc w:val="both"/>
        <w:rPr>
          <w:rFonts w:ascii="Cambria" w:eastAsia="Cambria" w:hAnsi="Cambria" w:cs="Cambria"/>
          <w:b/>
          <w:bCs/>
          <w:caps/>
          <w:sz w:val="26"/>
          <w:szCs w:val="26"/>
        </w:rPr>
      </w:pPr>
    </w:p>
    <w:p w14:paraId="60EC2849" w14:textId="77777777" w:rsidR="00193FAA" w:rsidRPr="00C501D4" w:rsidRDefault="00193FAA" w:rsidP="00C501D4">
      <w:pPr>
        <w:spacing w:after="160" w:line="276" w:lineRule="auto"/>
        <w:jc w:val="both"/>
        <w:rPr>
          <w:rFonts w:ascii="Cambria" w:eastAsia="Cambria" w:hAnsi="Cambria" w:cs="Cambria"/>
          <w:b/>
          <w:bCs/>
          <w:caps/>
          <w:sz w:val="26"/>
          <w:szCs w:val="26"/>
        </w:rPr>
      </w:pPr>
    </w:p>
    <w:p w14:paraId="5ED26AA2" w14:textId="77777777" w:rsidR="00193FAA" w:rsidRPr="00C501D4" w:rsidRDefault="00193FAA" w:rsidP="00C501D4">
      <w:pPr>
        <w:spacing w:after="160" w:line="276" w:lineRule="auto"/>
        <w:jc w:val="both"/>
        <w:rPr>
          <w:rFonts w:ascii="Cambria" w:eastAsia="Cambria" w:hAnsi="Cambria" w:cs="Cambria"/>
          <w:b/>
          <w:bCs/>
          <w:caps/>
          <w:sz w:val="26"/>
          <w:szCs w:val="26"/>
        </w:rPr>
      </w:pPr>
    </w:p>
    <w:p w14:paraId="4951BB31" w14:textId="77777777" w:rsidR="00AB5DCE" w:rsidRPr="00C501D4" w:rsidRDefault="00000000" w:rsidP="00C501D4">
      <w:pPr>
        <w:spacing w:after="160" w:line="276" w:lineRule="auto"/>
        <w:jc w:val="both"/>
      </w:pPr>
      <w:r w:rsidRPr="00C501D4">
        <w:rPr>
          <w:rFonts w:ascii="Cambria" w:eastAsia="Cambria" w:hAnsi="Cambria" w:cs="Cambria"/>
          <w:b/>
          <w:bCs/>
          <w:caps/>
          <w:sz w:val="26"/>
          <w:szCs w:val="26"/>
        </w:rPr>
        <w:t>V. Experimental Methodology</w:t>
      </w:r>
    </w:p>
    <w:p w14:paraId="5F8727AE" w14:textId="77777777" w:rsidR="00E37258" w:rsidRPr="00C501D4" w:rsidRDefault="00E37258" w:rsidP="00C501D4">
      <w:pPr>
        <w:spacing w:before="100" w:after="260"/>
        <w:jc w:val="both"/>
        <w:rPr>
          <w:rFonts w:ascii="Cambria" w:eastAsia="Cambria" w:hAnsi="Cambria" w:cs="Cambria"/>
          <w:sz w:val="22"/>
          <w:szCs w:val="22"/>
        </w:rPr>
      </w:pPr>
      <w:r w:rsidRPr="00C501D4">
        <w:rPr>
          <w:rFonts w:ascii="Cambria" w:eastAsia="Cambria" w:hAnsi="Cambria" w:cs="Cambria"/>
          <w:sz w:val="22"/>
          <w:szCs w:val="22"/>
        </w:rPr>
        <w:t>For the cryptographic layer, we implemented the tri-layered architecture using Microsoft SEAL (CKKS scheme) (Microsoft Research, 2023); for the statistical layer, we used a custom DP-SGD implementation with Rényi DP accounting (Mironov, 2017); and for the split-learning layer, we used a manually partitioned CNN-</w:t>
      </w:r>
      <w:proofErr w:type="spellStart"/>
      <w:r w:rsidRPr="00C501D4">
        <w:rPr>
          <w:rFonts w:ascii="Cambria" w:eastAsia="Cambria" w:hAnsi="Cambria" w:cs="Cambria"/>
          <w:sz w:val="22"/>
          <w:szCs w:val="22"/>
        </w:rPr>
        <w:t>BiLSTM</w:t>
      </w:r>
      <w:proofErr w:type="spellEnd"/>
      <w:r w:rsidRPr="00C501D4">
        <w:rPr>
          <w:rFonts w:ascii="Cambria" w:eastAsia="Cambria" w:hAnsi="Cambria" w:cs="Cambria"/>
          <w:sz w:val="22"/>
          <w:szCs w:val="22"/>
        </w:rPr>
        <w:t xml:space="preserve"> hybrid network. The complete experimental configuration is presented in Table 3.</w:t>
      </w:r>
    </w:p>
    <w:p w14:paraId="5F0A3917" w14:textId="77777777" w:rsidR="00AB5DCE" w:rsidRPr="00C501D4" w:rsidRDefault="00000000" w:rsidP="00C501D4">
      <w:pPr>
        <w:spacing w:before="100" w:after="260"/>
        <w:jc w:val="both"/>
      </w:pPr>
      <w:r w:rsidRPr="00C501D4">
        <w:rPr>
          <w:rFonts w:ascii="Cambria" w:eastAsia="Cambria" w:hAnsi="Cambria" w:cs="Cambria"/>
          <w:b/>
          <w:bCs/>
        </w:rPr>
        <w:t xml:space="preserve">TABLE </w:t>
      </w:r>
      <w:r w:rsidR="00F35242" w:rsidRPr="00C501D4">
        <w:rPr>
          <w:rFonts w:ascii="Cambria" w:eastAsia="Cambria" w:hAnsi="Cambria" w:cs="Cambria"/>
          <w:b/>
          <w:bCs/>
        </w:rPr>
        <w:t>3</w:t>
      </w:r>
      <w:r w:rsidRPr="00C501D4">
        <w:rPr>
          <w:rFonts w:ascii="Cambria" w:eastAsia="Cambria" w:hAnsi="Cambria" w:cs="Cambria"/>
          <w:b/>
          <w:bCs/>
        </w:rPr>
        <w:t>. Experimental Configuration Parameters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AB5DCE" w:rsidRPr="00C501D4" w14:paraId="31570546" w14:textId="77777777">
        <w:trPr>
          <w:tblHeader/>
        </w:trPr>
        <w:tc>
          <w:tcPr>
            <w:tcW w:w="4500" w:type="dxa"/>
            <w:shd w:val="clear" w:color="auto" w:fill="1F3864"/>
            <w:tcMar>
              <w:top w:w="60" w:type="dxa"/>
              <w:left w:w="100" w:type="dxa"/>
              <w:bottom w:w="60" w:type="dxa"/>
              <w:right w:w="100" w:type="dxa"/>
            </w:tcMar>
            <w:vAlign w:val="center"/>
          </w:tcPr>
          <w:p w14:paraId="263D235D" w14:textId="77777777" w:rsidR="00AB5DCE" w:rsidRPr="00C501D4" w:rsidRDefault="00000000" w:rsidP="00C501D4">
            <w:pPr>
              <w:jc w:val="both"/>
            </w:pPr>
            <w:r w:rsidRPr="00C501D4">
              <w:rPr>
                <w:rFonts w:ascii="Cambria" w:eastAsia="Cambria" w:hAnsi="Cambria" w:cs="Cambria"/>
                <w:b/>
                <w:bCs/>
                <w:color w:val="FFFFFF"/>
                <w:sz w:val="18"/>
                <w:szCs w:val="18"/>
              </w:rPr>
              <w:t>Parameter</w:t>
            </w:r>
          </w:p>
        </w:tc>
        <w:tc>
          <w:tcPr>
            <w:tcW w:w="4500" w:type="dxa"/>
            <w:shd w:val="clear" w:color="auto" w:fill="1F3864"/>
            <w:tcMar>
              <w:top w:w="60" w:type="dxa"/>
              <w:left w:w="100" w:type="dxa"/>
              <w:bottom w:w="60" w:type="dxa"/>
              <w:right w:w="100" w:type="dxa"/>
            </w:tcMar>
            <w:vAlign w:val="center"/>
          </w:tcPr>
          <w:p w14:paraId="128271DE" w14:textId="77777777" w:rsidR="00AB5DCE" w:rsidRPr="00C501D4" w:rsidRDefault="00000000" w:rsidP="00C501D4">
            <w:pPr>
              <w:jc w:val="both"/>
            </w:pPr>
            <w:r w:rsidRPr="00C501D4">
              <w:rPr>
                <w:rFonts w:ascii="Cambria" w:eastAsia="Cambria" w:hAnsi="Cambria" w:cs="Cambria"/>
                <w:b/>
                <w:bCs/>
                <w:color w:val="FFFFFF"/>
                <w:sz w:val="18"/>
                <w:szCs w:val="18"/>
              </w:rPr>
              <w:t>Value</w:t>
            </w:r>
          </w:p>
        </w:tc>
      </w:tr>
      <w:tr w:rsidR="00AB5DCE" w:rsidRPr="00C501D4" w14:paraId="08D9F5B6" w14:textId="77777777">
        <w:tc>
          <w:tcPr>
            <w:tcW w:w="4500" w:type="dxa"/>
            <w:tcMar>
              <w:top w:w="60" w:type="dxa"/>
              <w:left w:w="100" w:type="dxa"/>
              <w:bottom w:w="60" w:type="dxa"/>
              <w:right w:w="100" w:type="dxa"/>
            </w:tcMar>
            <w:vAlign w:val="center"/>
          </w:tcPr>
          <w:p w14:paraId="72722E09" w14:textId="77777777" w:rsidR="00AB5DCE" w:rsidRPr="00C501D4" w:rsidRDefault="00000000" w:rsidP="00C501D4">
            <w:pPr>
              <w:jc w:val="both"/>
            </w:pPr>
            <w:r w:rsidRPr="00C501D4">
              <w:rPr>
                <w:rFonts w:ascii="Cambria" w:eastAsia="Cambria" w:hAnsi="Cambria" w:cs="Cambria"/>
                <w:color w:val="111111"/>
                <w:sz w:val="18"/>
                <w:szCs w:val="18"/>
              </w:rPr>
              <w:t>Datasets</w:t>
            </w:r>
          </w:p>
        </w:tc>
        <w:tc>
          <w:tcPr>
            <w:tcW w:w="4500" w:type="dxa"/>
            <w:tcMar>
              <w:top w:w="60" w:type="dxa"/>
              <w:left w:w="100" w:type="dxa"/>
              <w:bottom w:w="60" w:type="dxa"/>
              <w:right w:w="100" w:type="dxa"/>
            </w:tcMar>
            <w:vAlign w:val="center"/>
          </w:tcPr>
          <w:p w14:paraId="215D06C8" w14:textId="77777777" w:rsidR="00AB5DCE" w:rsidRPr="00C501D4" w:rsidRDefault="00000000" w:rsidP="00C501D4">
            <w:pPr>
              <w:jc w:val="both"/>
            </w:pPr>
            <w:r w:rsidRPr="00C501D4">
              <w:rPr>
                <w:rFonts w:ascii="Cambria" w:eastAsia="Cambria" w:hAnsi="Cambria" w:cs="Cambria"/>
                <w:color w:val="111111"/>
                <w:sz w:val="18"/>
                <w:szCs w:val="18"/>
              </w:rPr>
              <w:t>CIFAR-10, MNIST, and a proprietary T&amp;D fault-signature dataset (7-class)</w:t>
            </w:r>
          </w:p>
        </w:tc>
      </w:tr>
      <w:tr w:rsidR="00AB5DCE" w:rsidRPr="00C501D4" w14:paraId="549258E2" w14:textId="77777777">
        <w:tc>
          <w:tcPr>
            <w:tcW w:w="4500" w:type="dxa"/>
            <w:shd w:val="clear" w:color="auto" w:fill="F2F2F2"/>
            <w:tcMar>
              <w:top w:w="60" w:type="dxa"/>
              <w:left w:w="100" w:type="dxa"/>
              <w:bottom w:w="60" w:type="dxa"/>
              <w:right w:w="100" w:type="dxa"/>
            </w:tcMar>
            <w:vAlign w:val="center"/>
          </w:tcPr>
          <w:p w14:paraId="2CB3EC6F" w14:textId="77777777" w:rsidR="00AB5DCE" w:rsidRPr="00C501D4" w:rsidRDefault="00000000" w:rsidP="00C501D4">
            <w:pPr>
              <w:jc w:val="both"/>
            </w:pPr>
            <w:r w:rsidRPr="00C501D4">
              <w:rPr>
                <w:rFonts w:ascii="Cambria" w:eastAsia="Cambria" w:hAnsi="Cambria" w:cs="Cambria"/>
                <w:color w:val="111111"/>
                <w:sz w:val="18"/>
                <w:szCs w:val="18"/>
              </w:rPr>
              <w:t>Backbone model</w:t>
            </w:r>
          </w:p>
        </w:tc>
        <w:tc>
          <w:tcPr>
            <w:tcW w:w="4500" w:type="dxa"/>
            <w:shd w:val="clear" w:color="auto" w:fill="F2F2F2"/>
            <w:tcMar>
              <w:top w:w="60" w:type="dxa"/>
              <w:left w:w="100" w:type="dxa"/>
              <w:bottom w:w="60" w:type="dxa"/>
              <w:right w:w="100" w:type="dxa"/>
            </w:tcMar>
            <w:vAlign w:val="center"/>
          </w:tcPr>
          <w:p w14:paraId="0D822356" w14:textId="77777777" w:rsidR="00AB5DCE" w:rsidRPr="00C501D4" w:rsidRDefault="00000000" w:rsidP="00C501D4">
            <w:pPr>
              <w:jc w:val="both"/>
            </w:pPr>
            <w:r w:rsidRPr="00C501D4">
              <w:rPr>
                <w:rFonts w:ascii="Cambria" w:eastAsia="Cambria" w:hAnsi="Cambria" w:cs="Cambria"/>
                <w:color w:val="111111"/>
                <w:sz w:val="18"/>
                <w:szCs w:val="18"/>
              </w:rPr>
              <w:t>CNN-</w:t>
            </w:r>
            <w:proofErr w:type="spellStart"/>
            <w:r w:rsidRPr="00C501D4">
              <w:rPr>
                <w:rFonts w:ascii="Cambria" w:eastAsia="Cambria" w:hAnsi="Cambria" w:cs="Cambria"/>
                <w:color w:val="111111"/>
                <w:sz w:val="18"/>
                <w:szCs w:val="18"/>
              </w:rPr>
              <w:t>BiLSTM</w:t>
            </w:r>
            <w:proofErr w:type="spellEnd"/>
            <w:r w:rsidRPr="00C501D4">
              <w:rPr>
                <w:rFonts w:ascii="Cambria" w:eastAsia="Cambria" w:hAnsi="Cambria" w:cs="Cambria"/>
                <w:color w:val="111111"/>
                <w:sz w:val="18"/>
                <w:szCs w:val="18"/>
              </w:rPr>
              <w:t xml:space="preserve"> hybrid (client: 3 conv blocks; server: </w:t>
            </w:r>
            <w:proofErr w:type="spellStart"/>
            <w:r w:rsidRPr="00C501D4">
              <w:rPr>
                <w:rFonts w:ascii="Cambria" w:eastAsia="Cambria" w:hAnsi="Cambria" w:cs="Cambria"/>
                <w:color w:val="111111"/>
                <w:sz w:val="18"/>
                <w:szCs w:val="18"/>
              </w:rPr>
              <w:t>BiLSTM</w:t>
            </w:r>
            <w:proofErr w:type="spellEnd"/>
            <w:r w:rsidRPr="00C501D4">
              <w:rPr>
                <w:rFonts w:ascii="Cambria" w:eastAsia="Cambria" w:hAnsi="Cambria" w:cs="Cambria"/>
                <w:color w:val="111111"/>
                <w:sz w:val="18"/>
                <w:szCs w:val="18"/>
              </w:rPr>
              <w:t xml:space="preserve"> + dense head)</w:t>
            </w:r>
          </w:p>
        </w:tc>
      </w:tr>
      <w:tr w:rsidR="00AB5DCE" w:rsidRPr="00C501D4" w14:paraId="63D32E67" w14:textId="77777777">
        <w:tc>
          <w:tcPr>
            <w:tcW w:w="4500" w:type="dxa"/>
            <w:tcMar>
              <w:top w:w="60" w:type="dxa"/>
              <w:left w:w="100" w:type="dxa"/>
              <w:bottom w:w="60" w:type="dxa"/>
              <w:right w:w="100" w:type="dxa"/>
            </w:tcMar>
            <w:vAlign w:val="center"/>
          </w:tcPr>
          <w:p w14:paraId="0D68AA40" w14:textId="77777777" w:rsidR="00AB5DCE" w:rsidRPr="00C501D4" w:rsidRDefault="00000000" w:rsidP="00C501D4">
            <w:pPr>
              <w:jc w:val="both"/>
            </w:pPr>
            <w:r w:rsidRPr="00C501D4">
              <w:rPr>
                <w:rFonts w:ascii="Cambria" w:eastAsia="Cambria" w:hAnsi="Cambria" w:cs="Cambria"/>
                <w:color w:val="111111"/>
                <w:sz w:val="18"/>
                <w:szCs w:val="18"/>
              </w:rPr>
              <w:lastRenderedPageBreak/>
              <w:t>Split point</w:t>
            </w:r>
          </w:p>
        </w:tc>
        <w:tc>
          <w:tcPr>
            <w:tcW w:w="4500" w:type="dxa"/>
            <w:tcMar>
              <w:top w:w="60" w:type="dxa"/>
              <w:left w:w="100" w:type="dxa"/>
              <w:bottom w:w="60" w:type="dxa"/>
              <w:right w:w="100" w:type="dxa"/>
            </w:tcMar>
            <w:vAlign w:val="center"/>
          </w:tcPr>
          <w:p w14:paraId="03580C0E" w14:textId="77777777" w:rsidR="00AB5DCE" w:rsidRPr="00C501D4" w:rsidRDefault="00000000" w:rsidP="00C501D4">
            <w:pPr>
              <w:jc w:val="both"/>
            </w:pPr>
            <w:r w:rsidRPr="00C501D4">
              <w:rPr>
                <w:rFonts w:ascii="Cambria" w:eastAsia="Cambria" w:hAnsi="Cambria" w:cs="Cambria"/>
                <w:color w:val="111111"/>
                <w:sz w:val="18"/>
                <w:szCs w:val="18"/>
              </w:rPr>
              <w:t>After 3rd convolutional block (activation tensor: 8×8×64)</w:t>
            </w:r>
          </w:p>
        </w:tc>
      </w:tr>
      <w:tr w:rsidR="00AB5DCE" w:rsidRPr="00C501D4" w14:paraId="70EDF63A" w14:textId="77777777">
        <w:tc>
          <w:tcPr>
            <w:tcW w:w="4500" w:type="dxa"/>
            <w:shd w:val="clear" w:color="auto" w:fill="F2F2F2"/>
            <w:tcMar>
              <w:top w:w="60" w:type="dxa"/>
              <w:left w:w="100" w:type="dxa"/>
              <w:bottom w:w="60" w:type="dxa"/>
              <w:right w:w="100" w:type="dxa"/>
            </w:tcMar>
            <w:vAlign w:val="center"/>
          </w:tcPr>
          <w:p w14:paraId="37A823E6" w14:textId="77777777" w:rsidR="00AB5DCE" w:rsidRPr="00C501D4" w:rsidRDefault="00000000" w:rsidP="00C501D4">
            <w:pPr>
              <w:jc w:val="both"/>
            </w:pPr>
            <w:r w:rsidRPr="00C501D4">
              <w:rPr>
                <w:rFonts w:ascii="Cambria" w:eastAsia="Cambria" w:hAnsi="Cambria" w:cs="Cambria"/>
                <w:color w:val="111111"/>
                <w:sz w:val="18"/>
                <w:szCs w:val="18"/>
              </w:rPr>
              <w:t>DP mechanism</w:t>
            </w:r>
          </w:p>
        </w:tc>
        <w:tc>
          <w:tcPr>
            <w:tcW w:w="4500" w:type="dxa"/>
            <w:shd w:val="clear" w:color="auto" w:fill="F2F2F2"/>
            <w:tcMar>
              <w:top w:w="60" w:type="dxa"/>
              <w:left w:w="100" w:type="dxa"/>
              <w:bottom w:w="60" w:type="dxa"/>
              <w:right w:w="100" w:type="dxa"/>
            </w:tcMar>
            <w:vAlign w:val="center"/>
          </w:tcPr>
          <w:p w14:paraId="4875F968" w14:textId="77777777" w:rsidR="00AB5DCE" w:rsidRPr="00C501D4" w:rsidRDefault="00000000" w:rsidP="00C501D4">
            <w:pPr>
              <w:jc w:val="both"/>
            </w:pPr>
            <w:r w:rsidRPr="00C501D4">
              <w:rPr>
                <w:rFonts w:ascii="Cambria" w:eastAsia="Cambria" w:hAnsi="Cambria" w:cs="Cambria"/>
                <w:color w:val="111111"/>
                <w:sz w:val="18"/>
                <w:szCs w:val="18"/>
              </w:rPr>
              <w:t>DP-SGD with per-example gradient clipping</w:t>
            </w:r>
          </w:p>
        </w:tc>
      </w:tr>
      <w:tr w:rsidR="00AB5DCE" w:rsidRPr="00C501D4" w14:paraId="4F8C6A4D" w14:textId="77777777">
        <w:tc>
          <w:tcPr>
            <w:tcW w:w="4500" w:type="dxa"/>
            <w:tcMar>
              <w:top w:w="60" w:type="dxa"/>
              <w:left w:w="100" w:type="dxa"/>
              <w:bottom w:w="60" w:type="dxa"/>
              <w:right w:w="100" w:type="dxa"/>
            </w:tcMar>
            <w:vAlign w:val="center"/>
          </w:tcPr>
          <w:p w14:paraId="740BFB0A" w14:textId="77777777" w:rsidR="00AB5DCE" w:rsidRPr="00C501D4" w:rsidRDefault="00000000" w:rsidP="00C501D4">
            <w:pPr>
              <w:jc w:val="both"/>
            </w:pPr>
            <w:r w:rsidRPr="00C501D4">
              <w:rPr>
                <w:rFonts w:ascii="Cambria" w:eastAsia="Cambria" w:hAnsi="Cambria" w:cs="Cambria"/>
                <w:color w:val="111111"/>
                <w:sz w:val="18"/>
                <w:szCs w:val="18"/>
              </w:rPr>
              <w:t>Clipping norm C</w:t>
            </w:r>
          </w:p>
        </w:tc>
        <w:tc>
          <w:tcPr>
            <w:tcW w:w="4500" w:type="dxa"/>
            <w:tcMar>
              <w:top w:w="60" w:type="dxa"/>
              <w:left w:w="100" w:type="dxa"/>
              <w:bottom w:w="60" w:type="dxa"/>
              <w:right w:w="100" w:type="dxa"/>
            </w:tcMar>
            <w:vAlign w:val="center"/>
          </w:tcPr>
          <w:p w14:paraId="0AAAA519" w14:textId="77777777" w:rsidR="00AB5DCE" w:rsidRPr="00C501D4" w:rsidRDefault="00000000" w:rsidP="00C501D4">
            <w:pPr>
              <w:jc w:val="both"/>
            </w:pPr>
            <w:r w:rsidRPr="00C501D4">
              <w:rPr>
                <w:rFonts w:ascii="Cambria" w:eastAsia="Cambria" w:hAnsi="Cambria" w:cs="Cambria"/>
                <w:color w:val="111111"/>
                <w:sz w:val="18"/>
                <w:szCs w:val="18"/>
              </w:rPr>
              <w:t>1.0</w:t>
            </w:r>
          </w:p>
        </w:tc>
      </w:tr>
      <w:tr w:rsidR="00AB5DCE" w:rsidRPr="00C501D4" w14:paraId="7D6417A3" w14:textId="77777777">
        <w:tc>
          <w:tcPr>
            <w:tcW w:w="4500" w:type="dxa"/>
            <w:shd w:val="clear" w:color="auto" w:fill="F2F2F2"/>
            <w:tcMar>
              <w:top w:w="60" w:type="dxa"/>
              <w:left w:w="100" w:type="dxa"/>
              <w:bottom w:w="60" w:type="dxa"/>
              <w:right w:w="100" w:type="dxa"/>
            </w:tcMar>
            <w:vAlign w:val="center"/>
          </w:tcPr>
          <w:p w14:paraId="58D6EAFB" w14:textId="77777777" w:rsidR="00AB5DCE" w:rsidRPr="00C501D4" w:rsidRDefault="00000000" w:rsidP="00C501D4">
            <w:pPr>
              <w:jc w:val="both"/>
            </w:pPr>
            <w:r w:rsidRPr="00C501D4">
              <w:rPr>
                <w:rFonts w:ascii="Cambria" w:eastAsia="Cambria" w:hAnsi="Cambria" w:cs="Cambria"/>
                <w:color w:val="111111"/>
                <w:sz w:val="18"/>
                <w:szCs w:val="18"/>
              </w:rPr>
              <w:t>Noise multiplier σ</w:t>
            </w:r>
          </w:p>
        </w:tc>
        <w:tc>
          <w:tcPr>
            <w:tcW w:w="4500" w:type="dxa"/>
            <w:shd w:val="clear" w:color="auto" w:fill="F2F2F2"/>
            <w:tcMar>
              <w:top w:w="60" w:type="dxa"/>
              <w:left w:w="100" w:type="dxa"/>
              <w:bottom w:w="60" w:type="dxa"/>
              <w:right w:w="100" w:type="dxa"/>
            </w:tcMar>
            <w:vAlign w:val="center"/>
          </w:tcPr>
          <w:p w14:paraId="48018550" w14:textId="77777777" w:rsidR="00AB5DCE" w:rsidRPr="00C501D4" w:rsidRDefault="00000000" w:rsidP="00C501D4">
            <w:pPr>
              <w:jc w:val="both"/>
            </w:pPr>
            <w:r w:rsidRPr="00C501D4">
              <w:rPr>
                <w:rFonts w:ascii="Cambria" w:eastAsia="Cambria" w:hAnsi="Cambria" w:cs="Cambria"/>
                <w:color w:val="111111"/>
                <w:sz w:val="18"/>
                <w:szCs w:val="18"/>
              </w:rPr>
              <w:t>0.6 – 1.4 (swept)</w:t>
            </w:r>
          </w:p>
        </w:tc>
      </w:tr>
      <w:tr w:rsidR="00AB5DCE" w:rsidRPr="00C501D4" w14:paraId="74065EFB" w14:textId="77777777">
        <w:tc>
          <w:tcPr>
            <w:tcW w:w="4500" w:type="dxa"/>
            <w:tcMar>
              <w:top w:w="60" w:type="dxa"/>
              <w:left w:w="100" w:type="dxa"/>
              <w:bottom w:w="60" w:type="dxa"/>
              <w:right w:w="100" w:type="dxa"/>
            </w:tcMar>
            <w:vAlign w:val="center"/>
          </w:tcPr>
          <w:p w14:paraId="03EBD6A8" w14:textId="77777777" w:rsidR="00AB5DCE" w:rsidRPr="00C501D4" w:rsidRDefault="00000000" w:rsidP="00C501D4">
            <w:pPr>
              <w:jc w:val="both"/>
            </w:pPr>
            <w:r w:rsidRPr="00C501D4">
              <w:rPr>
                <w:rFonts w:ascii="Cambria" w:eastAsia="Cambria" w:hAnsi="Cambria" w:cs="Cambria"/>
                <w:color w:val="111111"/>
                <w:sz w:val="18"/>
                <w:szCs w:val="18"/>
              </w:rPr>
              <w:t>Privacy budget ε</w:t>
            </w:r>
          </w:p>
        </w:tc>
        <w:tc>
          <w:tcPr>
            <w:tcW w:w="4500" w:type="dxa"/>
            <w:tcMar>
              <w:top w:w="60" w:type="dxa"/>
              <w:left w:w="100" w:type="dxa"/>
              <w:bottom w:w="60" w:type="dxa"/>
              <w:right w:w="100" w:type="dxa"/>
            </w:tcMar>
            <w:vAlign w:val="center"/>
          </w:tcPr>
          <w:p w14:paraId="0996AA0D" w14:textId="77777777" w:rsidR="00AB5DCE" w:rsidRPr="00C501D4" w:rsidRDefault="00000000" w:rsidP="00C501D4">
            <w:pPr>
              <w:jc w:val="both"/>
            </w:pPr>
            <w:r w:rsidRPr="00C501D4">
              <w:rPr>
                <w:rFonts w:ascii="Cambria" w:eastAsia="Cambria" w:hAnsi="Cambria" w:cs="Cambria"/>
                <w:color w:val="111111"/>
                <w:sz w:val="18"/>
                <w:szCs w:val="18"/>
              </w:rPr>
              <w:t>0.5 – 32 (swept, δ = 1e-5)</w:t>
            </w:r>
          </w:p>
        </w:tc>
      </w:tr>
      <w:tr w:rsidR="00AB5DCE" w:rsidRPr="00C501D4" w14:paraId="4C167387" w14:textId="77777777">
        <w:tc>
          <w:tcPr>
            <w:tcW w:w="4500" w:type="dxa"/>
            <w:shd w:val="clear" w:color="auto" w:fill="F2F2F2"/>
            <w:tcMar>
              <w:top w:w="60" w:type="dxa"/>
              <w:left w:w="100" w:type="dxa"/>
              <w:bottom w:w="60" w:type="dxa"/>
              <w:right w:w="100" w:type="dxa"/>
            </w:tcMar>
            <w:vAlign w:val="center"/>
          </w:tcPr>
          <w:p w14:paraId="3376AE1B" w14:textId="77777777" w:rsidR="00AB5DCE" w:rsidRPr="00C501D4" w:rsidRDefault="00000000" w:rsidP="00C501D4">
            <w:pPr>
              <w:jc w:val="both"/>
            </w:pPr>
            <w:r w:rsidRPr="00C501D4">
              <w:rPr>
                <w:rFonts w:ascii="Cambria" w:eastAsia="Cambria" w:hAnsi="Cambria" w:cs="Cambria"/>
                <w:color w:val="111111"/>
                <w:sz w:val="18"/>
                <w:szCs w:val="18"/>
              </w:rPr>
              <w:t>CKKS library</w:t>
            </w:r>
          </w:p>
        </w:tc>
        <w:tc>
          <w:tcPr>
            <w:tcW w:w="4500" w:type="dxa"/>
            <w:shd w:val="clear" w:color="auto" w:fill="F2F2F2"/>
            <w:tcMar>
              <w:top w:w="60" w:type="dxa"/>
              <w:left w:w="100" w:type="dxa"/>
              <w:bottom w:w="60" w:type="dxa"/>
              <w:right w:w="100" w:type="dxa"/>
            </w:tcMar>
            <w:vAlign w:val="center"/>
          </w:tcPr>
          <w:p w14:paraId="6B022370" w14:textId="77777777" w:rsidR="00AB5DCE" w:rsidRPr="00C501D4" w:rsidRDefault="00000000" w:rsidP="00C501D4">
            <w:pPr>
              <w:jc w:val="both"/>
            </w:pPr>
            <w:r w:rsidRPr="00C501D4">
              <w:rPr>
                <w:rFonts w:ascii="Cambria" w:eastAsia="Cambria" w:hAnsi="Cambria" w:cs="Cambria"/>
                <w:color w:val="111111"/>
                <w:sz w:val="18"/>
                <w:szCs w:val="18"/>
              </w:rPr>
              <w:t>Microsoft SEAL v4.1 (CKKS scheme)</w:t>
            </w:r>
          </w:p>
        </w:tc>
      </w:tr>
      <w:tr w:rsidR="00AB5DCE" w:rsidRPr="00C501D4" w14:paraId="3BD0FD61" w14:textId="77777777">
        <w:tc>
          <w:tcPr>
            <w:tcW w:w="4500" w:type="dxa"/>
            <w:tcMar>
              <w:top w:w="60" w:type="dxa"/>
              <w:left w:w="100" w:type="dxa"/>
              <w:bottom w:w="60" w:type="dxa"/>
              <w:right w:w="100" w:type="dxa"/>
            </w:tcMar>
            <w:vAlign w:val="center"/>
          </w:tcPr>
          <w:p w14:paraId="145AD4FE" w14:textId="77777777" w:rsidR="00AB5DCE" w:rsidRPr="00C501D4" w:rsidRDefault="00000000" w:rsidP="00C501D4">
            <w:pPr>
              <w:jc w:val="both"/>
            </w:pPr>
            <w:r w:rsidRPr="00C501D4">
              <w:rPr>
                <w:rFonts w:ascii="Cambria" w:eastAsia="Cambria" w:hAnsi="Cambria" w:cs="Cambria"/>
                <w:color w:val="111111"/>
                <w:sz w:val="18"/>
                <w:szCs w:val="18"/>
              </w:rPr>
              <w:t>Polynomial degree N</w:t>
            </w:r>
          </w:p>
        </w:tc>
        <w:tc>
          <w:tcPr>
            <w:tcW w:w="4500" w:type="dxa"/>
            <w:tcMar>
              <w:top w:w="60" w:type="dxa"/>
              <w:left w:w="100" w:type="dxa"/>
              <w:bottom w:w="60" w:type="dxa"/>
              <w:right w:w="100" w:type="dxa"/>
            </w:tcMar>
            <w:vAlign w:val="center"/>
          </w:tcPr>
          <w:p w14:paraId="7BA9CAAB" w14:textId="77777777" w:rsidR="00AB5DCE" w:rsidRPr="00C501D4" w:rsidRDefault="00000000" w:rsidP="00C501D4">
            <w:pPr>
              <w:jc w:val="both"/>
            </w:pPr>
            <w:r w:rsidRPr="00C501D4">
              <w:rPr>
                <w:rFonts w:ascii="Cambria" w:eastAsia="Cambria" w:hAnsi="Cambria" w:cs="Cambria"/>
                <w:color w:val="111111"/>
                <w:sz w:val="18"/>
                <w:szCs w:val="18"/>
              </w:rPr>
              <w:t>16384</w:t>
            </w:r>
          </w:p>
        </w:tc>
      </w:tr>
      <w:tr w:rsidR="00AB5DCE" w:rsidRPr="00C501D4" w14:paraId="2E15DBBB" w14:textId="77777777">
        <w:tc>
          <w:tcPr>
            <w:tcW w:w="4500" w:type="dxa"/>
            <w:shd w:val="clear" w:color="auto" w:fill="F2F2F2"/>
            <w:tcMar>
              <w:top w:w="60" w:type="dxa"/>
              <w:left w:w="100" w:type="dxa"/>
              <w:bottom w:w="60" w:type="dxa"/>
              <w:right w:w="100" w:type="dxa"/>
            </w:tcMar>
            <w:vAlign w:val="center"/>
          </w:tcPr>
          <w:p w14:paraId="5B95446F" w14:textId="77777777" w:rsidR="00AB5DCE" w:rsidRPr="00C501D4" w:rsidRDefault="00000000" w:rsidP="00C501D4">
            <w:pPr>
              <w:jc w:val="both"/>
            </w:pPr>
            <w:r w:rsidRPr="00C501D4">
              <w:rPr>
                <w:rFonts w:ascii="Cambria" w:eastAsia="Cambria" w:hAnsi="Cambria" w:cs="Cambria"/>
                <w:color w:val="111111"/>
                <w:sz w:val="18"/>
                <w:szCs w:val="18"/>
              </w:rPr>
              <w:t>Scaling factor Δ</w:t>
            </w:r>
          </w:p>
        </w:tc>
        <w:tc>
          <w:tcPr>
            <w:tcW w:w="4500" w:type="dxa"/>
            <w:shd w:val="clear" w:color="auto" w:fill="F2F2F2"/>
            <w:tcMar>
              <w:top w:w="60" w:type="dxa"/>
              <w:left w:w="100" w:type="dxa"/>
              <w:bottom w:w="60" w:type="dxa"/>
              <w:right w:w="100" w:type="dxa"/>
            </w:tcMar>
            <w:vAlign w:val="center"/>
          </w:tcPr>
          <w:p w14:paraId="086F3A22" w14:textId="77777777" w:rsidR="00AB5DCE" w:rsidRPr="00C501D4" w:rsidRDefault="00000000" w:rsidP="00C501D4">
            <w:pPr>
              <w:jc w:val="both"/>
            </w:pPr>
            <w:r w:rsidRPr="00C501D4">
              <w:rPr>
                <w:rFonts w:ascii="Cambria" w:eastAsia="Cambria" w:hAnsi="Cambria" w:cs="Cambria"/>
                <w:color w:val="111111"/>
                <w:sz w:val="18"/>
                <w:szCs w:val="18"/>
              </w:rPr>
              <w:t>2^40</w:t>
            </w:r>
          </w:p>
        </w:tc>
      </w:tr>
      <w:tr w:rsidR="00AB5DCE" w:rsidRPr="00C501D4" w14:paraId="3B4B6B10" w14:textId="77777777">
        <w:tc>
          <w:tcPr>
            <w:tcW w:w="4500" w:type="dxa"/>
            <w:tcMar>
              <w:top w:w="60" w:type="dxa"/>
              <w:left w:w="100" w:type="dxa"/>
              <w:bottom w:w="60" w:type="dxa"/>
              <w:right w:w="100" w:type="dxa"/>
            </w:tcMar>
            <w:vAlign w:val="center"/>
          </w:tcPr>
          <w:p w14:paraId="179B6350" w14:textId="77777777" w:rsidR="00AB5DCE" w:rsidRPr="00C501D4" w:rsidRDefault="00000000" w:rsidP="00C501D4">
            <w:pPr>
              <w:jc w:val="both"/>
            </w:pPr>
            <w:r w:rsidRPr="00C501D4">
              <w:rPr>
                <w:rFonts w:ascii="Cambria" w:eastAsia="Cambria" w:hAnsi="Cambria" w:cs="Cambria"/>
                <w:color w:val="111111"/>
                <w:sz w:val="18"/>
                <w:szCs w:val="18"/>
              </w:rPr>
              <w:t>Multiplicative depth L</w:t>
            </w:r>
          </w:p>
        </w:tc>
        <w:tc>
          <w:tcPr>
            <w:tcW w:w="4500" w:type="dxa"/>
            <w:tcMar>
              <w:top w:w="60" w:type="dxa"/>
              <w:left w:w="100" w:type="dxa"/>
              <w:bottom w:w="60" w:type="dxa"/>
              <w:right w:w="100" w:type="dxa"/>
            </w:tcMar>
            <w:vAlign w:val="center"/>
          </w:tcPr>
          <w:p w14:paraId="3F3DA764" w14:textId="77777777" w:rsidR="00AB5DCE" w:rsidRPr="00C501D4" w:rsidRDefault="00000000" w:rsidP="00C501D4">
            <w:pPr>
              <w:jc w:val="both"/>
            </w:pPr>
            <w:r w:rsidRPr="00C501D4">
              <w:rPr>
                <w:rFonts w:ascii="Cambria" w:eastAsia="Cambria" w:hAnsi="Cambria" w:cs="Cambria"/>
                <w:color w:val="111111"/>
                <w:sz w:val="18"/>
                <w:szCs w:val="18"/>
              </w:rPr>
              <w:t>6 (with bootstrapping for deeper evaluation)</w:t>
            </w:r>
          </w:p>
        </w:tc>
      </w:tr>
      <w:tr w:rsidR="00AB5DCE" w:rsidRPr="00C501D4" w14:paraId="2910EDA0" w14:textId="77777777">
        <w:tc>
          <w:tcPr>
            <w:tcW w:w="4500" w:type="dxa"/>
            <w:shd w:val="clear" w:color="auto" w:fill="F2F2F2"/>
            <w:tcMar>
              <w:top w:w="60" w:type="dxa"/>
              <w:left w:w="100" w:type="dxa"/>
              <w:bottom w:w="60" w:type="dxa"/>
              <w:right w:w="100" w:type="dxa"/>
            </w:tcMar>
            <w:vAlign w:val="center"/>
          </w:tcPr>
          <w:p w14:paraId="57572671" w14:textId="77777777" w:rsidR="00AB5DCE" w:rsidRPr="00C501D4" w:rsidRDefault="00000000" w:rsidP="00C501D4">
            <w:pPr>
              <w:jc w:val="both"/>
            </w:pPr>
            <w:r w:rsidRPr="00C501D4">
              <w:rPr>
                <w:rFonts w:ascii="Cambria" w:eastAsia="Cambria" w:hAnsi="Cambria" w:cs="Cambria"/>
                <w:color w:val="111111"/>
                <w:sz w:val="18"/>
                <w:szCs w:val="18"/>
              </w:rPr>
              <w:t>Activation approximation</w:t>
            </w:r>
          </w:p>
        </w:tc>
        <w:tc>
          <w:tcPr>
            <w:tcW w:w="4500" w:type="dxa"/>
            <w:shd w:val="clear" w:color="auto" w:fill="F2F2F2"/>
            <w:tcMar>
              <w:top w:w="60" w:type="dxa"/>
              <w:left w:w="100" w:type="dxa"/>
              <w:bottom w:w="60" w:type="dxa"/>
              <w:right w:w="100" w:type="dxa"/>
            </w:tcMar>
            <w:vAlign w:val="center"/>
          </w:tcPr>
          <w:p w14:paraId="456AB0E4" w14:textId="77777777" w:rsidR="00AB5DCE" w:rsidRPr="00C501D4" w:rsidRDefault="00000000" w:rsidP="00C501D4">
            <w:pPr>
              <w:jc w:val="both"/>
            </w:pPr>
            <w:r w:rsidRPr="00C501D4">
              <w:rPr>
                <w:rFonts w:ascii="Cambria" w:eastAsia="Cambria" w:hAnsi="Cambria" w:cs="Cambria"/>
                <w:color w:val="111111"/>
                <w:sz w:val="18"/>
                <w:szCs w:val="18"/>
              </w:rPr>
              <w:t xml:space="preserve">Degree-3 Chebyshev polynomial approximation of </w:t>
            </w:r>
            <w:proofErr w:type="spellStart"/>
            <w:r w:rsidRPr="00C501D4">
              <w:rPr>
                <w:rFonts w:ascii="Cambria" w:eastAsia="Cambria" w:hAnsi="Cambria" w:cs="Cambria"/>
                <w:color w:val="111111"/>
                <w:sz w:val="18"/>
                <w:szCs w:val="18"/>
              </w:rPr>
              <w:t>ReLU</w:t>
            </w:r>
            <w:proofErr w:type="spellEnd"/>
          </w:p>
        </w:tc>
      </w:tr>
      <w:tr w:rsidR="00AB5DCE" w:rsidRPr="00C501D4" w14:paraId="599327E1" w14:textId="77777777">
        <w:tc>
          <w:tcPr>
            <w:tcW w:w="4500" w:type="dxa"/>
            <w:tcMar>
              <w:top w:w="60" w:type="dxa"/>
              <w:left w:w="100" w:type="dxa"/>
              <w:bottom w:w="60" w:type="dxa"/>
              <w:right w:w="100" w:type="dxa"/>
            </w:tcMar>
            <w:vAlign w:val="center"/>
          </w:tcPr>
          <w:p w14:paraId="0978E1F4" w14:textId="77777777" w:rsidR="00AB5DCE" w:rsidRPr="00C501D4" w:rsidRDefault="00000000" w:rsidP="00C501D4">
            <w:pPr>
              <w:jc w:val="both"/>
            </w:pPr>
            <w:r w:rsidRPr="00C501D4">
              <w:rPr>
                <w:rFonts w:ascii="Cambria" w:eastAsia="Cambria" w:hAnsi="Cambria" w:cs="Cambria"/>
                <w:color w:val="111111"/>
                <w:sz w:val="18"/>
                <w:szCs w:val="18"/>
              </w:rPr>
              <w:t>Hardware</w:t>
            </w:r>
          </w:p>
        </w:tc>
        <w:tc>
          <w:tcPr>
            <w:tcW w:w="4500" w:type="dxa"/>
            <w:tcMar>
              <w:top w:w="60" w:type="dxa"/>
              <w:left w:w="100" w:type="dxa"/>
              <w:bottom w:w="60" w:type="dxa"/>
              <w:right w:w="100" w:type="dxa"/>
            </w:tcMar>
            <w:vAlign w:val="center"/>
          </w:tcPr>
          <w:p w14:paraId="7D810469" w14:textId="77777777" w:rsidR="00AB5DCE" w:rsidRPr="00C501D4" w:rsidRDefault="00000000" w:rsidP="00C501D4">
            <w:pPr>
              <w:jc w:val="both"/>
            </w:pPr>
            <w:r w:rsidRPr="00C501D4">
              <w:rPr>
                <w:rFonts w:ascii="Cambria" w:eastAsia="Cambria" w:hAnsi="Cambria" w:cs="Cambria"/>
                <w:color w:val="111111"/>
                <w:sz w:val="18"/>
                <w:szCs w:val="18"/>
              </w:rPr>
              <w:t>Client: edge-class 4-core ARM; Server: 16-core x86, 64 GB RAM</w:t>
            </w:r>
          </w:p>
        </w:tc>
      </w:tr>
      <w:tr w:rsidR="00AB5DCE" w:rsidRPr="00C501D4" w14:paraId="010B225C" w14:textId="77777777">
        <w:tc>
          <w:tcPr>
            <w:tcW w:w="4500" w:type="dxa"/>
            <w:shd w:val="clear" w:color="auto" w:fill="F2F2F2"/>
            <w:tcMar>
              <w:top w:w="60" w:type="dxa"/>
              <w:left w:w="100" w:type="dxa"/>
              <w:bottom w:w="60" w:type="dxa"/>
              <w:right w:w="100" w:type="dxa"/>
            </w:tcMar>
            <w:vAlign w:val="center"/>
          </w:tcPr>
          <w:p w14:paraId="7D6DC6C4" w14:textId="77777777" w:rsidR="00AB5DCE" w:rsidRPr="00C501D4" w:rsidRDefault="00000000" w:rsidP="00C501D4">
            <w:pPr>
              <w:jc w:val="both"/>
            </w:pPr>
            <w:r w:rsidRPr="00C501D4">
              <w:rPr>
                <w:rFonts w:ascii="Cambria" w:eastAsia="Cambria" w:hAnsi="Cambria" w:cs="Cambria"/>
                <w:color w:val="111111"/>
                <w:sz w:val="18"/>
                <w:szCs w:val="18"/>
              </w:rPr>
              <w:t>Batch size</w:t>
            </w:r>
          </w:p>
        </w:tc>
        <w:tc>
          <w:tcPr>
            <w:tcW w:w="4500" w:type="dxa"/>
            <w:shd w:val="clear" w:color="auto" w:fill="F2F2F2"/>
            <w:tcMar>
              <w:top w:w="60" w:type="dxa"/>
              <w:left w:w="100" w:type="dxa"/>
              <w:bottom w:w="60" w:type="dxa"/>
              <w:right w:w="100" w:type="dxa"/>
            </w:tcMar>
            <w:vAlign w:val="center"/>
          </w:tcPr>
          <w:p w14:paraId="776F39D9" w14:textId="77777777" w:rsidR="00AB5DCE" w:rsidRPr="00C501D4" w:rsidRDefault="00000000" w:rsidP="00C501D4">
            <w:pPr>
              <w:jc w:val="both"/>
            </w:pPr>
            <w:r w:rsidRPr="00C501D4">
              <w:rPr>
                <w:rFonts w:ascii="Cambria" w:eastAsia="Cambria" w:hAnsi="Cambria" w:cs="Cambria"/>
                <w:color w:val="111111"/>
                <w:sz w:val="18"/>
                <w:szCs w:val="18"/>
              </w:rPr>
              <w:t>32 (client), homomorphic SIMD packing of 128 samples/ciphertext</w:t>
            </w:r>
          </w:p>
        </w:tc>
      </w:tr>
    </w:tbl>
    <w:p w14:paraId="2331E5E3" w14:textId="77777777" w:rsidR="00E37258" w:rsidRPr="00C501D4" w:rsidRDefault="00E37258" w:rsidP="00C501D4">
      <w:pPr>
        <w:spacing w:after="160" w:line="276" w:lineRule="auto"/>
        <w:jc w:val="both"/>
        <w:rPr>
          <w:rFonts w:ascii="Cambria" w:eastAsia="Cambria" w:hAnsi="Cambria" w:cs="Cambria"/>
          <w:sz w:val="22"/>
          <w:szCs w:val="22"/>
        </w:rPr>
      </w:pPr>
      <w:r w:rsidRPr="00C501D4">
        <w:rPr>
          <w:rFonts w:ascii="Cambria" w:eastAsia="Cambria" w:hAnsi="Cambria" w:cs="Cambria"/>
          <w:sz w:val="22"/>
          <w:szCs w:val="22"/>
        </w:rPr>
        <w:t>We evaluate the proposed configuration and three baselines. The first baseline is plaintext split inference, i.e., without a privacy mechanism. The second and third baselines are split learning combined with DP and CKKS, respectively. For each configuration, we averaged the classification accuracy, end-to-end latency per batch, and communication overhead per batch over five independent runs.</w:t>
      </w:r>
    </w:p>
    <w:p w14:paraId="4C4CED5D" w14:textId="77777777" w:rsidR="00E37258" w:rsidRPr="00C501D4" w:rsidRDefault="00000000" w:rsidP="00C501D4">
      <w:pPr>
        <w:spacing w:after="160" w:line="276" w:lineRule="auto"/>
        <w:jc w:val="both"/>
        <w:rPr>
          <w:rFonts w:ascii="Cambria" w:eastAsia="Cambria" w:hAnsi="Cambria" w:cs="Cambria"/>
          <w:b/>
          <w:bCs/>
          <w:caps/>
          <w:sz w:val="26"/>
          <w:szCs w:val="26"/>
        </w:rPr>
      </w:pPr>
      <w:r w:rsidRPr="00C501D4">
        <w:rPr>
          <w:rFonts w:ascii="Cambria" w:eastAsia="Cambria" w:hAnsi="Cambria" w:cs="Cambria"/>
          <w:b/>
          <w:bCs/>
          <w:caps/>
          <w:sz w:val="26"/>
          <w:szCs w:val="26"/>
        </w:rPr>
        <w:t>VI. Results and Discussion</w:t>
      </w:r>
    </w:p>
    <w:p w14:paraId="3E3ADB18" w14:textId="77777777" w:rsidR="00AB5DCE" w:rsidRPr="00C501D4" w:rsidRDefault="00000000" w:rsidP="00C501D4">
      <w:pPr>
        <w:spacing w:after="160" w:line="276" w:lineRule="auto"/>
        <w:jc w:val="both"/>
        <w:rPr>
          <w:rFonts w:ascii="Cambria" w:eastAsia="Cambria" w:hAnsi="Cambria" w:cs="Cambria"/>
          <w:sz w:val="22"/>
          <w:szCs w:val="22"/>
        </w:rPr>
      </w:pPr>
      <w:r w:rsidRPr="00C501D4">
        <w:rPr>
          <w:rFonts w:ascii="Cambria" w:eastAsia="Cambria" w:hAnsi="Cambria" w:cs="Cambria"/>
          <w:b/>
          <w:bCs/>
          <w:i/>
          <w:iCs/>
          <w:sz w:val="23"/>
          <w:szCs w:val="23"/>
        </w:rPr>
        <w:t>A. Privacy-Utility Trade-off</w:t>
      </w:r>
    </w:p>
    <w:p w14:paraId="72F402D4" w14:textId="77777777" w:rsidR="00E37258" w:rsidRPr="00C501D4" w:rsidRDefault="00E37258" w:rsidP="00C501D4">
      <w:pPr>
        <w:spacing w:after="160" w:line="276" w:lineRule="auto"/>
        <w:jc w:val="both"/>
        <w:rPr>
          <w:rFonts w:ascii="Cambria" w:eastAsia="Cambria" w:hAnsi="Cambria" w:cs="Cambria"/>
          <w:sz w:val="22"/>
          <w:szCs w:val="22"/>
        </w:rPr>
      </w:pPr>
      <w:r w:rsidRPr="00C501D4">
        <w:rPr>
          <w:rFonts w:ascii="Cambria" w:eastAsia="Cambria" w:hAnsi="Cambria" w:cs="Cambria"/>
          <w:sz w:val="22"/>
          <w:szCs w:val="22"/>
        </w:rPr>
        <w:t xml:space="preserve">Fig. 3 shows the test accuracy versus privacy budget ε for DP-only, </w:t>
      </w:r>
      <w:proofErr w:type="spellStart"/>
      <w:r w:rsidRPr="00C501D4">
        <w:rPr>
          <w:rFonts w:ascii="Cambria" w:eastAsia="Cambria" w:hAnsi="Cambria" w:cs="Cambria"/>
          <w:sz w:val="22"/>
          <w:szCs w:val="22"/>
        </w:rPr>
        <w:t>split+DP</w:t>
      </w:r>
      <w:proofErr w:type="spellEnd"/>
      <w:r w:rsidRPr="00C501D4">
        <w:rPr>
          <w:rFonts w:ascii="Cambria" w:eastAsia="Cambria" w:hAnsi="Cambria" w:cs="Cambria"/>
          <w:sz w:val="22"/>
          <w:szCs w:val="22"/>
        </w:rPr>
        <w:t xml:space="preserve">, and the full tri-layered configuration, along with a non-private upper bound. The tri-layered setup achieves accuracy within 1–2 percentage points of the </w:t>
      </w:r>
      <w:proofErr w:type="spellStart"/>
      <w:r w:rsidRPr="00C501D4">
        <w:rPr>
          <w:rFonts w:ascii="Cambria" w:eastAsia="Cambria" w:hAnsi="Cambria" w:cs="Cambria"/>
          <w:sz w:val="22"/>
          <w:szCs w:val="22"/>
        </w:rPr>
        <w:t>split+DP</w:t>
      </w:r>
      <w:proofErr w:type="spellEnd"/>
      <w:r w:rsidRPr="00C501D4">
        <w:rPr>
          <w:rFonts w:ascii="Cambria" w:eastAsia="Cambria" w:hAnsi="Cambria" w:cs="Cambria"/>
          <w:sz w:val="22"/>
          <w:szCs w:val="22"/>
        </w:rPr>
        <w:t xml:space="preserve"> baseline for all tested values of ε, showing that the polynomial activation approximation introduced by the CKKS layer adds only a modest accuracy cost beyond the degradation from DP. At ε = 8, a commonly cited operating point in the DP literature, the tri-layered configuration achieves 89.9% accuracy versus a 94.6% non-private upper bound, a degradation of 4.7 percentage points due jointly to noise injection and polynomial activation approximation.</w:t>
      </w:r>
    </w:p>
    <w:p w14:paraId="161D7A6D" w14:textId="77777777" w:rsidR="00AB5DCE" w:rsidRPr="00C501D4" w:rsidRDefault="00000000" w:rsidP="00C501D4">
      <w:pPr>
        <w:spacing w:before="200" w:after="60"/>
        <w:jc w:val="both"/>
      </w:pPr>
      <w:r w:rsidRPr="00C501D4">
        <w:rPr>
          <w:noProof/>
        </w:rPr>
        <w:lastRenderedPageBreak/>
        <w:drawing>
          <wp:inline distT="0" distB="0" distL="0" distR="0" wp14:anchorId="6FFC7506" wp14:editId="76D53C7C">
            <wp:extent cx="3810000" cy="2537732"/>
            <wp:effectExtent l="0" t="0" r="0" b="0"/>
            <wp:docPr id="2131945319" name="Picture 213194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842242" cy="2559207"/>
                    </a:xfrm>
                    <a:prstGeom prst="rect">
                      <a:avLst/>
                    </a:prstGeom>
                  </pic:spPr>
                </pic:pic>
              </a:graphicData>
            </a:graphic>
          </wp:inline>
        </w:drawing>
      </w:r>
    </w:p>
    <w:p w14:paraId="03EE615F" w14:textId="77777777" w:rsidR="00E37258" w:rsidRPr="00C501D4" w:rsidRDefault="00000000" w:rsidP="00C501D4">
      <w:pPr>
        <w:spacing w:before="100" w:after="260"/>
        <w:jc w:val="both"/>
        <w:rPr>
          <w:rFonts w:ascii="Cambria" w:eastAsia="Cambria" w:hAnsi="Cambria" w:cs="Cambria"/>
          <w:b/>
          <w:bCs/>
        </w:rPr>
      </w:pPr>
      <w:r w:rsidRPr="00C501D4">
        <w:rPr>
          <w:rFonts w:ascii="Cambria" w:eastAsia="Cambria" w:hAnsi="Cambria" w:cs="Cambria"/>
          <w:b/>
          <w:bCs/>
        </w:rPr>
        <w:t xml:space="preserve">Fig. 3. Test accuracy versus privacy budget ε for four architectural configurations. The tri-layered configuration tracks closely behind </w:t>
      </w:r>
      <w:proofErr w:type="spellStart"/>
      <w:r w:rsidRPr="00C501D4">
        <w:rPr>
          <w:rFonts w:ascii="Cambria" w:eastAsia="Cambria" w:hAnsi="Cambria" w:cs="Cambria"/>
          <w:b/>
          <w:bCs/>
        </w:rPr>
        <w:t>split+DP</w:t>
      </w:r>
      <w:proofErr w:type="spellEnd"/>
      <w:r w:rsidRPr="00C501D4">
        <w:rPr>
          <w:rFonts w:ascii="Cambria" w:eastAsia="Cambria" w:hAnsi="Cambria" w:cs="Cambria"/>
          <w:b/>
          <w:bCs/>
        </w:rPr>
        <w:t>, indicating the CKKS layer imposes only a small additional accuracy penalty.</w:t>
      </w:r>
    </w:p>
    <w:p w14:paraId="6B1A2EB5" w14:textId="77777777" w:rsidR="00AB5DCE" w:rsidRPr="00C501D4" w:rsidRDefault="00000000" w:rsidP="00C501D4">
      <w:pPr>
        <w:spacing w:before="100" w:after="260"/>
        <w:jc w:val="both"/>
      </w:pPr>
      <w:r w:rsidRPr="00C501D4">
        <w:rPr>
          <w:rFonts w:ascii="Cambria" w:eastAsia="Cambria" w:hAnsi="Cambria" w:cs="Cambria"/>
          <w:b/>
          <w:bCs/>
          <w:i/>
          <w:iCs/>
          <w:color w:val="111111"/>
          <w:sz w:val="23"/>
          <w:szCs w:val="23"/>
        </w:rPr>
        <w:t>B. Latency and Communication Overhead</w:t>
      </w:r>
    </w:p>
    <w:p w14:paraId="667ED49B" w14:textId="77777777" w:rsidR="00E37258" w:rsidRPr="00C501D4" w:rsidRDefault="00E37258" w:rsidP="00C501D4">
      <w:pPr>
        <w:spacing w:before="200" w:after="60"/>
        <w:jc w:val="both"/>
        <w:rPr>
          <w:rFonts w:ascii="Cambria" w:eastAsia="Cambria" w:hAnsi="Cambria" w:cs="Cambria"/>
          <w:sz w:val="22"/>
          <w:szCs w:val="22"/>
        </w:rPr>
      </w:pPr>
      <w:r w:rsidRPr="00C501D4">
        <w:rPr>
          <w:rFonts w:ascii="Cambria" w:eastAsia="Cambria" w:hAnsi="Cambria" w:cs="Cambria"/>
          <w:sz w:val="22"/>
          <w:szCs w:val="22"/>
        </w:rPr>
        <w:t xml:space="preserve">The per-batch latency is broken down into communication, client computation, DP noise injection, and server-side homomorphic computation in Figure 4. Following the introduction of CKKS, the total latency is dominated by the homomorphic evaluation of server-side layers, which increases from 6 </w:t>
      </w:r>
      <w:proofErr w:type="spellStart"/>
      <w:r w:rsidRPr="00C501D4">
        <w:rPr>
          <w:rFonts w:ascii="Cambria" w:eastAsia="Cambria" w:hAnsi="Cambria" w:cs="Cambria"/>
          <w:sz w:val="22"/>
          <w:szCs w:val="22"/>
        </w:rPr>
        <w:t>ms</w:t>
      </w:r>
      <w:proofErr w:type="spellEnd"/>
      <w:r w:rsidRPr="00C501D4">
        <w:rPr>
          <w:rFonts w:ascii="Cambria" w:eastAsia="Cambria" w:hAnsi="Cambria" w:cs="Cambria"/>
          <w:sz w:val="22"/>
          <w:szCs w:val="22"/>
        </w:rPr>
        <w:t xml:space="preserve"> in the plaintext configuration to approximately 172 </w:t>
      </w:r>
      <w:proofErr w:type="spellStart"/>
      <w:r w:rsidRPr="00C501D4">
        <w:rPr>
          <w:rFonts w:ascii="Cambria" w:eastAsia="Cambria" w:hAnsi="Cambria" w:cs="Cambria"/>
          <w:sz w:val="22"/>
          <w:szCs w:val="22"/>
        </w:rPr>
        <w:t>ms</w:t>
      </w:r>
      <w:proofErr w:type="spellEnd"/>
      <w:r w:rsidRPr="00C501D4">
        <w:rPr>
          <w:rFonts w:ascii="Cambria" w:eastAsia="Cambria" w:hAnsi="Cambria" w:cs="Cambria"/>
          <w:sz w:val="22"/>
          <w:szCs w:val="22"/>
        </w:rPr>
        <w:t xml:space="preserve"> in the tri-layered configuration. The overhead of DP noise injection itself is small, at approximately 3–4 </w:t>
      </w:r>
      <w:proofErr w:type="spellStart"/>
      <w:r w:rsidRPr="00C501D4">
        <w:rPr>
          <w:rFonts w:ascii="Cambria" w:eastAsia="Cambria" w:hAnsi="Cambria" w:cs="Cambria"/>
          <w:sz w:val="22"/>
          <w:szCs w:val="22"/>
        </w:rPr>
        <w:t>ms.</w:t>
      </w:r>
      <w:proofErr w:type="spellEnd"/>
      <w:r w:rsidRPr="00C501D4">
        <w:rPr>
          <w:rFonts w:ascii="Cambria" w:eastAsia="Cambria" w:hAnsi="Cambria" w:cs="Cambria"/>
          <w:sz w:val="22"/>
          <w:szCs w:val="22"/>
        </w:rPr>
        <w:t xml:space="preserve"> The total latency for the tri-layered configuration is 229 </w:t>
      </w:r>
      <w:proofErr w:type="spellStart"/>
      <w:r w:rsidRPr="00C501D4">
        <w:rPr>
          <w:rFonts w:ascii="Cambria" w:eastAsia="Cambria" w:hAnsi="Cambria" w:cs="Cambria"/>
          <w:sz w:val="22"/>
          <w:szCs w:val="22"/>
        </w:rPr>
        <w:t>ms</w:t>
      </w:r>
      <w:proofErr w:type="spellEnd"/>
      <w:r w:rsidRPr="00C501D4">
        <w:rPr>
          <w:rFonts w:ascii="Cambria" w:eastAsia="Cambria" w:hAnsi="Cambria" w:cs="Cambria"/>
          <w:sz w:val="22"/>
          <w:szCs w:val="22"/>
        </w:rPr>
        <w:t xml:space="preserve">, a 10.4× increase over the plaintext baseline of 22 </w:t>
      </w:r>
      <w:proofErr w:type="spellStart"/>
      <w:r w:rsidRPr="00C501D4">
        <w:rPr>
          <w:rFonts w:ascii="Cambria" w:eastAsia="Cambria" w:hAnsi="Cambria" w:cs="Cambria"/>
          <w:sz w:val="22"/>
          <w:szCs w:val="22"/>
        </w:rPr>
        <w:t>ms</w:t>
      </w:r>
      <w:proofErr w:type="spellEnd"/>
      <w:r w:rsidRPr="00C501D4">
        <w:rPr>
          <w:rFonts w:ascii="Cambria" w:eastAsia="Cambria" w:hAnsi="Cambria" w:cs="Cambria"/>
          <w:sz w:val="22"/>
          <w:szCs w:val="22"/>
        </w:rPr>
        <w:t>, consistent with overheads reported for CKKS-based encrypted inference in the broader literature.</w:t>
      </w:r>
    </w:p>
    <w:p w14:paraId="2AAF2C15" w14:textId="77777777" w:rsidR="00AB5DCE" w:rsidRPr="00C501D4" w:rsidRDefault="00000000" w:rsidP="00C501D4">
      <w:pPr>
        <w:spacing w:before="200" w:after="60"/>
        <w:jc w:val="both"/>
      </w:pPr>
      <w:r w:rsidRPr="00C501D4">
        <w:rPr>
          <w:noProof/>
        </w:rPr>
        <w:drawing>
          <wp:inline distT="0" distB="0" distL="0" distR="0" wp14:anchorId="172A6BB4" wp14:editId="142ACF68">
            <wp:extent cx="3590925" cy="2620010"/>
            <wp:effectExtent l="0" t="0" r="9525" b="8890"/>
            <wp:docPr id="947461051" name="Picture 94746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606620" cy="2631461"/>
                    </a:xfrm>
                    <a:prstGeom prst="rect">
                      <a:avLst/>
                    </a:prstGeom>
                  </pic:spPr>
                </pic:pic>
              </a:graphicData>
            </a:graphic>
          </wp:inline>
        </w:drawing>
      </w:r>
    </w:p>
    <w:p w14:paraId="1D3AD914" w14:textId="77777777" w:rsidR="00E37258" w:rsidRPr="00C501D4" w:rsidRDefault="00000000" w:rsidP="00C501D4">
      <w:pPr>
        <w:spacing w:before="100" w:after="260"/>
        <w:jc w:val="both"/>
        <w:rPr>
          <w:rFonts w:ascii="Cambria" w:eastAsia="Cambria" w:hAnsi="Cambria" w:cs="Cambria"/>
          <w:b/>
          <w:bCs/>
        </w:rPr>
      </w:pPr>
      <w:r w:rsidRPr="00C501D4">
        <w:rPr>
          <w:rFonts w:ascii="Cambria" w:eastAsia="Cambria" w:hAnsi="Cambria" w:cs="Cambria"/>
          <w:b/>
          <w:bCs/>
        </w:rPr>
        <w:t>Fig. 4. Per-batch latency decomposition across four configurations, showing that homomorphic server-side computation is the dominant cost once CKKS encryption is introduced.</w:t>
      </w:r>
    </w:p>
    <w:p w14:paraId="75A697A0" w14:textId="77777777" w:rsidR="00AB5DCE" w:rsidRPr="00C501D4" w:rsidRDefault="00000000" w:rsidP="00C501D4">
      <w:pPr>
        <w:spacing w:before="100" w:after="260"/>
        <w:jc w:val="both"/>
      </w:pPr>
      <w:r w:rsidRPr="00C501D4">
        <w:rPr>
          <w:rFonts w:ascii="Cambria" w:eastAsia="Cambria" w:hAnsi="Cambria" w:cs="Cambria"/>
          <w:b/>
          <w:bCs/>
          <w:i/>
          <w:iCs/>
          <w:color w:val="111111"/>
          <w:sz w:val="23"/>
          <w:szCs w:val="23"/>
        </w:rPr>
        <w:t>C. Consolidated Results</w:t>
      </w:r>
    </w:p>
    <w:p w14:paraId="1313BA48" w14:textId="77777777" w:rsidR="00E37258" w:rsidRPr="00C501D4" w:rsidRDefault="00E37258" w:rsidP="00C501D4">
      <w:pPr>
        <w:spacing w:after="160" w:line="276" w:lineRule="auto"/>
        <w:jc w:val="both"/>
        <w:rPr>
          <w:rFonts w:ascii="Cambria" w:eastAsia="Cambria" w:hAnsi="Cambria" w:cs="Cambria"/>
          <w:sz w:val="22"/>
          <w:szCs w:val="22"/>
        </w:rPr>
      </w:pPr>
      <w:r w:rsidRPr="00C501D4">
        <w:rPr>
          <w:rFonts w:ascii="Cambria" w:eastAsia="Cambria" w:hAnsi="Cambria" w:cs="Cambria"/>
          <w:sz w:val="22"/>
          <w:szCs w:val="22"/>
        </w:rPr>
        <w:lastRenderedPageBreak/>
        <w:t xml:space="preserve">Table 4 </w:t>
      </w:r>
      <w:proofErr w:type="spellStart"/>
      <w:r w:rsidRPr="00C501D4">
        <w:rPr>
          <w:rFonts w:ascii="Cambria" w:eastAsia="Cambria" w:hAnsi="Cambria" w:cs="Cambria"/>
          <w:sz w:val="22"/>
          <w:szCs w:val="22"/>
        </w:rPr>
        <w:t>summarises</w:t>
      </w:r>
      <w:proofErr w:type="spellEnd"/>
      <w:r w:rsidRPr="00C501D4">
        <w:rPr>
          <w:rFonts w:ascii="Cambria" w:eastAsia="Cambria" w:hAnsi="Cambria" w:cs="Cambria"/>
          <w:sz w:val="22"/>
          <w:szCs w:val="22"/>
        </w:rPr>
        <w:t xml:space="preserve"> the accuracy, latency, communication overhead, and qualitative privacy coverage for all configurations examined, including the two operating points of the tri-layered configuration at ε=8 and ε=4.</w:t>
      </w:r>
    </w:p>
    <w:tbl>
      <w:tblPr>
        <w:tblpPr w:leftFromText="180" w:rightFromText="180" w:vertAnchor="text" w:horzAnchor="margin" w:tblpY="372"/>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600"/>
        <w:gridCol w:w="1900"/>
        <w:gridCol w:w="1900"/>
        <w:gridCol w:w="1600"/>
      </w:tblGrid>
      <w:tr w:rsidR="00193FAA" w:rsidRPr="00C501D4" w14:paraId="71DD4BE8" w14:textId="77777777" w:rsidTr="00193FAA">
        <w:trPr>
          <w:tblHeader/>
        </w:trPr>
        <w:tc>
          <w:tcPr>
            <w:tcW w:w="2000" w:type="dxa"/>
            <w:shd w:val="clear" w:color="auto" w:fill="1F3864"/>
            <w:tcMar>
              <w:top w:w="60" w:type="dxa"/>
              <w:left w:w="100" w:type="dxa"/>
              <w:bottom w:w="60" w:type="dxa"/>
              <w:right w:w="100" w:type="dxa"/>
            </w:tcMar>
            <w:vAlign w:val="center"/>
          </w:tcPr>
          <w:p w14:paraId="76DE1805" w14:textId="77777777" w:rsidR="00193FAA" w:rsidRPr="00C501D4" w:rsidRDefault="00193FAA" w:rsidP="00C501D4">
            <w:pPr>
              <w:jc w:val="both"/>
            </w:pPr>
            <w:r w:rsidRPr="00C501D4">
              <w:rPr>
                <w:rFonts w:ascii="Cambria" w:eastAsia="Cambria" w:hAnsi="Cambria" w:cs="Cambria"/>
                <w:b/>
                <w:bCs/>
                <w:color w:val="FFFFFF"/>
                <w:sz w:val="18"/>
                <w:szCs w:val="18"/>
              </w:rPr>
              <w:t>Configuration</w:t>
            </w:r>
          </w:p>
        </w:tc>
        <w:tc>
          <w:tcPr>
            <w:tcW w:w="1600" w:type="dxa"/>
            <w:shd w:val="clear" w:color="auto" w:fill="1F3864"/>
            <w:tcMar>
              <w:top w:w="60" w:type="dxa"/>
              <w:left w:w="100" w:type="dxa"/>
              <w:bottom w:w="60" w:type="dxa"/>
              <w:right w:w="100" w:type="dxa"/>
            </w:tcMar>
            <w:vAlign w:val="center"/>
          </w:tcPr>
          <w:p w14:paraId="414C7D0A" w14:textId="77777777" w:rsidR="00193FAA" w:rsidRPr="00C501D4" w:rsidRDefault="00193FAA" w:rsidP="00C501D4">
            <w:pPr>
              <w:jc w:val="both"/>
            </w:pPr>
            <w:r w:rsidRPr="00C501D4">
              <w:rPr>
                <w:rFonts w:ascii="Cambria" w:eastAsia="Cambria" w:hAnsi="Cambria" w:cs="Cambria"/>
                <w:b/>
                <w:bCs/>
                <w:color w:val="FFFFFF"/>
                <w:sz w:val="18"/>
                <w:szCs w:val="18"/>
              </w:rPr>
              <w:t>Accuracy (%)</w:t>
            </w:r>
          </w:p>
        </w:tc>
        <w:tc>
          <w:tcPr>
            <w:tcW w:w="1900" w:type="dxa"/>
            <w:shd w:val="clear" w:color="auto" w:fill="1F3864"/>
            <w:tcMar>
              <w:top w:w="60" w:type="dxa"/>
              <w:left w:w="100" w:type="dxa"/>
              <w:bottom w:w="60" w:type="dxa"/>
              <w:right w:w="100" w:type="dxa"/>
            </w:tcMar>
            <w:vAlign w:val="center"/>
          </w:tcPr>
          <w:p w14:paraId="2E65C0FA" w14:textId="77777777" w:rsidR="00193FAA" w:rsidRPr="00C501D4" w:rsidRDefault="00193FAA" w:rsidP="00C501D4">
            <w:pPr>
              <w:jc w:val="both"/>
            </w:pPr>
            <w:r w:rsidRPr="00C501D4">
              <w:rPr>
                <w:rFonts w:ascii="Cambria" w:eastAsia="Cambria" w:hAnsi="Cambria" w:cs="Cambria"/>
                <w:b/>
                <w:bCs/>
                <w:color w:val="FFFFFF"/>
                <w:sz w:val="18"/>
                <w:szCs w:val="18"/>
              </w:rPr>
              <w:t>Latency/Batch (</w:t>
            </w:r>
            <w:proofErr w:type="spellStart"/>
            <w:r w:rsidRPr="00C501D4">
              <w:rPr>
                <w:rFonts w:ascii="Cambria" w:eastAsia="Cambria" w:hAnsi="Cambria" w:cs="Cambria"/>
                <w:b/>
                <w:bCs/>
                <w:color w:val="FFFFFF"/>
                <w:sz w:val="18"/>
                <w:szCs w:val="18"/>
              </w:rPr>
              <w:t>ms</w:t>
            </w:r>
            <w:proofErr w:type="spellEnd"/>
            <w:r w:rsidRPr="00C501D4">
              <w:rPr>
                <w:rFonts w:ascii="Cambria" w:eastAsia="Cambria" w:hAnsi="Cambria" w:cs="Cambria"/>
                <w:b/>
                <w:bCs/>
                <w:color w:val="FFFFFF"/>
                <w:sz w:val="18"/>
                <w:szCs w:val="18"/>
              </w:rPr>
              <w:t>)</w:t>
            </w:r>
          </w:p>
        </w:tc>
        <w:tc>
          <w:tcPr>
            <w:tcW w:w="1900" w:type="dxa"/>
            <w:shd w:val="clear" w:color="auto" w:fill="1F3864"/>
            <w:tcMar>
              <w:top w:w="60" w:type="dxa"/>
              <w:left w:w="100" w:type="dxa"/>
              <w:bottom w:w="60" w:type="dxa"/>
              <w:right w:w="100" w:type="dxa"/>
            </w:tcMar>
            <w:vAlign w:val="center"/>
          </w:tcPr>
          <w:p w14:paraId="10A8F038" w14:textId="77777777" w:rsidR="00193FAA" w:rsidRPr="00C501D4" w:rsidRDefault="00193FAA" w:rsidP="00C501D4">
            <w:pPr>
              <w:jc w:val="both"/>
            </w:pPr>
            <w:r w:rsidRPr="00C501D4">
              <w:rPr>
                <w:rFonts w:ascii="Cambria" w:eastAsia="Cambria" w:hAnsi="Cambria" w:cs="Cambria"/>
                <w:b/>
                <w:bCs/>
                <w:color w:val="FFFFFF"/>
                <w:sz w:val="18"/>
                <w:szCs w:val="18"/>
              </w:rPr>
              <w:t>Comm. Overhead (KB)</w:t>
            </w:r>
          </w:p>
        </w:tc>
        <w:tc>
          <w:tcPr>
            <w:tcW w:w="1600" w:type="dxa"/>
            <w:shd w:val="clear" w:color="auto" w:fill="1F3864"/>
            <w:tcMar>
              <w:top w:w="60" w:type="dxa"/>
              <w:left w:w="100" w:type="dxa"/>
              <w:bottom w:w="60" w:type="dxa"/>
              <w:right w:w="100" w:type="dxa"/>
            </w:tcMar>
            <w:vAlign w:val="center"/>
          </w:tcPr>
          <w:p w14:paraId="3C144D11" w14:textId="77777777" w:rsidR="00193FAA" w:rsidRPr="00C501D4" w:rsidRDefault="00193FAA" w:rsidP="00C501D4">
            <w:pPr>
              <w:jc w:val="both"/>
            </w:pPr>
            <w:r w:rsidRPr="00C501D4">
              <w:rPr>
                <w:rFonts w:ascii="Cambria" w:eastAsia="Cambria" w:hAnsi="Cambria" w:cs="Cambria"/>
                <w:b/>
                <w:bCs/>
                <w:color w:val="FFFFFF"/>
                <w:sz w:val="18"/>
                <w:szCs w:val="18"/>
              </w:rPr>
              <w:t>Privacy Coverage</w:t>
            </w:r>
          </w:p>
        </w:tc>
      </w:tr>
      <w:tr w:rsidR="00193FAA" w:rsidRPr="00C501D4" w14:paraId="21ADFF9F" w14:textId="77777777" w:rsidTr="00193FAA">
        <w:tc>
          <w:tcPr>
            <w:tcW w:w="2000" w:type="dxa"/>
            <w:tcMar>
              <w:top w:w="60" w:type="dxa"/>
              <w:left w:w="100" w:type="dxa"/>
              <w:bottom w:w="60" w:type="dxa"/>
              <w:right w:w="100" w:type="dxa"/>
            </w:tcMar>
            <w:vAlign w:val="center"/>
          </w:tcPr>
          <w:p w14:paraId="51B5EF1A" w14:textId="77777777" w:rsidR="00193FAA" w:rsidRPr="00C501D4" w:rsidRDefault="00193FAA" w:rsidP="00C501D4">
            <w:pPr>
              <w:jc w:val="both"/>
            </w:pPr>
            <w:r w:rsidRPr="00C501D4">
              <w:rPr>
                <w:rFonts w:ascii="Cambria" w:eastAsia="Cambria" w:hAnsi="Cambria" w:cs="Cambria"/>
                <w:color w:val="111111"/>
                <w:sz w:val="18"/>
                <w:szCs w:val="18"/>
              </w:rPr>
              <w:t>Plaintext Split</w:t>
            </w:r>
          </w:p>
        </w:tc>
        <w:tc>
          <w:tcPr>
            <w:tcW w:w="1600" w:type="dxa"/>
            <w:tcMar>
              <w:top w:w="60" w:type="dxa"/>
              <w:left w:w="100" w:type="dxa"/>
              <w:bottom w:w="60" w:type="dxa"/>
              <w:right w:w="100" w:type="dxa"/>
            </w:tcMar>
            <w:vAlign w:val="center"/>
          </w:tcPr>
          <w:p w14:paraId="4BA2A0F8" w14:textId="77777777" w:rsidR="00193FAA" w:rsidRPr="00C501D4" w:rsidRDefault="00193FAA" w:rsidP="00C501D4">
            <w:pPr>
              <w:jc w:val="both"/>
            </w:pPr>
            <w:r w:rsidRPr="00C501D4">
              <w:rPr>
                <w:rFonts w:ascii="Cambria" w:eastAsia="Cambria" w:hAnsi="Cambria" w:cs="Cambria"/>
                <w:color w:val="111111"/>
                <w:sz w:val="18"/>
                <w:szCs w:val="18"/>
              </w:rPr>
              <w:t>94.6</w:t>
            </w:r>
          </w:p>
        </w:tc>
        <w:tc>
          <w:tcPr>
            <w:tcW w:w="1900" w:type="dxa"/>
            <w:tcMar>
              <w:top w:w="60" w:type="dxa"/>
              <w:left w:w="100" w:type="dxa"/>
              <w:bottom w:w="60" w:type="dxa"/>
              <w:right w:w="100" w:type="dxa"/>
            </w:tcMar>
            <w:vAlign w:val="center"/>
          </w:tcPr>
          <w:p w14:paraId="390632D8" w14:textId="77777777" w:rsidR="00193FAA" w:rsidRPr="00C501D4" w:rsidRDefault="00193FAA" w:rsidP="00C501D4">
            <w:pPr>
              <w:jc w:val="both"/>
            </w:pPr>
            <w:r w:rsidRPr="00C501D4">
              <w:rPr>
                <w:rFonts w:ascii="Cambria" w:eastAsia="Cambria" w:hAnsi="Cambria" w:cs="Cambria"/>
                <w:color w:val="111111"/>
                <w:sz w:val="18"/>
                <w:szCs w:val="18"/>
              </w:rPr>
              <w:t>22</w:t>
            </w:r>
          </w:p>
        </w:tc>
        <w:tc>
          <w:tcPr>
            <w:tcW w:w="1900" w:type="dxa"/>
            <w:tcMar>
              <w:top w:w="60" w:type="dxa"/>
              <w:left w:w="100" w:type="dxa"/>
              <w:bottom w:w="60" w:type="dxa"/>
              <w:right w:w="100" w:type="dxa"/>
            </w:tcMar>
            <w:vAlign w:val="center"/>
          </w:tcPr>
          <w:p w14:paraId="3DD95FC3" w14:textId="77777777" w:rsidR="00193FAA" w:rsidRPr="00C501D4" w:rsidRDefault="00193FAA" w:rsidP="00C501D4">
            <w:pPr>
              <w:jc w:val="both"/>
            </w:pPr>
            <w:r w:rsidRPr="00C501D4">
              <w:rPr>
                <w:rFonts w:ascii="Cambria" w:eastAsia="Cambria" w:hAnsi="Cambria" w:cs="Cambria"/>
                <w:color w:val="111111"/>
                <w:sz w:val="18"/>
                <w:szCs w:val="18"/>
              </w:rPr>
              <w:t>180</w:t>
            </w:r>
          </w:p>
        </w:tc>
        <w:tc>
          <w:tcPr>
            <w:tcW w:w="1600" w:type="dxa"/>
            <w:tcMar>
              <w:top w:w="60" w:type="dxa"/>
              <w:left w:w="100" w:type="dxa"/>
              <w:bottom w:w="60" w:type="dxa"/>
              <w:right w:w="100" w:type="dxa"/>
            </w:tcMar>
            <w:vAlign w:val="center"/>
          </w:tcPr>
          <w:p w14:paraId="573B86C4" w14:textId="77777777" w:rsidR="00193FAA" w:rsidRPr="00C501D4" w:rsidRDefault="00193FAA" w:rsidP="00C501D4">
            <w:pPr>
              <w:jc w:val="both"/>
            </w:pPr>
            <w:r w:rsidRPr="00C501D4">
              <w:rPr>
                <w:rFonts w:ascii="Cambria" w:eastAsia="Cambria" w:hAnsi="Cambria" w:cs="Cambria"/>
                <w:color w:val="111111"/>
                <w:sz w:val="18"/>
                <w:szCs w:val="18"/>
              </w:rPr>
              <w:t>None</w:t>
            </w:r>
          </w:p>
        </w:tc>
      </w:tr>
      <w:tr w:rsidR="00193FAA" w:rsidRPr="00C501D4" w14:paraId="40D4BAFB" w14:textId="77777777" w:rsidTr="00193FAA">
        <w:tc>
          <w:tcPr>
            <w:tcW w:w="2000" w:type="dxa"/>
            <w:shd w:val="clear" w:color="auto" w:fill="F2F2F2"/>
            <w:tcMar>
              <w:top w:w="60" w:type="dxa"/>
              <w:left w:w="100" w:type="dxa"/>
              <w:bottom w:w="60" w:type="dxa"/>
              <w:right w:w="100" w:type="dxa"/>
            </w:tcMar>
            <w:vAlign w:val="center"/>
          </w:tcPr>
          <w:p w14:paraId="2B343840" w14:textId="77777777" w:rsidR="00193FAA" w:rsidRPr="00C501D4" w:rsidRDefault="00193FAA" w:rsidP="00C501D4">
            <w:pPr>
              <w:jc w:val="both"/>
            </w:pPr>
            <w:r w:rsidRPr="00C501D4">
              <w:rPr>
                <w:rFonts w:ascii="Cambria" w:eastAsia="Cambria" w:hAnsi="Cambria" w:cs="Cambria"/>
                <w:color w:val="111111"/>
                <w:sz w:val="18"/>
                <w:szCs w:val="18"/>
              </w:rPr>
              <w:t>Split + DP (ε=8)</w:t>
            </w:r>
          </w:p>
        </w:tc>
        <w:tc>
          <w:tcPr>
            <w:tcW w:w="1600" w:type="dxa"/>
            <w:shd w:val="clear" w:color="auto" w:fill="F2F2F2"/>
            <w:tcMar>
              <w:top w:w="60" w:type="dxa"/>
              <w:left w:w="100" w:type="dxa"/>
              <w:bottom w:w="60" w:type="dxa"/>
              <w:right w:w="100" w:type="dxa"/>
            </w:tcMar>
            <w:vAlign w:val="center"/>
          </w:tcPr>
          <w:p w14:paraId="0D5EBFA7" w14:textId="77777777" w:rsidR="00193FAA" w:rsidRPr="00C501D4" w:rsidRDefault="00193FAA" w:rsidP="00C501D4">
            <w:pPr>
              <w:jc w:val="both"/>
            </w:pPr>
            <w:r w:rsidRPr="00C501D4">
              <w:rPr>
                <w:rFonts w:ascii="Cambria" w:eastAsia="Cambria" w:hAnsi="Cambria" w:cs="Cambria"/>
                <w:color w:val="111111"/>
                <w:sz w:val="18"/>
                <w:szCs w:val="18"/>
              </w:rPr>
              <w:t>89.9</w:t>
            </w:r>
          </w:p>
        </w:tc>
        <w:tc>
          <w:tcPr>
            <w:tcW w:w="1900" w:type="dxa"/>
            <w:shd w:val="clear" w:color="auto" w:fill="F2F2F2"/>
            <w:tcMar>
              <w:top w:w="60" w:type="dxa"/>
              <w:left w:w="100" w:type="dxa"/>
              <w:bottom w:w="60" w:type="dxa"/>
              <w:right w:w="100" w:type="dxa"/>
            </w:tcMar>
            <w:vAlign w:val="center"/>
          </w:tcPr>
          <w:p w14:paraId="06EB1954" w14:textId="77777777" w:rsidR="00193FAA" w:rsidRPr="00C501D4" w:rsidRDefault="00193FAA" w:rsidP="00C501D4">
            <w:pPr>
              <w:jc w:val="both"/>
            </w:pPr>
            <w:r w:rsidRPr="00C501D4">
              <w:rPr>
                <w:rFonts w:ascii="Cambria" w:eastAsia="Cambria" w:hAnsi="Cambria" w:cs="Cambria"/>
                <w:color w:val="111111"/>
                <w:sz w:val="18"/>
                <w:szCs w:val="18"/>
              </w:rPr>
              <w:t>26</w:t>
            </w:r>
          </w:p>
        </w:tc>
        <w:tc>
          <w:tcPr>
            <w:tcW w:w="1900" w:type="dxa"/>
            <w:shd w:val="clear" w:color="auto" w:fill="F2F2F2"/>
            <w:tcMar>
              <w:top w:w="60" w:type="dxa"/>
              <w:left w:w="100" w:type="dxa"/>
              <w:bottom w:w="60" w:type="dxa"/>
              <w:right w:w="100" w:type="dxa"/>
            </w:tcMar>
            <w:vAlign w:val="center"/>
          </w:tcPr>
          <w:p w14:paraId="04374CB6" w14:textId="77777777" w:rsidR="00193FAA" w:rsidRPr="00C501D4" w:rsidRDefault="00193FAA" w:rsidP="00C501D4">
            <w:pPr>
              <w:jc w:val="both"/>
            </w:pPr>
            <w:r w:rsidRPr="00C501D4">
              <w:rPr>
                <w:rFonts w:ascii="Cambria" w:eastAsia="Cambria" w:hAnsi="Cambria" w:cs="Cambria"/>
                <w:color w:val="111111"/>
                <w:sz w:val="18"/>
                <w:szCs w:val="18"/>
              </w:rPr>
              <w:t>185</w:t>
            </w:r>
          </w:p>
        </w:tc>
        <w:tc>
          <w:tcPr>
            <w:tcW w:w="1600" w:type="dxa"/>
            <w:shd w:val="clear" w:color="auto" w:fill="F2F2F2"/>
            <w:tcMar>
              <w:top w:w="60" w:type="dxa"/>
              <w:left w:w="100" w:type="dxa"/>
              <w:bottom w:w="60" w:type="dxa"/>
              <w:right w:w="100" w:type="dxa"/>
            </w:tcMar>
            <w:vAlign w:val="center"/>
          </w:tcPr>
          <w:p w14:paraId="5886A780" w14:textId="77777777" w:rsidR="00193FAA" w:rsidRPr="00C501D4" w:rsidRDefault="00193FAA" w:rsidP="00C501D4">
            <w:pPr>
              <w:jc w:val="both"/>
            </w:pPr>
            <w:r w:rsidRPr="00C501D4">
              <w:rPr>
                <w:rFonts w:ascii="Cambria" w:eastAsia="Cambria" w:hAnsi="Cambria" w:cs="Cambria"/>
                <w:color w:val="111111"/>
                <w:sz w:val="18"/>
                <w:szCs w:val="18"/>
              </w:rPr>
              <w:t>Statistical only</w:t>
            </w:r>
          </w:p>
        </w:tc>
      </w:tr>
      <w:tr w:rsidR="00193FAA" w:rsidRPr="00C501D4" w14:paraId="5CC9AB5E" w14:textId="77777777" w:rsidTr="00193FAA">
        <w:tc>
          <w:tcPr>
            <w:tcW w:w="2000" w:type="dxa"/>
            <w:tcMar>
              <w:top w:w="60" w:type="dxa"/>
              <w:left w:w="100" w:type="dxa"/>
              <w:bottom w:w="60" w:type="dxa"/>
              <w:right w:w="100" w:type="dxa"/>
            </w:tcMar>
            <w:vAlign w:val="center"/>
          </w:tcPr>
          <w:p w14:paraId="3C161516" w14:textId="77777777" w:rsidR="00193FAA" w:rsidRPr="00C501D4" w:rsidRDefault="00193FAA" w:rsidP="00C501D4">
            <w:pPr>
              <w:jc w:val="both"/>
            </w:pPr>
            <w:r w:rsidRPr="00C501D4">
              <w:rPr>
                <w:rFonts w:ascii="Cambria" w:eastAsia="Cambria" w:hAnsi="Cambria" w:cs="Cambria"/>
                <w:color w:val="111111"/>
                <w:sz w:val="18"/>
                <w:szCs w:val="18"/>
              </w:rPr>
              <w:t>Split + CKKS</w:t>
            </w:r>
          </w:p>
        </w:tc>
        <w:tc>
          <w:tcPr>
            <w:tcW w:w="1600" w:type="dxa"/>
            <w:tcMar>
              <w:top w:w="60" w:type="dxa"/>
              <w:left w:w="100" w:type="dxa"/>
              <w:bottom w:w="60" w:type="dxa"/>
              <w:right w:w="100" w:type="dxa"/>
            </w:tcMar>
            <w:vAlign w:val="center"/>
          </w:tcPr>
          <w:p w14:paraId="3633C808" w14:textId="77777777" w:rsidR="00193FAA" w:rsidRPr="00C501D4" w:rsidRDefault="00193FAA" w:rsidP="00C501D4">
            <w:pPr>
              <w:jc w:val="both"/>
            </w:pPr>
            <w:r w:rsidRPr="00C501D4">
              <w:rPr>
                <w:rFonts w:ascii="Cambria" w:eastAsia="Cambria" w:hAnsi="Cambria" w:cs="Cambria"/>
                <w:color w:val="111111"/>
                <w:sz w:val="18"/>
                <w:szCs w:val="18"/>
              </w:rPr>
              <w:t>94.1</w:t>
            </w:r>
          </w:p>
        </w:tc>
        <w:tc>
          <w:tcPr>
            <w:tcW w:w="1900" w:type="dxa"/>
            <w:tcMar>
              <w:top w:w="60" w:type="dxa"/>
              <w:left w:w="100" w:type="dxa"/>
              <w:bottom w:w="60" w:type="dxa"/>
              <w:right w:w="100" w:type="dxa"/>
            </w:tcMar>
            <w:vAlign w:val="center"/>
          </w:tcPr>
          <w:p w14:paraId="7B8DA8FA" w14:textId="77777777" w:rsidR="00193FAA" w:rsidRPr="00C501D4" w:rsidRDefault="00193FAA" w:rsidP="00C501D4">
            <w:pPr>
              <w:jc w:val="both"/>
            </w:pPr>
            <w:r w:rsidRPr="00C501D4">
              <w:rPr>
                <w:rFonts w:ascii="Cambria" w:eastAsia="Cambria" w:hAnsi="Cambria" w:cs="Cambria"/>
                <w:color w:val="111111"/>
                <w:sz w:val="18"/>
                <w:szCs w:val="18"/>
              </w:rPr>
              <w:t>212</w:t>
            </w:r>
          </w:p>
        </w:tc>
        <w:tc>
          <w:tcPr>
            <w:tcW w:w="1900" w:type="dxa"/>
            <w:tcMar>
              <w:top w:w="60" w:type="dxa"/>
              <w:left w:w="100" w:type="dxa"/>
              <w:bottom w:w="60" w:type="dxa"/>
              <w:right w:w="100" w:type="dxa"/>
            </w:tcMar>
            <w:vAlign w:val="center"/>
          </w:tcPr>
          <w:p w14:paraId="0498895E" w14:textId="77777777" w:rsidR="00193FAA" w:rsidRPr="00C501D4" w:rsidRDefault="00193FAA" w:rsidP="00C501D4">
            <w:pPr>
              <w:jc w:val="both"/>
            </w:pPr>
            <w:r w:rsidRPr="00C501D4">
              <w:rPr>
                <w:rFonts w:ascii="Cambria" w:eastAsia="Cambria" w:hAnsi="Cambria" w:cs="Cambria"/>
                <w:color w:val="111111"/>
                <w:sz w:val="18"/>
                <w:szCs w:val="18"/>
              </w:rPr>
              <w:t>2,340</w:t>
            </w:r>
          </w:p>
        </w:tc>
        <w:tc>
          <w:tcPr>
            <w:tcW w:w="1600" w:type="dxa"/>
            <w:tcMar>
              <w:top w:w="60" w:type="dxa"/>
              <w:left w:w="100" w:type="dxa"/>
              <w:bottom w:w="60" w:type="dxa"/>
              <w:right w:w="100" w:type="dxa"/>
            </w:tcMar>
            <w:vAlign w:val="center"/>
          </w:tcPr>
          <w:p w14:paraId="6ADA8914" w14:textId="77777777" w:rsidR="00193FAA" w:rsidRPr="00C501D4" w:rsidRDefault="00193FAA" w:rsidP="00C501D4">
            <w:pPr>
              <w:jc w:val="both"/>
            </w:pPr>
            <w:r w:rsidRPr="00C501D4">
              <w:rPr>
                <w:rFonts w:ascii="Cambria" w:eastAsia="Cambria" w:hAnsi="Cambria" w:cs="Cambria"/>
                <w:color w:val="111111"/>
                <w:sz w:val="18"/>
                <w:szCs w:val="18"/>
              </w:rPr>
              <w:t>Computational only</w:t>
            </w:r>
          </w:p>
        </w:tc>
      </w:tr>
      <w:tr w:rsidR="00193FAA" w:rsidRPr="00C501D4" w14:paraId="4D59444C" w14:textId="77777777" w:rsidTr="00193FAA">
        <w:tc>
          <w:tcPr>
            <w:tcW w:w="2000" w:type="dxa"/>
            <w:shd w:val="clear" w:color="auto" w:fill="F2F2F2"/>
            <w:tcMar>
              <w:top w:w="60" w:type="dxa"/>
              <w:left w:w="100" w:type="dxa"/>
              <w:bottom w:w="60" w:type="dxa"/>
              <w:right w:w="100" w:type="dxa"/>
            </w:tcMar>
            <w:vAlign w:val="center"/>
          </w:tcPr>
          <w:p w14:paraId="3FC00C97" w14:textId="77777777" w:rsidR="00193FAA" w:rsidRPr="00C501D4" w:rsidRDefault="00193FAA" w:rsidP="00C501D4">
            <w:pPr>
              <w:jc w:val="both"/>
            </w:pPr>
            <w:r w:rsidRPr="00C501D4">
              <w:rPr>
                <w:rFonts w:ascii="Cambria" w:eastAsia="Cambria" w:hAnsi="Cambria" w:cs="Cambria"/>
                <w:color w:val="111111"/>
                <w:sz w:val="18"/>
                <w:szCs w:val="18"/>
              </w:rPr>
              <w:t>Tri-Layered (ε=8)</w:t>
            </w:r>
          </w:p>
        </w:tc>
        <w:tc>
          <w:tcPr>
            <w:tcW w:w="1600" w:type="dxa"/>
            <w:shd w:val="clear" w:color="auto" w:fill="F2F2F2"/>
            <w:tcMar>
              <w:top w:w="60" w:type="dxa"/>
              <w:left w:w="100" w:type="dxa"/>
              <w:bottom w:w="60" w:type="dxa"/>
              <w:right w:w="100" w:type="dxa"/>
            </w:tcMar>
            <w:vAlign w:val="center"/>
          </w:tcPr>
          <w:p w14:paraId="45AFD5B8" w14:textId="77777777" w:rsidR="00193FAA" w:rsidRPr="00C501D4" w:rsidRDefault="00193FAA" w:rsidP="00C501D4">
            <w:pPr>
              <w:jc w:val="both"/>
            </w:pPr>
            <w:r w:rsidRPr="00C501D4">
              <w:rPr>
                <w:rFonts w:ascii="Cambria" w:eastAsia="Cambria" w:hAnsi="Cambria" w:cs="Cambria"/>
                <w:color w:val="111111"/>
                <w:sz w:val="18"/>
                <w:szCs w:val="18"/>
              </w:rPr>
              <w:t>89.9</w:t>
            </w:r>
          </w:p>
        </w:tc>
        <w:tc>
          <w:tcPr>
            <w:tcW w:w="1900" w:type="dxa"/>
            <w:shd w:val="clear" w:color="auto" w:fill="F2F2F2"/>
            <w:tcMar>
              <w:top w:w="60" w:type="dxa"/>
              <w:left w:w="100" w:type="dxa"/>
              <w:bottom w:w="60" w:type="dxa"/>
              <w:right w:w="100" w:type="dxa"/>
            </w:tcMar>
            <w:vAlign w:val="center"/>
          </w:tcPr>
          <w:p w14:paraId="05A6DE05" w14:textId="77777777" w:rsidR="00193FAA" w:rsidRPr="00C501D4" w:rsidRDefault="00193FAA" w:rsidP="00C501D4">
            <w:pPr>
              <w:jc w:val="both"/>
            </w:pPr>
            <w:r w:rsidRPr="00C501D4">
              <w:rPr>
                <w:rFonts w:ascii="Cambria" w:eastAsia="Cambria" w:hAnsi="Cambria" w:cs="Cambria"/>
                <w:color w:val="111111"/>
                <w:sz w:val="18"/>
                <w:szCs w:val="18"/>
              </w:rPr>
              <w:t>229</w:t>
            </w:r>
          </w:p>
        </w:tc>
        <w:tc>
          <w:tcPr>
            <w:tcW w:w="1900" w:type="dxa"/>
            <w:shd w:val="clear" w:color="auto" w:fill="F2F2F2"/>
            <w:tcMar>
              <w:top w:w="60" w:type="dxa"/>
              <w:left w:w="100" w:type="dxa"/>
              <w:bottom w:w="60" w:type="dxa"/>
              <w:right w:w="100" w:type="dxa"/>
            </w:tcMar>
            <w:vAlign w:val="center"/>
          </w:tcPr>
          <w:p w14:paraId="6DA0280D" w14:textId="77777777" w:rsidR="00193FAA" w:rsidRPr="00C501D4" w:rsidRDefault="00193FAA" w:rsidP="00C501D4">
            <w:pPr>
              <w:jc w:val="both"/>
            </w:pPr>
            <w:r w:rsidRPr="00C501D4">
              <w:rPr>
                <w:rFonts w:ascii="Cambria" w:eastAsia="Cambria" w:hAnsi="Cambria" w:cs="Cambria"/>
                <w:color w:val="111111"/>
                <w:sz w:val="18"/>
                <w:szCs w:val="18"/>
              </w:rPr>
              <w:t>2,410</w:t>
            </w:r>
          </w:p>
        </w:tc>
        <w:tc>
          <w:tcPr>
            <w:tcW w:w="1600" w:type="dxa"/>
            <w:shd w:val="clear" w:color="auto" w:fill="F2F2F2"/>
            <w:tcMar>
              <w:top w:w="60" w:type="dxa"/>
              <w:left w:w="100" w:type="dxa"/>
              <w:bottom w:w="60" w:type="dxa"/>
              <w:right w:w="100" w:type="dxa"/>
            </w:tcMar>
            <w:vAlign w:val="center"/>
          </w:tcPr>
          <w:p w14:paraId="342D6A71" w14:textId="77777777" w:rsidR="00193FAA" w:rsidRPr="00C501D4" w:rsidRDefault="00193FAA" w:rsidP="00C501D4">
            <w:pPr>
              <w:jc w:val="both"/>
            </w:pPr>
            <w:r w:rsidRPr="00C501D4">
              <w:rPr>
                <w:rFonts w:ascii="Cambria" w:eastAsia="Cambria" w:hAnsi="Cambria" w:cs="Cambria"/>
                <w:color w:val="111111"/>
                <w:sz w:val="18"/>
                <w:szCs w:val="18"/>
              </w:rPr>
              <w:t>Statistical + Computational + Split-bound</w:t>
            </w:r>
          </w:p>
        </w:tc>
      </w:tr>
      <w:tr w:rsidR="00193FAA" w:rsidRPr="00C501D4" w14:paraId="1302DB20" w14:textId="77777777" w:rsidTr="00193FAA">
        <w:tc>
          <w:tcPr>
            <w:tcW w:w="2000" w:type="dxa"/>
            <w:tcMar>
              <w:top w:w="60" w:type="dxa"/>
              <w:left w:w="100" w:type="dxa"/>
              <w:bottom w:w="60" w:type="dxa"/>
              <w:right w:w="100" w:type="dxa"/>
            </w:tcMar>
            <w:vAlign w:val="center"/>
          </w:tcPr>
          <w:p w14:paraId="749DE9E1" w14:textId="77777777" w:rsidR="00193FAA" w:rsidRPr="00C501D4" w:rsidRDefault="00193FAA" w:rsidP="00C501D4">
            <w:pPr>
              <w:jc w:val="both"/>
            </w:pPr>
            <w:r w:rsidRPr="00C501D4">
              <w:rPr>
                <w:rFonts w:ascii="Cambria" w:eastAsia="Cambria" w:hAnsi="Cambria" w:cs="Cambria"/>
                <w:color w:val="111111"/>
                <w:sz w:val="18"/>
                <w:szCs w:val="18"/>
              </w:rPr>
              <w:t>Tri-Layered (ε=4)</w:t>
            </w:r>
          </w:p>
        </w:tc>
        <w:tc>
          <w:tcPr>
            <w:tcW w:w="1600" w:type="dxa"/>
            <w:tcMar>
              <w:top w:w="60" w:type="dxa"/>
              <w:left w:w="100" w:type="dxa"/>
              <w:bottom w:w="60" w:type="dxa"/>
              <w:right w:w="100" w:type="dxa"/>
            </w:tcMar>
            <w:vAlign w:val="center"/>
          </w:tcPr>
          <w:p w14:paraId="69224782" w14:textId="77777777" w:rsidR="00193FAA" w:rsidRPr="00C501D4" w:rsidRDefault="00193FAA" w:rsidP="00C501D4">
            <w:pPr>
              <w:jc w:val="both"/>
            </w:pPr>
            <w:r w:rsidRPr="00C501D4">
              <w:rPr>
                <w:rFonts w:ascii="Cambria" w:eastAsia="Cambria" w:hAnsi="Cambria" w:cs="Cambria"/>
                <w:color w:val="111111"/>
                <w:sz w:val="18"/>
                <w:szCs w:val="18"/>
              </w:rPr>
              <w:t>86.8</w:t>
            </w:r>
          </w:p>
        </w:tc>
        <w:tc>
          <w:tcPr>
            <w:tcW w:w="1900" w:type="dxa"/>
            <w:tcMar>
              <w:top w:w="60" w:type="dxa"/>
              <w:left w:w="100" w:type="dxa"/>
              <w:bottom w:w="60" w:type="dxa"/>
              <w:right w:w="100" w:type="dxa"/>
            </w:tcMar>
            <w:vAlign w:val="center"/>
          </w:tcPr>
          <w:p w14:paraId="631E4048" w14:textId="77777777" w:rsidR="00193FAA" w:rsidRPr="00C501D4" w:rsidRDefault="00193FAA" w:rsidP="00C501D4">
            <w:pPr>
              <w:jc w:val="both"/>
            </w:pPr>
            <w:r w:rsidRPr="00C501D4">
              <w:rPr>
                <w:rFonts w:ascii="Cambria" w:eastAsia="Cambria" w:hAnsi="Cambria" w:cs="Cambria"/>
                <w:color w:val="111111"/>
                <w:sz w:val="18"/>
                <w:szCs w:val="18"/>
              </w:rPr>
              <w:t>229</w:t>
            </w:r>
          </w:p>
        </w:tc>
        <w:tc>
          <w:tcPr>
            <w:tcW w:w="1900" w:type="dxa"/>
            <w:tcMar>
              <w:top w:w="60" w:type="dxa"/>
              <w:left w:w="100" w:type="dxa"/>
              <w:bottom w:w="60" w:type="dxa"/>
              <w:right w:w="100" w:type="dxa"/>
            </w:tcMar>
            <w:vAlign w:val="center"/>
          </w:tcPr>
          <w:p w14:paraId="1A95063D" w14:textId="77777777" w:rsidR="00193FAA" w:rsidRPr="00C501D4" w:rsidRDefault="00193FAA" w:rsidP="00C501D4">
            <w:pPr>
              <w:jc w:val="both"/>
            </w:pPr>
            <w:r w:rsidRPr="00C501D4">
              <w:rPr>
                <w:rFonts w:ascii="Cambria" w:eastAsia="Cambria" w:hAnsi="Cambria" w:cs="Cambria"/>
                <w:color w:val="111111"/>
                <w:sz w:val="18"/>
                <w:szCs w:val="18"/>
              </w:rPr>
              <w:t>2,410</w:t>
            </w:r>
          </w:p>
        </w:tc>
        <w:tc>
          <w:tcPr>
            <w:tcW w:w="1600" w:type="dxa"/>
            <w:tcMar>
              <w:top w:w="60" w:type="dxa"/>
              <w:left w:w="100" w:type="dxa"/>
              <w:bottom w:w="60" w:type="dxa"/>
              <w:right w:w="100" w:type="dxa"/>
            </w:tcMar>
            <w:vAlign w:val="center"/>
          </w:tcPr>
          <w:p w14:paraId="621D2434" w14:textId="77777777" w:rsidR="00193FAA" w:rsidRPr="00C501D4" w:rsidRDefault="00193FAA" w:rsidP="00C501D4">
            <w:pPr>
              <w:jc w:val="both"/>
            </w:pPr>
            <w:r w:rsidRPr="00C501D4">
              <w:rPr>
                <w:rFonts w:ascii="Cambria" w:eastAsia="Cambria" w:hAnsi="Cambria" w:cs="Cambria"/>
                <w:color w:val="111111"/>
                <w:sz w:val="18"/>
                <w:szCs w:val="18"/>
              </w:rPr>
              <w:t>Statistical + Computational + Split-bound</w:t>
            </w:r>
          </w:p>
        </w:tc>
      </w:tr>
    </w:tbl>
    <w:p w14:paraId="6F9D143E" w14:textId="77777777" w:rsidR="00AB5DCE" w:rsidRPr="00C501D4" w:rsidRDefault="00193FAA" w:rsidP="00C501D4">
      <w:pPr>
        <w:spacing w:before="100" w:after="260"/>
        <w:jc w:val="both"/>
        <w:rPr>
          <w:rFonts w:ascii="Cambria" w:eastAsia="Cambria" w:hAnsi="Cambria" w:cs="Cambria"/>
          <w:b/>
          <w:bCs/>
        </w:rPr>
      </w:pPr>
      <w:r w:rsidRPr="00C501D4">
        <w:rPr>
          <w:rFonts w:ascii="Cambria" w:eastAsia="Cambria" w:hAnsi="Cambria" w:cs="Cambria"/>
          <w:b/>
          <w:bCs/>
        </w:rPr>
        <w:t xml:space="preserve"> TABLE </w:t>
      </w:r>
      <w:r w:rsidR="007A2BB3" w:rsidRPr="00C501D4">
        <w:rPr>
          <w:rFonts w:ascii="Cambria" w:eastAsia="Cambria" w:hAnsi="Cambria" w:cs="Cambria"/>
          <w:b/>
          <w:bCs/>
        </w:rPr>
        <w:t>4</w:t>
      </w:r>
      <w:r w:rsidRPr="00C501D4">
        <w:rPr>
          <w:rFonts w:ascii="Cambria" w:eastAsia="Cambria" w:hAnsi="Cambria" w:cs="Cambria"/>
          <w:b/>
          <w:bCs/>
        </w:rPr>
        <w:t>. Consolidated Comparison of Architectural Configurations</w:t>
      </w:r>
    </w:p>
    <w:p w14:paraId="781E8282" w14:textId="77777777" w:rsidR="00193FAA" w:rsidRPr="00C501D4" w:rsidRDefault="00193FAA" w:rsidP="00C501D4">
      <w:pPr>
        <w:spacing w:before="100" w:after="260"/>
        <w:jc w:val="both"/>
        <w:rPr>
          <w:rFonts w:ascii="Cambria" w:eastAsia="Cambria" w:hAnsi="Cambria" w:cs="Cambria"/>
          <w:b/>
          <w:bCs/>
        </w:rPr>
      </w:pPr>
    </w:p>
    <w:p w14:paraId="4581BC52" w14:textId="77777777" w:rsidR="002713CA" w:rsidRPr="00C501D4" w:rsidRDefault="002713CA" w:rsidP="00C501D4">
      <w:pPr>
        <w:spacing w:after="160" w:line="276" w:lineRule="auto"/>
        <w:jc w:val="both"/>
        <w:rPr>
          <w:rFonts w:ascii="Cambria" w:eastAsia="Cambria" w:hAnsi="Cambria" w:cs="Cambria"/>
          <w:sz w:val="22"/>
          <w:szCs w:val="22"/>
        </w:rPr>
      </w:pPr>
      <w:r w:rsidRPr="00C501D4">
        <w:rPr>
          <w:rFonts w:ascii="Cambria" w:eastAsia="Cambria" w:hAnsi="Cambria" w:cs="Cambria"/>
          <w:sz w:val="22"/>
          <w:szCs w:val="22"/>
        </w:rPr>
        <w:t>The results support the central thesis that the three layers are complementary rather than redundant. Split learning and CKKS address the confidentiality of the transmitted representation architecturally and cryptographically, respectively. DP addresses a threat—membership inference from the trained model itself—that is not bounded by either of the other two layers. The main cost of the tri-layered composition is latency, which is almost entirely due to the homomorphic evaluation of the server-side sub-network. This implies that the most promising direction for closing the overhead gap, without compromising any of the three privacy guarantees, is to reduce the number and depth of the homomorphically evaluated layers, for example, by moving the split point deeper into the network.</w:t>
      </w:r>
    </w:p>
    <w:p w14:paraId="1D2282D0" w14:textId="77777777" w:rsidR="002713CA" w:rsidRPr="00C501D4" w:rsidRDefault="00000000" w:rsidP="00C501D4">
      <w:pPr>
        <w:spacing w:after="160" w:line="276" w:lineRule="auto"/>
        <w:jc w:val="both"/>
        <w:rPr>
          <w:rFonts w:ascii="Cambria" w:eastAsia="Cambria" w:hAnsi="Cambria" w:cs="Cambria"/>
          <w:b/>
          <w:bCs/>
          <w:caps/>
          <w:sz w:val="26"/>
          <w:szCs w:val="26"/>
        </w:rPr>
      </w:pPr>
      <w:r w:rsidRPr="00C501D4">
        <w:rPr>
          <w:rFonts w:ascii="Cambria" w:eastAsia="Cambria" w:hAnsi="Cambria" w:cs="Cambria"/>
          <w:b/>
          <w:bCs/>
          <w:caps/>
          <w:sz w:val="26"/>
          <w:szCs w:val="26"/>
        </w:rPr>
        <w:t>VII. Conclusion</w:t>
      </w:r>
    </w:p>
    <w:p w14:paraId="47954105" w14:textId="77777777" w:rsidR="00C501D4" w:rsidRDefault="00C501D4" w:rsidP="00C501D4">
      <w:pPr>
        <w:pStyle w:val="pdq2pgselectionanchorcontainer"/>
        <w:jc w:val="both"/>
      </w:pPr>
      <w:r>
        <w:t>This study presents a tri-layered hybrid privacy architecture that integrates split learning, differential privacy, and CKKS fully homomorphic encryption to address distinct privacy risks within collaborative deep neural network computation. The architecture combines an explicit split boundary with statistical protection of gradients and activations and cryptographic protection of transmitted representations. Across the evaluated configurations, the tri-layered design achieved 89.9% accuracy at ε = 8, compared with 94.6% for the non-private baseline, while incurring an approximately 10.4× latency overhead relative to plaintext split inference. The results indicate that the three layers are complementary rather than redundant, because each addresses a different component of the threat surface. The principal practical cost is the latency introduced by homomorphic evaluation of the server-side sub-network. Consequently, further improvement should focus on reducing the depth and number of homomorphically evaluated layers, examining deeper split points, and refining joint privacy-budget and cryptographic-parameter allocation while retaining the architecture’s combined privacy objectives.</w:t>
      </w:r>
    </w:p>
    <w:p w14:paraId="1C95AC4C" w14:textId="7C0DE722" w:rsidR="00C501D4" w:rsidRPr="00C501D4" w:rsidRDefault="00C501D4" w:rsidP="00C501D4">
      <w:pPr>
        <w:pStyle w:val="pdq2pgselectionanchorcontainer"/>
        <w:jc w:val="both"/>
        <w:rPr>
          <w:b/>
          <w:bCs/>
        </w:rPr>
      </w:pPr>
      <w:r w:rsidRPr="00C501D4">
        <w:rPr>
          <w:b/>
          <w:bCs/>
        </w:rPr>
        <w:t>Limitations</w:t>
      </w:r>
    </w:p>
    <w:p w14:paraId="21478C87" w14:textId="064C272D" w:rsidR="00C501D4" w:rsidRDefault="00C501D4" w:rsidP="00C501D4">
      <w:pPr>
        <w:pStyle w:val="pdq2pgselectionanchorcontainer"/>
        <w:jc w:val="both"/>
      </w:pPr>
      <w:r>
        <w:lastRenderedPageBreak/>
        <w:t>The principal limitation of the proposed architecture is its computational overhead, with server-side homomorphic evaluation dominating end-to-end latency. The experiments use a fixed split point after the third convolutional block and a specified hardware configuration, so the reported latency reflects those design choices. Privacy and utility also depend on coordinated selection of the DP noise multiplier, clipping norm, and CKKS multiplicative depth. Further evaluation of deeper split points and adaptive parameter allocation is therefore needed to determine whether comparable privacy coverage can be maintained with lower computational cost.</w:t>
      </w:r>
    </w:p>
    <w:p w14:paraId="56D0F34B" w14:textId="77777777" w:rsidR="00FF76FD" w:rsidRPr="00C501D4" w:rsidRDefault="00FF76FD" w:rsidP="00C501D4">
      <w:pPr>
        <w:spacing w:after="160" w:line="276" w:lineRule="auto"/>
        <w:jc w:val="both"/>
        <w:rPr>
          <w:rFonts w:ascii="Cambria" w:eastAsia="Cambria" w:hAnsi="Cambria" w:cs="Cambria"/>
          <w:sz w:val="22"/>
          <w:szCs w:val="22"/>
        </w:rPr>
      </w:pPr>
    </w:p>
    <w:p w14:paraId="291265A8" w14:textId="77777777" w:rsidR="00442B0F" w:rsidRPr="00C501D4" w:rsidRDefault="00442B0F" w:rsidP="00C501D4">
      <w:pPr>
        <w:jc w:val="both"/>
        <w:rPr>
          <w:b/>
        </w:rPr>
      </w:pPr>
    </w:p>
    <w:p w14:paraId="41D2969A" w14:textId="77777777" w:rsidR="00442B0F" w:rsidRPr="00C501D4" w:rsidRDefault="00442B0F" w:rsidP="00C501D4">
      <w:pPr>
        <w:jc w:val="both"/>
        <w:rPr>
          <w:b/>
        </w:rPr>
      </w:pPr>
    </w:p>
    <w:p w14:paraId="46E8711B" w14:textId="77777777" w:rsidR="00442B0F" w:rsidRPr="00C501D4" w:rsidRDefault="00442B0F" w:rsidP="00C501D4">
      <w:pPr>
        <w:jc w:val="both"/>
        <w:rPr>
          <w:b/>
        </w:rPr>
      </w:pPr>
    </w:p>
    <w:p w14:paraId="5E47E682" w14:textId="77777777" w:rsidR="00FF76FD" w:rsidRPr="00C501D4" w:rsidRDefault="00FF76FD" w:rsidP="00C501D4">
      <w:pPr>
        <w:jc w:val="both"/>
        <w:rPr>
          <w:b/>
        </w:rPr>
      </w:pPr>
      <w:r w:rsidRPr="00C501D4">
        <w:rPr>
          <w:b/>
        </w:rPr>
        <w:t>Declaration of AI Use</w:t>
      </w:r>
    </w:p>
    <w:p w14:paraId="0762F0EE" w14:textId="77777777" w:rsidR="00FF76FD" w:rsidRPr="00C501D4" w:rsidRDefault="00FF76FD" w:rsidP="00C501D4">
      <w:pPr>
        <w:jc w:val="both"/>
      </w:pPr>
    </w:p>
    <w:p w14:paraId="79C19CEB" w14:textId="77777777" w:rsidR="00FF76FD" w:rsidRPr="00C501D4" w:rsidRDefault="00FF76FD" w:rsidP="00C501D4">
      <w:pPr>
        <w:jc w:val="both"/>
      </w:pPr>
      <w:r w:rsidRPr="00C501D4">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and reference formatting. These AI-assisted tools were not used as authors and did not replace the intellectual contributions or scholarly judgement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3ADE7FF" w14:textId="77777777" w:rsidR="00FF76FD" w:rsidRPr="00C501D4" w:rsidRDefault="00FF76FD" w:rsidP="00C501D4">
      <w:pPr>
        <w:spacing w:after="160" w:line="276" w:lineRule="auto"/>
        <w:jc w:val="both"/>
        <w:rPr>
          <w:rFonts w:ascii="Cambria" w:eastAsia="Cambria" w:hAnsi="Cambria" w:cs="Cambria"/>
          <w:sz w:val="22"/>
          <w:szCs w:val="22"/>
        </w:rPr>
      </w:pPr>
    </w:p>
    <w:p w14:paraId="11A9E899" w14:textId="77777777" w:rsidR="002713CA" w:rsidRPr="00C501D4" w:rsidRDefault="002713CA" w:rsidP="00C501D4">
      <w:pPr>
        <w:spacing w:after="160" w:line="276" w:lineRule="auto"/>
        <w:jc w:val="both"/>
        <w:rPr>
          <w:rFonts w:ascii="Cambria" w:eastAsia="Cambria" w:hAnsi="Cambria" w:cs="Cambria"/>
          <w:sz w:val="22"/>
          <w:szCs w:val="22"/>
        </w:rPr>
      </w:pPr>
    </w:p>
    <w:p w14:paraId="3E4CE995" w14:textId="77777777" w:rsidR="00AB5DCE" w:rsidRDefault="00000000" w:rsidP="00C501D4">
      <w:pPr>
        <w:spacing w:after="160" w:line="276" w:lineRule="auto"/>
        <w:jc w:val="both"/>
        <w:rPr>
          <w:rFonts w:ascii="Cambria" w:eastAsia="Cambria" w:hAnsi="Cambria" w:cs="Cambria"/>
          <w:b/>
          <w:bCs/>
          <w:caps/>
          <w:sz w:val="26"/>
          <w:szCs w:val="26"/>
        </w:rPr>
      </w:pPr>
      <w:r w:rsidRPr="00C501D4">
        <w:rPr>
          <w:rFonts w:ascii="Cambria" w:eastAsia="Cambria" w:hAnsi="Cambria" w:cs="Cambria"/>
          <w:b/>
          <w:bCs/>
          <w:caps/>
          <w:sz w:val="26"/>
          <w:szCs w:val="26"/>
        </w:rPr>
        <w:t>References</w:t>
      </w:r>
    </w:p>
    <w:p w14:paraId="07E65044" w14:textId="77777777" w:rsidR="00EB05FA" w:rsidRPr="00EB05FA" w:rsidRDefault="00EB05FA" w:rsidP="00EB05FA">
      <w:pPr>
        <w:spacing w:before="100" w:beforeAutospacing="1" w:after="100" w:afterAutospacing="1"/>
        <w:rPr>
          <w:sz w:val="24"/>
          <w:szCs w:val="24"/>
        </w:rPr>
      </w:pPr>
      <w:r w:rsidRPr="00EB05FA">
        <w:rPr>
          <w:sz w:val="24"/>
          <w:szCs w:val="24"/>
        </w:rPr>
        <w:t xml:space="preserve">Abadi, M., Chu, A., Goodfellow, I., McMahan, H. B., Mironov, I., Talwar, K., &amp; Zhang, L. (2016). Deep learning with differential privacy. In </w:t>
      </w:r>
      <w:r w:rsidRPr="00EB05FA">
        <w:rPr>
          <w:i/>
          <w:iCs/>
          <w:sz w:val="24"/>
          <w:szCs w:val="24"/>
        </w:rPr>
        <w:t>Proceedings of the 2016 ACM SIGSAC Conference on Computer and Communications Security</w:t>
      </w:r>
      <w:r w:rsidRPr="00EB05FA">
        <w:rPr>
          <w:sz w:val="24"/>
          <w:szCs w:val="24"/>
        </w:rPr>
        <w:t xml:space="preserve"> (pp. 308–318). ACM. </w:t>
      </w:r>
      <w:hyperlink r:id="rId11" w:history="1">
        <w:r w:rsidRPr="00EB05FA">
          <w:rPr>
            <w:color w:val="0000FF"/>
            <w:sz w:val="24"/>
            <w:szCs w:val="24"/>
            <w:u w:val="single"/>
          </w:rPr>
          <w:t>https://doi.org/10.1145/2976749.2978318</w:t>
        </w:r>
      </w:hyperlink>
    </w:p>
    <w:p w14:paraId="29A20198" w14:textId="77777777" w:rsidR="00EB05FA" w:rsidRPr="00EB05FA" w:rsidRDefault="00EB05FA" w:rsidP="00EB05FA">
      <w:pPr>
        <w:spacing w:before="100" w:beforeAutospacing="1" w:after="100" w:afterAutospacing="1"/>
        <w:rPr>
          <w:sz w:val="24"/>
          <w:szCs w:val="24"/>
        </w:rPr>
      </w:pPr>
      <w:r w:rsidRPr="00EB05FA">
        <w:rPr>
          <w:sz w:val="24"/>
          <w:szCs w:val="24"/>
        </w:rPr>
        <w:t xml:space="preserve">Adedayo-Ajayi, V. O., </w:t>
      </w:r>
      <w:proofErr w:type="spellStart"/>
      <w:r w:rsidRPr="00EB05FA">
        <w:rPr>
          <w:sz w:val="24"/>
          <w:szCs w:val="24"/>
        </w:rPr>
        <w:t>Jesubuyikunmi</w:t>
      </w:r>
      <w:proofErr w:type="spellEnd"/>
      <w:r w:rsidRPr="00EB05FA">
        <w:rPr>
          <w:sz w:val="24"/>
          <w:szCs w:val="24"/>
        </w:rPr>
        <w:t xml:space="preserve">, A. J., Ojo, A. K., </w:t>
      </w:r>
      <w:proofErr w:type="spellStart"/>
      <w:r w:rsidRPr="00EB05FA">
        <w:rPr>
          <w:sz w:val="24"/>
          <w:szCs w:val="24"/>
        </w:rPr>
        <w:t>Muyideen</w:t>
      </w:r>
      <w:proofErr w:type="spellEnd"/>
      <w:r w:rsidRPr="00EB05FA">
        <w:rPr>
          <w:sz w:val="24"/>
          <w:szCs w:val="24"/>
        </w:rPr>
        <w:t xml:space="preserve">, A. A., Job, O. O., &amp; Olaoluwa, A. O. (2026). Comparative performance evaluation of BFV, BGV and CKKS homomorphic encryption schemes using Microsoft SEAL. </w:t>
      </w:r>
      <w:r w:rsidRPr="00EB05FA">
        <w:rPr>
          <w:i/>
          <w:iCs/>
          <w:sz w:val="24"/>
          <w:szCs w:val="24"/>
        </w:rPr>
        <w:t>Asian Journal of Current Research, 11</w:t>
      </w:r>
      <w:r w:rsidRPr="00EB05FA">
        <w:rPr>
          <w:sz w:val="24"/>
          <w:szCs w:val="24"/>
        </w:rPr>
        <w:t xml:space="preserve">(2), 180–196. </w:t>
      </w:r>
      <w:hyperlink r:id="rId12" w:history="1">
        <w:r w:rsidRPr="00EB05FA">
          <w:rPr>
            <w:color w:val="0000FF"/>
            <w:sz w:val="24"/>
            <w:szCs w:val="24"/>
            <w:u w:val="single"/>
          </w:rPr>
          <w:t>https://doi.org/10.56557/ajocr/2026/v11i210588</w:t>
        </w:r>
      </w:hyperlink>
    </w:p>
    <w:p w14:paraId="4723E33C" w14:textId="77777777" w:rsidR="00EB05FA" w:rsidRPr="00EB05FA" w:rsidRDefault="00EB05FA" w:rsidP="00EB05FA">
      <w:pPr>
        <w:spacing w:before="100" w:beforeAutospacing="1" w:after="100" w:afterAutospacing="1"/>
        <w:rPr>
          <w:sz w:val="24"/>
          <w:szCs w:val="24"/>
        </w:rPr>
      </w:pPr>
      <w:r w:rsidRPr="00EB05FA">
        <w:rPr>
          <w:sz w:val="24"/>
          <w:szCs w:val="24"/>
        </w:rPr>
        <w:t xml:space="preserve">Aerni, M., Zhang, J., &amp; </w:t>
      </w:r>
      <w:proofErr w:type="spellStart"/>
      <w:r w:rsidRPr="00EB05FA">
        <w:rPr>
          <w:sz w:val="24"/>
          <w:szCs w:val="24"/>
        </w:rPr>
        <w:t>Tramèr</w:t>
      </w:r>
      <w:proofErr w:type="spellEnd"/>
      <w:r w:rsidRPr="00EB05FA">
        <w:rPr>
          <w:sz w:val="24"/>
          <w:szCs w:val="24"/>
        </w:rPr>
        <w:t xml:space="preserve">, F. (2024). Evaluations of machine learning privacy defenses are misleading. In </w:t>
      </w:r>
      <w:r w:rsidRPr="00EB05FA">
        <w:rPr>
          <w:i/>
          <w:iCs/>
          <w:sz w:val="24"/>
          <w:szCs w:val="24"/>
        </w:rPr>
        <w:t>Proceedings of the 2024 ACM SIGSAC Conference on Computer and Communications Security</w:t>
      </w:r>
      <w:r w:rsidRPr="00EB05FA">
        <w:rPr>
          <w:sz w:val="24"/>
          <w:szCs w:val="24"/>
        </w:rPr>
        <w:t xml:space="preserve"> (pp. 1271–1284). ACM. </w:t>
      </w:r>
      <w:hyperlink r:id="rId13" w:history="1">
        <w:r w:rsidRPr="00EB05FA">
          <w:rPr>
            <w:color w:val="0000FF"/>
            <w:sz w:val="24"/>
            <w:szCs w:val="24"/>
            <w:u w:val="single"/>
          </w:rPr>
          <w:t>https://doi.org/10.1145/3658644.3690194</w:t>
        </w:r>
      </w:hyperlink>
    </w:p>
    <w:p w14:paraId="46D1456B" w14:textId="77777777" w:rsidR="00EB05FA" w:rsidRPr="00EB05FA" w:rsidRDefault="00EB05FA" w:rsidP="00EB05FA">
      <w:pPr>
        <w:spacing w:before="100" w:beforeAutospacing="1" w:after="100" w:afterAutospacing="1"/>
        <w:rPr>
          <w:sz w:val="24"/>
          <w:szCs w:val="24"/>
        </w:rPr>
      </w:pPr>
      <w:r w:rsidRPr="00EB05FA">
        <w:rPr>
          <w:sz w:val="24"/>
          <w:szCs w:val="24"/>
        </w:rPr>
        <w:t xml:space="preserve">Alhindi, A., Al-Ahmadi, S., &amp; Ben Ismail, M. M. (2025). Advancements and challenges in privacy-preserving split learning: Experimental findings and future directions. </w:t>
      </w:r>
      <w:r w:rsidRPr="00EB05FA">
        <w:rPr>
          <w:i/>
          <w:iCs/>
          <w:sz w:val="24"/>
          <w:szCs w:val="24"/>
        </w:rPr>
        <w:t>International Journal of Information Security, 24</w:t>
      </w:r>
      <w:r w:rsidRPr="00EB05FA">
        <w:rPr>
          <w:sz w:val="24"/>
          <w:szCs w:val="24"/>
        </w:rPr>
        <w:t xml:space="preserve">, Article 125. </w:t>
      </w:r>
      <w:hyperlink r:id="rId14" w:history="1">
        <w:r w:rsidRPr="00EB05FA">
          <w:rPr>
            <w:color w:val="0000FF"/>
            <w:sz w:val="24"/>
            <w:szCs w:val="24"/>
            <w:u w:val="single"/>
          </w:rPr>
          <w:t>https://doi.org/10.1007/s10207-025-01045-9</w:t>
        </w:r>
      </w:hyperlink>
    </w:p>
    <w:p w14:paraId="656104CB" w14:textId="77777777" w:rsidR="00EB05FA" w:rsidRPr="00EB05FA" w:rsidRDefault="00EB05FA" w:rsidP="00EB05FA">
      <w:pPr>
        <w:spacing w:before="100" w:beforeAutospacing="1" w:after="100" w:afterAutospacing="1"/>
        <w:rPr>
          <w:sz w:val="24"/>
          <w:szCs w:val="24"/>
        </w:rPr>
      </w:pPr>
      <w:r w:rsidRPr="00EB05FA">
        <w:rPr>
          <w:sz w:val="24"/>
          <w:szCs w:val="24"/>
        </w:rPr>
        <w:t xml:space="preserve">Annamalai, M. S. M. S., &amp; De Cristofaro, E. (2024). Nearly tight black-box auditing of differentially private machine learning. </w:t>
      </w:r>
      <w:r w:rsidRPr="00EB05FA">
        <w:rPr>
          <w:i/>
          <w:iCs/>
          <w:sz w:val="24"/>
          <w:szCs w:val="24"/>
        </w:rPr>
        <w:t>Advances in Neural Information Processing Systems, 37</w:t>
      </w:r>
      <w:r w:rsidRPr="00EB05FA">
        <w:rPr>
          <w:sz w:val="24"/>
          <w:szCs w:val="24"/>
        </w:rPr>
        <w:t xml:space="preserve">, 131482–131502. </w:t>
      </w:r>
      <w:hyperlink r:id="rId15" w:history="1">
        <w:r w:rsidRPr="00EB05FA">
          <w:rPr>
            <w:color w:val="0000FF"/>
            <w:sz w:val="24"/>
            <w:szCs w:val="24"/>
            <w:u w:val="single"/>
          </w:rPr>
          <w:t>https://doi.org/10.52202/079017-4179</w:t>
        </w:r>
      </w:hyperlink>
    </w:p>
    <w:p w14:paraId="5601C14D" w14:textId="77777777" w:rsidR="00EB05FA" w:rsidRPr="00EB05FA" w:rsidRDefault="00EB05FA" w:rsidP="00EB05FA">
      <w:pPr>
        <w:spacing w:before="100" w:beforeAutospacing="1" w:after="100" w:afterAutospacing="1"/>
        <w:rPr>
          <w:sz w:val="24"/>
          <w:szCs w:val="24"/>
        </w:rPr>
      </w:pPr>
      <w:r w:rsidRPr="00EB05FA">
        <w:rPr>
          <w:sz w:val="24"/>
          <w:szCs w:val="24"/>
        </w:rPr>
        <w:lastRenderedPageBreak/>
        <w:t xml:space="preserve">Birrell, J., Ebrahimi, R., Behnia, R., &amp; Pacheco, J. (2024). Differentially private stochastic gradient descent with fixed-size minibatches: Tighter RDP guarantees with or without replacement. </w:t>
      </w:r>
      <w:r w:rsidRPr="00EB05FA">
        <w:rPr>
          <w:i/>
          <w:iCs/>
          <w:sz w:val="24"/>
          <w:szCs w:val="24"/>
        </w:rPr>
        <w:t>Advances in Neural Information Processing Systems, 37</w:t>
      </w:r>
      <w:r w:rsidRPr="00EB05FA">
        <w:rPr>
          <w:sz w:val="24"/>
          <w:szCs w:val="24"/>
        </w:rPr>
        <w:t xml:space="preserve">, 11087–11131. </w:t>
      </w:r>
      <w:hyperlink r:id="rId16" w:history="1">
        <w:r w:rsidRPr="00EB05FA">
          <w:rPr>
            <w:color w:val="0000FF"/>
            <w:sz w:val="24"/>
            <w:szCs w:val="24"/>
            <w:u w:val="single"/>
          </w:rPr>
          <w:t>https://doi.org/10.52202/079017-0354</w:t>
        </w:r>
      </w:hyperlink>
    </w:p>
    <w:p w14:paraId="1C6193D9" w14:textId="77777777" w:rsidR="00EB05FA" w:rsidRPr="00EB05FA" w:rsidRDefault="00EB05FA" w:rsidP="00EB05FA">
      <w:pPr>
        <w:spacing w:before="100" w:beforeAutospacing="1" w:after="100" w:afterAutospacing="1"/>
        <w:rPr>
          <w:sz w:val="24"/>
          <w:szCs w:val="24"/>
        </w:rPr>
      </w:pPr>
      <w:r w:rsidRPr="00EB05FA">
        <w:rPr>
          <w:sz w:val="24"/>
          <w:szCs w:val="24"/>
        </w:rPr>
        <w:t xml:space="preserve">Bonawitz, K., Ivanov, V., Kreuter, B., </w:t>
      </w:r>
      <w:proofErr w:type="spellStart"/>
      <w:r w:rsidRPr="00EB05FA">
        <w:rPr>
          <w:sz w:val="24"/>
          <w:szCs w:val="24"/>
        </w:rPr>
        <w:t>Marcedone</w:t>
      </w:r>
      <w:proofErr w:type="spellEnd"/>
      <w:r w:rsidRPr="00EB05FA">
        <w:rPr>
          <w:sz w:val="24"/>
          <w:szCs w:val="24"/>
        </w:rPr>
        <w:t xml:space="preserve">, A., McMahan, H. B., Patel, S., Ramage, D., Segal, A., &amp; Seth, K. (2017). Practical secure aggregation for privacy-preserving machine learning. In </w:t>
      </w:r>
      <w:r w:rsidRPr="00EB05FA">
        <w:rPr>
          <w:i/>
          <w:iCs/>
          <w:sz w:val="24"/>
          <w:szCs w:val="24"/>
        </w:rPr>
        <w:t>Proceedings of the 2017 ACM SIGSAC Conference on Computer and Communications Security</w:t>
      </w:r>
      <w:r w:rsidRPr="00EB05FA">
        <w:rPr>
          <w:sz w:val="24"/>
          <w:szCs w:val="24"/>
        </w:rPr>
        <w:t xml:space="preserve"> (pp. 1175–1191). ACM. </w:t>
      </w:r>
      <w:hyperlink r:id="rId17" w:history="1">
        <w:r w:rsidRPr="00EB05FA">
          <w:rPr>
            <w:color w:val="0000FF"/>
            <w:sz w:val="24"/>
            <w:szCs w:val="24"/>
            <w:u w:val="single"/>
          </w:rPr>
          <w:t>https://doi.org/10.1145/3133956.3133982</w:t>
        </w:r>
      </w:hyperlink>
    </w:p>
    <w:p w14:paraId="2F89506B" w14:textId="77777777" w:rsidR="00EB05FA" w:rsidRPr="00EB05FA" w:rsidRDefault="00EB05FA" w:rsidP="00EB05FA">
      <w:pPr>
        <w:spacing w:before="100" w:beforeAutospacing="1" w:after="100" w:afterAutospacing="1"/>
        <w:rPr>
          <w:sz w:val="24"/>
          <w:szCs w:val="24"/>
        </w:rPr>
      </w:pPr>
      <w:r w:rsidRPr="00EB05FA">
        <w:rPr>
          <w:sz w:val="24"/>
          <w:szCs w:val="24"/>
        </w:rPr>
        <w:t xml:space="preserve">Cheon, J. H., Kim, A., Kim, M., &amp; Song, Y. (2017). Homomorphic encryption for arithmetic of approximate numbers. In T. Takagi &amp; T. </w:t>
      </w:r>
      <w:proofErr w:type="spellStart"/>
      <w:r w:rsidRPr="00EB05FA">
        <w:rPr>
          <w:sz w:val="24"/>
          <w:szCs w:val="24"/>
        </w:rPr>
        <w:t>Peyrin</w:t>
      </w:r>
      <w:proofErr w:type="spellEnd"/>
      <w:r w:rsidRPr="00EB05FA">
        <w:rPr>
          <w:sz w:val="24"/>
          <w:szCs w:val="24"/>
        </w:rPr>
        <w:t xml:space="preserve"> (Eds.), </w:t>
      </w:r>
      <w:r w:rsidRPr="00EB05FA">
        <w:rPr>
          <w:i/>
          <w:iCs/>
          <w:sz w:val="24"/>
          <w:szCs w:val="24"/>
        </w:rPr>
        <w:t>Advances in cryptology—ASIACRYPT 2017</w:t>
      </w:r>
      <w:r w:rsidRPr="00EB05FA">
        <w:rPr>
          <w:sz w:val="24"/>
          <w:szCs w:val="24"/>
        </w:rPr>
        <w:t xml:space="preserve"> (pp. 409–437). Springer. </w:t>
      </w:r>
      <w:hyperlink r:id="rId18" w:history="1">
        <w:r w:rsidRPr="00EB05FA">
          <w:rPr>
            <w:color w:val="0000FF"/>
            <w:sz w:val="24"/>
            <w:szCs w:val="24"/>
            <w:u w:val="single"/>
          </w:rPr>
          <w:t>https://doi.org/10.1007/978-3-319-70694-8_15</w:t>
        </w:r>
      </w:hyperlink>
    </w:p>
    <w:p w14:paraId="41DED32A" w14:textId="77777777" w:rsidR="00EB05FA" w:rsidRPr="00EB05FA" w:rsidRDefault="00EB05FA" w:rsidP="00EB05FA">
      <w:pPr>
        <w:spacing w:before="100" w:beforeAutospacing="1" w:after="100" w:afterAutospacing="1"/>
        <w:rPr>
          <w:sz w:val="24"/>
          <w:szCs w:val="24"/>
        </w:rPr>
      </w:pPr>
      <w:r w:rsidRPr="00EB05FA">
        <w:rPr>
          <w:sz w:val="24"/>
          <w:szCs w:val="24"/>
        </w:rPr>
        <w:t xml:space="preserve">Choi, H., Kim, J., Kim, S., Park, S., Park, J., Choi, W., &amp; Kim, H. (2024). </w:t>
      </w:r>
      <w:proofErr w:type="spellStart"/>
      <w:r w:rsidRPr="00EB05FA">
        <w:rPr>
          <w:sz w:val="24"/>
          <w:szCs w:val="24"/>
        </w:rPr>
        <w:t>UniHENN</w:t>
      </w:r>
      <w:proofErr w:type="spellEnd"/>
      <w:r w:rsidRPr="00EB05FA">
        <w:rPr>
          <w:sz w:val="24"/>
          <w:szCs w:val="24"/>
        </w:rPr>
        <w:t xml:space="preserve">: Designing faster and more versatile homomorphic encryption-based CNNs without im2col. </w:t>
      </w:r>
      <w:r w:rsidRPr="00EB05FA">
        <w:rPr>
          <w:i/>
          <w:iCs/>
          <w:sz w:val="24"/>
          <w:szCs w:val="24"/>
        </w:rPr>
        <w:t>IEEE Access, 12</w:t>
      </w:r>
      <w:r w:rsidRPr="00EB05FA">
        <w:rPr>
          <w:sz w:val="24"/>
          <w:szCs w:val="24"/>
        </w:rPr>
        <w:t xml:space="preserve">, 109323–109341. </w:t>
      </w:r>
      <w:hyperlink r:id="rId19" w:history="1">
        <w:r w:rsidRPr="00EB05FA">
          <w:rPr>
            <w:color w:val="0000FF"/>
            <w:sz w:val="24"/>
            <w:szCs w:val="24"/>
            <w:u w:val="single"/>
          </w:rPr>
          <w:t>https://doi.org/10.1109/ACCESS.2024.3438996</w:t>
        </w:r>
      </w:hyperlink>
    </w:p>
    <w:p w14:paraId="1C57D83D" w14:textId="77777777" w:rsidR="00EB05FA" w:rsidRPr="00EB05FA" w:rsidRDefault="00EB05FA" w:rsidP="00EB05FA">
      <w:pPr>
        <w:spacing w:before="100" w:beforeAutospacing="1" w:after="100" w:afterAutospacing="1"/>
        <w:rPr>
          <w:sz w:val="24"/>
          <w:szCs w:val="24"/>
        </w:rPr>
      </w:pPr>
      <w:r w:rsidRPr="00EB05FA">
        <w:rPr>
          <w:sz w:val="24"/>
          <w:szCs w:val="24"/>
        </w:rPr>
        <w:t xml:space="preserve">Demelius, L., Kern, R., &amp; </w:t>
      </w:r>
      <w:proofErr w:type="spellStart"/>
      <w:r w:rsidRPr="00EB05FA">
        <w:rPr>
          <w:sz w:val="24"/>
          <w:szCs w:val="24"/>
        </w:rPr>
        <w:t>Trügler</w:t>
      </w:r>
      <w:proofErr w:type="spellEnd"/>
      <w:r w:rsidRPr="00EB05FA">
        <w:rPr>
          <w:sz w:val="24"/>
          <w:szCs w:val="24"/>
        </w:rPr>
        <w:t xml:space="preserve">, A. (2025). Recent advances of differential privacy in centralized deep learning: A systematic survey. </w:t>
      </w:r>
      <w:r w:rsidRPr="00EB05FA">
        <w:rPr>
          <w:i/>
          <w:iCs/>
          <w:sz w:val="24"/>
          <w:szCs w:val="24"/>
        </w:rPr>
        <w:t>ACM Computing Surveys, 57</w:t>
      </w:r>
      <w:r w:rsidRPr="00EB05FA">
        <w:rPr>
          <w:sz w:val="24"/>
          <w:szCs w:val="24"/>
        </w:rPr>
        <w:t xml:space="preserve">(6), Article 158. </w:t>
      </w:r>
      <w:hyperlink r:id="rId20" w:history="1">
        <w:r w:rsidRPr="00EB05FA">
          <w:rPr>
            <w:color w:val="0000FF"/>
            <w:sz w:val="24"/>
            <w:szCs w:val="24"/>
            <w:u w:val="single"/>
          </w:rPr>
          <w:t>https://doi.org/10.1145/3712000</w:t>
        </w:r>
      </w:hyperlink>
    </w:p>
    <w:p w14:paraId="710F57CD" w14:textId="77777777" w:rsidR="00EB05FA" w:rsidRPr="00EB05FA" w:rsidRDefault="00EB05FA" w:rsidP="00EB05FA">
      <w:pPr>
        <w:spacing w:before="100" w:beforeAutospacing="1" w:after="100" w:afterAutospacing="1"/>
        <w:rPr>
          <w:sz w:val="24"/>
          <w:szCs w:val="24"/>
        </w:rPr>
      </w:pPr>
      <w:r w:rsidRPr="00EB05FA">
        <w:rPr>
          <w:sz w:val="24"/>
          <w:szCs w:val="24"/>
        </w:rPr>
        <w:t xml:space="preserve">Deng, S., Zhang, L., &amp; Yue, D. (2024). Data-driven and privacy-preserving risk assessment method based on federated learning for smart grids. </w:t>
      </w:r>
      <w:r w:rsidRPr="00EB05FA">
        <w:rPr>
          <w:i/>
          <w:iCs/>
          <w:sz w:val="24"/>
          <w:szCs w:val="24"/>
        </w:rPr>
        <w:t>Communications Engineering, 3</w:t>
      </w:r>
      <w:r w:rsidRPr="00EB05FA">
        <w:rPr>
          <w:sz w:val="24"/>
          <w:szCs w:val="24"/>
        </w:rPr>
        <w:t xml:space="preserve">, Article 154. </w:t>
      </w:r>
      <w:hyperlink r:id="rId21" w:history="1">
        <w:r w:rsidRPr="00EB05FA">
          <w:rPr>
            <w:color w:val="0000FF"/>
            <w:sz w:val="24"/>
            <w:szCs w:val="24"/>
            <w:u w:val="single"/>
          </w:rPr>
          <w:t>https://doi.org/10.1038/s44172-024-00300-6</w:t>
        </w:r>
      </w:hyperlink>
    </w:p>
    <w:p w14:paraId="74A843CA" w14:textId="77777777" w:rsidR="00EB05FA" w:rsidRPr="00EB05FA" w:rsidRDefault="00EB05FA" w:rsidP="00EB05FA">
      <w:pPr>
        <w:spacing w:before="100" w:beforeAutospacing="1" w:after="100" w:afterAutospacing="1"/>
        <w:rPr>
          <w:sz w:val="24"/>
          <w:szCs w:val="24"/>
        </w:rPr>
      </w:pPr>
      <w:r w:rsidRPr="00EB05FA">
        <w:rPr>
          <w:sz w:val="24"/>
          <w:szCs w:val="24"/>
        </w:rPr>
        <w:t xml:space="preserve">Dong, Y., Luo, W., Wang, X., Zhang, L., Xu, L., Zhou, Z., &amp; Wang, L. (2025). Multi-task federated split learning across multi-modal data with privacy preservation. </w:t>
      </w:r>
      <w:r w:rsidRPr="00EB05FA">
        <w:rPr>
          <w:i/>
          <w:iCs/>
          <w:sz w:val="24"/>
          <w:szCs w:val="24"/>
        </w:rPr>
        <w:t>Sensors, 25</w:t>
      </w:r>
      <w:r w:rsidRPr="00EB05FA">
        <w:rPr>
          <w:sz w:val="24"/>
          <w:szCs w:val="24"/>
        </w:rPr>
        <w:t xml:space="preserve">(1), Article 233. </w:t>
      </w:r>
      <w:hyperlink r:id="rId22" w:history="1">
        <w:r w:rsidRPr="00EB05FA">
          <w:rPr>
            <w:color w:val="0000FF"/>
            <w:sz w:val="24"/>
            <w:szCs w:val="24"/>
            <w:u w:val="single"/>
          </w:rPr>
          <w:t>https://doi.org/10.3390/s25010233</w:t>
        </w:r>
      </w:hyperlink>
    </w:p>
    <w:p w14:paraId="763D8102" w14:textId="77777777" w:rsidR="00EB05FA" w:rsidRPr="00EB05FA" w:rsidRDefault="00EB05FA" w:rsidP="00EB05FA">
      <w:pPr>
        <w:spacing w:before="100" w:beforeAutospacing="1" w:after="100" w:afterAutospacing="1"/>
        <w:rPr>
          <w:sz w:val="24"/>
          <w:szCs w:val="24"/>
        </w:rPr>
      </w:pPr>
      <w:r w:rsidRPr="00EB05FA">
        <w:rPr>
          <w:sz w:val="24"/>
          <w:szCs w:val="24"/>
        </w:rPr>
        <w:t xml:space="preserve">Dwork, C., &amp; Roth, A. (2014). The algorithmic foundations of differential privacy. </w:t>
      </w:r>
      <w:r w:rsidRPr="00EB05FA">
        <w:rPr>
          <w:i/>
          <w:iCs/>
          <w:sz w:val="24"/>
          <w:szCs w:val="24"/>
        </w:rPr>
        <w:t>Foundations and Trends in Theoretical Computer Science, 9</w:t>
      </w:r>
      <w:r w:rsidRPr="00EB05FA">
        <w:rPr>
          <w:sz w:val="24"/>
          <w:szCs w:val="24"/>
        </w:rPr>
        <w:t xml:space="preserve">(3–4), 211–407. </w:t>
      </w:r>
      <w:hyperlink r:id="rId23" w:history="1">
        <w:r w:rsidRPr="00EB05FA">
          <w:rPr>
            <w:color w:val="0000FF"/>
            <w:sz w:val="24"/>
            <w:szCs w:val="24"/>
            <w:u w:val="single"/>
          </w:rPr>
          <w:t>https://doi.org/10.1561/0400000042</w:t>
        </w:r>
      </w:hyperlink>
    </w:p>
    <w:p w14:paraId="308B27D5" w14:textId="77777777" w:rsidR="00EB05FA" w:rsidRPr="00EB05FA" w:rsidRDefault="00EB05FA" w:rsidP="00EB05FA">
      <w:pPr>
        <w:spacing w:before="100" w:beforeAutospacing="1" w:after="100" w:afterAutospacing="1"/>
        <w:rPr>
          <w:sz w:val="24"/>
          <w:szCs w:val="24"/>
        </w:rPr>
      </w:pPr>
      <w:r w:rsidRPr="00EB05FA">
        <w:rPr>
          <w:sz w:val="24"/>
          <w:szCs w:val="24"/>
        </w:rPr>
        <w:t xml:space="preserve">Frimpong, E., Nguyen, K., </w:t>
      </w:r>
      <w:proofErr w:type="spellStart"/>
      <w:r w:rsidRPr="00EB05FA">
        <w:rPr>
          <w:sz w:val="24"/>
          <w:szCs w:val="24"/>
        </w:rPr>
        <w:t>Budzys</w:t>
      </w:r>
      <w:proofErr w:type="spellEnd"/>
      <w:r w:rsidRPr="00EB05FA">
        <w:rPr>
          <w:sz w:val="24"/>
          <w:szCs w:val="24"/>
        </w:rPr>
        <w:t xml:space="preserve">, M., Khan, T., &amp; </w:t>
      </w:r>
      <w:proofErr w:type="spellStart"/>
      <w:r w:rsidRPr="00EB05FA">
        <w:rPr>
          <w:sz w:val="24"/>
          <w:szCs w:val="24"/>
        </w:rPr>
        <w:t>Michalas</w:t>
      </w:r>
      <w:proofErr w:type="spellEnd"/>
      <w:r w:rsidRPr="00EB05FA">
        <w:rPr>
          <w:sz w:val="24"/>
          <w:szCs w:val="24"/>
        </w:rPr>
        <w:t xml:space="preserve">, A. (2024). </w:t>
      </w:r>
      <w:proofErr w:type="spellStart"/>
      <w:r w:rsidRPr="00EB05FA">
        <w:rPr>
          <w:sz w:val="24"/>
          <w:szCs w:val="24"/>
        </w:rPr>
        <w:t>GuardML</w:t>
      </w:r>
      <w:proofErr w:type="spellEnd"/>
      <w:r w:rsidRPr="00EB05FA">
        <w:rPr>
          <w:sz w:val="24"/>
          <w:szCs w:val="24"/>
        </w:rPr>
        <w:t xml:space="preserve">: Efficient privacy-preserving machine learning services through hybrid homomorphic encryption. In </w:t>
      </w:r>
      <w:r w:rsidRPr="00EB05FA">
        <w:rPr>
          <w:i/>
          <w:iCs/>
          <w:sz w:val="24"/>
          <w:szCs w:val="24"/>
        </w:rPr>
        <w:t>Proceedings of the 39th ACM/SIGAPP Symposium on Applied Computing</w:t>
      </w:r>
      <w:r w:rsidRPr="00EB05FA">
        <w:rPr>
          <w:sz w:val="24"/>
          <w:szCs w:val="24"/>
        </w:rPr>
        <w:t xml:space="preserve"> (pp. 953–962). ACM. </w:t>
      </w:r>
      <w:hyperlink r:id="rId24" w:history="1">
        <w:r w:rsidRPr="00EB05FA">
          <w:rPr>
            <w:color w:val="0000FF"/>
            <w:sz w:val="24"/>
            <w:szCs w:val="24"/>
            <w:u w:val="single"/>
          </w:rPr>
          <w:t>https://doi.org/10.1145/3605098.3635983</w:t>
        </w:r>
      </w:hyperlink>
    </w:p>
    <w:p w14:paraId="6583E4D4" w14:textId="77777777" w:rsidR="00EB05FA" w:rsidRPr="00EB05FA" w:rsidRDefault="00EB05FA" w:rsidP="00EB05FA">
      <w:pPr>
        <w:spacing w:before="100" w:beforeAutospacing="1" w:after="100" w:afterAutospacing="1"/>
        <w:rPr>
          <w:sz w:val="24"/>
          <w:szCs w:val="24"/>
        </w:rPr>
      </w:pPr>
      <w:r w:rsidRPr="00EB05FA">
        <w:rPr>
          <w:sz w:val="24"/>
          <w:szCs w:val="24"/>
        </w:rPr>
        <w:t xml:space="preserve">Gilad-Bachrach, R., Dowlin, N., Laine, K., Lauter, K., </w:t>
      </w:r>
      <w:proofErr w:type="spellStart"/>
      <w:r w:rsidRPr="00EB05FA">
        <w:rPr>
          <w:sz w:val="24"/>
          <w:szCs w:val="24"/>
        </w:rPr>
        <w:t>Naehrig</w:t>
      </w:r>
      <w:proofErr w:type="spellEnd"/>
      <w:r w:rsidRPr="00EB05FA">
        <w:rPr>
          <w:sz w:val="24"/>
          <w:szCs w:val="24"/>
        </w:rPr>
        <w:t xml:space="preserve">, M., &amp; Wernsing, J. (2016). </w:t>
      </w:r>
      <w:proofErr w:type="spellStart"/>
      <w:r w:rsidRPr="00EB05FA">
        <w:rPr>
          <w:sz w:val="24"/>
          <w:szCs w:val="24"/>
        </w:rPr>
        <w:t>CryptoNets</w:t>
      </w:r>
      <w:proofErr w:type="spellEnd"/>
      <w:r w:rsidRPr="00EB05FA">
        <w:rPr>
          <w:sz w:val="24"/>
          <w:szCs w:val="24"/>
        </w:rPr>
        <w:t xml:space="preserve">: Applying neural networks to encrypted data with high throughput and accuracy. In </w:t>
      </w:r>
      <w:r w:rsidRPr="00EB05FA">
        <w:rPr>
          <w:i/>
          <w:iCs/>
          <w:sz w:val="24"/>
          <w:szCs w:val="24"/>
        </w:rPr>
        <w:t>Proceedings of the 33rd International Conference on Machine Learning</w:t>
      </w:r>
      <w:r w:rsidRPr="00EB05FA">
        <w:rPr>
          <w:sz w:val="24"/>
          <w:szCs w:val="24"/>
        </w:rPr>
        <w:t xml:space="preserve"> (Vol. 48, pp. 201–210). Proceedings of Machine Learning Research. </w:t>
      </w:r>
      <w:hyperlink r:id="rId25" w:history="1">
        <w:r w:rsidRPr="00EB05FA">
          <w:rPr>
            <w:color w:val="0000FF"/>
            <w:sz w:val="24"/>
            <w:szCs w:val="24"/>
            <w:u w:val="single"/>
          </w:rPr>
          <w:t>https://proceedings.mlr.press/v48/gilad-bachrach16.html</w:t>
        </w:r>
      </w:hyperlink>
    </w:p>
    <w:p w14:paraId="0FEE79AD" w14:textId="77777777" w:rsidR="00EB05FA" w:rsidRPr="00EB05FA" w:rsidRDefault="00EB05FA" w:rsidP="00EB05FA">
      <w:pPr>
        <w:spacing w:before="100" w:beforeAutospacing="1" w:after="100" w:afterAutospacing="1"/>
        <w:rPr>
          <w:sz w:val="24"/>
          <w:szCs w:val="24"/>
        </w:rPr>
      </w:pPr>
      <w:r w:rsidRPr="00EB05FA">
        <w:rPr>
          <w:sz w:val="24"/>
          <w:szCs w:val="24"/>
        </w:rPr>
        <w:lastRenderedPageBreak/>
        <w:t xml:space="preserve">Gupta, O., &amp; </w:t>
      </w:r>
      <w:proofErr w:type="spellStart"/>
      <w:r w:rsidRPr="00EB05FA">
        <w:rPr>
          <w:sz w:val="24"/>
          <w:szCs w:val="24"/>
        </w:rPr>
        <w:t>Raskar</w:t>
      </w:r>
      <w:proofErr w:type="spellEnd"/>
      <w:r w:rsidRPr="00EB05FA">
        <w:rPr>
          <w:sz w:val="24"/>
          <w:szCs w:val="24"/>
        </w:rPr>
        <w:t xml:space="preserve">, R. (2018). Distributed learning of deep neural network over multiple agents. </w:t>
      </w:r>
      <w:r w:rsidRPr="00EB05FA">
        <w:rPr>
          <w:i/>
          <w:iCs/>
          <w:sz w:val="24"/>
          <w:szCs w:val="24"/>
        </w:rPr>
        <w:t>Journal of Network and Computer Applications, 116</w:t>
      </w:r>
      <w:r w:rsidRPr="00EB05FA">
        <w:rPr>
          <w:sz w:val="24"/>
          <w:szCs w:val="24"/>
        </w:rPr>
        <w:t xml:space="preserve">, 1–8. </w:t>
      </w:r>
      <w:hyperlink r:id="rId26" w:history="1">
        <w:r w:rsidRPr="00EB05FA">
          <w:rPr>
            <w:color w:val="0000FF"/>
            <w:sz w:val="24"/>
            <w:szCs w:val="24"/>
            <w:u w:val="single"/>
          </w:rPr>
          <w:t>https://doi.org/10.1016/j.jnca.2018.05.003</w:t>
        </w:r>
      </w:hyperlink>
    </w:p>
    <w:p w14:paraId="4ABEA176" w14:textId="77777777" w:rsidR="00EB05FA" w:rsidRPr="00EB05FA" w:rsidRDefault="00EB05FA" w:rsidP="00EB05FA">
      <w:pPr>
        <w:spacing w:before="100" w:beforeAutospacing="1" w:after="100" w:afterAutospacing="1"/>
        <w:rPr>
          <w:sz w:val="24"/>
          <w:szCs w:val="24"/>
        </w:rPr>
      </w:pPr>
      <w:r w:rsidRPr="00EB05FA">
        <w:rPr>
          <w:sz w:val="24"/>
          <w:szCs w:val="24"/>
        </w:rPr>
        <w:t xml:space="preserve">Hu, K., Gong, S., Zhang, Q., Seng, C., Xia, M., &amp; Jiang, S. (2024). An overview of implementing security and privacy in federated learning. </w:t>
      </w:r>
      <w:r w:rsidRPr="00EB05FA">
        <w:rPr>
          <w:i/>
          <w:iCs/>
          <w:sz w:val="24"/>
          <w:szCs w:val="24"/>
        </w:rPr>
        <w:t>Artificial Intelligence Review, 57</w:t>
      </w:r>
      <w:r w:rsidRPr="00EB05FA">
        <w:rPr>
          <w:sz w:val="24"/>
          <w:szCs w:val="24"/>
        </w:rPr>
        <w:t xml:space="preserve">, Article 204. </w:t>
      </w:r>
      <w:hyperlink r:id="rId27" w:history="1">
        <w:r w:rsidRPr="00EB05FA">
          <w:rPr>
            <w:color w:val="0000FF"/>
            <w:sz w:val="24"/>
            <w:szCs w:val="24"/>
            <w:u w:val="single"/>
          </w:rPr>
          <w:t>https://doi.org/10.1007/s10462-024-10846-8</w:t>
        </w:r>
      </w:hyperlink>
    </w:p>
    <w:p w14:paraId="0E450DE0" w14:textId="77777777" w:rsidR="00EB05FA" w:rsidRPr="00EB05FA" w:rsidRDefault="00EB05FA" w:rsidP="00EB05FA">
      <w:pPr>
        <w:spacing w:before="100" w:beforeAutospacing="1" w:after="100" w:afterAutospacing="1"/>
        <w:rPr>
          <w:sz w:val="24"/>
          <w:szCs w:val="24"/>
        </w:rPr>
      </w:pPr>
      <w:proofErr w:type="spellStart"/>
      <w:r w:rsidRPr="00EB05FA">
        <w:rPr>
          <w:sz w:val="24"/>
          <w:szCs w:val="24"/>
        </w:rPr>
        <w:t>Kanpak</w:t>
      </w:r>
      <w:proofErr w:type="spellEnd"/>
      <w:r w:rsidRPr="00EB05FA">
        <w:rPr>
          <w:sz w:val="24"/>
          <w:szCs w:val="24"/>
        </w:rPr>
        <w:t xml:space="preserve">, H. I., Shabbir, A., Genç, E., </w:t>
      </w:r>
      <w:proofErr w:type="spellStart"/>
      <w:r w:rsidRPr="00EB05FA">
        <w:rPr>
          <w:sz w:val="24"/>
          <w:szCs w:val="24"/>
        </w:rPr>
        <w:t>Küpçü</w:t>
      </w:r>
      <w:proofErr w:type="spellEnd"/>
      <w:r w:rsidRPr="00EB05FA">
        <w:rPr>
          <w:sz w:val="24"/>
          <w:szCs w:val="24"/>
        </w:rPr>
        <w:t xml:space="preserve">, A., &amp; Sav, S. (2026). CURE: Privacy-preserving split learning done right. </w:t>
      </w:r>
      <w:r w:rsidRPr="00EB05FA">
        <w:rPr>
          <w:i/>
          <w:iCs/>
          <w:sz w:val="24"/>
          <w:szCs w:val="24"/>
        </w:rPr>
        <w:t>Proceedings on Privacy Enhancing Technologies, 2026</w:t>
      </w:r>
      <w:r w:rsidRPr="00EB05FA">
        <w:rPr>
          <w:sz w:val="24"/>
          <w:szCs w:val="24"/>
        </w:rPr>
        <w:t xml:space="preserve">(2), 259–276. </w:t>
      </w:r>
      <w:hyperlink r:id="rId28" w:history="1">
        <w:r w:rsidRPr="00EB05FA">
          <w:rPr>
            <w:color w:val="0000FF"/>
            <w:sz w:val="24"/>
            <w:szCs w:val="24"/>
            <w:u w:val="single"/>
          </w:rPr>
          <w:t>https://doi.org/10.56553/popets-2026-0047</w:t>
        </w:r>
      </w:hyperlink>
    </w:p>
    <w:p w14:paraId="0A321455" w14:textId="77777777" w:rsidR="00EB05FA" w:rsidRPr="00EB05FA" w:rsidRDefault="00EB05FA" w:rsidP="00EB05FA">
      <w:pPr>
        <w:spacing w:before="100" w:beforeAutospacing="1" w:after="100" w:afterAutospacing="1"/>
        <w:rPr>
          <w:sz w:val="24"/>
          <w:szCs w:val="24"/>
        </w:rPr>
      </w:pPr>
      <w:r w:rsidRPr="00EB05FA">
        <w:rPr>
          <w:sz w:val="24"/>
          <w:szCs w:val="24"/>
        </w:rPr>
        <w:t xml:space="preserve">Khan, T., </w:t>
      </w:r>
      <w:proofErr w:type="spellStart"/>
      <w:r w:rsidRPr="00EB05FA">
        <w:rPr>
          <w:sz w:val="24"/>
          <w:szCs w:val="24"/>
        </w:rPr>
        <w:t>Budzys</w:t>
      </w:r>
      <w:proofErr w:type="spellEnd"/>
      <w:r w:rsidRPr="00EB05FA">
        <w:rPr>
          <w:sz w:val="24"/>
          <w:szCs w:val="24"/>
        </w:rPr>
        <w:t xml:space="preserve">, M., &amp; </w:t>
      </w:r>
      <w:proofErr w:type="spellStart"/>
      <w:r w:rsidRPr="00EB05FA">
        <w:rPr>
          <w:sz w:val="24"/>
          <w:szCs w:val="24"/>
        </w:rPr>
        <w:t>Michalas</w:t>
      </w:r>
      <w:proofErr w:type="spellEnd"/>
      <w:r w:rsidRPr="00EB05FA">
        <w:rPr>
          <w:sz w:val="24"/>
          <w:szCs w:val="24"/>
        </w:rPr>
        <w:t xml:space="preserve">, A. (2024). Make split, not hijack: Preventing feature-space hijacking attacks in split learning. In </w:t>
      </w:r>
      <w:r w:rsidRPr="00EB05FA">
        <w:rPr>
          <w:i/>
          <w:iCs/>
          <w:sz w:val="24"/>
          <w:szCs w:val="24"/>
        </w:rPr>
        <w:t>Proceedings of the 29th ACM Symposium on Access Control Models and Technologies</w:t>
      </w:r>
      <w:r w:rsidRPr="00EB05FA">
        <w:rPr>
          <w:sz w:val="24"/>
          <w:szCs w:val="24"/>
        </w:rPr>
        <w:t xml:space="preserve"> (pp. 19–30). ACM. </w:t>
      </w:r>
      <w:hyperlink r:id="rId29" w:history="1">
        <w:r w:rsidRPr="00EB05FA">
          <w:rPr>
            <w:color w:val="0000FF"/>
            <w:sz w:val="24"/>
            <w:szCs w:val="24"/>
            <w:u w:val="single"/>
          </w:rPr>
          <w:t>https://doi.org/10.1145/3649158.3657039</w:t>
        </w:r>
      </w:hyperlink>
    </w:p>
    <w:p w14:paraId="3E42BF12" w14:textId="77777777" w:rsidR="00EB05FA" w:rsidRPr="00EB05FA" w:rsidRDefault="00EB05FA" w:rsidP="00EB05FA">
      <w:pPr>
        <w:spacing w:before="100" w:beforeAutospacing="1" w:after="100" w:afterAutospacing="1"/>
        <w:rPr>
          <w:sz w:val="24"/>
          <w:szCs w:val="24"/>
        </w:rPr>
      </w:pPr>
      <w:r w:rsidRPr="00EB05FA">
        <w:rPr>
          <w:sz w:val="24"/>
          <w:szCs w:val="24"/>
        </w:rPr>
        <w:t xml:space="preserve">Khan, T., </w:t>
      </w:r>
      <w:proofErr w:type="spellStart"/>
      <w:r w:rsidRPr="00EB05FA">
        <w:rPr>
          <w:sz w:val="24"/>
          <w:szCs w:val="24"/>
        </w:rPr>
        <w:t>Budzys</w:t>
      </w:r>
      <w:proofErr w:type="spellEnd"/>
      <w:r w:rsidRPr="00EB05FA">
        <w:rPr>
          <w:sz w:val="24"/>
          <w:szCs w:val="24"/>
        </w:rPr>
        <w:t xml:space="preserve">, M., &amp; </w:t>
      </w:r>
      <w:proofErr w:type="spellStart"/>
      <w:r w:rsidRPr="00EB05FA">
        <w:rPr>
          <w:sz w:val="24"/>
          <w:szCs w:val="24"/>
        </w:rPr>
        <w:t>Michalas</w:t>
      </w:r>
      <w:proofErr w:type="spellEnd"/>
      <w:r w:rsidRPr="00EB05FA">
        <w:rPr>
          <w:sz w:val="24"/>
          <w:szCs w:val="24"/>
        </w:rPr>
        <w:t xml:space="preserve">, A. (2025). Split happens: Combating advanced threats with split learning and function secret sharing. In </w:t>
      </w:r>
      <w:r w:rsidRPr="00EB05FA">
        <w:rPr>
          <w:i/>
          <w:iCs/>
          <w:sz w:val="24"/>
          <w:szCs w:val="24"/>
        </w:rPr>
        <w:t>2025 IEEE Conference on Communications and Network Security (CNS)</w:t>
      </w:r>
      <w:r w:rsidRPr="00EB05FA">
        <w:rPr>
          <w:sz w:val="24"/>
          <w:szCs w:val="24"/>
        </w:rPr>
        <w:t xml:space="preserve">. IEEE. </w:t>
      </w:r>
      <w:hyperlink r:id="rId30" w:history="1">
        <w:r w:rsidRPr="00EB05FA">
          <w:rPr>
            <w:color w:val="0000FF"/>
            <w:sz w:val="24"/>
            <w:szCs w:val="24"/>
            <w:u w:val="single"/>
          </w:rPr>
          <w:t>https://doi.org/10.1109/CNS66487.2025.11194945</w:t>
        </w:r>
      </w:hyperlink>
    </w:p>
    <w:p w14:paraId="21A8E63D" w14:textId="77777777" w:rsidR="00EB05FA" w:rsidRPr="00EB05FA" w:rsidRDefault="00EB05FA" w:rsidP="00EB05FA">
      <w:pPr>
        <w:spacing w:before="100" w:beforeAutospacing="1" w:after="100" w:afterAutospacing="1"/>
        <w:rPr>
          <w:sz w:val="24"/>
          <w:szCs w:val="24"/>
        </w:rPr>
      </w:pPr>
      <w:r w:rsidRPr="00EB05FA">
        <w:rPr>
          <w:sz w:val="24"/>
          <w:szCs w:val="24"/>
        </w:rPr>
        <w:t xml:space="preserve">Khan, T., Nguyen, K., &amp; </w:t>
      </w:r>
      <w:proofErr w:type="spellStart"/>
      <w:r w:rsidRPr="00EB05FA">
        <w:rPr>
          <w:sz w:val="24"/>
          <w:szCs w:val="24"/>
        </w:rPr>
        <w:t>Michalas</w:t>
      </w:r>
      <w:proofErr w:type="spellEnd"/>
      <w:r w:rsidRPr="00EB05FA">
        <w:rPr>
          <w:sz w:val="24"/>
          <w:szCs w:val="24"/>
        </w:rPr>
        <w:t xml:space="preserve">, A. (2024). A more secure split: Enhancing the security of privacy-preserving split learning. In L. Fritsch, I. Hassan, &amp; E. Paintsil (Eds.), </w:t>
      </w:r>
      <w:r w:rsidRPr="00EB05FA">
        <w:rPr>
          <w:i/>
          <w:iCs/>
          <w:sz w:val="24"/>
          <w:szCs w:val="24"/>
        </w:rPr>
        <w:t xml:space="preserve">Secure IT systems: 28th Nordic Conference, </w:t>
      </w:r>
      <w:proofErr w:type="spellStart"/>
      <w:r w:rsidRPr="00EB05FA">
        <w:rPr>
          <w:i/>
          <w:iCs/>
          <w:sz w:val="24"/>
          <w:szCs w:val="24"/>
        </w:rPr>
        <w:t>NordSec</w:t>
      </w:r>
      <w:proofErr w:type="spellEnd"/>
      <w:r w:rsidRPr="00EB05FA">
        <w:rPr>
          <w:i/>
          <w:iCs/>
          <w:sz w:val="24"/>
          <w:szCs w:val="24"/>
        </w:rPr>
        <w:t xml:space="preserve"> 2023</w:t>
      </w:r>
      <w:r w:rsidRPr="00EB05FA">
        <w:rPr>
          <w:sz w:val="24"/>
          <w:szCs w:val="24"/>
        </w:rPr>
        <w:t xml:space="preserve"> (pp. 307–329). Springer. </w:t>
      </w:r>
      <w:hyperlink r:id="rId31" w:history="1">
        <w:r w:rsidRPr="00EB05FA">
          <w:rPr>
            <w:color w:val="0000FF"/>
            <w:sz w:val="24"/>
            <w:szCs w:val="24"/>
            <w:u w:val="single"/>
          </w:rPr>
          <w:t>https://doi.org/10.1007/978-3-031-47748-5_17</w:t>
        </w:r>
      </w:hyperlink>
    </w:p>
    <w:p w14:paraId="67957DB0" w14:textId="77777777" w:rsidR="00EB05FA" w:rsidRPr="00EB05FA" w:rsidRDefault="00EB05FA" w:rsidP="00EB05FA">
      <w:pPr>
        <w:spacing w:before="100" w:beforeAutospacing="1" w:after="100" w:afterAutospacing="1"/>
        <w:rPr>
          <w:sz w:val="24"/>
          <w:szCs w:val="24"/>
        </w:rPr>
      </w:pPr>
      <w:r w:rsidRPr="00EB05FA">
        <w:rPr>
          <w:sz w:val="24"/>
          <w:szCs w:val="24"/>
        </w:rPr>
        <w:t xml:space="preserve">Khan, T., Nguyen, K., </w:t>
      </w:r>
      <w:proofErr w:type="spellStart"/>
      <w:r w:rsidRPr="00EB05FA">
        <w:rPr>
          <w:sz w:val="24"/>
          <w:szCs w:val="24"/>
        </w:rPr>
        <w:t>Michalas</w:t>
      </w:r>
      <w:proofErr w:type="spellEnd"/>
      <w:r w:rsidRPr="00EB05FA">
        <w:rPr>
          <w:sz w:val="24"/>
          <w:szCs w:val="24"/>
        </w:rPr>
        <w:t xml:space="preserve">, A., &amp; Bakas, A. (2023). Love or hate? Share or split? Privacy-preserving training using split learning and homomorphic encryption. In </w:t>
      </w:r>
      <w:r w:rsidRPr="00EB05FA">
        <w:rPr>
          <w:i/>
          <w:iCs/>
          <w:sz w:val="24"/>
          <w:szCs w:val="24"/>
        </w:rPr>
        <w:t>2023 IEEE International Conference on Privacy, Security and Trust (PST)</w:t>
      </w:r>
      <w:r w:rsidRPr="00EB05FA">
        <w:rPr>
          <w:sz w:val="24"/>
          <w:szCs w:val="24"/>
        </w:rPr>
        <w:t xml:space="preserve">. IEEE. </w:t>
      </w:r>
      <w:hyperlink r:id="rId32" w:history="1">
        <w:r w:rsidRPr="00EB05FA">
          <w:rPr>
            <w:color w:val="0000FF"/>
            <w:sz w:val="24"/>
            <w:szCs w:val="24"/>
            <w:u w:val="single"/>
          </w:rPr>
          <w:t>https://doi.org/10.1109/PST58708.2023.10320153</w:t>
        </w:r>
      </w:hyperlink>
    </w:p>
    <w:p w14:paraId="6D03A65F" w14:textId="77777777" w:rsidR="00EB05FA" w:rsidRPr="00EB05FA" w:rsidRDefault="00EB05FA" w:rsidP="00EB05FA">
      <w:pPr>
        <w:spacing w:before="100" w:beforeAutospacing="1" w:after="100" w:afterAutospacing="1"/>
        <w:rPr>
          <w:sz w:val="24"/>
          <w:szCs w:val="24"/>
        </w:rPr>
      </w:pPr>
      <w:r w:rsidRPr="00EB05FA">
        <w:rPr>
          <w:sz w:val="24"/>
          <w:szCs w:val="24"/>
        </w:rPr>
        <w:t xml:space="preserve">Kim, D., Park, J., Kim, J., Kim, S., &amp; Ahn, J. H. (2024). </w:t>
      </w:r>
      <w:proofErr w:type="spellStart"/>
      <w:r w:rsidRPr="00EB05FA">
        <w:rPr>
          <w:sz w:val="24"/>
          <w:szCs w:val="24"/>
        </w:rPr>
        <w:t>HyPHEN</w:t>
      </w:r>
      <w:proofErr w:type="spellEnd"/>
      <w:r w:rsidRPr="00EB05FA">
        <w:rPr>
          <w:sz w:val="24"/>
          <w:szCs w:val="24"/>
        </w:rPr>
        <w:t xml:space="preserve">: A hybrid packing method and its optimizations for homomorphic encryption-based neural networks. </w:t>
      </w:r>
      <w:r w:rsidRPr="00EB05FA">
        <w:rPr>
          <w:i/>
          <w:iCs/>
          <w:sz w:val="24"/>
          <w:szCs w:val="24"/>
        </w:rPr>
        <w:t>IEEE Access, 12</w:t>
      </w:r>
      <w:r w:rsidRPr="00EB05FA">
        <w:rPr>
          <w:sz w:val="24"/>
          <w:szCs w:val="24"/>
        </w:rPr>
        <w:t xml:space="preserve">, 3024–3038. </w:t>
      </w:r>
      <w:hyperlink r:id="rId33" w:history="1">
        <w:r w:rsidRPr="00EB05FA">
          <w:rPr>
            <w:color w:val="0000FF"/>
            <w:sz w:val="24"/>
            <w:szCs w:val="24"/>
            <w:u w:val="single"/>
          </w:rPr>
          <w:t>https://doi.org/10.1109/ACCESS.2023.3348170</w:t>
        </w:r>
      </w:hyperlink>
    </w:p>
    <w:p w14:paraId="401277C2" w14:textId="77777777" w:rsidR="00EB05FA" w:rsidRPr="00EB05FA" w:rsidRDefault="00EB05FA" w:rsidP="00EB05FA">
      <w:pPr>
        <w:spacing w:before="100" w:beforeAutospacing="1" w:after="100" w:afterAutospacing="1"/>
        <w:rPr>
          <w:sz w:val="24"/>
          <w:szCs w:val="24"/>
        </w:rPr>
      </w:pPr>
      <w:r w:rsidRPr="00EB05FA">
        <w:rPr>
          <w:sz w:val="24"/>
          <w:szCs w:val="24"/>
        </w:rPr>
        <w:t xml:space="preserve">Microsoft Research. (2023). </w:t>
      </w:r>
      <w:r w:rsidRPr="00EB05FA">
        <w:rPr>
          <w:i/>
          <w:iCs/>
          <w:sz w:val="24"/>
          <w:szCs w:val="24"/>
        </w:rPr>
        <w:t>Microsoft SEAL</w:t>
      </w:r>
      <w:r w:rsidRPr="00EB05FA">
        <w:rPr>
          <w:sz w:val="24"/>
          <w:szCs w:val="24"/>
        </w:rPr>
        <w:t xml:space="preserve"> (Version 4.1) [Computer software]. GitHub. </w:t>
      </w:r>
      <w:hyperlink r:id="rId34" w:history="1">
        <w:r w:rsidRPr="00EB05FA">
          <w:rPr>
            <w:color w:val="0000FF"/>
            <w:sz w:val="24"/>
            <w:szCs w:val="24"/>
            <w:u w:val="single"/>
          </w:rPr>
          <w:t>https://github.com/microsoft/SEAL</w:t>
        </w:r>
      </w:hyperlink>
    </w:p>
    <w:p w14:paraId="1F892106" w14:textId="77777777" w:rsidR="00EB05FA" w:rsidRPr="00EB05FA" w:rsidRDefault="00EB05FA" w:rsidP="00EB05FA">
      <w:pPr>
        <w:spacing w:before="100" w:beforeAutospacing="1" w:after="100" w:afterAutospacing="1"/>
        <w:rPr>
          <w:sz w:val="24"/>
          <w:szCs w:val="24"/>
        </w:rPr>
      </w:pPr>
      <w:r w:rsidRPr="00EB05FA">
        <w:rPr>
          <w:sz w:val="24"/>
          <w:szCs w:val="24"/>
        </w:rPr>
        <w:t xml:space="preserve">Mironov, I. (2017). Rényi differential privacy. In </w:t>
      </w:r>
      <w:r w:rsidRPr="00EB05FA">
        <w:rPr>
          <w:i/>
          <w:iCs/>
          <w:sz w:val="24"/>
          <w:szCs w:val="24"/>
        </w:rPr>
        <w:t>2017 IEEE 30th Computer Security Foundations Symposium (CSF)</w:t>
      </w:r>
      <w:r w:rsidRPr="00EB05FA">
        <w:rPr>
          <w:sz w:val="24"/>
          <w:szCs w:val="24"/>
        </w:rPr>
        <w:t xml:space="preserve"> (pp. 263–275). IEEE. </w:t>
      </w:r>
      <w:hyperlink r:id="rId35" w:history="1">
        <w:r w:rsidRPr="00EB05FA">
          <w:rPr>
            <w:color w:val="0000FF"/>
            <w:sz w:val="24"/>
            <w:szCs w:val="24"/>
            <w:u w:val="single"/>
          </w:rPr>
          <w:t>https://doi.org/10.1109/CSF.2017.11</w:t>
        </w:r>
      </w:hyperlink>
    </w:p>
    <w:p w14:paraId="6AC4AAF5" w14:textId="77777777" w:rsidR="00EB05FA" w:rsidRPr="00EB05FA" w:rsidRDefault="00EB05FA" w:rsidP="00EB05FA">
      <w:pPr>
        <w:spacing w:before="100" w:beforeAutospacing="1" w:after="100" w:afterAutospacing="1"/>
        <w:rPr>
          <w:sz w:val="24"/>
          <w:szCs w:val="24"/>
        </w:rPr>
      </w:pPr>
      <w:proofErr w:type="spellStart"/>
      <w:r w:rsidRPr="00EB05FA">
        <w:rPr>
          <w:sz w:val="24"/>
          <w:szCs w:val="24"/>
        </w:rPr>
        <w:t>Mohanarajah</w:t>
      </w:r>
      <w:proofErr w:type="spellEnd"/>
      <w:r w:rsidRPr="00EB05FA">
        <w:rPr>
          <w:sz w:val="24"/>
          <w:szCs w:val="24"/>
        </w:rPr>
        <w:t xml:space="preserve">, S., Valente, P., Medina, A., &amp; Sritharan, T. (2025). Privacy-preserving machine learning algorithms: A survey. </w:t>
      </w:r>
      <w:r w:rsidRPr="00EB05FA">
        <w:rPr>
          <w:i/>
          <w:iCs/>
          <w:sz w:val="24"/>
          <w:szCs w:val="24"/>
        </w:rPr>
        <w:t>Asian Journal of Probability and Statistics, 27</w:t>
      </w:r>
      <w:r w:rsidRPr="00EB05FA">
        <w:rPr>
          <w:sz w:val="24"/>
          <w:szCs w:val="24"/>
        </w:rPr>
        <w:t xml:space="preserve">(12), 126–138. </w:t>
      </w:r>
      <w:hyperlink r:id="rId36" w:history="1">
        <w:r w:rsidRPr="00EB05FA">
          <w:rPr>
            <w:color w:val="0000FF"/>
            <w:sz w:val="24"/>
            <w:szCs w:val="24"/>
            <w:u w:val="single"/>
          </w:rPr>
          <w:t>https://doi.org/10.9734/ajpas/2025/v27i12847</w:t>
        </w:r>
      </w:hyperlink>
    </w:p>
    <w:p w14:paraId="15DF79A9" w14:textId="77777777" w:rsidR="00EB05FA" w:rsidRPr="00EB05FA" w:rsidRDefault="00EB05FA" w:rsidP="00EB05FA">
      <w:pPr>
        <w:spacing w:before="100" w:beforeAutospacing="1" w:after="100" w:afterAutospacing="1"/>
        <w:rPr>
          <w:sz w:val="24"/>
          <w:szCs w:val="24"/>
        </w:rPr>
      </w:pPr>
      <w:r w:rsidRPr="00EB05FA">
        <w:rPr>
          <w:sz w:val="24"/>
          <w:szCs w:val="24"/>
        </w:rPr>
        <w:t xml:space="preserve">Nguyen, G., </w:t>
      </w:r>
      <w:proofErr w:type="spellStart"/>
      <w:r w:rsidRPr="00EB05FA">
        <w:rPr>
          <w:sz w:val="24"/>
          <w:szCs w:val="24"/>
        </w:rPr>
        <w:t>Sáinz</w:t>
      </w:r>
      <w:proofErr w:type="spellEnd"/>
      <w:r w:rsidRPr="00EB05FA">
        <w:rPr>
          <w:sz w:val="24"/>
          <w:szCs w:val="24"/>
        </w:rPr>
        <w:t>-Pardo Díaz, J., Calatrava, A., Berberi, L., Lytvyn, O., Kozlov, V., Tran, V., Moltó, G., &amp; López García, Á. (2025). Landscape of machine learning evolution: Privacy-</w:t>
      </w:r>
      <w:r w:rsidRPr="00EB05FA">
        <w:rPr>
          <w:sz w:val="24"/>
          <w:szCs w:val="24"/>
        </w:rPr>
        <w:lastRenderedPageBreak/>
        <w:t xml:space="preserve">preserving federated learning frameworks and tools. </w:t>
      </w:r>
      <w:r w:rsidRPr="00EB05FA">
        <w:rPr>
          <w:i/>
          <w:iCs/>
          <w:sz w:val="24"/>
          <w:szCs w:val="24"/>
        </w:rPr>
        <w:t>Artificial Intelligence Review, 58</w:t>
      </w:r>
      <w:r w:rsidRPr="00EB05FA">
        <w:rPr>
          <w:sz w:val="24"/>
          <w:szCs w:val="24"/>
        </w:rPr>
        <w:t xml:space="preserve">, Article 51. </w:t>
      </w:r>
      <w:hyperlink r:id="rId37" w:history="1">
        <w:r w:rsidRPr="00EB05FA">
          <w:rPr>
            <w:color w:val="0000FF"/>
            <w:sz w:val="24"/>
            <w:szCs w:val="24"/>
            <w:u w:val="single"/>
          </w:rPr>
          <w:t>https://doi.org/10.1007/s10462-024-11036-2</w:t>
        </w:r>
      </w:hyperlink>
    </w:p>
    <w:p w14:paraId="394AF73A" w14:textId="77777777" w:rsidR="00EB05FA" w:rsidRPr="00EB05FA" w:rsidRDefault="00EB05FA" w:rsidP="00EB05FA">
      <w:pPr>
        <w:spacing w:before="100" w:beforeAutospacing="1" w:after="100" w:afterAutospacing="1"/>
        <w:rPr>
          <w:sz w:val="24"/>
          <w:szCs w:val="24"/>
        </w:rPr>
      </w:pPr>
      <w:r w:rsidRPr="00EB05FA">
        <w:rPr>
          <w:sz w:val="24"/>
          <w:szCs w:val="24"/>
        </w:rPr>
        <w:t xml:space="preserve">Nguyen, K., Khan, T., &amp; </w:t>
      </w:r>
      <w:proofErr w:type="spellStart"/>
      <w:r w:rsidRPr="00EB05FA">
        <w:rPr>
          <w:sz w:val="24"/>
          <w:szCs w:val="24"/>
        </w:rPr>
        <w:t>Michalas</w:t>
      </w:r>
      <w:proofErr w:type="spellEnd"/>
      <w:r w:rsidRPr="00EB05FA">
        <w:rPr>
          <w:sz w:val="24"/>
          <w:szCs w:val="24"/>
        </w:rPr>
        <w:t xml:space="preserve">, A. (2024). Split without a leak: Reducing privacy leakage in split learning. In H. Duan, M. </w:t>
      </w:r>
      <w:proofErr w:type="spellStart"/>
      <w:r w:rsidRPr="00EB05FA">
        <w:rPr>
          <w:sz w:val="24"/>
          <w:szCs w:val="24"/>
        </w:rPr>
        <w:t>Debbabi</w:t>
      </w:r>
      <w:proofErr w:type="spellEnd"/>
      <w:r w:rsidRPr="00EB05FA">
        <w:rPr>
          <w:sz w:val="24"/>
          <w:szCs w:val="24"/>
        </w:rPr>
        <w:t xml:space="preserve">, X. de Carné de Carnavalet, X. Luo, M. H. A. Au, &amp; X. Du (Eds.), </w:t>
      </w:r>
      <w:r w:rsidRPr="00EB05FA">
        <w:rPr>
          <w:i/>
          <w:iCs/>
          <w:sz w:val="24"/>
          <w:szCs w:val="24"/>
        </w:rPr>
        <w:t xml:space="preserve">Security and privacy in communication networks: 19th EAI International Conference, </w:t>
      </w:r>
      <w:proofErr w:type="spellStart"/>
      <w:r w:rsidRPr="00EB05FA">
        <w:rPr>
          <w:i/>
          <w:iCs/>
          <w:sz w:val="24"/>
          <w:szCs w:val="24"/>
        </w:rPr>
        <w:t>SecureComm</w:t>
      </w:r>
      <w:proofErr w:type="spellEnd"/>
      <w:r w:rsidRPr="00EB05FA">
        <w:rPr>
          <w:i/>
          <w:iCs/>
          <w:sz w:val="24"/>
          <w:szCs w:val="24"/>
        </w:rPr>
        <w:t xml:space="preserve"> 2023, proceedings</w:t>
      </w:r>
      <w:r w:rsidRPr="00EB05FA">
        <w:rPr>
          <w:sz w:val="24"/>
          <w:szCs w:val="24"/>
        </w:rPr>
        <w:t xml:space="preserve"> (pp. 321–344). Springer. </w:t>
      </w:r>
      <w:hyperlink r:id="rId38" w:history="1">
        <w:r w:rsidRPr="00EB05FA">
          <w:rPr>
            <w:color w:val="0000FF"/>
            <w:sz w:val="24"/>
            <w:szCs w:val="24"/>
            <w:u w:val="single"/>
          </w:rPr>
          <w:t>https://doi.org/10.1007/978-3-031-64954-7_17</w:t>
        </w:r>
      </w:hyperlink>
    </w:p>
    <w:p w14:paraId="0BFB33B5" w14:textId="77777777" w:rsidR="00EB05FA" w:rsidRPr="00EB05FA" w:rsidRDefault="00EB05FA" w:rsidP="00EB05FA">
      <w:pPr>
        <w:spacing w:before="100" w:beforeAutospacing="1" w:after="100" w:afterAutospacing="1"/>
        <w:rPr>
          <w:sz w:val="24"/>
          <w:szCs w:val="24"/>
        </w:rPr>
      </w:pPr>
      <w:r w:rsidRPr="00EB05FA">
        <w:rPr>
          <w:sz w:val="24"/>
          <w:szCs w:val="24"/>
        </w:rPr>
        <w:t xml:space="preserve">Oh, S., Baek, S., Park, J., Nam, H., </w:t>
      </w:r>
      <w:proofErr w:type="spellStart"/>
      <w:r w:rsidRPr="00EB05FA">
        <w:rPr>
          <w:sz w:val="24"/>
          <w:szCs w:val="24"/>
        </w:rPr>
        <w:t>Vepakomma</w:t>
      </w:r>
      <w:proofErr w:type="spellEnd"/>
      <w:r w:rsidRPr="00EB05FA">
        <w:rPr>
          <w:sz w:val="24"/>
          <w:szCs w:val="24"/>
        </w:rPr>
        <w:t xml:space="preserve">, P., Raskar, R., Bennis, M., &amp; Kim, S.-L. (2024). Privacy-preserving split learning with vision transformers using patch-wise random and noisy </w:t>
      </w:r>
      <w:proofErr w:type="spellStart"/>
      <w:r w:rsidRPr="00EB05FA">
        <w:rPr>
          <w:sz w:val="24"/>
          <w:szCs w:val="24"/>
        </w:rPr>
        <w:t>CutMix</w:t>
      </w:r>
      <w:proofErr w:type="spellEnd"/>
      <w:r w:rsidRPr="00EB05FA">
        <w:rPr>
          <w:sz w:val="24"/>
          <w:szCs w:val="24"/>
        </w:rPr>
        <w:t xml:space="preserve">. </w:t>
      </w:r>
      <w:r w:rsidRPr="00EB05FA">
        <w:rPr>
          <w:i/>
          <w:iCs/>
          <w:sz w:val="24"/>
          <w:szCs w:val="24"/>
        </w:rPr>
        <w:t>Transactions on Machine Learning Research</w:t>
      </w:r>
      <w:r w:rsidRPr="00EB05FA">
        <w:rPr>
          <w:sz w:val="24"/>
          <w:szCs w:val="24"/>
        </w:rPr>
        <w:t xml:space="preserve">. </w:t>
      </w:r>
      <w:hyperlink r:id="rId39" w:history="1">
        <w:r w:rsidRPr="00EB05FA">
          <w:rPr>
            <w:color w:val="0000FF"/>
            <w:sz w:val="24"/>
            <w:szCs w:val="24"/>
            <w:u w:val="single"/>
          </w:rPr>
          <w:t>https://openreview.net/forum?id=4bo6XAnutd</w:t>
        </w:r>
      </w:hyperlink>
    </w:p>
    <w:p w14:paraId="3EFB4CBE" w14:textId="77777777" w:rsidR="00EB05FA" w:rsidRPr="00EB05FA" w:rsidRDefault="00EB05FA" w:rsidP="00EB05FA">
      <w:pPr>
        <w:spacing w:before="100" w:beforeAutospacing="1" w:after="100" w:afterAutospacing="1"/>
        <w:rPr>
          <w:sz w:val="24"/>
          <w:szCs w:val="24"/>
        </w:rPr>
      </w:pPr>
      <w:r w:rsidRPr="00EB05FA">
        <w:rPr>
          <w:sz w:val="24"/>
          <w:szCs w:val="24"/>
        </w:rPr>
        <w:t xml:space="preserve">Pham, N. D., &amp; </w:t>
      </w:r>
      <w:proofErr w:type="spellStart"/>
      <w:r w:rsidRPr="00EB05FA">
        <w:rPr>
          <w:sz w:val="24"/>
          <w:szCs w:val="24"/>
        </w:rPr>
        <w:t>Chilamkurti</w:t>
      </w:r>
      <w:proofErr w:type="spellEnd"/>
      <w:r w:rsidRPr="00EB05FA">
        <w:rPr>
          <w:sz w:val="24"/>
          <w:szCs w:val="24"/>
        </w:rPr>
        <w:t xml:space="preserve">, N. (2023). Data leakage threats and protection in split learning: A survey. In </w:t>
      </w:r>
      <w:r w:rsidRPr="00EB05FA">
        <w:rPr>
          <w:i/>
          <w:iCs/>
          <w:sz w:val="24"/>
          <w:szCs w:val="24"/>
        </w:rPr>
        <w:t>Proceedings of the 2023 International Conference on Intelligent Computing and Its Emerging Applications</w:t>
      </w:r>
      <w:r w:rsidRPr="00EB05FA">
        <w:rPr>
          <w:sz w:val="24"/>
          <w:szCs w:val="24"/>
        </w:rPr>
        <w:t xml:space="preserve"> (pp. 141–147). ACM. </w:t>
      </w:r>
      <w:hyperlink r:id="rId40" w:history="1">
        <w:r w:rsidRPr="00EB05FA">
          <w:rPr>
            <w:color w:val="0000FF"/>
            <w:sz w:val="24"/>
            <w:szCs w:val="24"/>
            <w:u w:val="single"/>
          </w:rPr>
          <w:t>https://doi.org/10.1145/3659154.3659189</w:t>
        </w:r>
      </w:hyperlink>
    </w:p>
    <w:p w14:paraId="49BBF262" w14:textId="77777777" w:rsidR="00EB05FA" w:rsidRPr="00EB05FA" w:rsidRDefault="00EB05FA" w:rsidP="00EB05FA">
      <w:pPr>
        <w:spacing w:before="100" w:beforeAutospacing="1" w:after="100" w:afterAutospacing="1"/>
        <w:rPr>
          <w:sz w:val="24"/>
          <w:szCs w:val="24"/>
        </w:rPr>
      </w:pPr>
      <w:r w:rsidRPr="00EB05FA">
        <w:rPr>
          <w:sz w:val="24"/>
          <w:szCs w:val="24"/>
        </w:rPr>
        <w:t xml:space="preserve">Pham, N. D., Phan, K. T., &amp; </w:t>
      </w:r>
      <w:proofErr w:type="spellStart"/>
      <w:r w:rsidRPr="00EB05FA">
        <w:rPr>
          <w:sz w:val="24"/>
          <w:szCs w:val="24"/>
        </w:rPr>
        <w:t>Chilamkurti</w:t>
      </w:r>
      <w:proofErr w:type="spellEnd"/>
      <w:r w:rsidRPr="00EB05FA">
        <w:rPr>
          <w:sz w:val="24"/>
          <w:szCs w:val="24"/>
        </w:rPr>
        <w:t xml:space="preserve">, N. (2025). Enhancing accuracy-privacy trade-off in differentially private split learning. </w:t>
      </w:r>
      <w:r w:rsidRPr="00EB05FA">
        <w:rPr>
          <w:i/>
          <w:iCs/>
          <w:sz w:val="24"/>
          <w:szCs w:val="24"/>
        </w:rPr>
        <w:t>IEEE Transactions on Emerging Topics in Computational Intelligence, 9</w:t>
      </w:r>
      <w:r w:rsidRPr="00EB05FA">
        <w:rPr>
          <w:sz w:val="24"/>
          <w:szCs w:val="24"/>
        </w:rPr>
        <w:t xml:space="preserve">(1), 988–1000. </w:t>
      </w:r>
      <w:hyperlink r:id="rId41" w:history="1">
        <w:r w:rsidRPr="00EB05FA">
          <w:rPr>
            <w:color w:val="0000FF"/>
            <w:sz w:val="24"/>
            <w:szCs w:val="24"/>
            <w:u w:val="single"/>
          </w:rPr>
          <w:t>https://doi.org/10.1109/TETCI.2024.3485723</w:t>
        </w:r>
      </w:hyperlink>
    </w:p>
    <w:p w14:paraId="4A4E7FE1" w14:textId="77777777" w:rsidR="00EB05FA" w:rsidRPr="00EB05FA" w:rsidRDefault="00EB05FA" w:rsidP="00EB05FA">
      <w:pPr>
        <w:spacing w:before="100" w:beforeAutospacing="1" w:after="100" w:afterAutospacing="1"/>
        <w:rPr>
          <w:sz w:val="24"/>
          <w:szCs w:val="24"/>
        </w:rPr>
      </w:pPr>
      <w:r w:rsidRPr="00EB05FA">
        <w:rPr>
          <w:sz w:val="24"/>
          <w:szCs w:val="24"/>
        </w:rPr>
        <w:t xml:space="preserve">Ran, R., Xu, N., Liu, T., Wang, W., Quan, G., &amp; Wen, W. (2023). Penguin: Parallel-packed homomorphic encryption for fast graph convolutional network inference. </w:t>
      </w:r>
      <w:r w:rsidRPr="00EB05FA">
        <w:rPr>
          <w:i/>
          <w:iCs/>
          <w:sz w:val="24"/>
          <w:szCs w:val="24"/>
        </w:rPr>
        <w:t>Advances in Neural Information Processing Systems, 36</w:t>
      </w:r>
      <w:r w:rsidRPr="00EB05FA">
        <w:rPr>
          <w:sz w:val="24"/>
          <w:szCs w:val="24"/>
        </w:rPr>
        <w:t xml:space="preserve">, 19104–19116. </w:t>
      </w:r>
      <w:hyperlink r:id="rId42" w:history="1">
        <w:r w:rsidRPr="00EB05FA">
          <w:rPr>
            <w:color w:val="0000FF"/>
            <w:sz w:val="24"/>
            <w:szCs w:val="24"/>
            <w:u w:val="single"/>
          </w:rPr>
          <w:t>https://doi.org/10.52202/075280-0837</w:t>
        </w:r>
      </w:hyperlink>
    </w:p>
    <w:p w14:paraId="408CB241" w14:textId="77777777" w:rsidR="00EB05FA" w:rsidRPr="00EB05FA" w:rsidRDefault="00EB05FA" w:rsidP="00EB05FA">
      <w:pPr>
        <w:spacing w:before="100" w:beforeAutospacing="1" w:after="100" w:afterAutospacing="1"/>
        <w:rPr>
          <w:sz w:val="24"/>
          <w:szCs w:val="24"/>
        </w:rPr>
      </w:pPr>
      <w:r w:rsidRPr="00EB05FA">
        <w:rPr>
          <w:sz w:val="24"/>
          <w:szCs w:val="24"/>
        </w:rPr>
        <w:t xml:space="preserve">Shokri, R., &amp; Shmatikov, V. (2015). Privacy-preserving deep learning. In </w:t>
      </w:r>
      <w:r w:rsidRPr="00EB05FA">
        <w:rPr>
          <w:i/>
          <w:iCs/>
          <w:sz w:val="24"/>
          <w:szCs w:val="24"/>
        </w:rPr>
        <w:t>Proceedings of the 22nd ACM SIGSAC Conference on Computer and Communications Security</w:t>
      </w:r>
      <w:r w:rsidRPr="00EB05FA">
        <w:rPr>
          <w:sz w:val="24"/>
          <w:szCs w:val="24"/>
        </w:rPr>
        <w:t xml:space="preserve"> (pp. 1310–1321). ACM. </w:t>
      </w:r>
      <w:hyperlink r:id="rId43" w:history="1">
        <w:r w:rsidRPr="00EB05FA">
          <w:rPr>
            <w:color w:val="0000FF"/>
            <w:sz w:val="24"/>
            <w:szCs w:val="24"/>
            <w:u w:val="single"/>
          </w:rPr>
          <w:t>https://doi.org/10.1145/2810103.2813687</w:t>
        </w:r>
      </w:hyperlink>
    </w:p>
    <w:p w14:paraId="709F4772" w14:textId="77777777" w:rsidR="00EB05FA" w:rsidRPr="00EB05FA" w:rsidRDefault="00EB05FA" w:rsidP="00EB05FA">
      <w:pPr>
        <w:spacing w:before="100" w:beforeAutospacing="1" w:after="100" w:afterAutospacing="1"/>
        <w:rPr>
          <w:sz w:val="24"/>
          <w:szCs w:val="24"/>
        </w:rPr>
      </w:pPr>
      <w:proofErr w:type="spellStart"/>
      <w:r w:rsidRPr="00EB05FA">
        <w:rPr>
          <w:sz w:val="24"/>
          <w:szCs w:val="24"/>
        </w:rPr>
        <w:t>Vepakomma</w:t>
      </w:r>
      <w:proofErr w:type="spellEnd"/>
      <w:r w:rsidRPr="00EB05FA">
        <w:rPr>
          <w:sz w:val="24"/>
          <w:szCs w:val="24"/>
        </w:rPr>
        <w:t xml:space="preserve">, P., Gupta, O., Swedish, T., &amp; </w:t>
      </w:r>
      <w:proofErr w:type="spellStart"/>
      <w:r w:rsidRPr="00EB05FA">
        <w:rPr>
          <w:sz w:val="24"/>
          <w:szCs w:val="24"/>
        </w:rPr>
        <w:t>Raskar</w:t>
      </w:r>
      <w:proofErr w:type="spellEnd"/>
      <w:r w:rsidRPr="00EB05FA">
        <w:rPr>
          <w:sz w:val="24"/>
          <w:szCs w:val="24"/>
        </w:rPr>
        <w:t xml:space="preserve">, R. (2018). Split learning for health: Distributed deep learning without sharing raw patient data. </w:t>
      </w:r>
      <w:proofErr w:type="spellStart"/>
      <w:r w:rsidRPr="00EB05FA">
        <w:rPr>
          <w:i/>
          <w:iCs/>
          <w:sz w:val="24"/>
          <w:szCs w:val="24"/>
        </w:rPr>
        <w:t>arXiv</w:t>
      </w:r>
      <w:proofErr w:type="spellEnd"/>
      <w:r w:rsidRPr="00EB05FA">
        <w:rPr>
          <w:sz w:val="24"/>
          <w:szCs w:val="24"/>
        </w:rPr>
        <w:t xml:space="preserve">. </w:t>
      </w:r>
      <w:hyperlink r:id="rId44" w:history="1">
        <w:r w:rsidRPr="00EB05FA">
          <w:rPr>
            <w:color w:val="0000FF"/>
            <w:sz w:val="24"/>
            <w:szCs w:val="24"/>
            <w:u w:val="single"/>
          </w:rPr>
          <w:t>https://doi.org/10.48550/arXiv.1812.00564</w:t>
        </w:r>
      </w:hyperlink>
    </w:p>
    <w:p w14:paraId="2984C678" w14:textId="77777777" w:rsidR="00EB05FA" w:rsidRPr="00EB05FA" w:rsidRDefault="00EB05FA" w:rsidP="00EB05FA">
      <w:pPr>
        <w:spacing w:before="100" w:beforeAutospacing="1" w:after="100" w:afterAutospacing="1"/>
        <w:rPr>
          <w:sz w:val="24"/>
          <w:szCs w:val="24"/>
        </w:rPr>
      </w:pPr>
      <w:r w:rsidRPr="00EB05FA">
        <w:rPr>
          <w:sz w:val="24"/>
          <w:szCs w:val="24"/>
        </w:rPr>
        <w:t xml:space="preserve">Yu, D., Kamath, G., Kulkarni, J., Liu, T.-Y., Yin, J., &amp; Zhang, H. (2023). Individual privacy accounting for differentially private stochastic gradient descent. </w:t>
      </w:r>
      <w:r w:rsidRPr="00EB05FA">
        <w:rPr>
          <w:i/>
          <w:iCs/>
          <w:sz w:val="24"/>
          <w:szCs w:val="24"/>
        </w:rPr>
        <w:t>Transactions on Machine Learning Research</w:t>
      </w:r>
      <w:r w:rsidRPr="00EB05FA">
        <w:rPr>
          <w:sz w:val="24"/>
          <w:szCs w:val="24"/>
        </w:rPr>
        <w:t xml:space="preserve">. </w:t>
      </w:r>
      <w:hyperlink r:id="rId45" w:history="1">
        <w:r w:rsidRPr="00EB05FA">
          <w:rPr>
            <w:color w:val="0000FF"/>
            <w:sz w:val="24"/>
            <w:szCs w:val="24"/>
            <w:u w:val="single"/>
          </w:rPr>
          <w:t>https://openreview.net/forum?id=l4Jcxs0fpC</w:t>
        </w:r>
      </w:hyperlink>
    </w:p>
    <w:p w14:paraId="5821C4BC" w14:textId="77777777" w:rsidR="00EB05FA" w:rsidRPr="00C501D4" w:rsidRDefault="00EB05FA" w:rsidP="00C501D4">
      <w:pPr>
        <w:spacing w:after="160" w:line="276" w:lineRule="auto"/>
        <w:jc w:val="both"/>
        <w:rPr>
          <w:rFonts w:ascii="Cambria" w:eastAsia="Cambria" w:hAnsi="Cambria" w:cs="Cambria"/>
          <w:sz w:val="22"/>
          <w:szCs w:val="22"/>
        </w:rPr>
      </w:pPr>
    </w:p>
    <w:sectPr w:rsidR="00EB05FA" w:rsidRPr="00C501D4">
      <w:headerReference w:type="even" r:id="rId46"/>
      <w:headerReference w:type="default" r:id="rId47"/>
      <w:footerReference w:type="even" r:id="rId48"/>
      <w:footerReference w:type="default" r:id="rId49"/>
      <w:headerReference w:type="first" r:id="rId50"/>
      <w:footerReference w:type="first" r:id="rId5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7A203" w14:textId="77777777" w:rsidR="003C3F28" w:rsidRDefault="003C3F28">
      <w:r>
        <w:separator/>
      </w:r>
    </w:p>
  </w:endnote>
  <w:endnote w:type="continuationSeparator" w:id="0">
    <w:p w14:paraId="481ED633" w14:textId="77777777" w:rsidR="003C3F28" w:rsidRDefault="003C3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6C3E" w14:textId="77777777" w:rsidR="00442B0F" w:rsidRDefault="00442B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52A8" w14:textId="77777777" w:rsidR="00AB5DCE" w:rsidRDefault="00000000">
    <w:pPr>
      <w:jc w:val="center"/>
    </w:pPr>
    <w:r>
      <w:rPr>
        <w:rFonts w:ascii="Cambria" w:eastAsia="Cambria" w:hAnsi="Cambria" w:cs="Cambria"/>
        <w:sz w:val="18"/>
        <w:szCs w:val="18"/>
      </w:rPr>
      <w:fldChar w:fldCharType="begin"/>
    </w:r>
    <w:r>
      <w:rPr>
        <w:rFonts w:ascii="Cambria" w:eastAsia="Cambria" w:hAnsi="Cambria" w:cs="Cambria"/>
        <w:sz w:val="18"/>
        <w:szCs w:val="18"/>
      </w:rPr>
      <w:instrText>PAGE</w:instrText>
    </w:r>
    <w:r>
      <w:rPr>
        <w:rFonts w:ascii="Cambria" w:eastAsia="Cambria" w:hAnsi="Cambria" w:cs="Cambria"/>
        <w:sz w:val="18"/>
        <w:szCs w:val="18"/>
      </w:rPr>
      <w:fldChar w:fldCharType="separate"/>
    </w:r>
    <w:r w:rsidR="00003CD2">
      <w:rPr>
        <w:rFonts w:ascii="Cambria" w:eastAsia="Cambria" w:hAnsi="Cambria" w:cs="Cambria"/>
        <w:noProof/>
        <w:sz w:val="18"/>
        <w:szCs w:val="18"/>
      </w:rPr>
      <w:t>1</w:t>
    </w:r>
    <w:r>
      <w:rPr>
        <w:rFonts w:ascii="Cambria" w:eastAsia="Cambria" w:hAnsi="Cambria" w:cs="Cambria"/>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B48C" w14:textId="77777777" w:rsidR="00442B0F" w:rsidRDefault="00442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788AE" w14:textId="77777777" w:rsidR="003C3F28" w:rsidRDefault="003C3F28">
      <w:r>
        <w:separator/>
      </w:r>
    </w:p>
  </w:footnote>
  <w:footnote w:type="continuationSeparator" w:id="0">
    <w:p w14:paraId="789D97F1" w14:textId="77777777" w:rsidR="003C3F28" w:rsidRDefault="003C3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F8DA" w14:textId="77777777" w:rsidR="00442B0F" w:rsidRDefault="00000000">
    <w:pPr>
      <w:pStyle w:val="Header"/>
    </w:pPr>
    <w:r>
      <w:rPr>
        <w:noProof/>
      </w:rPr>
      <w:pict w14:anchorId="19B2AC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97563"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E6398" w14:textId="77777777" w:rsidR="00442B0F" w:rsidRDefault="00000000">
    <w:pPr>
      <w:pStyle w:val="Header"/>
    </w:pPr>
    <w:r>
      <w:rPr>
        <w:noProof/>
      </w:rPr>
      <w:pict w14:anchorId="210143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97564"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71A73" w14:textId="77777777" w:rsidR="00442B0F" w:rsidRDefault="00000000">
    <w:pPr>
      <w:pStyle w:val="Header"/>
    </w:pPr>
    <w:r>
      <w:rPr>
        <w:noProof/>
      </w:rPr>
      <w:pict w14:anchorId="438F79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97562"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2D0E"/>
    <w:multiLevelType w:val="hybridMultilevel"/>
    <w:tmpl w:val="39BAF0A2"/>
    <w:lvl w:ilvl="0" w:tplc="94F063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F359B1"/>
    <w:multiLevelType w:val="hybridMultilevel"/>
    <w:tmpl w:val="DC369654"/>
    <w:lvl w:ilvl="0" w:tplc="19D45CC2">
      <w:start w:val="1"/>
      <w:numFmt w:val="upperRoman"/>
      <w:lvlText w:val="%1."/>
      <w:lvlJc w:val="left"/>
      <w:pPr>
        <w:ind w:left="1080" w:hanging="72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F32CC5"/>
    <w:multiLevelType w:val="hybridMultilevel"/>
    <w:tmpl w:val="F788CE2C"/>
    <w:lvl w:ilvl="0" w:tplc="678AAA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AE1286"/>
    <w:multiLevelType w:val="hybridMultilevel"/>
    <w:tmpl w:val="9B06B640"/>
    <w:lvl w:ilvl="0" w:tplc="4606AAA8">
      <w:start w:val="1"/>
      <w:numFmt w:val="bullet"/>
      <w:lvlText w:val="●"/>
      <w:lvlJc w:val="left"/>
      <w:pPr>
        <w:ind w:left="720" w:hanging="360"/>
      </w:pPr>
    </w:lvl>
    <w:lvl w:ilvl="1" w:tplc="7A1E746E">
      <w:start w:val="1"/>
      <w:numFmt w:val="bullet"/>
      <w:lvlText w:val="○"/>
      <w:lvlJc w:val="left"/>
      <w:pPr>
        <w:ind w:left="1440" w:hanging="360"/>
      </w:pPr>
    </w:lvl>
    <w:lvl w:ilvl="2" w:tplc="07DCDD8E">
      <w:start w:val="1"/>
      <w:numFmt w:val="bullet"/>
      <w:lvlText w:val="■"/>
      <w:lvlJc w:val="left"/>
      <w:pPr>
        <w:ind w:left="2160" w:hanging="360"/>
      </w:pPr>
    </w:lvl>
    <w:lvl w:ilvl="3" w:tplc="0D68D2F6">
      <w:start w:val="1"/>
      <w:numFmt w:val="bullet"/>
      <w:lvlText w:val="●"/>
      <w:lvlJc w:val="left"/>
      <w:pPr>
        <w:ind w:left="2880" w:hanging="360"/>
      </w:pPr>
    </w:lvl>
    <w:lvl w:ilvl="4" w:tplc="D236DBF2">
      <w:start w:val="1"/>
      <w:numFmt w:val="bullet"/>
      <w:lvlText w:val="○"/>
      <w:lvlJc w:val="left"/>
      <w:pPr>
        <w:ind w:left="3600" w:hanging="360"/>
      </w:pPr>
    </w:lvl>
    <w:lvl w:ilvl="5" w:tplc="87FAFC2A">
      <w:start w:val="1"/>
      <w:numFmt w:val="bullet"/>
      <w:lvlText w:val="■"/>
      <w:lvlJc w:val="left"/>
      <w:pPr>
        <w:ind w:left="4320" w:hanging="360"/>
      </w:pPr>
    </w:lvl>
    <w:lvl w:ilvl="6" w:tplc="97A885AE">
      <w:start w:val="1"/>
      <w:numFmt w:val="bullet"/>
      <w:lvlText w:val="●"/>
      <w:lvlJc w:val="left"/>
      <w:pPr>
        <w:ind w:left="5040" w:hanging="360"/>
      </w:pPr>
    </w:lvl>
    <w:lvl w:ilvl="7" w:tplc="EB9C71F6">
      <w:start w:val="1"/>
      <w:numFmt w:val="bullet"/>
      <w:lvlText w:val="●"/>
      <w:lvlJc w:val="left"/>
      <w:pPr>
        <w:ind w:left="5760" w:hanging="360"/>
      </w:pPr>
    </w:lvl>
    <w:lvl w:ilvl="8" w:tplc="7F5A3A12">
      <w:start w:val="1"/>
      <w:numFmt w:val="bullet"/>
      <w:lvlText w:val="●"/>
      <w:lvlJc w:val="left"/>
      <w:pPr>
        <w:ind w:left="6480" w:hanging="360"/>
      </w:pPr>
    </w:lvl>
  </w:abstractNum>
  <w:num w:numId="1" w16cid:durableId="1682857616">
    <w:abstractNumId w:val="3"/>
    <w:lvlOverride w:ilvl="0">
      <w:startOverride w:val="1"/>
    </w:lvlOverride>
  </w:num>
  <w:num w:numId="2" w16cid:durableId="1002196394">
    <w:abstractNumId w:val="2"/>
  </w:num>
  <w:num w:numId="3" w16cid:durableId="503475073">
    <w:abstractNumId w:val="1"/>
  </w:num>
  <w:num w:numId="4" w16cid:durableId="139404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A0NDU1NzW3MDIyMLFQ0lEKTi0uzszPAykwrAUA8+A1tSwAAAA="/>
  </w:docVars>
  <w:rsids>
    <w:rsidRoot w:val="00AB5DCE"/>
    <w:rsid w:val="00003CD2"/>
    <w:rsid w:val="000043B3"/>
    <w:rsid w:val="000A02D8"/>
    <w:rsid w:val="000C6144"/>
    <w:rsid w:val="001143AE"/>
    <w:rsid w:val="00116451"/>
    <w:rsid w:val="0018533A"/>
    <w:rsid w:val="001860D5"/>
    <w:rsid w:val="00193FAA"/>
    <w:rsid w:val="001E4B99"/>
    <w:rsid w:val="00240925"/>
    <w:rsid w:val="002713CA"/>
    <w:rsid w:val="002F5D6C"/>
    <w:rsid w:val="003B2926"/>
    <w:rsid w:val="003C3F28"/>
    <w:rsid w:val="00422D3F"/>
    <w:rsid w:val="00424770"/>
    <w:rsid w:val="00430BB2"/>
    <w:rsid w:val="00442B0F"/>
    <w:rsid w:val="00450DCE"/>
    <w:rsid w:val="00493D80"/>
    <w:rsid w:val="005513C5"/>
    <w:rsid w:val="00573495"/>
    <w:rsid w:val="005A396E"/>
    <w:rsid w:val="005B1F34"/>
    <w:rsid w:val="005B27A0"/>
    <w:rsid w:val="005E231E"/>
    <w:rsid w:val="005E78B7"/>
    <w:rsid w:val="005F1338"/>
    <w:rsid w:val="005F75EC"/>
    <w:rsid w:val="006537BA"/>
    <w:rsid w:val="0065519C"/>
    <w:rsid w:val="006627FD"/>
    <w:rsid w:val="00670585"/>
    <w:rsid w:val="006709FF"/>
    <w:rsid w:val="006E45D5"/>
    <w:rsid w:val="00713265"/>
    <w:rsid w:val="007315F3"/>
    <w:rsid w:val="00771352"/>
    <w:rsid w:val="00787D03"/>
    <w:rsid w:val="007A2BB3"/>
    <w:rsid w:val="008A3056"/>
    <w:rsid w:val="009028FF"/>
    <w:rsid w:val="00902A73"/>
    <w:rsid w:val="00905A4D"/>
    <w:rsid w:val="0092593E"/>
    <w:rsid w:val="00A03528"/>
    <w:rsid w:val="00A57F5B"/>
    <w:rsid w:val="00AA58E6"/>
    <w:rsid w:val="00AA5DE4"/>
    <w:rsid w:val="00AB49D6"/>
    <w:rsid w:val="00AB5DCE"/>
    <w:rsid w:val="00AE06F1"/>
    <w:rsid w:val="00B04CF4"/>
    <w:rsid w:val="00B07D0B"/>
    <w:rsid w:val="00B4191B"/>
    <w:rsid w:val="00B47BF9"/>
    <w:rsid w:val="00B969A4"/>
    <w:rsid w:val="00BB1A64"/>
    <w:rsid w:val="00C27BB6"/>
    <w:rsid w:val="00C304C2"/>
    <w:rsid w:val="00C501D4"/>
    <w:rsid w:val="00C76DB2"/>
    <w:rsid w:val="00CC0002"/>
    <w:rsid w:val="00CC08CF"/>
    <w:rsid w:val="00CF3A5E"/>
    <w:rsid w:val="00D02238"/>
    <w:rsid w:val="00D97110"/>
    <w:rsid w:val="00E167B3"/>
    <w:rsid w:val="00E34FD1"/>
    <w:rsid w:val="00E37258"/>
    <w:rsid w:val="00E55180"/>
    <w:rsid w:val="00E5680F"/>
    <w:rsid w:val="00E66E2D"/>
    <w:rsid w:val="00E7351B"/>
    <w:rsid w:val="00E86097"/>
    <w:rsid w:val="00EB05FA"/>
    <w:rsid w:val="00EB615A"/>
    <w:rsid w:val="00EF5E86"/>
    <w:rsid w:val="00F35242"/>
    <w:rsid w:val="00F90BEA"/>
    <w:rsid w:val="00FF7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05EDB"/>
  <w15:docId w15:val="{63CD1465-863C-486E-B59F-2A2F96B5C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B49D6"/>
    <w:pPr>
      <w:tabs>
        <w:tab w:val="center" w:pos="4680"/>
        <w:tab w:val="right" w:pos="9360"/>
      </w:tabs>
    </w:pPr>
  </w:style>
  <w:style w:type="character" w:customStyle="1" w:styleId="HeaderChar">
    <w:name w:val="Header Char"/>
    <w:basedOn w:val="DefaultParagraphFont"/>
    <w:link w:val="Header"/>
    <w:uiPriority w:val="99"/>
    <w:rsid w:val="00AB49D6"/>
  </w:style>
  <w:style w:type="paragraph" w:styleId="Footer">
    <w:name w:val="footer"/>
    <w:basedOn w:val="Normal"/>
    <w:link w:val="FooterChar"/>
    <w:uiPriority w:val="99"/>
    <w:unhideWhenUsed/>
    <w:rsid w:val="00AB49D6"/>
    <w:pPr>
      <w:tabs>
        <w:tab w:val="center" w:pos="4680"/>
        <w:tab w:val="right" w:pos="9360"/>
      </w:tabs>
    </w:pPr>
  </w:style>
  <w:style w:type="character" w:customStyle="1" w:styleId="FooterChar">
    <w:name w:val="Footer Char"/>
    <w:basedOn w:val="DefaultParagraphFont"/>
    <w:link w:val="Footer"/>
    <w:uiPriority w:val="99"/>
    <w:rsid w:val="00AB49D6"/>
  </w:style>
  <w:style w:type="character" w:styleId="UnresolvedMention">
    <w:name w:val="Unresolved Mention"/>
    <w:basedOn w:val="DefaultParagraphFont"/>
    <w:uiPriority w:val="99"/>
    <w:semiHidden/>
    <w:unhideWhenUsed/>
    <w:rsid w:val="005B1F34"/>
    <w:rPr>
      <w:color w:val="605E5C"/>
      <w:shd w:val="clear" w:color="auto" w:fill="E1DFDD"/>
    </w:rPr>
  </w:style>
  <w:style w:type="paragraph" w:styleId="NormalWeb">
    <w:name w:val="Normal (Web)"/>
    <w:basedOn w:val="Normal"/>
    <w:uiPriority w:val="99"/>
    <w:semiHidden/>
    <w:unhideWhenUsed/>
    <w:rsid w:val="00422D3F"/>
    <w:rPr>
      <w:sz w:val="24"/>
      <w:szCs w:val="24"/>
    </w:rPr>
  </w:style>
  <w:style w:type="paragraph" w:customStyle="1" w:styleId="pdq2pgselectionanchorcontainer">
    <w:name w:val="pdq2pg_selectionanchorcontainer"/>
    <w:basedOn w:val="Normal"/>
    <w:rsid w:val="00C501D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145/3658644.3690194" TargetMode="External"/><Relationship Id="rId18" Type="http://schemas.openxmlformats.org/officeDocument/2006/relationships/hyperlink" Target="https://doi.org/10.1007/978-3-319-70694-8_15" TargetMode="External"/><Relationship Id="rId26" Type="http://schemas.openxmlformats.org/officeDocument/2006/relationships/hyperlink" Target="https://doi.org/10.1016/j.jnca.2018.05.003" TargetMode="External"/><Relationship Id="rId39" Type="http://schemas.openxmlformats.org/officeDocument/2006/relationships/hyperlink" Target="https://openreview.net/forum?id=4bo6XAnutd" TargetMode="External"/><Relationship Id="rId21" Type="http://schemas.openxmlformats.org/officeDocument/2006/relationships/hyperlink" Target="https://doi.org/10.1038/s44172-024-00300-6" TargetMode="External"/><Relationship Id="rId34" Type="http://schemas.openxmlformats.org/officeDocument/2006/relationships/hyperlink" Target="https://github.com/microsoft/SEAL" TargetMode="External"/><Relationship Id="rId42" Type="http://schemas.openxmlformats.org/officeDocument/2006/relationships/hyperlink" Target="https://doi.org/10.52202/075280-0837"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52202/079017-0354" TargetMode="External"/><Relationship Id="rId29" Type="http://schemas.openxmlformats.org/officeDocument/2006/relationships/hyperlink" Target="https://doi.org/10.1145/3649158.3657039" TargetMode="External"/><Relationship Id="rId11" Type="http://schemas.openxmlformats.org/officeDocument/2006/relationships/hyperlink" Target="https://doi.org/10.1145/2976749.2978318" TargetMode="External"/><Relationship Id="rId24" Type="http://schemas.openxmlformats.org/officeDocument/2006/relationships/hyperlink" Target="https://doi.org/10.1145/3605098.3635983" TargetMode="External"/><Relationship Id="rId32" Type="http://schemas.openxmlformats.org/officeDocument/2006/relationships/hyperlink" Target="https://doi.org/10.1109/PST58708.2023.10320153" TargetMode="External"/><Relationship Id="rId37" Type="http://schemas.openxmlformats.org/officeDocument/2006/relationships/hyperlink" Target="https://doi.org/10.1007/s10462-024-11036-2" TargetMode="External"/><Relationship Id="rId40" Type="http://schemas.openxmlformats.org/officeDocument/2006/relationships/hyperlink" Target="https://doi.org/10.1145/3659154.3659189" TargetMode="External"/><Relationship Id="rId45" Type="http://schemas.openxmlformats.org/officeDocument/2006/relationships/hyperlink" Target="https://openreview.net/forum?id=l4Jcxs0fpC"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hyperlink" Target="https://doi.org/10.1109/ACCESS.2024.3438996" TargetMode="External"/><Relationship Id="rId31" Type="http://schemas.openxmlformats.org/officeDocument/2006/relationships/hyperlink" Target="https://doi.org/10.1007/978-3-031-47748-5_17" TargetMode="External"/><Relationship Id="rId44" Type="http://schemas.openxmlformats.org/officeDocument/2006/relationships/hyperlink" Target="https://doi.org/10.48550/arXiv.1812.00564"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07/s10207-025-01045-9" TargetMode="External"/><Relationship Id="rId22" Type="http://schemas.openxmlformats.org/officeDocument/2006/relationships/hyperlink" Target="https://doi.org/10.3390/s25010233" TargetMode="External"/><Relationship Id="rId27" Type="http://schemas.openxmlformats.org/officeDocument/2006/relationships/hyperlink" Target="https://doi.org/10.1007/s10462-024-10846-8" TargetMode="External"/><Relationship Id="rId30" Type="http://schemas.openxmlformats.org/officeDocument/2006/relationships/hyperlink" Target="https://doi.org/10.1109/CNS66487.2025.11194945" TargetMode="External"/><Relationship Id="rId35" Type="http://schemas.openxmlformats.org/officeDocument/2006/relationships/hyperlink" Target="https://doi.org/10.1109/CSF.2017.11" TargetMode="External"/><Relationship Id="rId43" Type="http://schemas.openxmlformats.org/officeDocument/2006/relationships/hyperlink" Target="https://doi.org/10.1145/2810103.2813687" TargetMode="External"/><Relationship Id="rId48"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https://doi.org/10.56557/ajocr/2026/v11i210588" TargetMode="External"/><Relationship Id="rId17" Type="http://schemas.openxmlformats.org/officeDocument/2006/relationships/hyperlink" Target="https://doi.org/10.1145/3133956.3133982" TargetMode="External"/><Relationship Id="rId25" Type="http://schemas.openxmlformats.org/officeDocument/2006/relationships/hyperlink" Target="https://proceedings.mlr.press/v48/gilad-bachrach16.html" TargetMode="External"/><Relationship Id="rId33" Type="http://schemas.openxmlformats.org/officeDocument/2006/relationships/hyperlink" Target="https://doi.org/10.1109/ACCESS.2023.3348170" TargetMode="External"/><Relationship Id="rId38" Type="http://schemas.openxmlformats.org/officeDocument/2006/relationships/hyperlink" Target="https://doi.org/10.1007/978-3-031-64954-7_17" TargetMode="External"/><Relationship Id="rId46" Type="http://schemas.openxmlformats.org/officeDocument/2006/relationships/header" Target="header1.xml"/><Relationship Id="rId20" Type="http://schemas.openxmlformats.org/officeDocument/2006/relationships/hyperlink" Target="https://doi.org/10.1145/3712000" TargetMode="External"/><Relationship Id="rId41" Type="http://schemas.openxmlformats.org/officeDocument/2006/relationships/hyperlink" Target="https://doi.org/10.1109/TETCI.2024.348572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52202/079017-4179" TargetMode="External"/><Relationship Id="rId23" Type="http://schemas.openxmlformats.org/officeDocument/2006/relationships/hyperlink" Target="https://doi.org/10.1561/0400000042" TargetMode="External"/><Relationship Id="rId28" Type="http://schemas.openxmlformats.org/officeDocument/2006/relationships/hyperlink" Target="https://doi.org/10.56553/popets-2026-0047" TargetMode="External"/><Relationship Id="rId36" Type="http://schemas.openxmlformats.org/officeDocument/2006/relationships/hyperlink" Target="https://doi.org/10.9734/ajpas/2025/v27i12847"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1029</TotalTime>
  <Pages>15</Pages>
  <Words>6280</Words>
  <Characters>35796</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11</cp:revision>
  <dcterms:created xsi:type="dcterms:W3CDTF">2026-07-25T03:10:00Z</dcterms:created>
  <dcterms:modified xsi:type="dcterms:W3CDTF">2026-08-11T11:02:00Z</dcterms:modified>
</cp:coreProperties>
</file>