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E7401" w14:textId="436439EB" w:rsidR="00B73851" w:rsidRPr="00597243" w:rsidRDefault="00000000" w:rsidP="0097712B">
      <w:pPr>
        <w:rPr>
          <w:rFonts w:ascii="Arial" w:hAnsi="Arial" w:cs="Arial"/>
          <w:b/>
          <w:bCs/>
          <w:sz w:val="20"/>
          <w:szCs w:val="20"/>
        </w:rPr>
      </w:pPr>
      <w:r w:rsidRPr="00597243">
        <w:rPr>
          <w:rFonts w:ascii="Arial" w:hAnsi="Arial" w:cs="Arial"/>
          <w:b/>
          <w:bCs/>
          <w:sz w:val="20"/>
          <w:szCs w:val="20"/>
        </w:rPr>
        <w:t>Mahua, Lac and Digital-Market Change: An Exploratory Study of Adivasi Women’s Livelihoods, Economic Autonomy and Indigenous Knowledge in Rural Gumla, Jharkhand</w:t>
      </w:r>
      <w:r w:rsidR="005315A8" w:rsidRPr="00597243">
        <w:rPr>
          <w:rFonts w:ascii="Arial" w:hAnsi="Arial" w:cs="Arial"/>
          <w:b/>
          <w:bCs/>
          <w:sz w:val="20"/>
          <w:szCs w:val="20"/>
        </w:rPr>
        <w:t xml:space="preserve">, India </w:t>
      </w:r>
    </w:p>
    <w:p w14:paraId="0E7536DD" w14:textId="77777777" w:rsidR="00B73851" w:rsidRPr="00597243" w:rsidRDefault="00000000">
      <w:pPr>
        <w:pStyle w:val="Heading1"/>
        <w:spacing w:before="200" w:after="80"/>
        <w:rPr>
          <w:rFonts w:ascii="Arial" w:hAnsi="Arial" w:cs="Arial"/>
          <w:color w:val="auto"/>
          <w:sz w:val="20"/>
          <w:szCs w:val="20"/>
        </w:rPr>
      </w:pPr>
      <w:r w:rsidRPr="00597243">
        <w:rPr>
          <w:rFonts w:ascii="Arial" w:hAnsi="Arial" w:cs="Arial"/>
          <w:color w:val="auto"/>
          <w:sz w:val="20"/>
          <w:szCs w:val="20"/>
        </w:rPr>
        <w:t>ABSTRACT</w:t>
      </w:r>
    </w:p>
    <w:p w14:paraId="41C6705C" w14:textId="05AD3B96" w:rsidR="00B73851" w:rsidRPr="00597243" w:rsidRDefault="00000000" w:rsidP="00597243">
      <w:pPr>
        <w:spacing w:after="120"/>
        <w:jc w:val="both"/>
        <w:rPr>
          <w:rFonts w:ascii="Arial" w:hAnsi="Arial" w:cs="Arial"/>
          <w:sz w:val="20"/>
          <w:szCs w:val="20"/>
        </w:rPr>
      </w:pPr>
      <w:r w:rsidRPr="00597243">
        <w:rPr>
          <w:rFonts w:ascii="Arial" w:hAnsi="Arial" w:cs="Arial"/>
          <w:sz w:val="20"/>
          <w:szCs w:val="20"/>
        </w:rPr>
        <w:t xml:space="preserve">This study explores how Adivasi women engaged in mahua collection, lac-related work and forest-product retailing perceive recent changes in weekly-market activity, household economic agency and intergenerational knowledge transmission in rural Gumla, Jharkhand. A qualitative descriptive design was used. Between September and November 2025, semi-structured, open-ended field interviews were conducted with a convenience sample of 42 women across eight weekly haats in seven administrative blocks. Field notes were analysed through conventional qualitative content analysis, and non-exclusive themes were counted according to whether each theme was present in a participant account. Thirty-four participants (81%) described declining sales or footfall, 29 (69%) reported obstacles to transferring forest-based knowledge, 27 (64%) perceived reduced influence over selected household resource-allocation decisions, and 14 (33%) expressed interest in digital opportunities while also identifying barriers involving devices, skills, connectivity or platform use. Some participants recalled favourable market-day gross receipts of approximately ₹800–₹1,200 during earlier trading seasons and recent low-demand days below ₹400; these retrospective estimates were not verified against transaction records and are not measures of average income change. Participants related livelihood pressure to several intersecting conditions, including changing consumer preferences, intermediary power, transport costs, seasonality and unequal access to digital tools. </w:t>
      </w:r>
      <w:r w:rsidR="00110C42" w:rsidRPr="00597243">
        <w:rPr>
          <w:rFonts w:ascii="Arial" w:hAnsi="Arial" w:cs="Arial"/>
          <w:sz w:val="20"/>
          <w:szCs w:val="20"/>
        </w:rPr>
        <w:t>Among participants who discussed state transfers, these payments were valued as financial support, while earnings from self-managed forest trade were associated with additional meanings involving autonomy, livelihood identity and recognition</w:t>
      </w:r>
      <w:r w:rsidRPr="00597243">
        <w:rPr>
          <w:rFonts w:ascii="Arial" w:hAnsi="Arial" w:cs="Arial"/>
          <w:sz w:val="20"/>
          <w:szCs w:val="20"/>
        </w:rPr>
        <w:t>. The findings are exploratory, non-causal and not representative of all Adivasi women in Gumla. They support locally evaluated pilot initiatives involving gender-sensitive digital training, collective marketing, improved logistics and hybrid haat–online models that protect the economic and socio-cultural functions of traditional markets.</w:t>
      </w:r>
    </w:p>
    <w:p w14:paraId="3C753182" w14:textId="77777777" w:rsidR="0043322A" w:rsidRDefault="00000000" w:rsidP="0043322A">
      <w:pPr>
        <w:pStyle w:val="pdq2pgselectionanchorcontainer"/>
      </w:pPr>
      <w:r w:rsidRPr="00597243">
        <w:rPr>
          <w:rFonts w:ascii="Arial" w:hAnsi="Arial" w:cs="Arial"/>
          <w:b/>
          <w:sz w:val="20"/>
          <w:szCs w:val="20"/>
        </w:rPr>
        <w:t xml:space="preserve">Keywords: </w:t>
      </w:r>
      <w:r w:rsidR="0043322A">
        <w:t xml:space="preserve">Adivasi women; collective marketing; digital inclusion; economic autonomy; Indigenous knowledge; lac cultivation; mahua; non-timber forest products; rural livelihoods; weekly </w:t>
      </w:r>
      <w:proofErr w:type="spellStart"/>
      <w:r w:rsidR="0043322A">
        <w:t>haats</w:t>
      </w:r>
      <w:proofErr w:type="spellEnd"/>
    </w:p>
    <w:p w14:paraId="74D15C79" w14:textId="76F92177" w:rsidR="00B73851" w:rsidRPr="00597243" w:rsidRDefault="00B73851">
      <w:pPr>
        <w:spacing w:after="160"/>
        <w:rPr>
          <w:rFonts w:ascii="Arial" w:hAnsi="Arial" w:cs="Arial"/>
          <w:sz w:val="20"/>
          <w:szCs w:val="20"/>
        </w:rPr>
      </w:pPr>
    </w:p>
    <w:p w14:paraId="1ED5931B" w14:textId="77777777" w:rsidR="00B73851" w:rsidRPr="00597243" w:rsidRDefault="00000000">
      <w:pPr>
        <w:pStyle w:val="Heading1"/>
        <w:spacing w:before="200" w:after="80"/>
        <w:rPr>
          <w:rFonts w:ascii="Arial" w:hAnsi="Arial" w:cs="Arial"/>
          <w:color w:val="auto"/>
          <w:sz w:val="20"/>
          <w:szCs w:val="20"/>
        </w:rPr>
      </w:pPr>
      <w:r w:rsidRPr="00597243">
        <w:rPr>
          <w:rFonts w:ascii="Arial" w:hAnsi="Arial" w:cs="Arial"/>
          <w:color w:val="auto"/>
          <w:sz w:val="20"/>
          <w:szCs w:val="20"/>
        </w:rPr>
        <w:t>1. INTRODUCTION</w:t>
      </w:r>
    </w:p>
    <w:p w14:paraId="0279441C" w14:textId="77777777" w:rsidR="00B73851" w:rsidRPr="00597243" w:rsidRDefault="00000000">
      <w:pPr>
        <w:spacing w:after="100"/>
        <w:ind w:firstLine="425"/>
        <w:rPr>
          <w:rFonts w:ascii="Arial" w:hAnsi="Arial" w:cs="Arial"/>
          <w:sz w:val="20"/>
          <w:szCs w:val="20"/>
        </w:rPr>
      </w:pPr>
      <w:r w:rsidRPr="00597243">
        <w:rPr>
          <w:rFonts w:ascii="Arial" w:hAnsi="Arial" w:cs="Arial"/>
          <w:sz w:val="20"/>
          <w:szCs w:val="20"/>
        </w:rPr>
        <w:t>Forest-based livelihoods remain important to many rural and Indigenous communities because non-timber forest products (NTFPs) provide food, materials, seasonal employment and cash income while carrying cultural and ecological meaning. In India, the livelihood value of NTFPs is shaped not only by the availability of forest resources but also by market access, transport, value addition, trader relationships and institutional support (Belcher &amp; Schreckenberg, 2007; Chakrabarti &amp; Dutta, 2026). Mahua (</w:t>
      </w:r>
      <w:r w:rsidRPr="00597243">
        <w:rPr>
          <w:rFonts w:ascii="Arial" w:hAnsi="Arial" w:cs="Arial"/>
          <w:i/>
          <w:sz w:val="20"/>
          <w:szCs w:val="20"/>
        </w:rPr>
        <w:t>Madhuca longifolia</w:t>
      </w:r>
      <w:r w:rsidRPr="00597243">
        <w:rPr>
          <w:rFonts w:ascii="Arial" w:hAnsi="Arial" w:cs="Arial"/>
          <w:sz w:val="20"/>
          <w:szCs w:val="20"/>
        </w:rPr>
        <w:t>) flowers and lac are especially relevant to forest-dependent economies in central and eastern India. Their collection, processing and sale often combine household labour, specialised ecological knowledge and participation in periodic rural markets.</w:t>
      </w:r>
    </w:p>
    <w:p w14:paraId="01369CB9" w14:textId="77777777" w:rsidR="00B73851" w:rsidRPr="00597243" w:rsidRDefault="00000000">
      <w:pPr>
        <w:spacing w:after="100"/>
        <w:ind w:firstLine="425"/>
        <w:rPr>
          <w:rFonts w:ascii="Arial" w:hAnsi="Arial" w:cs="Arial"/>
          <w:sz w:val="20"/>
          <w:szCs w:val="20"/>
        </w:rPr>
      </w:pPr>
      <w:r w:rsidRPr="00597243">
        <w:rPr>
          <w:rFonts w:ascii="Arial" w:hAnsi="Arial" w:cs="Arial"/>
          <w:sz w:val="20"/>
          <w:szCs w:val="20"/>
        </w:rPr>
        <w:t>Gumla district provides an important setting for examining these relationships. The 2011 Census recorded a population of 1,025,213 in the district, with Scheduled Tribes accounting for 68.94% of the population and 93.65% of residents living in rural areas (Office of the Registrar General &amp; Census Commissioner, India, 2011). Weekly haats therefore remain economically and socially significant spaces in which small-scale producers, collectors, artisans and traders exchange goods, information and practical knowledge. Forest-based trading can also provide women with directly managed cash, although the degree to which income translates into decision-making influence varies across households and social contexts. Research on intrahousehold bargaining cautions against treating income as an automatic measure of empowerment, but it also shows that control over resources can influence household allocation and negotiation (Doss, 2013).</w:t>
      </w:r>
    </w:p>
    <w:p w14:paraId="272721AE" w14:textId="59BA5156" w:rsidR="00B73851" w:rsidRPr="00597243" w:rsidRDefault="00000000">
      <w:pPr>
        <w:spacing w:after="100"/>
        <w:ind w:firstLine="425"/>
        <w:rPr>
          <w:rFonts w:ascii="Arial" w:hAnsi="Arial" w:cs="Arial"/>
          <w:sz w:val="20"/>
          <w:szCs w:val="20"/>
        </w:rPr>
      </w:pPr>
      <w:r w:rsidRPr="00597243">
        <w:rPr>
          <w:rFonts w:ascii="Arial" w:hAnsi="Arial" w:cs="Arial"/>
          <w:sz w:val="20"/>
          <w:szCs w:val="20"/>
        </w:rPr>
        <w:lastRenderedPageBreak/>
        <w:t xml:space="preserve">The digital environment surrounding rural commerce is also changing. National telecommunications statistics document continuing expansion in wireless and internet access, although aggregate indicators cannot be used to infer the quality, affordability or regularity of connectivity in particular Gumla villages or haats (Telecom Regulatory Authority of India [TRAI], 2025). Digital platforms may widen market visibility and support direct engagement with consumers, yet these benefits depend on devices, digital capability, logistics, platform rules and sustained organisational support. </w:t>
      </w:r>
      <w:r w:rsidR="003D408B" w:rsidRPr="00597243">
        <w:rPr>
          <w:rFonts w:ascii="Arial" w:hAnsi="Arial" w:cs="Arial"/>
          <w:sz w:val="20"/>
          <w:szCs w:val="20"/>
        </w:rPr>
        <w:t xml:space="preserve">More broadly, the </w:t>
      </w:r>
      <w:proofErr w:type="spellStart"/>
      <w:r w:rsidR="003D408B" w:rsidRPr="00597243">
        <w:rPr>
          <w:rFonts w:ascii="Arial" w:hAnsi="Arial" w:cs="Arial"/>
          <w:sz w:val="20"/>
          <w:szCs w:val="20"/>
        </w:rPr>
        <w:t>digitalisation</w:t>
      </w:r>
      <w:proofErr w:type="spellEnd"/>
      <w:r w:rsidR="003D408B" w:rsidRPr="00597243">
        <w:rPr>
          <w:rFonts w:ascii="Arial" w:hAnsi="Arial" w:cs="Arial"/>
          <w:sz w:val="20"/>
          <w:szCs w:val="20"/>
        </w:rPr>
        <w:t xml:space="preserve"> of work can create new channels for market participation while simultaneously reproducing inequalities associated with gender, class, caste, location and control over technological resources. Consequently, access to a digital platform should not be treated as equivalent to meaningful or equitable participation in the digital economy (Rani et al., 2022). </w:t>
      </w:r>
      <w:r w:rsidRPr="00597243">
        <w:rPr>
          <w:rFonts w:ascii="Arial" w:hAnsi="Arial" w:cs="Arial"/>
          <w:sz w:val="20"/>
          <w:szCs w:val="20"/>
        </w:rPr>
        <w:t>Studies of women artisans in Rajasthan and Madhubani painting similarly indicate that digital spaces can create opportunities while reproducing barriers related to skills, access and platform participation (Ibrahim &amp; Ojha, 2024; Singh et al., 2024).</w:t>
      </w:r>
    </w:p>
    <w:p w14:paraId="2343CABA" w14:textId="77777777" w:rsidR="00B73851" w:rsidRPr="00597243" w:rsidRDefault="00000000">
      <w:pPr>
        <w:spacing w:after="100"/>
        <w:ind w:firstLine="425"/>
        <w:rPr>
          <w:rFonts w:ascii="Arial" w:hAnsi="Arial" w:cs="Arial"/>
          <w:sz w:val="20"/>
          <w:szCs w:val="20"/>
        </w:rPr>
      </w:pPr>
      <w:r w:rsidRPr="00597243">
        <w:rPr>
          <w:rFonts w:ascii="Arial" w:hAnsi="Arial" w:cs="Arial"/>
          <w:sz w:val="20"/>
          <w:szCs w:val="20"/>
        </w:rPr>
        <w:t>Against this background, the present study does not assume that e-commerce is the sole cause of changes in traditional markets. Instead, it examines how women participating in mahua- and lac-related livelihoods interpret market change during a period of wider digital expansion. The study focuses on perceived changes in haat activity, direct income control, household consultation, knowledge transmission and readiness to use digital tools. This distinction is important because participant accounts also identified intermediary practices, transport expenses, seasonal production and changing consumer preferences as relevant influences.</w:t>
      </w:r>
    </w:p>
    <w:p w14:paraId="7AC502F1" w14:textId="77777777" w:rsidR="00B73851" w:rsidRPr="00597243" w:rsidRDefault="00000000">
      <w:pPr>
        <w:pStyle w:val="Heading2"/>
        <w:spacing w:before="140" w:after="80"/>
        <w:rPr>
          <w:rFonts w:ascii="Arial" w:hAnsi="Arial" w:cs="Arial"/>
          <w:color w:val="auto"/>
          <w:sz w:val="20"/>
          <w:szCs w:val="20"/>
        </w:rPr>
      </w:pPr>
      <w:r w:rsidRPr="00597243">
        <w:rPr>
          <w:rFonts w:ascii="Arial" w:hAnsi="Arial" w:cs="Arial"/>
          <w:color w:val="auto"/>
          <w:sz w:val="20"/>
          <w:szCs w:val="20"/>
        </w:rPr>
        <w:t>1.1 Research Gap</w:t>
      </w:r>
    </w:p>
    <w:p w14:paraId="730ED70A" w14:textId="17098983" w:rsidR="00B73851" w:rsidRPr="00597243" w:rsidRDefault="00000000">
      <w:pPr>
        <w:spacing w:after="100"/>
        <w:ind w:firstLine="425"/>
        <w:rPr>
          <w:rFonts w:ascii="Arial" w:hAnsi="Arial" w:cs="Arial"/>
          <w:sz w:val="20"/>
          <w:szCs w:val="20"/>
        </w:rPr>
      </w:pPr>
      <w:r w:rsidRPr="00597243">
        <w:rPr>
          <w:rFonts w:ascii="Arial" w:hAnsi="Arial" w:cs="Arial"/>
          <w:sz w:val="20"/>
          <w:szCs w:val="20"/>
        </w:rPr>
        <w:t xml:space="preserve">Government surveys describe demographic conditions, telecommunications expansion, welfare programmes and state-level economic trends, while the academic literature separately addresses NTFP livelihoods, women’s enterprise, digital exclusion and Indigenous knowledge. However, </w:t>
      </w:r>
      <w:r w:rsidR="004C285A" w:rsidRPr="00597243">
        <w:rPr>
          <w:rFonts w:ascii="Arial" w:hAnsi="Arial" w:cs="Arial"/>
          <w:sz w:val="20"/>
          <w:szCs w:val="20"/>
        </w:rPr>
        <w:t xml:space="preserve">the literature reviewed for this study revealed </w:t>
      </w:r>
      <w:r w:rsidRPr="00597243">
        <w:rPr>
          <w:rFonts w:ascii="Arial" w:hAnsi="Arial" w:cs="Arial"/>
          <w:sz w:val="20"/>
          <w:szCs w:val="20"/>
        </w:rPr>
        <w:t>relatively little place-specific research that examines how these dimensions intersect in the everyday experiences of Adivasi women working with mahua and lac in Gumla’s weekly markets. Existing studies from Jharkhand and neighbouring states confirm the importance of NTFP income and the constraints associated with credit, market isolation, infrastructure and intermediary relationships (Chaudhari &amp; Khunt, 2024; Gamango &amp; Mohapatra, 2025; Mahato &amp; Gaurav, 2023). Recent work on lac cultivation by tribal women also shows that market-oriented support may strengthen savings and livelihood stability when it is accompanied by technical and organisational assistance (Kindo &amp; Horo, 2025). The local relationships among market change, economic agency and intergenerational learning nevertheless remain insufficiently described.</w:t>
      </w:r>
    </w:p>
    <w:p w14:paraId="1B5C8A0E" w14:textId="77777777" w:rsidR="00B73851" w:rsidRPr="00597243" w:rsidRDefault="00000000">
      <w:pPr>
        <w:pStyle w:val="Heading2"/>
        <w:spacing w:before="140" w:after="80"/>
        <w:rPr>
          <w:rFonts w:ascii="Arial" w:hAnsi="Arial" w:cs="Arial"/>
          <w:color w:val="auto"/>
          <w:sz w:val="20"/>
          <w:szCs w:val="20"/>
        </w:rPr>
      </w:pPr>
      <w:r w:rsidRPr="00597243">
        <w:rPr>
          <w:rFonts w:ascii="Arial" w:hAnsi="Arial" w:cs="Arial"/>
          <w:color w:val="auto"/>
          <w:sz w:val="20"/>
          <w:szCs w:val="20"/>
        </w:rPr>
        <w:t>1.2 Research Objectives</w:t>
      </w:r>
    </w:p>
    <w:p w14:paraId="4828F275" w14:textId="77777777" w:rsidR="00B73851" w:rsidRPr="00597243" w:rsidRDefault="00000000">
      <w:pPr>
        <w:pStyle w:val="ListNumber"/>
        <w:spacing w:after="60"/>
        <w:ind w:left="425" w:hanging="198"/>
        <w:rPr>
          <w:rFonts w:ascii="Arial" w:hAnsi="Arial" w:cs="Arial"/>
          <w:sz w:val="20"/>
          <w:szCs w:val="20"/>
        </w:rPr>
      </w:pPr>
      <w:r w:rsidRPr="00597243">
        <w:rPr>
          <w:rFonts w:ascii="Arial" w:hAnsi="Arial" w:cs="Arial"/>
          <w:sz w:val="20"/>
          <w:szCs w:val="20"/>
        </w:rPr>
        <w:t>To explore participants’ perceptions of recent changes in demand, footfall and trading conditions in mahua- and lac-related weekly markets in Gumla.</w:t>
      </w:r>
    </w:p>
    <w:p w14:paraId="65EA5542" w14:textId="77777777" w:rsidR="00B73851" w:rsidRPr="00597243" w:rsidRDefault="00000000">
      <w:pPr>
        <w:pStyle w:val="ListNumber"/>
        <w:spacing w:after="60"/>
        <w:ind w:left="425" w:hanging="198"/>
        <w:rPr>
          <w:rFonts w:ascii="Arial" w:hAnsi="Arial" w:cs="Arial"/>
          <w:sz w:val="20"/>
          <w:szCs w:val="20"/>
        </w:rPr>
      </w:pPr>
      <w:r w:rsidRPr="00597243">
        <w:rPr>
          <w:rFonts w:ascii="Arial" w:hAnsi="Arial" w:cs="Arial"/>
          <w:sz w:val="20"/>
          <w:szCs w:val="20"/>
        </w:rPr>
        <w:t>To examine perceived relationships among forest-based income, women’s influence in selected household decisions and intergenerational knowledge transmission.</w:t>
      </w:r>
    </w:p>
    <w:p w14:paraId="69D5AE40" w14:textId="77777777" w:rsidR="00B73851" w:rsidRPr="00597243" w:rsidRDefault="00000000">
      <w:pPr>
        <w:pStyle w:val="ListNumber"/>
        <w:spacing w:after="60"/>
        <w:ind w:left="425" w:hanging="198"/>
        <w:rPr>
          <w:rFonts w:ascii="Arial" w:hAnsi="Arial" w:cs="Arial"/>
          <w:sz w:val="20"/>
          <w:szCs w:val="20"/>
        </w:rPr>
      </w:pPr>
      <w:r w:rsidRPr="00597243">
        <w:rPr>
          <w:rFonts w:ascii="Arial" w:hAnsi="Arial" w:cs="Arial"/>
          <w:sz w:val="20"/>
          <w:szCs w:val="20"/>
        </w:rPr>
        <w:t>To identify participant-reported opportunities and barriers associated with digital tools and market access.</w:t>
      </w:r>
    </w:p>
    <w:p w14:paraId="458AAEF5" w14:textId="77777777" w:rsidR="00B73851" w:rsidRPr="00597243" w:rsidRDefault="00000000">
      <w:pPr>
        <w:pStyle w:val="ListNumber"/>
        <w:spacing w:after="60"/>
        <w:ind w:left="425" w:hanging="198"/>
        <w:rPr>
          <w:rFonts w:ascii="Arial" w:hAnsi="Arial" w:cs="Arial"/>
          <w:sz w:val="20"/>
          <w:szCs w:val="20"/>
        </w:rPr>
      </w:pPr>
      <w:r w:rsidRPr="00597243">
        <w:rPr>
          <w:rFonts w:ascii="Arial" w:hAnsi="Arial" w:cs="Arial"/>
          <w:sz w:val="20"/>
          <w:szCs w:val="20"/>
        </w:rPr>
        <w:t>To derive cautious, locally testable implications for livelihood support without attributing causal effects to e-commerce or generalising beyond the study sample.</w:t>
      </w:r>
    </w:p>
    <w:p w14:paraId="7466C172" w14:textId="77777777" w:rsidR="00B73851" w:rsidRPr="00597243" w:rsidRDefault="00000000">
      <w:pPr>
        <w:pStyle w:val="Heading1"/>
        <w:spacing w:before="200" w:after="80"/>
        <w:rPr>
          <w:rFonts w:ascii="Arial" w:hAnsi="Arial" w:cs="Arial"/>
          <w:color w:val="auto"/>
          <w:sz w:val="20"/>
          <w:szCs w:val="20"/>
        </w:rPr>
      </w:pPr>
      <w:r w:rsidRPr="00597243">
        <w:rPr>
          <w:rFonts w:ascii="Arial" w:hAnsi="Arial" w:cs="Arial"/>
          <w:color w:val="auto"/>
          <w:sz w:val="20"/>
          <w:szCs w:val="20"/>
        </w:rPr>
        <w:t>2. LITERATURE REVIEW</w:t>
      </w:r>
    </w:p>
    <w:p w14:paraId="25182774" w14:textId="77777777" w:rsidR="00B73851" w:rsidRPr="00597243" w:rsidRDefault="00000000">
      <w:pPr>
        <w:pStyle w:val="Heading2"/>
        <w:spacing w:before="140" w:after="80"/>
        <w:rPr>
          <w:rFonts w:ascii="Arial" w:hAnsi="Arial" w:cs="Arial"/>
          <w:color w:val="auto"/>
          <w:sz w:val="20"/>
          <w:szCs w:val="20"/>
        </w:rPr>
      </w:pPr>
      <w:r w:rsidRPr="00597243">
        <w:rPr>
          <w:rFonts w:ascii="Arial" w:hAnsi="Arial" w:cs="Arial"/>
          <w:color w:val="auto"/>
          <w:sz w:val="20"/>
          <w:szCs w:val="20"/>
        </w:rPr>
        <w:t>2.1 Forest-Based Livelihoods and Market Relations</w:t>
      </w:r>
    </w:p>
    <w:p w14:paraId="2AAE5C7E" w14:textId="77777777" w:rsidR="00B73851" w:rsidRPr="00597243" w:rsidRDefault="00000000">
      <w:pPr>
        <w:spacing w:after="100"/>
        <w:ind w:firstLine="425"/>
        <w:rPr>
          <w:rFonts w:ascii="Arial" w:hAnsi="Arial" w:cs="Arial"/>
          <w:sz w:val="20"/>
          <w:szCs w:val="20"/>
        </w:rPr>
      </w:pPr>
      <w:r w:rsidRPr="00597243">
        <w:rPr>
          <w:rFonts w:ascii="Arial" w:hAnsi="Arial" w:cs="Arial"/>
          <w:sz w:val="20"/>
          <w:szCs w:val="20"/>
        </w:rPr>
        <w:t xml:space="preserve">NTFPs can contribute to subsistence, risk management and income diversification, but commercialisation does not produce uniform livelihood benefits. Outcomes depend on product characteristics, ecological sustainability, market structure, bargaining power, transport, processing capacity and the distribution of value along the chain (Belcher &amp; Schreckenberg, 2007). In Jharkhand, Mahato and Gaurav (2023) found that mahua and lac were among the forest products supporting tribal enterprise, while also noting constraints related to market access and intermediaries. Evidence from </w:t>
      </w:r>
      <w:r w:rsidRPr="00597243">
        <w:rPr>
          <w:rFonts w:ascii="Arial" w:hAnsi="Arial" w:cs="Arial"/>
          <w:sz w:val="20"/>
          <w:szCs w:val="20"/>
        </w:rPr>
        <w:lastRenderedPageBreak/>
        <w:t>Gujarat likewise shows that NTFP income varies with household and collection characteristics and that mahua-related activities can generate substantial labour demand (Chaudhari &amp; Khunt, 2024).</w:t>
      </w:r>
    </w:p>
    <w:p w14:paraId="7E1F0EF5" w14:textId="77777777" w:rsidR="00B73851" w:rsidRPr="00597243" w:rsidRDefault="00000000">
      <w:pPr>
        <w:spacing w:after="100"/>
        <w:ind w:firstLine="425"/>
        <w:rPr>
          <w:rFonts w:ascii="Arial" w:hAnsi="Arial" w:cs="Arial"/>
          <w:sz w:val="20"/>
          <w:szCs w:val="20"/>
        </w:rPr>
      </w:pPr>
      <w:r w:rsidRPr="00597243">
        <w:rPr>
          <w:rFonts w:ascii="Arial" w:hAnsi="Arial" w:cs="Arial"/>
          <w:sz w:val="20"/>
          <w:szCs w:val="20"/>
        </w:rPr>
        <w:t>The livelihood significance of lac extends beyond raw-product collection. A recent case study from Odisha described how structured training, bank linkages and market-oriented lac cultivation supported financial inclusion among tribal women, while emphasising that such gains depended on organised intervention rather than the commodity alone (Kindo &amp; Horo, 2025). These findings support an integrated value-chain perspective in which production, processing, finance, logistics and collective organisation are examined together.</w:t>
      </w:r>
    </w:p>
    <w:p w14:paraId="088DCE42" w14:textId="77777777" w:rsidR="00B73851" w:rsidRPr="00597243" w:rsidRDefault="00000000">
      <w:pPr>
        <w:pStyle w:val="Heading2"/>
        <w:spacing w:before="140" w:after="80"/>
        <w:rPr>
          <w:rFonts w:ascii="Arial" w:hAnsi="Arial" w:cs="Arial"/>
          <w:color w:val="auto"/>
          <w:sz w:val="20"/>
          <w:szCs w:val="20"/>
        </w:rPr>
      </w:pPr>
      <w:r w:rsidRPr="00597243">
        <w:rPr>
          <w:rFonts w:ascii="Arial" w:hAnsi="Arial" w:cs="Arial"/>
          <w:color w:val="auto"/>
          <w:sz w:val="20"/>
          <w:szCs w:val="20"/>
        </w:rPr>
        <w:t>2.2 Digital Access, Artisan Enterprise and Unequal Capability</w:t>
      </w:r>
    </w:p>
    <w:p w14:paraId="432E7A31" w14:textId="6D5FDF6C" w:rsidR="00B73851" w:rsidRPr="00597243" w:rsidRDefault="00000000">
      <w:pPr>
        <w:spacing w:after="100"/>
        <w:ind w:firstLine="425"/>
        <w:rPr>
          <w:rFonts w:ascii="Arial" w:hAnsi="Arial" w:cs="Arial"/>
          <w:sz w:val="20"/>
          <w:szCs w:val="20"/>
        </w:rPr>
      </w:pPr>
      <w:r w:rsidRPr="00597243">
        <w:rPr>
          <w:rFonts w:ascii="Arial" w:hAnsi="Arial" w:cs="Arial"/>
          <w:sz w:val="20"/>
          <w:szCs w:val="20"/>
        </w:rPr>
        <w:t>Digital platforms can reduce geographic isolation, support product storytelling and expand access to consumers. However, the ability to benefit from digital markets is uneven. Rural women artisans may face limitations involving smartphone ownership, digital literacy, payment security, language, platform navigation, product photography, fulfilment and after-sales communication (Ibrahim &amp; Ojha, 2024). Research on Madhubani artisans similarly shows that digital engagement can assist long-term viability while requiring continuous capacity building and supportive networks (Singh et al., 2024). Digital expansion should therefore be treated as a context that creates both opportunities and new forms of exclusion, rather than as an inherently beneficial or harmful force.</w:t>
      </w:r>
      <w:r w:rsidR="003D408B" w:rsidRPr="00597243">
        <w:rPr>
          <w:rFonts w:ascii="Arial" w:hAnsi="Arial" w:cs="Arial"/>
          <w:sz w:val="20"/>
          <w:szCs w:val="20"/>
        </w:rPr>
        <w:t xml:space="preserve"> This caution is consistent with wider evidence on rural transformation, which indicates that livelihood and technological changes do not affect all household members uniformly. Their gendered consequences vary according to local institutions, productive roles, access to assets and women’s participation in economic decision-making (Rola-</w:t>
      </w:r>
      <w:proofErr w:type="spellStart"/>
      <w:r w:rsidR="003D408B" w:rsidRPr="00597243">
        <w:rPr>
          <w:rFonts w:ascii="Arial" w:hAnsi="Arial" w:cs="Arial"/>
          <w:sz w:val="20"/>
          <w:szCs w:val="20"/>
        </w:rPr>
        <w:t>Rubzen</w:t>
      </w:r>
      <w:proofErr w:type="spellEnd"/>
      <w:r w:rsidR="003D408B" w:rsidRPr="00597243">
        <w:rPr>
          <w:rFonts w:ascii="Arial" w:hAnsi="Arial" w:cs="Arial"/>
          <w:sz w:val="20"/>
          <w:szCs w:val="20"/>
        </w:rPr>
        <w:t xml:space="preserve"> et al., 2023).</w:t>
      </w:r>
    </w:p>
    <w:p w14:paraId="691276D3" w14:textId="77777777" w:rsidR="00B73851" w:rsidRPr="00597243" w:rsidRDefault="00000000">
      <w:pPr>
        <w:pStyle w:val="Heading2"/>
        <w:spacing w:before="140" w:after="80"/>
        <w:rPr>
          <w:rFonts w:ascii="Arial" w:hAnsi="Arial" w:cs="Arial"/>
          <w:color w:val="auto"/>
          <w:sz w:val="20"/>
          <w:szCs w:val="20"/>
        </w:rPr>
      </w:pPr>
      <w:r w:rsidRPr="00597243">
        <w:rPr>
          <w:rFonts w:ascii="Arial" w:hAnsi="Arial" w:cs="Arial"/>
          <w:color w:val="auto"/>
          <w:sz w:val="20"/>
          <w:szCs w:val="20"/>
        </w:rPr>
        <w:t>2.3 Economic Autonomy and Indigenous Knowledge</w:t>
      </w:r>
    </w:p>
    <w:p w14:paraId="0465725E" w14:textId="531E1CA2" w:rsidR="00B73851" w:rsidRPr="00597243" w:rsidRDefault="00000000">
      <w:pPr>
        <w:spacing w:after="100"/>
        <w:ind w:firstLine="425"/>
        <w:rPr>
          <w:rFonts w:ascii="Arial" w:hAnsi="Arial" w:cs="Arial"/>
          <w:sz w:val="20"/>
          <w:szCs w:val="20"/>
        </w:rPr>
      </w:pPr>
      <w:r w:rsidRPr="00597243">
        <w:rPr>
          <w:rFonts w:ascii="Arial" w:hAnsi="Arial" w:cs="Arial"/>
          <w:sz w:val="20"/>
          <w:szCs w:val="20"/>
        </w:rPr>
        <w:t xml:space="preserve">Economic autonomy extends beyond the receipt of income. It concerns control over earnings, the ability to make or influence decisions and the capacity to pursue valued livelihood choices. Household bargaining research demonstrates that resources controlled by women may affect household outcomes, although causal pathways are context-dependent and difficult to identify without stronger designs (Doss, 2013). </w:t>
      </w:r>
      <w:r w:rsidR="003D408B" w:rsidRPr="00597243">
        <w:rPr>
          <w:rFonts w:ascii="Arial" w:hAnsi="Arial" w:cs="Arial"/>
          <w:sz w:val="20"/>
          <w:szCs w:val="20"/>
        </w:rPr>
        <w:t xml:space="preserve">Evidence from India further suggests that the scale and effective control of financial resources matter: access to resources may strengthen women’s participation in household decisions, but small or weakly controlled transfers do not necessarily produce comparable changes in bargaining position (Kochar et al., 2022). Economic agency should therefore be assessed through control, decision-making and use of resources rather than through income receipt alone. </w:t>
      </w:r>
      <w:r w:rsidRPr="00597243">
        <w:rPr>
          <w:rFonts w:ascii="Arial" w:hAnsi="Arial" w:cs="Arial"/>
          <w:sz w:val="20"/>
          <w:szCs w:val="20"/>
        </w:rPr>
        <w:t xml:space="preserve">In forest economies, autonomy is also connected to identity, skill and social recognition. Xaxa (2017) emphasises that land, forests and work are central to the historical and contemporary position of Indigenous peoples in India. </w:t>
      </w:r>
      <w:r w:rsidR="003D408B" w:rsidRPr="00597243">
        <w:rPr>
          <w:rFonts w:ascii="Arial" w:hAnsi="Arial" w:cs="Arial"/>
          <w:sz w:val="20"/>
          <w:szCs w:val="20"/>
        </w:rPr>
        <w:t>Comparable evidence from eastern India indicates that the transition from forest-dependent subsistence activities towards more market-oriented livelihoods may improve selected income opportunities while also creating risks of cultural disruption and weakening traditional knowledge systems among Indigenous communities (Hansda &amp; Biswal, 2025).</w:t>
      </w:r>
    </w:p>
    <w:p w14:paraId="42E14156" w14:textId="77777777" w:rsidR="00B73851" w:rsidRPr="00597243" w:rsidRDefault="00000000">
      <w:pPr>
        <w:pStyle w:val="Heading2"/>
        <w:spacing w:before="140" w:after="80"/>
        <w:rPr>
          <w:rFonts w:ascii="Arial" w:hAnsi="Arial" w:cs="Arial"/>
          <w:color w:val="auto"/>
          <w:sz w:val="20"/>
          <w:szCs w:val="20"/>
        </w:rPr>
      </w:pPr>
      <w:r w:rsidRPr="00597243">
        <w:rPr>
          <w:rFonts w:ascii="Arial" w:hAnsi="Arial" w:cs="Arial"/>
          <w:color w:val="auto"/>
          <w:sz w:val="20"/>
          <w:szCs w:val="20"/>
        </w:rPr>
        <w:t>2.4 Policy Context</w:t>
      </w:r>
    </w:p>
    <w:p w14:paraId="56945B21" w14:textId="10FD91F9" w:rsidR="00B73851" w:rsidRPr="00597243" w:rsidRDefault="00000000">
      <w:pPr>
        <w:spacing w:after="100"/>
        <w:ind w:firstLine="425"/>
        <w:rPr>
          <w:rFonts w:ascii="Arial" w:hAnsi="Arial" w:cs="Arial"/>
          <w:sz w:val="20"/>
          <w:szCs w:val="20"/>
        </w:rPr>
      </w:pPr>
      <w:r w:rsidRPr="00597243">
        <w:rPr>
          <w:rFonts w:ascii="Arial" w:hAnsi="Arial" w:cs="Arial"/>
          <w:sz w:val="20"/>
          <w:szCs w:val="20"/>
        </w:rPr>
        <w:t xml:space="preserve">Jharkhand has expanded social-protection and educational-support programmes for women and girls. The Jharkhand Mukhyamantri Maiya Samman Yojana currently provides monthly financial assistance of ₹2,500 to eligible women under state rules, while the Savitribai Phule Kishori Samriddhi Yojana provides staged educational support totalling ₹40,000 across Classes 8–12 and for eligible young women aged 18–19 years (Department of Women, Child Development and Social Security, Government of Jharkhand, 2025; Government of Jharkhand, 2026). These programmes address financial security but are not substitutes for livelihood-specific market and production support. </w:t>
      </w:r>
      <w:r w:rsidR="003D408B" w:rsidRPr="00597243">
        <w:rPr>
          <w:rFonts w:ascii="Arial" w:hAnsi="Arial" w:cs="Arial"/>
          <w:sz w:val="20"/>
          <w:szCs w:val="20"/>
        </w:rPr>
        <w:t xml:space="preserve">The Forest Rights Act provides a statutory framework for </w:t>
      </w:r>
      <w:proofErr w:type="spellStart"/>
      <w:r w:rsidR="003D408B" w:rsidRPr="00597243">
        <w:rPr>
          <w:rFonts w:ascii="Arial" w:hAnsi="Arial" w:cs="Arial"/>
          <w:sz w:val="20"/>
          <w:szCs w:val="20"/>
        </w:rPr>
        <w:t>recognising</w:t>
      </w:r>
      <w:proofErr w:type="spellEnd"/>
      <w:r w:rsidR="003D408B" w:rsidRPr="00597243">
        <w:rPr>
          <w:rFonts w:ascii="Arial" w:hAnsi="Arial" w:cs="Arial"/>
          <w:sz w:val="20"/>
          <w:szCs w:val="20"/>
        </w:rPr>
        <w:t xml:space="preserve"> specified forest rights of eligible forest-dwelling Scheduled Tribes and other traditional forest dwellers, including rights associated with minor forest produce; the present study did not examine individual eligibility, rights recognition or implementation outcomes </w:t>
      </w:r>
      <w:r w:rsidRPr="00597243">
        <w:rPr>
          <w:rFonts w:ascii="Arial" w:hAnsi="Arial" w:cs="Arial"/>
          <w:sz w:val="20"/>
          <w:szCs w:val="20"/>
        </w:rPr>
        <w:t>(Ministry of Tribal Affairs, Government of India, 2006).</w:t>
      </w:r>
    </w:p>
    <w:p w14:paraId="55FA8BF9" w14:textId="77777777" w:rsidR="00FD6148" w:rsidRPr="00597243" w:rsidRDefault="00FD6148">
      <w:pPr>
        <w:spacing w:after="100"/>
        <w:ind w:firstLine="425"/>
        <w:rPr>
          <w:rFonts w:ascii="Arial" w:hAnsi="Arial" w:cs="Arial"/>
          <w:sz w:val="20"/>
          <w:szCs w:val="20"/>
        </w:rPr>
      </w:pPr>
    </w:p>
    <w:p w14:paraId="1C8AA9CE" w14:textId="77777777" w:rsidR="00FD6148" w:rsidRPr="00597243" w:rsidRDefault="00FD6148">
      <w:pPr>
        <w:spacing w:after="100"/>
        <w:ind w:firstLine="425"/>
        <w:rPr>
          <w:rFonts w:ascii="Arial" w:hAnsi="Arial" w:cs="Arial"/>
          <w:sz w:val="20"/>
          <w:szCs w:val="20"/>
        </w:rPr>
      </w:pPr>
    </w:p>
    <w:p w14:paraId="4F8A51C0" w14:textId="77777777" w:rsidR="00FD6148" w:rsidRPr="00597243" w:rsidRDefault="00FD6148">
      <w:pPr>
        <w:spacing w:after="100"/>
        <w:ind w:firstLine="425"/>
        <w:rPr>
          <w:rFonts w:ascii="Arial" w:hAnsi="Arial" w:cs="Arial"/>
          <w:sz w:val="20"/>
          <w:szCs w:val="20"/>
        </w:rPr>
      </w:pPr>
    </w:p>
    <w:p w14:paraId="2AFD2398" w14:textId="77777777" w:rsidR="00FD6148" w:rsidRPr="00597243" w:rsidRDefault="00FD6148">
      <w:pPr>
        <w:spacing w:after="100"/>
        <w:ind w:firstLine="425"/>
        <w:rPr>
          <w:rFonts w:ascii="Arial" w:hAnsi="Arial" w:cs="Arial"/>
          <w:sz w:val="20"/>
          <w:szCs w:val="20"/>
        </w:rPr>
      </w:pPr>
    </w:p>
    <w:p w14:paraId="7D9B75DD" w14:textId="77777777" w:rsidR="00FD6148" w:rsidRPr="00597243" w:rsidRDefault="00FD6148">
      <w:pPr>
        <w:spacing w:after="100"/>
        <w:ind w:firstLine="425"/>
        <w:rPr>
          <w:rFonts w:ascii="Arial" w:hAnsi="Arial" w:cs="Arial"/>
          <w:sz w:val="20"/>
          <w:szCs w:val="20"/>
        </w:rPr>
      </w:pPr>
    </w:p>
    <w:p w14:paraId="03AA45D1" w14:textId="77777777" w:rsidR="00FD6148" w:rsidRPr="00597243" w:rsidRDefault="00FD6148">
      <w:pPr>
        <w:spacing w:after="100"/>
        <w:ind w:firstLine="425"/>
        <w:rPr>
          <w:rFonts w:ascii="Arial" w:hAnsi="Arial" w:cs="Arial"/>
          <w:sz w:val="20"/>
          <w:szCs w:val="20"/>
        </w:rPr>
      </w:pPr>
    </w:p>
    <w:p w14:paraId="1478E77E" w14:textId="77777777" w:rsidR="00B73851" w:rsidRPr="00597243" w:rsidRDefault="00000000">
      <w:pPr>
        <w:keepNext/>
        <w:spacing w:before="120" w:after="80"/>
        <w:jc w:val="center"/>
        <w:rPr>
          <w:rFonts w:ascii="Arial" w:hAnsi="Arial" w:cs="Arial"/>
          <w:sz w:val="20"/>
          <w:szCs w:val="20"/>
        </w:rPr>
      </w:pPr>
      <w:r w:rsidRPr="00597243">
        <w:rPr>
          <w:rFonts w:ascii="Arial" w:hAnsi="Arial" w:cs="Arial"/>
          <w:b/>
          <w:sz w:val="20"/>
          <w:szCs w:val="20"/>
        </w:rPr>
        <w:t>Table 1. Selected State-Sponsored Women’s Support Schemes Relevant to the Study Context</w:t>
      </w:r>
    </w:p>
    <w:tbl>
      <w:tblPr>
        <w:tblStyle w:val="TableGrid"/>
        <w:tblW w:w="0" w:type="auto"/>
        <w:tblLayout w:type="fixed"/>
        <w:tblLook w:val="04A0" w:firstRow="1" w:lastRow="0" w:firstColumn="1" w:lastColumn="0" w:noHBand="0" w:noVBand="1"/>
      </w:tblPr>
      <w:tblGrid>
        <w:gridCol w:w="2520"/>
        <w:gridCol w:w="2376"/>
        <w:gridCol w:w="2232"/>
        <w:gridCol w:w="2232"/>
      </w:tblGrid>
      <w:tr w:rsidR="0097712B" w:rsidRPr="00597243" w14:paraId="4A193A3D" w14:textId="77777777" w:rsidTr="00474698">
        <w:tc>
          <w:tcPr>
            <w:tcW w:w="2520" w:type="dxa"/>
          </w:tcPr>
          <w:p w14:paraId="7D5592D4" w14:textId="77777777" w:rsidR="00B73851" w:rsidRPr="00597243" w:rsidRDefault="00000000">
            <w:pPr>
              <w:jc w:val="center"/>
              <w:rPr>
                <w:rFonts w:ascii="Arial" w:hAnsi="Arial" w:cs="Arial"/>
                <w:sz w:val="20"/>
                <w:szCs w:val="20"/>
              </w:rPr>
            </w:pPr>
            <w:r w:rsidRPr="00597243">
              <w:rPr>
                <w:rFonts w:ascii="Arial" w:hAnsi="Arial" w:cs="Arial"/>
                <w:b/>
                <w:sz w:val="20"/>
                <w:szCs w:val="20"/>
              </w:rPr>
              <w:t>Scheme</w:t>
            </w:r>
          </w:p>
        </w:tc>
        <w:tc>
          <w:tcPr>
            <w:tcW w:w="2376" w:type="dxa"/>
          </w:tcPr>
          <w:p w14:paraId="56EEC8D9" w14:textId="77777777" w:rsidR="00B73851" w:rsidRPr="00597243" w:rsidRDefault="00000000">
            <w:pPr>
              <w:jc w:val="center"/>
              <w:rPr>
                <w:rFonts w:ascii="Arial" w:hAnsi="Arial" w:cs="Arial"/>
                <w:sz w:val="20"/>
                <w:szCs w:val="20"/>
              </w:rPr>
            </w:pPr>
            <w:r w:rsidRPr="00597243">
              <w:rPr>
                <w:rFonts w:ascii="Arial" w:hAnsi="Arial" w:cs="Arial"/>
                <w:b/>
                <w:sz w:val="20"/>
                <w:szCs w:val="20"/>
              </w:rPr>
              <w:t>Primary beneficiary group</w:t>
            </w:r>
          </w:p>
        </w:tc>
        <w:tc>
          <w:tcPr>
            <w:tcW w:w="2232" w:type="dxa"/>
          </w:tcPr>
          <w:p w14:paraId="219C1429" w14:textId="77777777" w:rsidR="00B73851" w:rsidRPr="00597243" w:rsidRDefault="00000000">
            <w:pPr>
              <w:jc w:val="center"/>
              <w:rPr>
                <w:rFonts w:ascii="Arial" w:hAnsi="Arial" w:cs="Arial"/>
                <w:sz w:val="20"/>
                <w:szCs w:val="20"/>
              </w:rPr>
            </w:pPr>
            <w:r w:rsidRPr="00597243">
              <w:rPr>
                <w:rFonts w:ascii="Arial" w:hAnsi="Arial" w:cs="Arial"/>
                <w:b/>
                <w:sz w:val="20"/>
                <w:szCs w:val="20"/>
              </w:rPr>
              <w:t>Main provision</w:t>
            </w:r>
          </w:p>
        </w:tc>
        <w:tc>
          <w:tcPr>
            <w:tcW w:w="2232" w:type="dxa"/>
          </w:tcPr>
          <w:p w14:paraId="7BBE2EE0" w14:textId="77777777" w:rsidR="00B73851" w:rsidRPr="00597243" w:rsidRDefault="00000000">
            <w:pPr>
              <w:jc w:val="center"/>
              <w:rPr>
                <w:rFonts w:ascii="Arial" w:hAnsi="Arial" w:cs="Arial"/>
                <w:sz w:val="20"/>
                <w:szCs w:val="20"/>
              </w:rPr>
            </w:pPr>
            <w:r w:rsidRPr="00597243">
              <w:rPr>
                <w:rFonts w:ascii="Arial" w:hAnsi="Arial" w:cs="Arial"/>
                <w:b/>
                <w:sz w:val="20"/>
                <w:szCs w:val="20"/>
              </w:rPr>
              <w:t>Source</w:t>
            </w:r>
          </w:p>
        </w:tc>
      </w:tr>
      <w:tr w:rsidR="0097712B" w:rsidRPr="00597243" w14:paraId="71723B0A" w14:textId="77777777" w:rsidTr="00474698">
        <w:tc>
          <w:tcPr>
            <w:tcW w:w="2520" w:type="dxa"/>
          </w:tcPr>
          <w:p w14:paraId="44DC2188" w14:textId="77777777" w:rsidR="00B73851" w:rsidRPr="00597243" w:rsidRDefault="00000000">
            <w:pPr>
              <w:rPr>
                <w:rFonts w:ascii="Arial" w:hAnsi="Arial" w:cs="Arial"/>
                <w:sz w:val="20"/>
                <w:szCs w:val="20"/>
              </w:rPr>
            </w:pPr>
            <w:r w:rsidRPr="00597243">
              <w:rPr>
                <w:rFonts w:ascii="Arial" w:hAnsi="Arial" w:cs="Arial"/>
                <w:sz w:val="20"/>
                <w:szCs w:val="20"/>
              </w:rPr>
              <w:t xml:space="preserve">Jharkhand </w:t>
            </w:r>
            <w:proofErr w:type="spellStart"/>
            <w:r w:rsidRPr="00597243">
              <w:rPr>
                <w:rFonts w:ascii="Arial" w:hAnsi="Arial" w:cs="Arial"/>
                <w:sz w:val="20"/>
                <w:szCs w:val="20"/>
              </w:rPr>
              <w:t>Mukhyamantri</w:t>
            </w:r>
            <w:proofErr w:type="spellEnd"/>
            <w:r w:rsidRPr="00597243">
              <w:rPr>
                <w:rFonts w:ascii="Arial" w:hAnsi="Arial" w:cs="Arial"/>
                <w:sz w:val="20"/>
                <w:szCs w:val="20"/>
              </w:rPr>
              <w:t xml:space="preserve"> Maiya Samman Yojana</w:t>
            </w:r>
          </w:p>
        </w:tc>
        <w:tc>
          <w:tcPr>
            <w:tcW w:w="2376" w:type="dxa"/>
          </w:tcPr>
          <w:p w14:paraId="4BFF4369" w14:textId="77777777" w:rsidR="00B73851" w:rsidRPr="00597243" w:rsidRDefault="00000000">
            <w:pPr>
              <w:rPr>
                <w:rFonts w:ascii="Arial" w:hAnsi="Arial" w:cs="Arial"/>
                <w:sz w:val="20"/>
                <w:szCs w:val="20"/>
              </w:rPr>
            </w:pPr>
            <w:r w:rsidRPr="00597243">
              <w:rPr>
                <w:rFonts w:ascii="Arial" w:hAnsi="Arial" w:cs="Arial"/>
                <w:sz w:val="20"/>
                <w:szCs w:val="20"/>
              </w:rPr>
              <w:t>Eligible women under current state rules</w:t>
            </w:r>
          </w:p>
        </w:tc>
        <w:tc>
          <w:tcPr>
            <w:tcW w:w="2232" w:type="dxa"/>
          </w:tcPr>
          <w:p w14:paraId="1AC9E74B" w14:textId="77777777" w:rsidR="00B73851" w:rsidRPr="00597243" w:rsidRDefault="00000000">
            <w:pPr>
              <w:rPr>
                <w:rFonts w:ascii="Arial" w:hAnsi="Arial" w:cs="Arial"/>
                <w:sz w:val="20"/>
                <w:szCs w:val="20"/>
              </w:rPr>
            </w:pPr>
            <w:r w:rsidRPr="00597243">
              <w:rPr>
                <w:rFonts w:ascii="Arial" w:hAnsi="Arial" w:cs="Arial"/>
                <w:sz w:val="20"/>
                <w:szCs w:val="20"/>
              </w:rPr>
              <w:t>₹2,500 monthly direct financial assistance</w:t>
            </w:r>
          </w:p>
        </w:tc>
        <w:tc>
          <w:tcPr>
            <w:tcW w:w="2232" w:type="dxa"/>
          </w:tcPr>
          <w:p w14:paraId="4EBADB0C" w14:textId="3027C3CD" w:rsidR="00B73851" w:rsidRPr="00597243" w:rsidRDefault="00000000">
            <w:pPr>
              <w:rPr>
                <w:rFonts w:ascii="Arial" w:hAnsi="Arial" w:cs="Arial"/>
                <w:sz w:val="20"/>
                <w:szCs w:val="20"/>
              </w:rPr>
            </w:pPr>
            <w:r w:rsidRPr="00597243">
              <w:rPr>
                <w:rFonts w:ascii="Arial" w:eastAsia="Arial" w:hAnsi="Arial" w:cs="Arial"/>
                <w:color w:val="000000"/>
                <w:sz w:val="20"/>
              </w:rPr>
              <w:t>Government of Jharkhand (2026)</w:t>
            </w:r>
          </w:p>
        </w:tc>
      </w:tr>
      <w:tr w:rsidR="0097712B" w:rsidRPr="00597243" w14:paraId="6DFB22EA" w14:textId="77777777" w:rsidTr="00474698">
        <w:tc>
          <w:tcPr>
            <w:tcW w:w="2520" w:type="dxa"/>
          </w:tcPr>
          <w:p w14:paraId="464FED1D" w14:textId="77777777" w:rsidR="00B73851" w:rsidRPr="00597243" w:rsidRDefault="00000000">
            <w:pPr>
              <w:rPr>
                <w:rFonts w:ascii="Arial" w:hAnsi="Arial" w:cs="Arial"/>
                <w:sz w:val="20"/>
                <w:szCs w:val="20"/>
              </w:rPr>
            </w:pPr>
            <w:r w:rsidRPr="00597243">
              <w:rPr>
                <w:rFonts w:ascii="Arial" w:hAnsi="Arial" w:cs="Arial"/>
                <w:sz w:val="20"/>
                <w:szCs w:val="20"/>
              </w:rPr>
              <w:t>Savitribai Phule Kishori Samriddhi Yojana</w:t>
            </w:r>
          </w:p>
        </w:tc>
        <w:tc>
          <w:tcPr>
            <w:tcW w:w="2376" w:type="dxa"/>
          </w:tcPr>
          <w:p w14:paraId="03483C64" w14:textId="77777777" w:rsidR="00B73851" w:rsidRPr="00597243" w:rsidRDefault="00000000">
            <w:pPr>
              <w:rPr>
                <w:rFonts w:ascii="Arial" w:hAnsi="Arial" w:cs="Arial"/>
                <w:sz w:val="20"/>
                <w:szCs w:val="20"/>
              </w:rPr>
            </w:pPr>
            <w:r w:rsidRPr="00597243">
              <w:rPr>
                <w:rFonts w:ascii="Arial" w:hAnsi="Arial" w:cs="Arial"/>
                <w:sz w:val="20"/>
                <w:szCs w:val="20"/>
              </w:rPr>
              <w:t>Girls enrolled in Classes 8–12 and eligible young women aged 18–19 years</w:t>
            </w:r>
          </w:p>
        </w:tc>
        <w:tc>
          <w:tcPr>
            <w:tcW w:w="2232" w:type="dxa"/>
          </w:tcPr>
          <w:p w14:paraId="05418D6A" w14:textId="77777777" w:rsidR="00B73851" w:rsidRPr="00597243" w:rsidRDefault="00000000">
            <w:pPr>
              <w:rPr>
                <w:rFonts w:ascii="Arial" w:hAnsi="Arial" w:cs="Arial"/>
                <w:sz w:val="20"/>
                <w:szCs w:val="20"/>
              </w:rPr>
            </w:pPr>
            <w:r w:rsidRPr="00597243">
              <w:rPr>
                <w:rFonts w:ascii="Arial" w:hAnsi="Arial" w:cs="Arial"/>
                <w:sz w:val="20"/>
                <w:szCs w:val="20"/>
              </w:rPr>
              <w:t>Staged educational assistance totalling ₹40,000</w:t>
            </w:r>
          </w:p>
        </w:tc>
        <w:tc>
          <w:tcPr>
            <w:tcW w:w="2232" w:type="dxa"/>
          </w:tcPr>
          <w:p w14:paraId="3EDAE11E" w14:textId="77777777" w:rsidR="00B73851" w:rsidRPr="00597243" w:rsidRDefault="00000000">
            <w:pPr>
              <w:rPr>
                <w:rFonts w:ascii="Arial" w:hAnsi="Arial" w:cs="Arial"/>
                <w:sz w:val="20"/>
                <w:szCs w:val="20"/>
              </w:rPr>
            </w:pPr>
            <w:r w:rsidRPr="00597243">
              <w:rPr>
                <w:rFonts w:ascii="Arial" w:hAnsi="Arial" w:cs="Arial"/>
                <w:sz w:val="20"/>
                <w:szCs w:val="20"/>
              </w:rPr>
              <w:t>Department of Women, Child Development and Social Security, Government of Jharkhand (2025)</w:t>
            </w:r>
          </w:p>
        </w:tc>
      </w:tr>
    </w:tbl>
    <w:p w14:paraId="5677528F" w14:textId="77777777" w:rsidR="00B73851" w:rsidRPr="00597243" w:rsidRDefault="00000000">
      <w:pPr>
        <w:spacing w:before="40" w:after="120" w:line="240" w:lineRule="auto"/>
        <w:rPr>
          <w:rFonts w:ascii="Arial" w:hAnsi="Arial" w:cs="Arial"/>
          <w:sz w:val="20"/>
          <w:szCs w:val="20"/>
        </w:rPr>
      </w:pPr>
      <w:r w:rsidRPr="00597243">
        <w:rPr>
          <w:rFonts w:ascii="Arial" w:hAnsi="Arial" w:cs="Arial"/>
          <w:i/>
          <w:sz w:val="20"/>
          <w:szCs w:val="20"/>
        </w:rPr>
        <w:t>Note. Scheme eligibility and administrative conditions are governed by current state notifications and may be revised.</w:t>
      </w:r>
    </w:p>
    <w:p w14:paraId="3AA712FD" w14:textId="77777777" w:rsidR="00B73851" w:rsidRPr="00597243" w:rsidRDefault="00000000">
      <w:pPr>
        <w:pStyle w:val="Heading1"/>
        <w:spacing w:before="200" w:after="80"/>
        <w:rPr>
          <w:rFonts w:ascii="Arial" w:hAnsi="Arial" w:cs="Arial"/>
          <w:color w:val="auto"/>
          <w:sz w:val="20"/>
          <w:szCs w:val="20"/>
        </w:rPr>
      </w:pPr>
      <w:r w:rsidRPr="00597243">
        <w:rPr>
          <w:rFonts w:ascii="Arial" w:hAnsi="Arial" w:cs="Arial"/>
          <w:color w:val="auto"/>
          <w:sz w:val="20"/>
          <w:szCs w:val="20"/>
        </w:rPr>
        <w:t>3. METHODOLOGY</w:t>
      </w:r>
    </w:p>
    <w:p w14:paraId="369041FD" w14:textId="77777777" w:rsidR="00B73851" w:rsidRPr="00597243" w:rsidRDefault="00000000">
      <w:pPr>
        <w:pStyle w:val="Heading2"/>
        <w:spacing w:before="140" w:after="80"/>
        <w:rPr>
          <w:rFonts w:ascii="Arial" w:hAnsi="Arial" w:cs="Arial"/>
          <w:color w:val="auto"/>
          <w:sz w:val="20"/>
          <w:szCs w:val="20"/>
        </w:rPr>
      </w:pPr>
      <w:r w:rsidRPr="00597243">
        <w:rPr>
          <w:rFonts w:ascii="Arial" w:hAnsi="Arial" w:cs="Arial"/>
          <w:color w:val="auto"/>
          <w:sz w:val="20"/>
          <w:szCs w:val="20"/>
        </w:rPr>
        <w:t>3.1 Research Design</w:t>
      </w:r>
    </w:p>
    <w:p w14:paraId="574044BA" w14:textId="77777777" w:rsidR="00B73851" w:rsidRPr="00597243" w:rsidRDefault="00000000">
      <w:pPr>
        <w:spacing w:after="100"/>
        <w:ind w:firstLine="425"/>
        <w:rPr>
          <w:rFonts w:ascii="Arial" w:hAnsi="Arial" w:cs="Arial"/>
          <w:sz w:val="20"/>
          <w:szCs w:val="20"/>
        </w:rPr>
      </w:pPr>
      <w:r w:rsidRPr="00597243">
        <w:rPr>
          <w:rFonts w:ascii="Arial" w:hAnsi="Arial" w:cs="Arial"/>
          <w:sz w:val="20"/>
          <w:szCs w:val="20"/>
        </w:rPr>
        <w:t>A qualitative descriptive design was adopted to remain close to participants’ accounts of market and livelihood change (Sandelowski, 2000). Semi-structured field interviews were analysed through conventional qualitative content analysis, in which codes were developed from the data rather than imposed as a complete a priori framework (Hsieh &amp; Shannon, 2005). Theme counts were subsequently used to show how many of the 42 participant accounts contained each non-exclusive code. These counts describe the study sample only and do not convert the research into a population survey.</w:t>
      </w:r>
    </w:p>
    <w:p w14:paraId="579967CA" w14:textId="77777777" w:rsidR="00B73851" w:rsidRPr="00597243" w:rsidRDefault="00000000">
      <w:pPr>
        <w:spacing w:after="100"/>
        <w:ind w:firstLine="425"/>
        <w:rPr>
          <w:rFonts w:ascii="Arial" w:hAnsi="Arial" w:cs="Arial"/>
          <w:sz w:val="20"/>
          <w:szCs w:val="20"/>
        </w:rPr>
      </w:pPr>
      <w:r w:rsidRPr="00597243">
        <w:rPr>
          <w:rFonts w:ascii="Arial" w:hAnsi="Arial" w:cs="Arial"/>
          <w:sz w:val="20"/>
          <w:szCs w:val="20"/>
        </w:rPr>
        <w:t>Reporting was informed by the Consolidated Criteria for Reporting Qualitative Research, particularly its emphasis on the research context, interview procedures, analysis and presentation of participant evidence (Tong et al., 2007). The study’s sample size was considered adequate for a focused exploratory description because it covered three livelihood positions across eight markets. No claim of statistical representativeness or complete thematic saturation is made; sample adequacy is understood in relation to the specificity and information relevance of the participating group (Malterud et al., 2016).</w:t>
      </w:r>
    </w:p>
    <w:p w14:paraId="332F9084" w14:textId="77777777" w:rsidR="00B73851" w:rsidRPr="00597243" w:rsidRDefault="00000000">
      <w:pPr>
        <w:pStyle w:val="Heading2"/>
        <w:spacing w:before="140" w:after="80"/>
        <w:rPr>
          <w:rFonts w:ascii="Arial" w:hAnsi="Arial" w:cs="Arial"/>
          <w:color w:val="auto"/>
          <w:sz w:val="20"/>
          <w:szCs w:val="20"/>
        </w:rPr>
      </w:pPr>
      <w:r w:rsidRPr="00597243">
        <w:rPr>
          <w:rFonts w:ascii="Arial" w:hAnsi="Arial" w:cs="Arial"/>
          <w:color w:val="auto"/>
          <w:sz w:val="20"/>
          <w:szCs w:val="20"/>
        </w:rPr>
        <w:t>3.2 Study Setting and Context</w:t>
      </w:r>
    </w:p>
    <w:p w14:paraId="16C1CC1B" w14:textId="77777777" w:rsidR="004C285A" w:rsidRPr="00597243" w:rsidRDefault="00000000">
      <w:pPr>
        <w:spacing w:after="100"/>
        <w:ind w:firstLine="425"/>
        <w:rPr>
          <w:rFonts w:ascii="Arial" w:hAnsi="Arial" w:cs="Arial"/>
          <w:sz w:val="20"/>
          <w:szCs w:val="20"/>
        </w:rPr>
      </w:pPr>
      <w:r w:rsidRPr="00597243">
        <w:rPr>
          <w:rFonts w:ascii="Arial" w:hAnsi="Arial" w:cs="Arial"/>
          <w:sz w:val="20"/>
          <w:szCs w:val="20"/>
        </w:rPr>
        <w:t>Fieldwork was undertaken in Gumla district, Jharkhand, India. Eight weekly markets were included across seven administrative blocks: Gumla, Sisai, Palkot, Kamdara, Raidih, Chainpur and Dumri. The selected haats function as local spaces for the exchange of agricultural and forest products, household goods and social information. The study did not independently measure e-commerce transactions, delivery coverage or district-level internet quality; national telecommunications indicators were used only to provide broad contextual background.</w:t>
      </w:r>
      <w:r w:rsidR="004C285A" w:rsidRPr="00597243">
        <w:rPr>
          <w:rFonts w:ascii="Arial" w:hAnsi="Arial" w:cs="Arial"/>
          <w:sz w:val="20"/>
          <w:szCs w:val="20"/>
        </w:rPr>
        <w:t xml:space="preserve"> </w:t>
      </w:r>
    </w:p>
    <w:p w14:paraId="42C7F384" w14:textId="61E7DACD" w:rsidR="00B73851" w:rsidRPr="00597243" w:rsidRDefault="004C285A">
      <w:pPr>
        <w:spacing w:after="100"/>
        <w:ind w:firstLine="425"/>
        <w:rPr>
          <w:rFonts w:ascii="Arial" w:hAnsi="Arial" w:cs="Arial"/>
          <w:sz w:val="20"/>
          <w:szCs w:val="20"/>
        </w:rPr>
      </w:pPr>
      <w:r w:rsidRPr="00597243">
        <w:rPr>
          <w:rFonts w:ascii="Arial" w:hAnsi="Arial" w:cs="Arial"/>
          <w:sz w:val="20"/>
          <w:szCs w:val="20"/>
        </w:rPr>
        <w:t xml:space="preserve">The principal demographic and telecommunications indicators used to </w:t>
      </w:r>
      <w:proofErr w:type="spellStart"/>
      <w:r w:rsidRPr="00597243">
        <w:rPr>
          <w:rFonts w:ascii="Arial" w:hAnsi="Arial" w:cs="Arial"/>
          <w:sz w:val="20"/>
          <w:szCs w:val="20"/>
        </w:rPr>
        <w:t>contextualise</w:t>
      </w:r>
      <w:proofErr w:type="spellEnd"/>
      <w:r w:rsidRPr="00597243">
        <w:rPr>
          <w:rFonts w:ascii="Arial" w:hAnsi="Arial" w:cs="Arial"/>
          <w:sz w:val="20"/>
          <w:szCs w:val="20"/>
        </w:rPr>
        <w:t xml:space="preserve"> the study setting are presented in Table 2.</w:t>
      </w:r>
    </w:p>
    <w:p w14:paraId="0BD5E772" w14:textId="77777777" w:rsidR="00B73851" w:rsidRPr="00597243" w:rsidRDefault="00000000">
      <w:pPr>
        <w:keepNext/>
        <w:spacing w:before="120" w:after="80"/>
        <w:jc w:val="center"/>
        <w:rPr>
          <w:rFonts w:ascii="Arial" w:hAnsi="Arial" w:cs="Arial"/>
          <w:sz w:val="20"/>
          <w:szCs w:val="20"/>
        </w:rPr>
      </w:pPr>
      <w:r w:rsidRPr="00597243">
        <w:rPr>
          <w:rFonts w:ascii="Arial" w:hAnsi="Arial" w:cs="Arial"/>
          <w:b/>
          <w:sz w:val="20"/>
          <w:szCs w:val="20"/>
        </w:rPr>
        <w:t>Table 2. Demographic and Telecommunications Context</w:t>
      </w:r>
    </w:p>
    <w:tbl>
      <w:tblPr>
        <w:tblStyle w:val="TableGrid"/>
        <w:tblW w:w="0" w:type="auto"/>
        <w:tblLayout w:type="fixed"/>
        <w:tblLook w:val="04A0" w:firstRow="1" w:lastRow="0" w:firstColumn="1" w:lastColumn="0" w:noHBand="0" w:noVBand="1"/>
      </w:tblPr>
      <w:tblGrid>
        <w:gridCol w:w="3240"/>
        <w:gridCol w:w="4104"/>
        <w:gridCol w:w="2015"/>
      </w:tblGrid>
      <w:tr w:rsidR="0097712B" w:rsidRPr="00597243" w14:paraId="6A31E4EF" w14:textId="77777777" w:rsidTr="00474698">
        <w:tc>
          <w:tcPr>
            <w:tcW w:w="3240" w:type="dxa"/>
          </w:tcPr>
          <w:p w14:paraId="281CC7BF" w14:textId="77777777" w:rsidR="00B73851" w:rsidRPr="00597243" w:rsidRDefault="00000000">
            <w:pPr>
              <w:jc w:val="center"/>
              <w:rPr>
                <w:rFonts w:ascii="Arial" w:hAnsi="Arial" w:cs="Arial"/>
                <w:sz w:val="20"/>
                <w:szCs w:val="20"/>
              </w:rPr>
            </w:pPr>
            <w:r w:rsidRPr="00597243">
              <w:rPr>
                <w:rFonts w:ascii="Arial" w:hAnsi="Arial" w:cs="Arial"/>
                <w:b/>
                <w:sz w:val="20"/>
                <w:szCs w:val="20"/>
              </w:rPr>
              <w:t>Indicator</w:t>
            </w:r>
          </w:p>
        </w:tc>
        <w:tc>
          <w:tcPr>
            <w:tcW w:w="4104" w:type="dxa"/>
          </w:tcPr>
          <w:p w14:paraId="7327C13A" w14:textId="77777777" w:rsidR="00B73851" w:rsidRPr="00597243" w:rsidRDefault="00000000">
            <w:pPr>
              <w:jc w:val="center"/>
              <w:rPr>
                <w:rFonts w:ascii="Arial" w:hAnsi="Arial" w:cs="Arial"/>
                <w:sz w:val="20"/>
                <w:szCs w:val="20"/>
              </w:rPr>
            </w:pPr>
            <w:r w:rsidRPr="00597243">
              <w:rPr>
                <w:rFonts w:ascii="Arial" w:hAnsi="Arial" w:cs="Arial"/>
                <w:b/>
                <w:sz w:val="20"/>
                <w:szCs w:val="20"/>
              </w:rPr>
              <w:t>Data or interpretation</w:t>
            </w:r>
          </w:p>
        </w:tc>
        <w:tc>
          <w:tcPr>
            <w:tcW w:w="2015" w:type="dxa"/>
          </w:tcPr>
          <w:p w14:paraId="572CBBEA" w14:textId="77777777" w:rsidR="00B73851" w:rsidRPr="00597243" w:rsidRDefault="00000000">
            <w:pPr>
              <w:jc w:val="center"/>
              <w:rPr>
                <w:rFonts w:ascii="Arial" w:hAnsi="Arial" w:cs="Arial"/>
                <w:sz w:val="20"/>
                <w:szCs w:val="20"/>
              </w:rPr>
            </w:pPr>
            <w:r w:rsidRPr="00597243">
              <w:rPr>
                <w:rFonts w:ascii="Arial" w:hAnsi="Arial" w:cs="Arial"/>
                <w:b/>
                <w:sz w:val="20"/>
                <w:szCs w:val="20"/>
              </w:rPr>
              <w:t>Source</w:t>
            </w:r>
          </w:p>
        </w:tc>
      </w:tr>
      <w:tr w:rsidR="0097712B" w:rsidRPr="00597243" w14:paraId="3649FA78" w14:textId="77777777" w:rsidTr="00474698">
        <w:tc>
          <w:tcPr>
            <w:tcW w:w="3240" w:type="dxa"/>
          </w:tcPr>
          <w:p w14:paraId="1728985E" w14:textId="77777777" w:rsidR="00B73851" w:rsidRPr="00597243" w:rsidRDefault="00000000">
            <w:pPr>
              <w:rPr>
                <w:rFonts w:ascii="Arial" w:hAnsi="Arial" w:cs="Arial"/>
                <w:sz w:val="20"/>
                <w:szCs w:val="20"/>
              </w:rPr>
            </w:pPr>
            <w:r w:rsidRPr="00597243">
              <w:rPr>
                <w:rFonts w:ascii="Arial" w:hAnsi="Arial" w:cs="Arial"/>
                <w:sz w:val="20"/>
                <w:szCs w:val="20"/>
              </w:rPr>
              <w:t xml:space="preserve">Total population of </w:t>
            </w:r>
            <w:proofErr w:type="spellStart"/>
            <w:r w:rsidRPr="00597243">
              <w:rPr>
                <w:rFonts w:ascii="Arial" w:hAnsi="Arial" w:cs="Arial"/>
                <w:sz w:val="20"/>
                <w:szCs w:val="20"/>
              </w:rPr>
              <w:t>Gumla</w:t>
            </w:r>
            <w:proofErr w:type="spellEnd"/>
            <w:r w:rsidRPr="00597243">
              <w:rPr>
                <w:rFonts w:ascii="Arial" w:hAnsi="Arial" w:cs="Arial"/>
                <w:sz w:val="20"/>
                <w:szCs w:val="20"/>
              </w:rPr>
              <w:t xml:space="preserve"> district</w:t>
            </w:r>
          </w:p>
        </w:tc>
        <w:tc>
          <w:tcPr>
            <w:tcW w:w="4104" w:type="dxa"/>
          </w:tcPr>
          <w:p w14:paraId="0B6A0513" w14:textId="77777777" w:rsidR="00B73851" w:rsidRPr="00597243" w:rsidRDefault="00000000">
            <w:pPr>
              <w:rPr>
                <w:rFonts w:ascii="Arial" w:hAnsi="Arial" w:cs="Arial"/>
                <w:sz w:val="20"/>
                <w:szCs w:val="20"/>
              </w:rPr>
            </w:pPr>
            <w:r w:rsidRPr="00597243">
              <w:rPr>
                <w:rFonts w:ascii="Arial" w:hAnsi="Arial" w:cs="Arial"/>
                <w:sz w:val="20"/>
                <w:szCs w:val="20"/>
              </w:rPr>
              <w:t>1,025,213</w:t>
            </w:r>
          </w:p>
        </w:tc>
        <w:tc>
          <w:tcPr>
            <w:tcW w:w="2015" w:type="dxa"/>
          </w:tcPr>
          <w:p w14:paraId="7D5162D8" w14:textId="77777777" w:rsidR="00B73851" w:rsidRPr="00597243" w:rsidRDefault="00000000">
            <w:pPr>
              <w:rPr>
                <w:rFonts w:ascii="Arial" w:hAnsi="Arial" w:cs="Arial"/>
                <w:sz w:val="20"/>
                <w:szCs w:val="20"/>
              </w:rPr>
            </w:pPr>
            <w:r w:rsidRPr="00597243">
              <w:rPr>
                <w:rFonts w:ascii="Arial" w:eastAsia="Arial" w:hAnsi="Arial" w:cs="Arial"/>
                <w:color w:val="000000"/>
                <w:sz w:val="20"/>
              </w:rPr>
              <w:t>Census of India 2011</w:t>
            </w:r>
          </w:p>
        </w:tc>
      </w:tr>
      <w:tr w:rsidR="0097712B" w:rsidRPr="00597243" w14:paraId="63A6082D" w14:textId="77777777" w:rsidTr="00474698">
        <w:tc>
          <w:tcPr>
            <w:tcW w:w="3240" w:type="dxa"/>
          </w:tcPr>
          <w:p w14:paraId="4F1AAD20" w14:textId="77777777" w:rsidR="00B73851" w:rsidRPr="00597243" w:rsidRDefault="00000000">
            <w:pPr>
              <w:rPr>
                <w:rFonts w:ascii="Arial" w:hAnsi="Arial" w:cs="Arial"/>
                <w:sz w:val="20"/>
                <w:szCs w:val="20"/>
              </w:rPr>
            </w:pPr>
            <w:r w:rsidRPr="00597243">
              <w:rPr>
                <w:rFonts w:ascii="Arial" w:hAnsi="Arial" w:cs="Arial"/>
                <w:sz w:val="20"/>
                <w:szCs w:val="20"/>
              </w:rPr>
              <w:t xml:space="preserve">Scheduled Tribe share of </w:t>
            </w:r>
            <w:proofErr w:type="spellStart"/>
            <w:r w:rsidRPr="00597243">
              <w:rPr>
                <w:rFonts w:ascii="Arial" w:hAnsi="Arial" w:cs="Arial"/>
                <w:sz w:val="20"/>
                <w:szCs w:val="20"/>
              </w:rPr>
              <w:t>Gumla</w:t>
            </w:r>
            <w:proofErr w:type="spellEnd"/>
            <w:r w:rsidRPr="00597243">
              <w:rPr>
                <w:rFonts w:ascii="Arial" w:hAnsi="Arial" w:cs="Arial"/>
                <w:sz w:val="20"/>
                <w:szCs w:val="20"/>
              </w:rPr>
              <w:t xml:space="preserve"> population</w:t>
            </w:r>
          </w:p>
        </w:tc>
        <w:tc>
          <w:tcPr>
            <w:tcW w:w="4104" w:type="dxa"/>
          </w:tcPr>
          <w:p w14:paraId="4D70952B" w14:textId="77777777" w:rsidR="00B73851" w:rsidRPr="00597243" w:rsidRDefault="00000000">
            <w:pPr>
              <w:rPr>
                <w:rFonts w:ascii="Arial" w:hAnsi="Arial" w:cs="Arial"/>
                <w:sz w:val="20"/>
                <w:szCs w:val="20"/>
              </w:rPr>
            </w:pPr>
            <w:r w:rsidRPr="00597243">
              <w:rPr>
                <w:rFonts w:ascii="Arial" w:hAnsi="Arial" w:cs="Arial"/>
                <w:sz w:val="20"/>
                <w:szCs w:val="20"/>
              </w:rPr>
              <w:t>68.94%</w:t>
            </w:r>
          </w:p>
        </w:tc>
        <w:tc>
          <w:tcPr>
            <w:tcW w:w="2015" w:type="dxa"/>
          </w:tcPr>
          <w:p w14:paraId="731765B7" w14:textId="77777777" w:rsidR="00B73851" w:rsidRPr="00597243" w:rsidRDefault="00000000">
            <w:pPr>
              <w:rPr>
                <w:rFonts w:ascii="Arial" w:hAnsi="Arial" w:cs="Arial"/>
                <w:sz w:val="20"/>
                <w:szCs w:val="20"/>
              </w:rPr>
            </w:pPr>
            <w:r w:rsidRPr="00597243">
              <w:rPr>
                <w:rFonts w:ascii="Arial" w:eastAsia="Arial" w:hAnsi="Arial" w:cs="Arial"/>
                <w:color w:val="000000"/>
                <w:sz w:val="20"/>
              </w:rPr>
              <w:t>Census of India 2011</w:t>
            </w:r>
          </w:p>
        </w:tc>
      </w:tr>
      <w:tr w:rsidR="0097712B" w:rsidRPr="00597243" w14:paraId="57F84068" w14:textId="77777777" w:rsidTr="00474698">
        <w:tc>
          <w:tcPr>
            <w:tcW w:w="3240" w:type="dxa"/>
          </w:tcPr>
          <w:p w14:paraId="7394995C" w14:textId="77777777" w:rsidR="00B73851" w:rsidRPr="00597243" w:rsidRDefault="00000000">
            <w:pPr>
              <w:rPr>
                <w:rFonts w:ascii="Arial" w:hAnsi="Arial" w:cs="Arial"/>
                <w:sz w:val="20"/>
                <w:szCs w:val="20"/>
              </w:rPr>
            </w:pPr>
            <w:r w:rsidRPr="00597243">
              <w:rPr>
                <w:rFonts w:ascii="Arial" w:hAnsi="Arial" w:cs="Arial"/>
                <w:sz w:val="20"/>
                <w:szCs w:val="20"/>
              </w:rPr>
              <w:t xml:space="preserve">Rural share of </w:t>
            </w:r>
            <w:proofErr w:type="spellStart"/>
            <w:r w:rsidRPr="00597243">
              <w:rPr>
                <w:rFonts w:ascii="Arial" w:hAnsi="Arial" w:cs="Arial"/>
                <w:sz w:val="20"/>
                <w:szCs w:val="20"/>
              </w:rPr>
              <w:t>Gumla</w:t>
            </w:r>
            <w:proofErr w:type="spellEnd"/>
            <w:r w:rsidRPr="00597243">
              <w:rPr>
                <w:rFonts w:ascii="Arial" w:hAnsi="Arial" w:cs="Arial"/>
                <w:sz w:val="20"/>
                <w:szCs w:val="20"/>
              </w:rPr>
              <w:t xml:space="preserve"> population</w:t>
            </w:r>
          </w:p>
        </w:tc>
        <w:tc>
          <w:tcPr>
            <w:tcW w:w="4104" w:type="dxa"/>
          </w:tcPr>
          <w:p w14:paraId="26CC57A8" w14:textId="77777777" w:rsidR="00B73851" w:rsidRPr="00597243" w:rsidRDefault="00000000">
            <w:pPr>
              <w:rPr>
                <w:rFonts w:ascii="Arial" w:hAnsi="Arial" w:cs="Arial"/>
                <w:sz w:val="20"/>
                <w:szCs w:val="20"/>
              </w:rPr>
            </w:pPr>
            <w:r w:rsidRPr="00597243">
              <w:rPr>
                <w:rFonts w:ascii="Arial" w:hAnsi="Arial" w:cs="Arial"/>
                <w:sz w:val="20"/>
                <w:szCs w:val="20"/>
              </w:rPr>
              <w:t>93.65%</w:t>
            </w:r>
          </w:p>
        </w:tc>
        <w:tc>
          <w:tcPr>
            <w:tcW w:w="2015" w:type="dxa"/>
          </w:tcPr>
          <w:p w14:paraId="084B9DFA" w14:textId="77777777" w:rsidR="00B73851" w:rsidRPr="00597243" w:rsidRDefault="00000000">
            <w:pPr>
              <w:rPr>
                <w:rFonts w:ascii="Arial" w:hAnsi="Arial" w:cs="Arial"/>
                <w:sz w:val="20"/>
                <w:szCs w:val="20"/>
              </w:rPr>
            </w:pPr>
            <w:r w:rsidRPr="00597243">
              <w:rPr>
                <w:rFonts w:ascii="Arial" w:eastAsia="Arial" w:hAnsi="Arial" w:cs="Arial"/>
                <w:color w:val="000000"/>
                <w:sz w:val="20"/>
              </w:rPr>
              <w:t>Census of India 2011</w:t>
            </w:r>
          </w:p>
        </w:tc>
      </w:tr>
      <w:tr w:rsidR="0097712B" w:rsidRPr="00597243" w14:paraId="060CFD53" w14:textId="77777777" w:rsidTr="00474698">
        <w:tc>
          <w:tcPr>
            <w:tcW w:w="3240" w:type="dxa"/>
          </w:tcPr>
          <w:p w14:paraId="69CBC5A6" w14:textId="77777777" w:rsidR="00B73851" w:rsidRPr="00597243" w:rsidRDefault="00000000">
            <w:pPr>
              <w:rPr>
                <w:rFonts w:ascii="Arial" w:hAnsi="Arial" w:cs="Arial"/>
                <w:sz w:val="20"/>
                <w:szCs w:val="20"/>
              </w:rPr>
            </w:pPr>
            <w:r w:rsidRPr="00597243">
              <w:rPr>
                <w:rFonts w:ascii="Arial" w:hAnsi="Arial" w:cs="Arial"/>
                <w:sz w:val="20"/>
                <w:szCs w:val="20"/>
              </w:rPr>
              <w:t xml:space="preserve">Scheduled Tribe share of </w:t>
            </w:r>
            <w:r w:rsidRPr="00597243">
              <w:rPr>
                <w:rFonts w:ascii="Arial" w:hAnsi="Arial" w:cs="Arial"/>
                <w:sz w:val="20"/>
                <w:szCs w:val="20"/>
              </w:rPr>
              <w:lastRenderedPageBreak/>
              <w:t>Jharkhand population</w:t>
            </w:r>
          </w:p>
        </w:tc>
        <w:tc>
          <w:tcPr>
            <w:tcW w:w="4104" w:type="dxa"/>
          </w:tcPr>
          <w:p w14:paraId="496A5269" w14:textId="77777777" w:rsidR="00B73851" w:rsidRPr="00597243" w:rsidRDefault="00000000">
            <w:pPr>
              <w:rPr>
                <w:rFonts w:ascii="Arial" w:hAnsi="Arial" w:cs="Arial"/>
                <w:sz w:val="20"/>
                <w:szCs w:val="20"/>
              </w:rPr>
            </w:pPr>
            <w:r w:rsidRPr="00597243">
              <w:rPr>
                <w:rFonts w:ascii="Arial" w:hAnsi="Arial" w:cs="Arial"/>
                <w:sz w:val="20"/>
                <w:szCs w:val="20"/>
              </w:rPr>
              <w:lastRenderedPageBreak/>
              <w:t>26.21%</w:t>
            </w:r>
          </w:p>
        </w:tc>
        <w:tc>
          <w:tcPr>
            <w:tcW w:w="2015" w:type="dxa"/>
          </w:tcPr>
          <w:p w14:paraId="0EE86F92" w14:textId="77777777" w:rsidR="00B73851" w:rsidRPr="00597243" w:rsidRDefault="00000000">
            <w:pPr>
              <w:rPr>
                <w:rFonts w:ascii="Arial" w:hAnsi="Arial" w:cs="Arial"/>
                <w:sz w:val="20"/>
                <w:szCs w:val="20"/>
              </w:rPr>
            </w:pPr>
            <w:r w:rsidRPr="00597243">
              <w:rPr>
                <w:rFonts w:ascii="Arial" w:eastAsia="Arial" w:hAnsi="Arial" w:cs="Arial"/>
                <w:color w:val="000000"/>
                <w:sz w:val="20"/>
              </w:rPr>
              <w:t xml:space="preserve">Census of India </w:t>
            </w:r>
            <w:r w:rsidRPr="00597243">
              <w:rPr>
                <w:rFonts w:ascii="Arial" w:eastAsia="Arial" w:hAnsi="Arial" w:cs="Arial"/>
                <w:color w:val="000000"/>
                <w:sz w:val="20"/>
              </w:rPr>
              <w:lastRenderedPageBreak/>
              <w:t>2011</w:t>
            </w:r>
          </w:p>
        </w:tc>
      </w:tr>
      <w:tr w:rsidR="0097712B" w:rsidRPr="00597243" w14:paraId="5D583DD7" w14:textId="77777777" w:rsidTr="00474698">
        <w:tc>
          <w:tcPr>
            <w:tcW w:w="3240" w:type="dxa"/>
          </w:tcPr>
          <w:p w14:paraId="3B5EFEFE" w14:textId="77777777" w:rsidR="00B73851" w:rsidRPr="00597243" w:rsidRDefault="00000000">
            <w:pPr>
              <w:rPr>
                <w:rFonts w:ascii="Arial" w:hAnsi="Arial" w:cs="Arial"/>
                <w:sz w:val="20"/>
                <w:szCs w:val="20"/>
              </w:rPr>
            </w:pPr>
            <w:r w:rsidRPr="00597243">
              <w:rPr>
                <w:rFonts w:ascii="Arial" w:hAnsi="Arial" w:cs="Arial"/>
                <w:sz w:val="20"/>
                <w:szCs w:val="20"/>
              </w:rPr>
              <w:lastRenderedPageBreak/>
              <w:t>Telecommunications context</w:t>
            </w:r>
          </w:p>
        </w:tc>
        <w:tc>
          <w:tcPr>
            <w:tcW w:w="4104" w:type="dxa"/>
          </w:tcPr>
          <w:p w14:paraId="466925B3" w14:textId="77777777" w:rsidR="00B73851" w:rsidRPr="00597243" w:rsidRDefault="00000000">
            <w:pPr>
              <w:rPr>
                <w:rFonts w:ascii="Arial" w:hAnsi="Arial" w:cs="Arial"/>
                <w:sz w:val="20"/>
                <w:szCs w:val="20"/>
              </w:rPr>
            </w:pPr>
            <w:r w:rsidRPr="00597243">
              <w:rPr>
                <w:rFonts w:ascii="Arial" w:hAnsi="Arial" w:cs="Arial"/>
                <w:sz w:val="20"/>
                <w:szCs w:val="20"/>
              </w:rPr>
              <w:t>Aggregate national and service-area indicators show continued rural wireless and internet expansion; no Gumla-specific connectivity estimate is inferred</w:t>
            </w:r>
          </w:p>
        </w:tc>
        <w:tc>
          <w:tcPr>
            <w:tcW w:w="2015" w:type="dxa"/>
          </w:tcPr>
          <w:p w14:paraId="4AD80C2F" w14:textId="77777777" w:rsidR="00B73851" w:rsidRPr="00597243" w:rsidRDefault="00000000">
            <w:pPr>
              <w:rPr>
                <w:rFonts w:ascii="Arial" w:hAnsi="Arial" w:cs="Arial"/>
                <w:sz w:val="20"/>
                <w:szCs w:val="20"/>
              </w:rPr>
            </w:pPr>
            <w:r w:rsidRPr="00597243">
              <w:rPr>
                <w:rFonts w:ascii="Arial" w:eastAsia="Arial" w:hAnsi="Arial" w:cs="Arial"/>
                <w:color w:val="000000"/>
                <w:sz w:val="20"/>
              </w:rPr>
              <w:t>TRAI (2025)</w:t>
            </w:r>
          </w:p>
        </w:tc>
      </w:tr>
    </w:tbl>
    <w:p w14:paraId="1D4947FC" w14:textId="77777777" w:rsidR="00B73851" w:rsidRPr="00597243" w:rsidRDefault="00000000">
      <w:pPr>
        <w:pStyle w:val="Heading2"/>
        <w:spacing w:before="140" w:after="80"/>
        <w:rPr>
          <w:rFonts w:ascii="Arial" w:hAnsi="Arial" w:cs="Arial"/>
          <w:color w:val="auto"/>
          <w:sz w:val="20"/>
          <w:szCs w:val="20"/>
        </w:rPr>
      </w:pPr>
      <w:r w:rsidRPr="00597243">
        <w:rPr>
          <w:rFonts w:ascii="Arial" w:hAnsi="Arial" w:cs="Arial"/>
          <w:color w:val="auto"/>
          <w:sz w:val="20"/>
          <w:szCs w:val="20"/>
        </w:rPr>
        <w:t>3.3 Participants and Sampling</w:t>
      </w:r>
    </w:p>
    <w:p w14:paraId="4D73E6BE" w14:textId="77777777" w:rsidR="00474698" w:rsidRPr="00597243" w:rsidRDefault="003D408B">
      <w:pPr>
        <w:spacing w:after="100"/>
        <w:ind w:firstLine="425"/>
        <w:rPr>
          <w:rFonts w:ascii="Arial" w:hAnsi="Arial" w:cs="Arial"/>
          <w:sz w:val="20"/>
          <w:szCs w:val="20"/>
        </w:rPr>
      </w:pPr>
      <w:r w:rsidRPr="00597243">
        <w:rPr>
          <w:rFonts w:ascii="Arial" w:hAnsi="Arial" w:cs="Arial"/>
          <w:sz w:val="20"/>
          <w:szCs w:val="20"/>
        </w:rPr>
        <w:t xml:space="preserve">A non-probability convenience sample of 42 women from Adivasi communities who were engaged in mahua-, lac- or forest-product livelihoods was included. Community identity was recorded on the basis of participants’ self-identification during recruitment. Eligibility required current participation in at least one of three positions within the mahua–lac livelihood chain: mahua collection and primary processing, lac cultivation or processing, or direct retailing of mahua and lac products in weekly markets. </w:t>
      </w:r>
    </w:p>
    <w:p w14:paraId="104DFC98" w14:textId="190BB3FE" w:rsidR="00474698" w:rsidRPr="00597243" w:rsidRDefault="007B4447" w:rsidP="00474698">
      <w:pPr>
        <w:spacing w:after="100"/>
        <w:ind w:firstLine="425"/>
        <w:rPr>
          <w:rFonts w:ascii="Arial" w:hAnsi="Arial" w:cs="Arial"/>
          <w:sz w:val="20"/>
          <w:szCs w:val="20"/>
        </w:rPr>
      </w:pPr>
      <w:r w:rsidRPr="00597243">
        <w:rPr>
          <w:rFonts w:ascii="Arial" w:hAnsi="Arial" w:cs="Arial"/>
          <w:sz w:val="20"/>
          <w:szCs w:val="20"/>
        </w:rPr>
        <w:t xml:space="preserve">Because data obtained through convenience sampling cannot be statistically </w:t>
      </w:r>
      <w:proofErr w:type="spellStart"/>
      <w:r w:rsidRPr="00597243">
        <w:rPr>
          <w:rFonts w:ascii="Arial" w:hAnsi="Arial" w:cs="Arial"/>
          <w:sz w:val="20"/>
          <w:szCs w:val="20"/>
        </w:rPr>
        <w:t>generalised</w:t>
      </w:r>
      <w:proofErr w:type="spellEnd"/>
      <w:r w:rsidRPr="00597243">
        <w:rPr>
          <w:rFonts w:ascii="Arial" w:hAnsi="Arial" w:cs="Arial"/>
          <w:sz w:val="20"/>
          <w:szCs w:val="20"/>
        </w:rPr>
        <w:t xml:space="preserve"> to the entire district, the sample provides an exploratory account of experiences reported within the selected markets</w:t>
      </w:r>
      <w:r w:rsidR="00474698" w:rsidRPr="00597243">
        <w:rPr>
          <w:rFonts w:ascii="Arial" w:hAnsi="Arial" w:cs="Arial"/>
          <w:sz w:val="20"/>
          <w:szCs w:val="20"/>
        </w:rPr>
        <w:t xml:space="preserve">. </w:t>
      </w:r>
      <w:r w:rsidRPr="00597243">
        <w:rPr>
          <w:rFonts w:ascii="Arial" w:hAnsi="Arial" w:cs="Arial"/>
          <w:sz w:val="20"/>
          <w:szCs w:val="20"/>
        </w:rPr>
        <w:t>Participants were classified using predefined livelihood-based eligibility criteria according to their positions within the forest value chain.</w:t>
      </w:r>
    </w:p>
    <w:p w14:paraId="712E2F68" w14:textId="77777777" w:rsidR="00110C42" w:rsidRPr="00597243" w:rsidRDefault="00110C42" w:rsidP="00110C42">
      <w:pPr>
        <w:spacing w:after="100"/>
      </w:pPr>
      <w:r w:rsidRPr="00597243">
        <w:rPr>
          <w:rStyle w:val="Strong"/>
        </w:rPr>
        <w:t>Mahua collectors (n = 16):</w:t>
      </w:r>
      <w:r w:rsidRPr="00597243">
        <w:t xml:space="preserve"> Participants engaged primarily in mahua collection, drying or initial sorting.</w:t>
      </w:r>
      <w:r w:rsidRPr="00597243">
        <w:br/>
      </w:r>
      <w:r w:rsidRPr="00597243">
        <w:rPr>
          <w:rStyle w:val="Strong"/>
        </w:rPr>
        <w:t>Lac cultivators or processors (n = 14):</w:t>
      </w:r>
      <w:r w:rsidRPr="00597243">
        <w:t xml:space="preserve"> Participants engaged primarily in lac cultivation, collection or primary processing.</w:t>
      </w:r>
      <w:r w:rsidRPr="00597243">
        <w:br/>
      </w:r>
      <w:r w:rsidRPr="00597243">
        <w:rPr>
          <w:rStyle w:val="Strong"/>
        </w:rPr>
        <w:t>Forest-product retail vendors (n = 12):</w:t>
      </w:r>
      <w:r w:rsidRPr="00597243">
        <w:t xml:space="preserve"> Participants engaged primarily in the direct sale of mahua, lac or related forest products in weekly markets.</w:t>
      </w:r>
    </w:p>
    <w:p w14:paraId="6D8C9705" w14:textId="3DEC07D6" w:rsidR="004C285A" w:rsidRPr="00597243" w:rsidRDefault="00110C42" w:rsidP="00474698">
      <w:pPr>
        <w:spacing w:after="100"/>
        <w:ind w:firstLine="425"/>
        <w:rPr>
          <w:rFonts w:ascii="Arial" w:hAnsi="Arial" w:cs="Arial"/>
          <w:sz w:val="20"/>
          <w:szCs w:val="20"/>
        </w:rPr>
      </w:pPr>
      <w:r w:rsidRPr="00597243">
        <w:rPr>
          <w:rFonts w:ascii="Arial" w:hAnsi="Arial" w:cs="Arial"/>
          <w:sz w:val="20"/>
          <w:szCs w:val="20"/>
        </w:rPr>
        <w:t xml:space="preserve">Where participants performed more than one activity, they were classified according to the livelihood role identified as their principal activity for this study. </w:t>
      </w:r>
      <w:r w:rsidR="004C285A" w:rsidRPr="00597243">
        <w:rPr>
          <w:rFonts w:ascii="Arial" w:hAnsi="Arial" w:cs="Arial"/>
          <w:sz w:val="20"/>
          <w:szCs w:val="20"/>
        </w:rPr>
        <w:t>The distribution of participants across the eight selected markets is presented in Table 3.</w:t>
      </w:r>
    </w:p>
    <w:p w14:paraId="0D4277DC" w14:textId="77777777" w:rsidR="00B73851" w:rsidRPr="00597243" w:rsidRDefault="00000000">
      <w:pPr>
        <w:keepNext/>
        <w:spacing w:before="120" w:after="80"/>
        <w:jc w:val="center"/>
        <w:rPr>
          <w:rFonts w:ascii="Arial" w:hAnsi="Arial" w:cs="Arial"/>
          <w:sz w:val="20"/>
          <w:szCs w:val="20"/>
        </w:rPr>
      </w:pPr>
      <w:r w:rsidRPr="00597243">
        <w:rPr>
          <w:rFonts w:ascii="Arial" w:hAnsi="Arial" w:cs="Arial"/>
          <w:b/>
          <w:sz w:val="20"/>
          <w:szCs w:val="20"/>
        </w:rPr>
        <w:t>Table 3. Distribution of Study Sites and Participants across Gumla District</w:t>
      </w:r>
    </w:p>
    <w:tbl>
      <w:tblPr>
        <w:tblStyle w:val="TableGrid"/>
        <w:tblW w:w="0" w:type="auto"/>
        <w:tblLayout w:type="fixed"/>
        <w:tblLook w:val="04A0" w:firstRow="1" w:lastRow="0" w:firstColumn="1" w:lastColumn="0" w:noHBand="0" w:noVBand="1"/>
      </w:tblPr>
      <w:tblGrid>
        <w:gridCol w:w="936"/>
        <w:gridCol w:w="3240"/>
        <w:gridCol w:w="3024"/>
        <w:gridCol w:w="1584"/>
      </w:tblGrid>
      <w:tr w:rsidR="0097712B" w:rsidRPr="00597243" w14:paraId="19CA39F4" w14:textId="77777777" w:rsidTr="00474698">
        <w:tc>
          <w:tcPr>
            <w:tcW w:w="936" w:type="dxa"/>
          </w:tcPr>
          <w:p w14:paraId="49FCF59C" w14:textId="77777777" w:rsidR="00B73851" w:rsidRPr="00597243" w:rsidRDefault="00000000">
            <w:pPr>
              <w:jc w:val="center"/>
              <w:rPr>
                <w:rFonts w:ascii="Arial" w:hAnsi="Arial" w:cs="Arial"/>
                <w:sz w:val="20"/>
                <w:szCs w:val="20"/>
              </w:rPr>
            </w:pPr>
            <w:r w:rsidRPr="00597243">
              <w:rPr>
                <w:rFonts w:ascii="Arial" w:hAnsi="Arial" w:cs="Arial"/>
                <w:b/>
                <w:sz w:val="20"/>
                <w:szCs w:val="20"/>
              </w:rPr>
              <w:t>S. No.</w:t>
            </w:r>
          </w:p>
        </w:tc>
        <w:tc>
          <w:tcPr>
            <w:tcW w:w="3240" w:type="dxa"/>
          </w:tcPr>
          <w:p w14:paraId="08672E7A" w14:textId="77777777" w:rsidR="00B73851" w:rsidRPr="00597243" w:rsidRDefault="00000000">
            <w:pPr>
              <w:jc w:val="center"/>
              <w:rPr>
                <w:rFonts w:ascii="Arial" w:hAnsi="Arial" w:cs="Arial"/>
                <w:sz w:val="20"/>
                <w:szCs w:val="20"/>
              </w:rPr>
            </w:pPr>
            <w:r w:rsidRPr="00597243">
              <w:rPr>
                <w:rFonts w:ascii="Arial" w:hAnsi="Arial" w:cs="Arial"/>
                <w:b/>
                <w:sz w:val="20"/>
                <w:szCs w:val="20"/>
              </w:rPr>
              <w:t>Market (haat)</w:t>
            </w:r>
          </w:p>
        </w:tc>
        <w:tc>
          <w:tcPr>
            <w:tcW w:w="3024" w:type="dxa"/>
          </w:tcPr>
          <w:p w14:paraId="796EB8C3" w14:textId="77777777" w:rsidR="00B73851" w:rsidRPr="00597243" w:rsidRDefault="00000000">
            <w:pPr>
              <w:jc w:val="center"/>
              <w:rPr>
                <w:rFonts w:ascii="Arial" w:hAnsi="Arial" w:cs="Arial"/>
                <w:sz w:val="20"/>
                <w:szCs w:val="20"/>
              </w:rPr>
            </w:pPr>
            <w:r w:rsidRPr="00597243">
              <w:rPr>
                <w:rFonts w:ascii="Arial" w:hAnsi="Arial" w:cs="Arial"/>
                <w:b/>
                <w:sz w:val="20"/>
                <w:szCs w:val="20"/>
              </w:rPr>
              <w:t>Administrative block</w:t>
            </w:r>
          </w:p>
        </w:tc>
        <w:tc>
          <w:tcPr>
            <w:tcW w:w="1584" w:type="dxa"/>
          </w:tcPr>
          <w:p w14:paraId="27B304C1" w14:textId="77777777" w:rsidR="00B73851" w:rsidRPr="00597243" w:rsidRDefault="00000000">
            <w:pPr>
              <w:jc w:val="center"/>
              <w:rPr>
                <w:rFonts w:ascii="Arial" w:hAnsi="Arial" w:cs="Arial"/>
                <w:sz w:val="20"/>
                <w:szCs w:val="20"/>
              </w:rPr>
            </w:pPr>
            <w:r w:rsidRPr="00597243">
              <w:rPr>
                <w:rFonts w:ascii="Arial" w:hAnsi="Arial" w:cs="Arial"/>
                <w:b/>
                <w:sz w:val="20"/>
                <w:szCs w:val="20"/>
              </w:rPr>
              <w:t>Participants (n)</w:t>
            </w:r>
          </w:p>
        </w:tc>
      </w:tr>
      <w:tr w:rsidR="0097712B" w:rsidRPr="00597243" w14:paraId="064135CA" w14:textId="77777777" w:rsidTr="00474698">
        <w:tc>
          <w:tcPr>
            <w:tcW w:w="936" w:type="dxa"/>
          </w:tcPr>
          <w:p w14:paraId="7E1E174F" w14:textId="77777777" w:rsidR="00B73851" w:rsidRPr="00597243" w:rsidRDefault="00000000">
            <w:pPr>
              <w:jc w:val="center"/>
              <w:rPr>
                <w:rFonts w:ascii="Arial" w:hAnsi="Arial" w:cs="Arial"/>
                <w:sz w:val="20"/>
                <w:szCs w:val="20"/>
              </w:rPr>
            </w:pPr>
            <w:r w:rsidRPr="00597243">
              <w:rPr>
                <w:rFonts w:ascii="Arial" w:hAnsi="Arial" w:cs="Arial"/>
                <w:sz w:val="20"/>
                <w:szCs w:val="20"/>
              </w:rPr>
              <w:t>1</w:t>
            </w:r>
          </w:p>
        </w:tc>
        <w:tc>
          <w:tcPr>
            <w:tcW w:w="3240" w:type="dxa"/>
          </w:tcPr>
          <w:p w14:paraId="63713173" w14:textId="77777777" w:rsidR="00B73851" w:rsidRPr="00597243" w:rsidRDefault="00000000">
            <w:pPr>
              <w:rPr>
                <w:rFonts w:ascii="Arial" w:hAnsi="Arial" w:cs="Arial"/>
                <w:sz w:val="20"/>
                <w:szCs w:val="20"/>
              </w:rPr>
            </w:pPr>
            <w:r w:rsidRPr="00597243">
              <w:rPr>
                <w:rFonts w:ascii="Arial" w:hAnsi="Arial" w:cs="Arial"/>
                <w:sz w:val="20"/>
                <w:szCs w:val="20"/>
              </w:rPr>
              <w:t>Gumla Haat</w:t>
            </w:r>
          </w:p>
        </w:tc>
        <w:tc>
          <w:tcPr>
            <w:tcW w:w="3024" w:type="dxa"/>
          </w:tcPr>
          <w:p w14:paraId="0882FD72" w14:textId="77777777" w:rsidR="00B73851" w:rsidRPr="00597243" w:rsidRDefault="00000000">
            <w:pPr>
              <w:rPr>
                <w:rFonts w:ascii="Arial" w:hAnsi="Arial" w:cs="Arial"/>
                <w:sz w:val="20"/>
                <w:szCs w:val="20"/>
              </w:rPr>
            </w:pPr>
            <w:r w:rsidRPr="00597243">
              <w:rPr>
                <w:rFonts w:ascii="Arial" w:hAnsi="Arial" w:cs="Arial"/>
                <w:sz w:val="20"/>
                <w:szCs w:val="20"/>
              </w:rPr>
              <w:t>Gumla</w:t>
            </w:r>
          </w:p>
        </w:tc>
        <w:tc>
          <w:tcPr>
            <w:tcW w:w="1584" w:type="dxa"/>
          </w:tcPr>
          <w:p w14:paraId="2441AAC6" w14:textId="77777777" w:rsidR="00B73851" w:rsidRPr="00597243" w:rsidRDefault="00000000">
            <w:pPr>
              <w:jc w:val="center"/>
              <w:rPr>
                <w:rFonts w:ascii="Arial" w:hAnsi="Arial" w:cs="Arial"/>
                <w:sz w:val="20"/>
                <w:szCs w:val="20"/>
              </w:rPr>
            </w:pPr>
            <w:r w:rsidRPr="00597243">
              <w:rPr>
                <w:rFonts w:ascii="Arial" w:hAnsi="Arial" w:cs="Arial"/>
                <w:sz w:val="20"/>
                <w:szCs w:val="20"/>
              </w:rPr>
              <w:t>6</w:t>
            </w:r>
          </w:p>
        </w:tc>
      </w:tr>
      <w:tr w:rsidR="0097712B" w:rsidRPr="00597243" w14:paraId="058758D7" w14:textId="77777777" w:rsidTr="00474698">
        <w:tc>
          <w:tcPr>
            <w:tcW w:w="936" w:type="dxa"/>
          </w:tcPr>
          <w:p w14:paraId="0EB94148" w14:textId="77777777" w:rsidR="00B73851" w:rsidRPr="00597243" w:rsidRDefault="00000000">
            <w:pPr>
              <w:jc w:val="center"/>
              <w:rPr>
                <w:rFonts w:ascii="Arial" w:hAnsi="Arial" w:cs="Arial"/>
                <w:sz w:val="20"/>
                <w:szCs w:val="20"/>
              </w:rPr>
            </w:pPr>
            <w:r w:rsidRPr="00597243">
              <w:rPr>
                <w:rFonts w:ascii="Arial" w:hAnsi="Arial" w:cs="Arial"/>
                <w:sz w:val="20"/>
                <w:szCs w:val="20"/>
              </w:rPr>
              <w:t>2</w:t>
            </w:r>
          </w:p>
        </w:tc>
        <w:tc>
          <w:tcPr>
            <w:tcW w:w="3240" w:type="dxa"/>
          </w:tcPr>
          <w:p w14:paraId="740A11CA" w14:textId="77777777" w:rsidR="00B73851" w:rsidRPr="00597243" w:rsidRDefault="00000000">
            <w:pPr>
              <w:rPr>
                <w:rFonts w:ascii="Arial" w:hAnsi="Arial" w:cs="Arial"/>
                <w:sz w:val="20"/>
                <w:szCs w:val="20"/>
              </w:rPr>
            </w:pPr>
            <w:r w:rsidRPr="00597243">
              <w:rPr>
                <w:rFonts w:ascii="Arial" w:hAnsi="Arial" w:cs="Arial"/>
                <w:sz w:val="20"/>
                <w:szCs w:val="20"/>
              </w:rPr>
              <w:t>Toto Haat</w:t>
            </w:r>
          </w:p>
        </w:tc>
        <w:tc>
          <w:tcPr>
            <w:tcW w:w="3024" w:type="dxa"/>
          </w:tcPr>
          <w:p w14:paraId="415959C9" w14:textId="77777777" w:rsidR="00B73851" w:rsidRPr="00597243" w:rsidRDefault="00000000">
            <w:pPr>
              <w:rPr>
                <w:rFonts w:ascii="Arial" w:hAnsi="Arial" w:cs="Arial"/>
                <w:sz w:val="20"/>
                <w:szCs w:val="20"/>
              </w:rPr>
            </w:pPr>
            <w:r w:rsidRPr="00597243">
              <w:rPr>
                <w:rFonts w:ascii="Arial" w:hAnsi="Arial" w:cs="Arial"/>
                <w:sz w:val="20"/>
                <w:szCs w:val="20"/>
              </w:rPr>
              <w:t>Gumla</w:t>
            </w:r>
          </w:p>
        </w:tc>
        <w:tc>
          <w:tcPr>
            <w:tcW w:w="1584" w:type="dxa"/>
          </w:tcPr>
          <w:p w14:paraId="1BD640F9" w14:textId="77777777" w:rsidR="00B73851" w:rsidRPr="00597243" w:rsidRDefault="00000000">
            <w:pPr>
              <w:jc w:val="center"/>
              <w:rPr>
                <w:rFonts w:ascii="Arial" w:hAnsi="Arial" w:cs="Arial"/>
                <w:sz w:val="20"/>
                <w:szCs w:val="20"/>
              </w:rPr>
            </w:pPr>
            <w:r w:rsidRPr="00597243">
              <w:rPr>
                <w:rFonts w:ascii="Arial" w:hAnsi="Arial" w:cs="Arial"/>
                <w:sz w:val="20"/>
                <w:szCs w:val="20"/>
              </w:rPr>
              <w:t>5</w:t>
            </w:r>
          </w:p>
        </w:tc>
      </w:tr>
      <w:tr w:rsidR="0097712B" w:rsidRPr="00597243" w14:paraId="145E482B" w14:textId="77777777" w:rsidTr="00474698">
        <w:tc>
          <w:tcPr>
            <w:tcW w:w="936" w:type="dxa"/>
          </w:tcPr>
          <w:p w14:paraId="3467F56A" w14:textId="77777777" w:rsidR="00B73851" w:rsidRPr="00597243" w:rsidRDefault="00000000">
            <w:pPr>
              <w:jc w:val="center"/>
              <w:rPr>
                <w:rFonts w:ascii="Arial" w:hAnsi="Arial" w:cs="Arial"/>
                <w:sz w:val="20"/>
                <w:szCs w:val="20"/>
              </w:rPr>
            </w:pPr>
            <w:r w:rsidRPr="00597243">
              <w:rPr>
                <w:rFonts w:ascii="Arial" w:hAnsi="Arial" w:cs="Arial"/>
                <w:sz w:val="20"/>
                <w:szCs w:val="20"/>
              </w:rPr>
              <w:t>3</w:t>
            </w:r>
          </w:p>
        </w:tc>
        <w:tc>
          <w:tcPr>
            <w:tcW w:w="3240" w:type="dxa"/>
          </w:tcPr>
          <w:p w14:paraId="133EBE06" w14:textId="77777777" w:rsidR="00B73851" w:rsidRPr="00597243" w:rsidRDefault="00000000">
            <w:pPr>
              <w:rPr>
                <w:rFonts w:ascii="Arial" w:hAnsi="Arial" w:cs="Arial"/>
                <w:sz w:val="20"/>
                <w:szCs w:val="20"/>
              </w:rPr>
            </w:pPr>
            <w:r w:rsidRPr="00597243">
              <w:rPr>
                <w:rFonts w:ascii="Arial" w:hAnsi="Arial" w:cs="Arial"/>
                <w:sz w:val="20"/>
                <w:szCs w:val="20"/>
              </w:rPr>
              <w:t>Sisai Haat</w:t>
            </w:r>
          </w:p>
        </w:tc>
        <w:tc>
          <w:tcPr>
            <w:tcW w:w="3024" w:type="dxa"/>
          </w:tcPr>
          <w:p w14:paraId="690CAFD6" w14:textId="77777777" w:rsidR="00B73851" w:rsidRPr="00597243" w:rsidRDefault="00000000">
            <w:pPr>
              <w:rPr>
                <w:rFonts w:ascii="Arial" w:hAnsi="Arial" w:cs="Arial"/>
                <w:sz w:val="20"/>
                <w:szCs w:val="20"/>
              </w:rPr>
            </w:pPr>
            <w:r w:rsidRPr="00597243">
              <w:rPr>
                <w:rFonts w:ascii="Arial" w:hAnsi="Arial" w:cs="Arial"/>
                <w:sz w:val="20"/>
                <w:szCs w:val="20"/>
              </w:rPr>
              <w:t>Sisai</w:t>
            </w:r>
          </w:p>
        </w:tc>
        <w:tc>
          <w:tcPr>
            <w:tcW w:w="1584" w:type="dxa"/>
          </w:tcPr>
          <w:p w14:paraId="26C2A5C5" w14:textId="77777777" w:rsidR="00B73851" w:rsidRPr="00597243" w:rsidRDefault="00000000">
            <w:pPr>
              <w:jc w:val="center"/>
              <w:rPr>
                <w:rFonts w:ascii="Arial" w:hAnsi="Arial" w:cs="Arial"/>
                <w:sz w:val="20"/>
                <w:szCs w:val="20"/>
              </w:rPr>
            </w:pPr>
            <w:r w:rsidRPr="00597243">
              <w:rPr>
                <w:rFonts w:ascii="Arial" w:hAnsi="Arial" w:cs="Arial"/>
                <w:sz w:val="20"/>
                <w:szCs w:val="20"/>
              </w:rPr>
              <w:t>6</w:t>
            </w:r>
          </w:p>
        </w:tc>
      </w:tr>
      <w:tr w:rsidR="0097712B" w:rsidRPr="00597243" w14:paraId="708A5DB7" w14:textId="77777777" w:rsidTr="00474698">
        <w:tc>
          <w:tcPr>
            <w:tcW w:w="936" w:type="dxa"/>
          </w:tcPr>
          <w:p w14:paraId="000345AF" w14:textId="77777777" w:rsidR="00B73851" w:rsidRPr="00597243" w:rsidRDefault="00000000">
            <w:pPr>
              <w:jc w:val="center"/>
              <w:rPr>
                <w:rFonts w:ascii="Arial" w:hAnsi="Arial" w:cs="Arial"/>
                <w:sz w:val="20"/>
                <w:szCs w:val="20"/>
              </w:rPr>
            </w:pPr>
            <w:r w:rsidRPr="00597243">
              <w:rPr>
                <w:rFonts w:ascii="Arial" w:hAnsi="Arial" w:cs="Arial"/>
                <w:sz w:val="20"/>
                <w:szCs w:val="20"/>
              </w:rPr>
              <w:t>4</w:t>
            </w:r>
          </w:p>
        </w:tc>
        <w:tc>
          <w:tcPr>
            <w:tcW w:w="3240" w:type="dxa"/>
          </w:tcPr>
          <w:p w14:paraId="1894F68F" w14:textId="77777777" w:rsidR="00B73851" w:rsidRPr="00597243" w:rsidRDefault="00000000">
            <w:pPr>
              <w:rPr>
                <w:rFonts w:ascii="Arial" w:hAnsi="Arial" w:cs="Arial"/>
                <w:sz w:val="20"/>
                <w:szCs w:val="20"/>
              </w:rPr>
            </w:pPr>
            <w:r w:rsidRPr="00597243">
              <w:rPr>
                <w:rFonts w:ascii="Arial" w:hAnsi="Arial" w:cs="Arial"/>
                <w:sz w:val="20"/>
                <w:szCs w:val="20"/>
              </w:rPr>
              <w:t>Bhariya Haat</w:t>
            </w:r>
          </w:p>
        </w:tc>
        <w:tc>
          <w:tcPr>
            <w:tcW w:w="3024" w:type="dxa"/>
          </w:tcPr>
          <w:p w14:paraId="25C39755" w14:textId="77777777" w:rsidR="00B73851" w:rsidRPr="00597243" w:rsidRDefault="00000000">
            <w:pPr>
              <w:rPr>
                <w:rFonts w:ascii="Arial" w:hAnsi="Arial" w:cs="Arial"/>
                <w:sz w:val="20"/>
                <w:szCs w:val="20"/>
              </w:rPr>
            </w:pPr>
            <w:r w:rsidRPr="00597243">
              <w:rPr>
                <w:rFonts w:ascii="Arial" w:hAnsi="Arial" w:cs="Arial"/>
                <w:sz w:val="20"/>
                <w:szCs w:val="20"/>
              </w:rPr>
              <w:t>Palkot</w:t>
            </w:r>
          </w:p>
        </w:tc>
        <w:tc>
          <w:tcPr>
            <w:tcW w:w="1584" w:type="dxa"/>
          </w:tcPr>
          <w:p w14:paraId="5B914ED6" w14:textId="77777777" w:rsidR="00B73851" w:rsidRPr="00597243" w:rsidRDefault="00000000">
            <w:pPr>
              <w:jc w:val="center"/>
              <w:rPr>
                <w:rFonts w:ascii="Arial" w:hAnsi="Arial" w:cs="Arial"/>
                <w:sz w:val="20"/>
                <w:szCs w:val="20"/>
              </w:rPr>
            </w:pPr>
            <w:r w:rsidRPr="00597243">
              <w:rPr>
                <w:rFonts w:ascii="Arial" w:hAnsi="Arial" w:cs="Arial"/>
                <w:sz w:val="20"/>
                <w:szCs w:val="20"/>
              </w:rPr>
              <w:t>5</w:t>
            </w:r>
          </w:p>
        </w:tc>
      </w:tr>
      <w:tr w:rsidR="0097712B" w:rsidRPr="00597243" w14:paraId="3319A700" w14:textId="77777777" w:rsidTr="00474698">
        <w:tc>
          <w:tcPr>
            <w:tcW w:w="936" w:type="dxa"/>
          </w:tcPr>
          <w:p w14:paraId="073A2248" w14:textId="77777777" w:rsidR="00B73851" w:rsidRPr="00597243" w:rsidRDefault="00000000">
            <w:pPr>
              <w:jc w:val="center"/>
              <w:rPr>
                <w:rFonts w:ascii="Arial" w:hAnsi="Arial" w:cs="Arial"/>
                <w:sz w:val="20"/>
                <w:szCs w:val="20"/>
              </w:rPr>
            </w:pPr>
            <w:r w:rsidRPr="00597243">
              <w:rPr>
                <w:rFonts w:ascii="Arial" w:hAnsi="Arial" w:cs="Arial"/>
                <w:sz w:val="20"/>
                <w:szCs w:val="20"/>
              </w:rPr>
              <w:t>5</w:t>
            </w:r>
          </w:p>
        </w:tc>
        <w:tc>
          <w:tcPr>
            <w:tcW w:w="3240" w:type="dxa"/>
          </w:tcPr>
          <w:p w14:paraId="5C41CDBD" w14:textId="77777777" w:rsidR="00B73851" w:rsidRPr="00597243" w:rsidRDefault="00000000">
            <w:pPr>
              <w:rPr>
                <w:rFonts w:ascii="Arial" w:hAnsi="Arial" w:cs="Arial"/>
                <w:sz w:val="20"/>
                <w:szCs w:val="20"/>
              </w:rPr>
            </w:pPr>
            <w:r w:rsidRPr="00597243">
              <w:rPr>
                <w:rFonts w:ascii="Arial" w:hAnsi="Arial" w:cs="Arial"/>
                <w:sz w:val="20"/>
                <w:szCs w:val="20"/>
              </w:rPr>
              <w:t>Kamdara Haat</w:t>
            </w:r>
          </w:p>
        </w:tc>
        <w:tc>
          <w:tcPr>
            <w:tcW w:w="3024" w:type="dxa"/>
          </w:tcPr>
          <w:p w14:paraId="637EC498" w14:textId="77777777" w:rsidR="00B73851" w:rsidRPr="00597243" w:rsidRDefault="00000000">
            <w:pPr>
              <w:rPr>
                <w:rFonts w:ascii="Arial" w:hAnsi="Arial" w:cs="Arial"/>
                <w:sz w:val="20"/>
                <w:szCs w:val="20"/>
              </w:rPr>
            </w:pPr>
            <w:r w:rsidRPr="00597243">
              <w:rPr>
                <w:rFonts w:ascii="Arial" w:hAnsi="Arial" w:cs="Arial"/>
                <w:sz w:val="20"/>
                <w:szCs w:val="20"/>
              </w:rPr>
              <w:t>Kamdara</w:t>
            </w:r>
          </w:p>
        </w:tc>
        <w:tc>
          <w:tcPr>
            <w:tcW w:w="1584" w:type="dxa"/>
          </w:tcPr>
          <w:p w14:paraId="1148DB81" w14:textId="77777777" w:rsidR="00B73851" w:rsidRPr="00597243" w:rsidRDefault="00000000">
            <w:pPr>
              <w:jc w:val="center"/>
              <w:rPr>
                <w:rFonts w:ascii="Arial" w:hAnsi="Arial" w:cs="Arial"/>
                <w:sz w:val="20"/>
                <w:szCs w:val="20"/>
              </w:rPr>
            </w:pPr>
            <w:r w:rsidRPr="00597243">
              <w:rPr>
                <w:rFonts w:ascii="Arial" w:hAnsi="Arial" w:cs="Arial"/>
                <w:sz w:val="20"/>
                <w:szCs w:val="20"/>
              </w:rPr>
              <w:t>5</w:t>
            </w:r>
          </w:p>
        </w:tc>
      </w:tr>
      <w:tr w:rsidR="0097712B" w:rsidRPr="00597243" w14:paraId="635F47A5" w14:textId="77777777" w:rsidTr="00474698">
        <w:tc>
          <w:tcPr>
            <w:tcW w:w="936" w:type="dxa"/>
          </w:tcPr>
          <w:p w14:paraId="7A287B3F" w14:textId="77777777" w:rsidR="00B73851" w:rsidRPr="00597243" w:rsidRDefault="00000000">
            <w:pPr>
              <w:jc w:val="center"/>
              <w:rPr>
                <w:rFonts w:ascii="Arial" w:hAnsi="Arial" w:cs="Arial"/>
                <w:sz w:val="20"/>
                <w:szCs w:val="20"/>
              </w:rPr>
            </w:pPr>
            <w:r w:rsidRPr="00597243">
              <w:rPr>
                <w:rFonts w:ascii="Arial" w:hAnsi="Arial" w:cs="Arial"/>
                <w:sz w:val="20"/>
                <w:szCs w:val="20"/>
              </w:rPr>
              <w:t>6</w:t>
            </w:r>
          </w:p>
        </w:tc>
        <w:tc>
          <w:tcPr>
            <w:tcW w:w="3240" w:type="dxa"/>
          </w:tcPr>
          <w:p w14:paraId="7E0D0E54" w14:textId="77777777" w:rsidR="00B73851" w:rsidRPr="00597243" w:rsidRDefault="00000000">
            <w:pPr>
              <w:rPr>
                <w:rFonts w:ascii="Arial" w:hAnsi="Arial" w:cs="Arial"/>
                <w:sz w:val="20"/>
                <w:szCs w:val="20"/>
              </w:rPr>
            </w:pPr>
            <w:r w:rsidRPr="00597243">
              <w:rPr>
                <w:rFonts w:ascii="Arial" w:hAnsi="Arial" w:cs="Arial"/>
                <w:sz w:val="20"/>
                <w:szCs w:val="20"/>
              </w:rPr>
              <w:t>Raidih Haat</w:t>
            </w:r>
          </w:p>
        </w:tc>
        <w:tc>
          <w:tcPr>
            <w:tcW w:w="3024" w:type="dxa"/>
          </w:tcPr>
          <w:p w14:paraId="55EBA2D4" w14:textId="77777777" w:rsidR="00B73851" w:rsidRPr="00597243" w:rsidRDefault="00000000">
            <w:pPr>
              <w:rPr>
                <w:rFonts w:ascii="Arial" w:hAnsi="Arial" w:cs="Arial"/>
                <w:sz w:val="20"/>
                <w:szCs w:val="20"/>
              </w:rPr>
            </w:pPr>
            <w:r w:rsidRPr="00597243">
              <w:rPr>
                <w:rFonts w:ascii="Arial" w:hAnsi="Arial" w:cs="Arial"/>
                <w:sz w:val="20"/>
                <w:szCs w:val="20"/>
              </w:rPr>
              <w:t>Raidih</w:t>
            </w:r>
          </w:p>
        </w:tc>
        <w:tc>
          <w:tcPr>
            <w:tcW w:w="1584" w:type="dxa"/>
          </w:tcPr>
          <w:p w14:paraId="4BD271A9" w14:textId="77777777" w:rsidR="00B73851" w:rsidRPr="00597243" w:rsidRDefault="00000000">
            <w:pPr>
              <w:jc w:val="center"/>
              <w:rPr>
                <w:rFonts w:ascii="Arial" w:hAnsi="Arial" w:cs="Arial"/>
                <w:sz w:val="20"/>
                <w:szCs w:val="20"/>
              </w:rPr>
            </w:pPr>
            <w:r w:rsidRPr="00597243">
              <w:rPr>
                <w:rFonts w:ascii="Arial" w:hAnsi="Arial" w:cs="Arial"/>
                <w:sz w:val="20"/>
                <w:szCs w:val="20"/>
              </w:rPr>
              <w:t>5</w:t>
            </w:r>
          </w:p>
        </w:tc>
      </w:tr>
      <w:tr w:rsidR="0097712B" w:rsidRPr="00597243" w14:paraId="3B91B6CE" w14:textId="77777777" w:rsidTr="00474698">
        <w:tc>
          <w:tcPr>
            <w:tcW w:w="936" w:type="dxa"/>
          </w:tcPr>
          <w:p w14:paraId="594C6A51" w14:textId="77777777" w:rsidR="00B73851" w:rsidRPr="00597243" w:rsidRDefault="00000000">
            <w:pPr>
              <w:jc w:val="center"/>
              <w:rPr>
                <w:rFonts w:ascii="Arial" w:hAnsi="Arial" w:cs="Arial"/>
                <w:sz w:val="20"/>
                <w:szCs w:val="20"/>
              </w:rPr>
            </w:pPr>
            <w:r w:rsidRPr="00597243">
              <w:rPr>
                <w:rFonts w:ascii="Arial" w:hAnsi="Arial" w:cs="Arial"/>
                <w:sz w:val="20"/>
                <w:szCs w:val="20"/>
              </w:rPr>
              <w:t>7</w:t>
            </w:r>
          </w:p>
        </w:tc>
        <w:tc>
          <w:tcPr>
            <w:tcW w:w="3240" w:type="dxa"/>
          </w:tcPr>
          <w:p w14:paraId="63979C69" w14:textId="77777777" w:rsidR="00B73851" w:rsidRPr="00597243" w:rsidRDefault="00000000">
            <w:pPr>
              <w:rPr>
                <w:rFonts w:ascii="Arial" w:hAnsi="Arial" w:cs="Arial"/>
                <w:sz w:val="20"/>
                <w:szCs w:val="20"/>
              </w:rPr>
            </w:pPr>
            <w:r w:rsidRPr="00597243">
              <w:rPr>
                <w:rFonts w:ascii="Arial" w:hAnsi="Arial" w:cs="Arial"/>
                <w:sz w:val="20"/>
                <w:szCs w:val="20"/>
              </w:rPr>
              <w:t>Chainpur Haat</w:t>
            </w:r>
          </w:p>
        </w:tc>
        <w:tc>
          <w:tcPr>
            <w:tcW w:w="3024" w:type="dxa"/>
          </w:tcPr>
          <w:p w14:paraId="4A585311" w14:textId="77777777" w:rsidR="00B73851" w:rsidRPr="00597243" w:rsidRDefault="00000000">
            <w:pPr>
              <w:rPr>
                <w:rFonts w:ascii="Arial" w:hAnsi="Arial" w:cs="Arial"/>
                <w:sz w:val="20"/>
                <w:szCs w:val="20"/>
              </w:rPr>
            </w:pPr>
            <w:r w:rsidRPr="00597243">
              <w:rPr>
                <w:rFonts w:ascii="Arial" w:hAnsi="Arial" w:cs="Arial"/>
                <w:sz w:val="20"/>
                <w:szCs w:val="20"/>
              </w:rPr>
              <w:t>Chainpur</w:t>
            </w:r>
          </w:p>
        </w:tc>
        <w:tc>
          <w:tcPr>
            <w:tcW w:w="1584" w:type="dxa"/>
          </w:tcPr>
          <w:p w14:paraId="397794BC" w14:textId="77777777" w:rsidR="00B73851" w:rsidRPr="00597243" w:rsidRDefault="00000000">
            <w:pPr>
              <w:jc w:val="center"/>
              <w:rPr>
                <w:rFonts w:ascii="Arial" w:hAnsi="Arial" w:cs="Arial"/>
                <w:sz w:val="20"/>
                <w:szCs w:val="20"/>
              </w:rPr>
            </w:pPr>
            <w:r w:rsidRPr="00597243">
              <w:rPr>
                <w:rFonts w:ascii="Arial" w:hAnsi="Arial" w:cs="Arial"/>
                <w:sz w:val="20"/>
                <w:szCs w:val="20"/>
              </w:rPr>
              <w:t>5</w:t>
            </w:r>
          </w:p>
        </w:tc>
      </w:tr>
      <w:tr w:rsidR="0097712B" w:rsidRPr="00597243" w14:paraId="63805D8B" w14:textId="77777777" w:rsidTr="00474698">
        <w:tc>
          <w:tcPr>
            <w:tcW w:w="936" w:type="dxa"/>
          </w:tcPr>
          <w:p w14:paraId="601ED3C0" w14:textId="77777777" w:rsidR="00B73851" w:rsidRPr="00597243" w:rsidRDefault="00000000">
            <w:pPr>
              <w:jc w:val="center"/>
              <w:rPr>
                <w:rFonts w:ascii="Arial" w:hAnsi="Arial" w:cs="Arial"/>
                <w:sz w:val="20"/>
                <w:szCs w:val="20"/>
              </w:rPr>
            </w:pPr>
            <w:r w:rsidRPr="00597243">
              <w:rPr>
                <w:rFonts w:ascii="Arial" w:hAnsi="Arial" w:cs="Arial"/>
                <w:sz w:val="20"/>
                <w:szCs w:val="20"/>
              </w:rPr>
              <w:t>8</w:t>
            </w:r>
          </w:p>
        </w:tc>
        <w:tc>
          <w:tcPr>
            <w:tcW w:w="3240" w:type="dxa"/>
          </w:tcPr>
          <w:p w14:paraId="19AE6191" w14:textId="77777777" w:rsidR="00B73851" w:rsidRPr="00597243" w:rsidRDefault="00000000">
            <w:pPr>
              <w:rPr>
                <w:rFonts w:ascii="Arial" w:hAnsi="Arial" w:cs="Arial"/>
                <w:sz w:val="20"/>
                <w:szCs w:val="20"/>
              </w:rPr>
            </w:pPr>
            <w:r w:rsidRPr="00597243">
              <w:rPr>
                <w:rFonts w:ascii="Arial" w:hAnsi="Arial" w:cs="Arial"/>
                <w:sz w:val="20"/>
                <w:szCs w:val="20"/>
              </w:rPr>
              <w:t>Dumri Haat</w:t>
            </w:r>
          </w:p>
        </w:tc>
        <w:tc>
          <w:tcPr>
            <w:tcW w:w="3024" w:type="dxa"/>
          </w:tcPr>
          <w:p w14:paraId="51E1B1F8" w14:textId="77777777" w:rsidR="00B73851" w:rsidRPr="00597243" w:rsidRDefault="00000000">
            <w:pPr>
              <w:rPr>
                <w:rFonts w:ascii="Arial" w:hAnsi="Arial" w:cs="Arial"/>
                <w:sz w:val="20"/>
                <w:szCs w:val="20"/>
              </w:rPr>
            </w:pPr>
            <w:r w:rsidRPr="00597243">
              <w:rPr>
                <w:rFonts w:ascii="Arial" w:hAnsi="Arial" w:cs="Arial"/>
                <w:sz w:val="20"/>
                <w:szCs w:val="20"/>
              </w:rPr>
              <w:t>Dumri</w:t>
            </w:r>
          </w:p>
        </w:tc>
        <w:tc>
          <w:tcPr>
            <w:tcW w:w="1584" w:type="dxa"/>
          </w:tcPr>
          <w:p w14:paraId="5A755D12" w14:textId="77777777" w:rsidR="00B73851" w:rsidRPr="00597243" w:rsidRDefault="00000000">
            <w:pPr>
              <w:jc w:val="center"/>
              <w:rPr>
                <w:rFonts w:ascii="Arial" w:hAnsi="Arial" w:cs="Arial"/>
                <w:sz w:val="20"/>
                <w:szCs w:val="20"/>
              </w:rPr>
            </w:pPr>
            <w:r w:rsidRPr="00597243">
              <w:rPr>
                <w:rFonts w:ascii="Arial" w:hAnsi="Arial" w:cs="Arial"/>
                <w:sz w:val="20"/>
                <w:szCs w:val="20"/>
              </w:rPr>
              <w:t>5</w:t>
            </w:r>
          </w:p>
        </w:tc>
      </w:tr>
      <w:tr w:rsidR="0097712B" w:rsidRPr="00597243" w14:paraId="3656B89C" w14:textId="77777777" w:rsidTr="00474698">
        <w:tc>
          <w:tcPr>
            <w:tcW w:w="936" w:type="dxa"/>
          </w:tcPr>
          <w:p w14:paraId="4E918DD0" w14:textId="77777777" w:rsidR="00B73851" w:rsidRPr="00597243" w:rsidRDefault="00B73851">
            <w:pPr>
              <w:jc w:val="center"/>
              <w:rPr>
                <w:rFonts w:ascii="Arial" w:hAnsi="Arial" w:cs="Arial"/>
                <w:sz w:val="20"/>
                <w:szCs w:val="20"/>
              </w:rPr>
            </w:pPr>
          </w:p>
        </w:tc>
        <w:tc>
          <w:tcPr>
            <w:tcW w:w="3240" w:type="dxa"/>
          </w:tcPr>
          <w:p w14:paraId="40FA491E" w14:textId="77777777" w:rsidR="00B73851" w:rsidRPr="00597243" w:rsidRDefault="00000000">
            <w:pPr>
              <w:rPr>
                <w:rFonts w:ascii="Arial" w:hAnsi="Arial" w:cs="Arial"/>
                <w:b/>
                <w:bCs/>
                <w:sz w:val="20"/>
                <w:szCs w:val="20"/>
              </w:rPr>
            </w:pPr>
            <w:r w:rsidRPr="00597243">
              <w:rPr>
                <w:rFonts w:ascii="Arial" w:hAnsi="Arial" w:cs="Arial"/>
                <w:b/>
                <w:bCs/>
                <w:sz w:val="20"/>
                <w:szCs w:val="20"/>
              </w:rPr>
              <w:t>Total: 8 markets</w:t>
            </w:r>
          </w:p>
        </w:tc>
        <w:tc>
          <w:tcPr>
            <w:tcW w:w="3024" w:type="dxa"/>
          </w:tcPr>
          <w:p w14:paraId="5CD3D498" w14:textId="77777777" w:rsidR="00B73851" w:rsidRPr="00597243" w:rsidRDefault="00000000">
            <w:pPr>
              <w:rPr>
                <w:rFonts w:ascii="Arial" w:hAnsi="Arial" w:cs="Arial"/>
                <w:b/>
                <w:bCs/>
                <w:sz w:val="20"/>
                <w:szCs w:val="20"/>
              </w:rPr>
            </w:pPr>
            <w:r w:rsidRPr="00597243">
              <w:rPr>
                <w:rFonts w:ascii="Arial" w:hAnsi="Arial" w:cs="Arial"/>
                <w:b/>
                <w:bCs/>
                <w:sz w:val="20"/>
                <w:szCs w:val="20"/>
              </w:rPr>
              <w:t>Total: 7 blocks</w:t>
            </w:r>
          </w:p>
        </w:tc>
        <w:tc>
          <w:tcPr>
            <w:tcW w:w="1584" w:type="dxa"/>
          </w:tcPr>
          <w:p w14:paraId="458FBD1C" w14:textId="77777777" w:rsidR="00B73851" w:rsidRPr="00597243" w:rsidRDefault="00000000">
            <w:pPr>
              <w:jc w:val="center"/>
              <w:rPr>
                <w:rFonts w:ascii="Arial" w:hAnsi="Arial" w:cs="Arial"/>
                <w:b/>
                <w:bCs/>
                <w:sz w:val="20"/>
                <w:szCs w:val="20"/>
              </w:rPr>
            </w:pPr>
            <w:r w:rsidRPr="00597243">
              <w:rPr>
                <w:rFonts w:ascii="Arial" w:hAnsi="Arial" w:cs="Arial"/>
                <w:b/>
                <w:bCs/>
                <w:sz w:val="20"/>
                <w:szCs w:val="20"/>
              </w:rPr>
              <w:t>42</w:t>
            </w:r>
          </w:p>
        </w:tc>
      </w:tr>
    </w:tbl>
    <w:p w14:paraId="37F4FF8E" w14:textId="77777777" w:rsidR="00B73851" w:rsidRPr="00597243" w:rsidRDefault="00000000">
      <w:pPr>
        <w:spacing w:before="40" w:after="120" w:line="240" w:lineRule="auto"/>
        <w:rPr>
          <w:rFonts w:ascii="Arial" w:hAnsi="Arial" w:cs="Arial"/>
          <w:sz w:val="20"/>
          <w:szCs w:val="20"/>
        </w:rPr>
      </w:pPr>
      <w:r w:rsidRPr="00597243">
        <w:rPr>
          <w:rFonts w:ascii="Arial" w:hAnsi="Arial" w:cs="Arial"/>
          <w:i/>
          <w:sz w:val="20"/>
          <w:szCs w:val="20"/>
        </w:rPr>
        <w:t>Source. Fieldwork distribution framework compiled by the authors.</w:t>
      </w:r>
    </w:p>
    <w:p w14:paraId="4CFCBDFB" w14:textId="77777777" w:rsidR="00B73851" w:rsidRPr="00597243" w:rsidRDefault="00000000">
      <w:pPr>
        <w:pStyle w:val="Heading2"/>
        <w:spacing w:before="140" w:after="80"/>
        <w:rPr>
          <w:rFonts w:ascii="Arial" w:hAnsi="Arial" w:cs="Arial"/>
          <w:color w:val="auto"/>
          <w:sz w:val="20"/>
          <w:szCs w:val="20"/>
        </w:rPr>
      </w:pPr>
      <w:r w:rsidRPr="00597243">
        <w:rPr>
          <w:rFonts w:ascii="Arial" w:hAnsi="Arial" w:cs="Arial"/>
          <w:color w:val="auto"/>
          <w:sz w:val="20"/>
          <w:szCs w:val="20"/>
        </w:rPr>
        <w:t>3.4 Data Collection and Ethical Safeguards</w:t>
      </w:r>
    </w:p>
    <w:p w14:paraId="06AFE2D4" w14:textId="1364FE5A" w:rsidR="00474698" w:rsidRPr="00597243" w:rsidRDefault="00000000" w:rsidP="00474698">
      <w:pPr>
        <w:spacing w:after="100"/>
        <w:ind w:firstLine="425"/>
        <w:rPr>
          <w:rFonts w:ascii="Arial" w:hAnsi="Arial" w:cs="Arial"/>
          <w:sz w:val="20"/>
          <w:szCs w:val="20"/>
        </w:rPr>
      </w:pPr>
      <w:r w:rsidRPr="00597243">
        <w:rPr>
          <w:rFonts w:ascii="Arial" w:hAnsi="Arial" w:cs="Arial"/>
          <w:sz w:val="20"/>
          <w:szCs w:val="20"/>
        </w:rPr>
        <w:t xml:space="preserve">Data were collected between September and November 2025 through semi-structured, open-ended field interviews conducted in or near the selected markets. Each interaction lasted approximately 20–30 minutes. </w:t>
      </w:r>
      <w:r w:rsidR="00110C42" w:rsidRPr="00597243">
        <w:rPr>
          <w:rFonts w:ascii="Arial" w:hAnsi="Arial" w:cs="Arial"/>
          <w:sz w:val="20"/>
          <w:szCs w:val="20"/>
        </w:rPr>
        <w:t>The conversations were guided by a flexible semi-structured protocol covering common thematic domains, which promoted reasonable consistency while allowing participants to elaborate on their individual experiences</w:t>
      </w:r>
      <w:r w:rsidR="00474698" w:rsidRPr="00597243">
        <w:rPr>
          <w:rFonts w:ascii="Arial" w:hAnsi="Arial" w:cs="Arial"/>
          <w:sz w:val="20"/>
          <w:szCs w:val="20"/>
        </w:rPr>
        <w:t>:</w:t>
      </w:r>
    </w:p>
    <w:p w14:paraId="249D9C62" w14:textId="242D4B5F" w:rsidR="00474698" w:rsidRPr="00597243" w:rsidRDefault="00474698" w:rsidP="00474698">
      <w:pPr>
        <w:spacing w:after="100"/>
        <w:ind w:firstLine="425"/>
        <w:rPr>
          <w:rFonts w:ascii="Arial" w:hAnsi="Arial" w:cs="Arial"/>
          <w:sz w:val="20"/>
          <w:szCs w:val="20"/>
        </w:rPr>
      </w:pPr>
      <w:r w:rsidRPr="00597243">
        <w:rPr>
          <w:rFonts w:ascii="Arial" w:hAnsi="Arial" w:cs="Arial"/>
          <w:sz w:val="20"/>
          <w:szCs w:val="20"/>
        </w:rPr>
        <w:t>•</w:t>
      </w:r>
      <w:r w:rsidRPr="00597243">
        <w:rPr>
          <w:rFonts w:ascii="Arial" w:hAnsi="Arial" w:cs="Arial"/>
          <w:sz w:val="20"/>
          <w:szCs w:val="20"/>
        </w:rPr>
        <w:tab/>
      </w:r>
      <w:r w:rsidR="00110C42" w:rsidRPr="00597243">
        <w:rPr>
          <w:rFonts w:ascii="Arial" w:hAnsi="Arial" w:cs="Arial"/>
          <w:sz w:val="20"/>
          <w:szCs w:val="20"/>
        </w:rPr>
        <w:t>Perceived changes in consumer footfall, demand and retail activity</w:t>
      </w:r>
      <w:r w:rsidRPr="00597243">
        <w:rPr>
          <w:rFonts w:ascii="Arial" w:hAnsi="Arial" w:cs="Arial"/>
          <w:sz w:val="20"/>
          <w:szCs w:val="20"/>
        </w:rPr>
        <w:t>.</w:t>
      </w:r>
    </w:p>
    <w:p w14:paraId="4D852C60" w14:textId="77777777" w:rsidR="00474698" w:rsidRPr="00597243" w:rsidRDefault="00474698" w:rsidP="00474698">
      <w:pPr>
        <w:spacing w:after="100"/>
        <w:ind w:firstLine="425"/>
        <w:rPr>
          <w:rFonts w:ascii="Arial" w:hAnsi="Arial" w:cs="Arial"/>
          <w:sz w:val="20"/>
          <w:szCs w:val="20"/>
        </w:rPr>
      </w:pPr>
      <w:r w:rsidRPr="00597243">
        <w:rPr>
          <w:rFonts w:ascii="Arial" w:hAnsi="Arial" w:cs="Arial"/>
          <w:sz w:val="20"/>
          <w:szCs w:val="20"/>
        </w:rPr>
        <w:t>•</w:t>
      </w:r>
      <w:r w:rsidRPr="00597243">
        <w:rPr>
          <w:rFonts w:ascii="Arial" w:hAnsi="Arial" w:cs="Arial"/>
          <w:sz w:val="20"/>
          <w:szCs w:val="20"/>
        </w:rPr>
        <w:tab/>
        <w:t>Estimated variations in seasonal cash flow and baseline trading returns.</w:t>
      </w:r>
    </w:p>
    <w:p w14:paraId="09043160" w14:textId="7493F41E" w:rsidR="00474698" w:rsidRPr="00597243" w:rsidRDefault="00474698" w:rsidP="00474698">
      <w:pPr>
        <w:spacing w:after="100"/>
        <w:ind w:firstLine="425"/>
        <w:rPr>
          <w:rFonts w:ascii="Arial" w:hAnsi="Arial" w:cs="Arial"/>
          <w:sz w:val="20"/>
          <w:szCs w:val="20"/>
        </w:rPr>
      </w:pPr>
      <w:r w:rsidRPr="00597243">
        <w:rPr>
          <w:rFonts w:ascii="Arial" w:hAnsi="Arial" w:cs="Arial"/>
          <w:sz w:val="20"/>
          <w:szCs w:val="20"/>
        </w:rPr>
        <w:t>•</w:t>
      </w:r>
      <w:r w:rsidRPr="00597243">
        <w:rPr>
          <w:rFonts w:ascii="Arial" w:hAnsi="Arial" w:cs="Arial"/>
          <w:sz w:val="20"/>
          <w:szCs w:val="20"/>
        </w:rPr>
        <w:tab/>
      </w:r>
      <w:r w:rsidR="007B4447" w:rsidRPr="00597243">
        <w:rPr>
          <w:rFonts w:ascii="Arial" w:hAnsi="Arial" w:cs="Arial"/>
          <w:sz w:val="20"/>
          <w:szCs w:val="20"/>
        </w:rPr>
        <w:t>Control over trading income and participation in household spending decisions</w:t>
      </w:r>
      <w:r w:rsidRPr="00597243">
        <w:rPr>
          <w:rFonts w:ascii="Arial" w:hAnsi="Arial" w:cs="Arial"/>
          <w:sz w:val="20"/>
          <w:szCs w:val="20"/>
        </w:rPr>
        <w:t>.</w:t>
      </w:r>
    </w:p>
    <w:p w14:paraId="4065D671" w14:textId="77777777" w:rsidR="00474698" w:rsidRPr="00597243" w:rsidRDefault="00474698" w:rsidP="00474698">
      <w:pPr>
        <w:spacing w:after="100"/>
        <w:ind w:firstLine="425"/>
        <w:rPr>
          <w:rFonts w:ascii="Arial" w:hAnsi="Arial" w:cs="Arial"/>
          <w:sz w:val="20"/>
          <w:szCs w:val="20"/>
        </w:rPr>
      </w:pPr>
      <w:r w:rsidRPr="00597243">
        <w:rPr>
          <w:rFonts w:ascii="Arial" w:hAnsi="Arial" w:cs="Arial"/>
          <w:sz w:val="20"/>
          <w:szCs w:val="20"/>
        </w:rPr>
        <w:t>•</w:t>
      </w:r>
      <w:r w:rsidRPr="00597243">
        <w:rPr>
          <w:rFonts w:ascii="Arial" w:hAnsi="Arial" w:cs="Arial"/>
          <w:sz w:val="20"/>
          <w:szCs w:val="20"/>
        </w:rPr>
        <w:tab/>
        <w:t xml:space="preserve">Challenges concerning the intergenerational transmission of Indigenous forest-based skill sets and artisanal knowledge. </w:t>
      </w:r>
    </w:p>
    <w:p w14:paraId="17112665" w14:textId="5F2F9B4E" w:rsidR="00B73851" w:rsidRPr="00597243" w:rsidRDefault="00000000" w:rsidP="00474698">
      <w:pPr>
        <w:spacing w:after="100"/>
        <w:ind w:firstLine="425"/>
        <w:rPr>
          <w:rFonts w:ascii="Arial" w:hAnsi="Arial" w:cs="Arial"/>
          <w:sz w:val="20"/>
          <w:szCs w:val="20"/>
        </w:rPr>
      </w:pPr>
      <w:r w:rsidRPr="00597243">
        <w:rPr>
          <w:rFonts w:ascii="Arial" w:hAnsi="Arial" w:cs="Arial"/>
          <w:sz w:val="20"/>
          <w:szCs w:val="20"/>
        </w:rPr>
        <w:t>Detailed field notes were prepared immediately after each encounter. Interviews were not audio-recorded; consequently, participant statements are reported as field-note paraphrases rather than verbatim quotations.</w:t>
      </w:r>
    </w:p>
    <w:p w14:paraId="47ACA122" w14:textId="4ACBCA2B" w:rsidR="00474698" w:rsidRPr="00597243" w:rsidRDefault="00474698" w:rsidP="00474698">
      <w:pPr>
        <w:pStyle w:val="NormalWeb"/>
        <w:jc w:val="both"/>
        <w:rPr>
          <w:rFonts w:ascii="Arial" w:hAnsi="Arial" w:cs="Arial"/>
          <w:sz w:val="20"/>
          <w:szCs w:val="20"/>
        </w:rPr>
      </w:pPr>
      <w:r w:rsidRPr="00597243">
        <w:rPr>
          <w:rFonts w:ascii="Arial" w:hAnsi="Arial" w:cs="Arial"/>
          <w:b/>
          <w:bCs/>
          <w:sz w:val="20"/>
          <w:szCs w:val="20"/>
        </w:rPr>
        <w:lastRenderedPageBreak/>
        <w:t>Ethical Protocols and Transparency:</w:t>
      </w:r>
      <w:r w:rsidRPr="00597243">
        <w:rPr>
          <w:rFonts w:ascii="Arial" w:hAnsi="Arial" w:cs="Arial"/>
          <w:sz w:val="20"/>
          <w:szCs w:val="20"/>
        </w:rPr>
        <w:t xml:space="preserve"> </w:t>
      </w:r>
      <w:r w:rsidR="002735B8" w:rsidRPr="00597243">
        <w:rPr>
          <w:rFonts w:ascii="Arial" w:hAnsi="Arial" w:cs="Arial"/>
          <w:sz w:val="20"/>
          <w:szCs w:val="20"/>
        </w:rPr>
        <w:t xml:space="preserve">Given the sensitivity of field research concerning income, household decision-making and livelihood change within Indigenous communities, confidentiality procedures were maintained. Formal institutional ethics committee review was not obtained before data collection; this limitation is reported transparently, and the authors make no claim that investigator assessment substituted for an independent institutional determination. Before data collection, the study was explained orally in a language understood by each participant, and written informed consent was subsequently obtained for voluntary participation and the </w:t>
      </w:r>
      <w:proofErr w:type="spellStart"/>
      <w:r w:rsidR="002735B8" w:rsidRPr="00597243">
        <w:rPr>
          <w:rFonts w:ascii="Arial" w:hAnsi="Arial" w:cs="Arial"/>
          <w:sz w:val="20"/>
          <w:szCs w:val="20"/>
        </w:rPr>
        <w:t>anonymised</w:t>
      </w:r>
      <w:proofErr w:type="spellEnd"/>
      <w:r w:rsidR="002735B8" w:rsidRPr="00597243">
        <w:rPr>
          <w:rFonts w:ascii="Arial" w:hAnsi="Arial" w:cs="Arial"/>
          <w:sz w:val="20"/>
          <w:szCs w:val="20"/>
        </w:rPr>
        <w:t xml:space="preserve"> reporting of field-note-based accounts. Potentially identifying descriptors, including precise age, residential settlement and detailed community affiliation, were omitted or reported in broader form. Participants were assigned alphanumeric codes based on their respective market locations—for example, Participant GH-02 represented the second participant interviewed at </w:t>
      </w:r>
      <w:proofErr w:type="spellStart"/>
      <w:r w:rsidR="002735B8" w:rsidRPr="00597243">
        <w:rPr>
          <w:rFonts w:ascii="Arial" w:hAnsi="Arial" w:cs="Arial"/>
          <w:sz w:val="20"/>
          <w:szCs w:val="20"/>
        </w:rPr>
        <w:t>Gumla</w:t>
      </w:r>
      <w:proofErr w:type="spellEnd"/>
      <w:r w:rsidR="002735B8" w:rsidRPr="00597243">
        <w:rPr>
          <w:rFonts w:ascii="Arial" w:hAnsi="Arial" w:cs="Arial"/>
          <w:sz w:val="20"/>
          <w:szCs w:val="20"/>
        </w:rPr>
        <w:t xml:space="preserve"> </w:t>
      </w:r>
      <w:proofErr w:type="spellStart"/>
      <w:r w:rsidR="002735B8" w:rsidRPr="00597243">
        <w:rPr>
          <w:rFonts w:ascii="Arial" w:hAnsi="Arial" w:cs="Arial"/>
          <w:sz w:val="20"/>
          <w:szCs w:val="20"/>
        </w:rPr>
        <w:t>Haat</w:t>
      </w:r>
      <w:proofErr w:type="spellEnd"/>
      <w:r w:rsidR="002735B8" w:rsidRPr="00597243">
        <w:rPr>
          <w:rFonts w:ascii="Arial" w:hAnsi="Arial" w:cs="Arial"/>
          <w:sz w:val="20"/>
          <w:szCs w:val="20"/>
        </w:rPr>
        <w:t xml:space="preserve">—to support consistent </w:t>
      </w:r>
      <w:proofErr w:type="spellStart"/>
      <w:r w:rsidR="002735B8" w:rsidRPr="00597243">
        <w:rPr>
          <w:rFonts w:ascii="Arial" w:hAnsi="Arial" w:cs="Arial"/>
          <w:sz w:val="20"/>
          <w:szCs w:val="20"/>
        </w:rPr>
        <w:t>organisation</w:t>
      </w:r>
      <w:proofErr w:type="spellEnd"/>
      <w:r w:rsidR="002735B8" w:rsidRPr="00597243">
        <w:rPr>
          <w:rFonts w:ascii="Arial" w:hAnsi="Arial" w:cs="Arial"/>
          <w:sz w:val="20"/>
          <w:szCs w:val="20"/>
        </w:rPr>
        <w:t xml:space="preserve"> of the field records without revealing personal identities.</w:t>
      </w:r>
    </w:p>
    <w:p w14:paraId="36C6484B" w14:textId="77777777" w:rsidR="00B73851" w:rsidRPr="00597243" w:rsidRDefault="00000000">
      <w:pPr>
        <w:pStyle w:val="Heading2"/>
        <w:spacing w:before="140" w:after="80"/>
        <w:rPr>
          <w:rFonts w:ascii="Arial" w:hAnsi="Arial" w:cs="Arial"/>
          <w:color w:val="auto"/>
          <w:sz w:val="20"/>
          <w:szCs w:val="20"/>
        </w:rPr>
      </w:pPr>
      <w:r w:rsidRPr="00597243">
        <w:rPr>
          <w:rFonts w:ascii="Arial" w:hAnsi="Arial" w:cs="Arial"/>
          <w:color w:val="auto"/>
          <w:sz w:val="20"/>
          <w:szCs w:val="20"/>
        </w:rPr>
        <w:t>3.5 Data Analysis</w:t>
      </w:r>
    </w:p>
    <w:p w14:paraId="6FD02CF3" w14:textId="77777777" w:rsidR="00B73851" w:rsidRPr="00597243" w:rsidRDefault="00000000">
      <w:pPr>
        <w:spacing w:after="100"/>
        <w:ind w:firstLine="425"/>
        <w:rPr>
          <w:rFonts w:ascii="Arial" w:hAnsi="Arial" w:cs="Arial"/>
          <w:sz w:val="20"/>
          <w:szCs w:val="20"/>
        </w:rPr>
      </w:pPr>
      <w:r w:rsidRPr="00597243">
        <w:rPr>
          <w:rFonts w:ascii="Arial" w:hAnsi="Arial" w:cs="Arial"/>
          <w:sz w:val="20"/>
          <w:szCs w:val="20"/>
        </w:rPr>
        <w:t>Field notes were digitised, translated into English where necessary and read repeatedly. Initial codes were generated inductively from recurring units of meaning. Related codes were grouped into broader descriptive categories concerning market pressure, knowledge transmission, household decision influence and digital interest or barriers. A codebook recorded the meaning and inclusion criteria for each final category. A second social science researcher reviewed the codebook and coding logic for descriptive consistency. Theme frequencies were then calculated according to the presence or absence of each code in the 42 participant accounts. Each participant could contribute to more than one theme, but was counted no more than once within a given theme. Percentages were rounded to the nearest whole number. No inferential statistical tests were conducted.</w:t>
      </w:r>
    </w:p>
    <w:p w14:paraId="20595FF7" w14:textId="77777777" w:rsidR="00B73851" w:rsidRPr="00597243" w:rsidRDefault="00000000">
      <w:pPr>
        <w:spacing w:after="100"/>
        <w:ind w:firstLine="425"/>
        <w:rPr>
          <w:rFonts w:ascii="Arial" w:hAnsi="Arial" w:cs="Arial"/>
          <w:sz w:val="20"/>
          <w:szCs w:val="20"/>
        </w:rPr>
      </w:pPr>
      <w:r w:rsidRPr="00597243">
        <w:rPr>
          <w:rFonts w:ascii="Arial" w:hAnsi="Arial" w:cs="Arial"/>
          <w:sz w:val="20"/>
          <w:szCs w:val="20"/>
        </w:rPr>
        <w:t>Reflexivity was addressed by distinguishing participant reports from the investigators’ interpretations and by avoiding causal language unsupported by the design. Aggregate government statistics were used only for contextualisation and were not treated as direct evidence of local market change.</w:t>
      </w:r>
    </w:p>
    <w:p w14:paraId="1FC3399C" w14:textId="77777777" w:rsidR="00B73851" w:rsidRPr="00597243" w:rsidRDefault="00000000">
      <w:pPr>
        <w:pStyle w:val="Heading1"/>
        <w:spacing w:before="200" w:after="80"/>
        <w:rPr>
          <w:rFonts w:ascii="Arial" w:hAnsi="Arial" w:cs="Arial"/>
          <w:color w:val="auto"/>
          <w:sz w:val="20"/>
          <w:szCs w:val="20"/>
        </w:rPr>
      </w:pPr>
      <w:r w:rsidRPr="00597243">
        <w:rPr>
          <w:rFonts w:ascii="Arial" w:hAnsi="Arial" w:cs="Arial"/>
          <w:color w:val="auto"/>
          <w:sz w:val="20"/>
          <w:szCs w:val="20"/>
        </w:rPr>
        <w:t>4. RESULTS</w:t>
      </w:r>
    </w:p>
    <w:p w14:paraId="1F85D5F6" w14:textId="77777777" w:rsidR="00B73851" w:rsidRPr="00597243" w:rsidRDefault="00000000">
      <w:pPr>
        <w:pStyle w:val="Heading2"/>
        <w:spacing w:before="140" w:after="80"/>
        <w:rPr>
          <w:rFonts w:ascii="Arial" w:hAnsi="Arial" w:cs="Arial"/>
          <w:color w:val="auto"/>
          <w:sz w:val="20"/>
          <w:szCs w:val="20"/>
        </w:rPr>
      </w:pPr>
      <w:r w:rsidRPr="00597243">
        <w:rPr>
          <w:rFonts w:ascii="Arial" w:hAnsi="Arial" w:cs="Arial"/>
          <w:color w:val="auto"/>
          <w:sz w:val="20"/>
          <w:szCs w:val="20"/>
        </w:rPr>
        <w:t>4.1 Frequency of Non-Exclusive Themes</w:t>
      </w:r>
    </w:p>
    <w:p w14:paraId="6C6E125C" w14:textId="77777777" w:rsidR="00B73851" w:rsidRPr="00597243" w:rsidRDefault="00000000">
      <w:pPr>
        <w:spacing w:after="100"/>
        <w:ind w:firstLine="425"/>
        <w:rPr>
          <w:rFonts w:ascii="Arial" w:hAnsi="Arial" w:cs="Arial"/>
          <w:sz w:val="20"/>
          <w:szCs w:val="20"/>
        </w:rPr>
      </w:pPr>
      <w:r w:rsidRPr="00597243">
        <w:rPr>
          <w:rFonts w:ascii="Arial" w:hAnsi="Arial" w:cs="Arial"/>
          <w:sz w:val="20"/>
          <w:szCs w:val="20"/>
        </w:rPr>
        <w:t>Four principal themes were identified. Declining sales or footfall was the most frequently reported theme, appearing in 34 accounts (81%). Obstacles to transferring forest-related knowledge appeared in 29 accounts (69%), and 27 participants (64%) perceived reduced influence over selected household resource-allocation decisions. Fourteen participants (33%) expressed interest in digital market opportunities while simultaneously reporting barriers to access or use. These values describe the frequency of coded perceptions within the sample and should not be interpreted as population prevalence or causal effect estimates.</w:t>
      </w:r>
    </w:p>
    <w:p w14:paraId="55C34503" w14:textId="77777777" w:rsidR="00B73851" w:rsidRPr="00597243" w:rsidRDefault="00000000">
      <w:pPr>
        <w:keepNext/>
        <w:spacing w:before="120" w:after="80"/>
        <w:jc w:val="center"/>
        <w:rPr>
          <w:rFonts w:ascii="Arial" w:hAnsi="Arial" w:cs="Arial"/>
          <w:sz w:val="20"/>
          <w:szCs w:val="20"/>
        </w:rPr>
      </w:pPr>
      <w:r w:rsidRPr="00597243">
        <w:rPr>
          <w:rFonts w:ascii="Arial" w:hAnsi="Arial" w:cs="Arial"/>
          <w:b/>
          <w:sz w:val="20"/>
          <w:szCs w:val="20"/>
        </w:rPr>
        <w:t>Table 4. Frequency of Non-Exclusive Themes Reported by Participants (N = 42)</w:t>
      </w:r>
    </w:p>
    <w:tbl>
      <w:tblPr>
        <w:tblStyle w:val="TableGrid"/>
        <w:tblW w:w="0" w:type="auto"/>
        <w:tblLayout w:type="fixed"/>
        <w:tblLook w:val="04A0" w:firstRow="1" w:lastRow="0" w:firstColumn="1" w:lastColumn="0" w:noHBand="0" w:noVBand="1"/>
      </w:tblPr>
      <w:tblGrid>
        <w:gridCol w:w="792"/>
        <w:gridCol w:w="3528"/>
        <w:gridCol w:w="1080"/>
        <w:gridCol w:w="1224"/>
        <w:gridCol w:w="2736"/>
      </w:tblGrid>
      <w:tr w:rsidR="0097712B" w:rsidRPr="00597243" w14:paraId="7129D4D3" w14:textId="77777777" w:rsidTr="00474698">
        <w:tc>
          <w:tcPr>
            <w:tcW w:w="792" w:type="dxa"/>
          </w:tcPr>
          <w:p w14:paraId="3F3B6C04" w14:textId="77777777" w:rsidR="00B73851" w:rsidRPr="00597243" w:rsidRDefault="00000000">
            <w:pPr>
              <w:jc w:val="center"/>
              <w:rPr>
                <w:rFonts w:ascii="Arial" w:hAnsi="Arial" w:cs="Arial"/>
                <w:sz w:val="20"/>
                <w:szCs w:val="20"/>
              </w:rPr>
            </w:pPr>
            <w:r w:rsidRPr="00597243">
              <w:rPr>
                <w:rFonts w:ascii="Arial" w:hAnsi="Arial" w:cs="Arial"/>
                <w:b/>
                <w:sz w:val="20"/>
                <w:szCs w:val="20"/>
              </w:rPr>
              <w:t>S. No.</w:t>
            </w:r>
          </w:p>
        </w:tc>
        <w:tc>
          <w:tcPr>
            <w:tcW w:w="3528" w:type="dxa"/>
          </w:tcPr>
          <w:p w14:paraId="65ABACD1" w14:textId="77777777" w:rsidR="00B73851" w:rsidRPr="00597243" w:rsidRDefault="00000000">
            <w:pPr>
              <w:jc w:val="center"/>
              <w:rPr>
                <w:rFonts w:ascii="Arial" w:hAnsi="Arial" w:cs="Arial"/>
                <w:sz w:val="20"/>
                <w:szCs w:val="20"/>
              </w:rPr>
            </w:pPr>
            <w:r w:rsidRPr="00597243">
              <w:rPr>
                <w:rFonts w:ascii="Arial" w:hAnsi="Arial" w:cs="Arial"/>
                <w:b/>
                <w:sz w:val="20"/>
                <w:szCs w:val="20"/>
              </w:rPr>
              <w:t>Thematic category</w:t>
            </w:r>
          </w:p>
        </w:tc>
        <w:tc>
          <w:tcPr>
            <w:tcW w:w="1080" w:type="dxa"/>
          </w:tcPr>
          <w:p w14:paraId="0611C631" w14:textId="77777777" w:rsidR="00B73851" w:rsidRPr="00597243" w:rsidRDefault="00000000">
            <w:pPr>
              <w:jc w:val="center"/>
              <w:rPr>
                <w:rFonts w:ascii="Arial" w:hAnsi="Arial" w:cs="Arial"/>
                <w:sz w:val="20"/>
                <w:szCs w:val="20"/>
              </w:rPr>
            </w:pPr>
            <w:r w:rsidRPr="00597243">
              <w:rPr>
                <w:rFonts w:ascii="Arial" w:hAnsi="Arial" w:cs="Arial"/>
                <w:b/>
                <w:sz w:val="20"/>
                <w:szCs w:val="20"/>
              </w:rPr>
              <w:t>Count</w:t>
            </w:r>
          </w:p>
        </w:tc>
        <w:tc>
          <w:tcPr>
            <w:tcW w:w="1224" w:type="dxa"/>
          </w:tcPr>
          <w:p w14:paraId="72ECE75E" w14:textId="77777777" w:rsidR="00B73851" w:rsidRPr="00597243" w:rsidRDefault="00000000">
            <w:pPr>
              <w:jc w:val="center"/>
              <w:rPr>
                <w:rFonts w:ascii="Arial" w:hAnsi="Arial" w:cs="Arial"/>
                <w:sz w:val="20"/>
                <w:szCs w:val="20"/>
              </w:rPr>
            </w:pPr>
            <w:r w:rsidRPr="00597243">
              <w:rPr>
                <w:rFonts w:ascii="Arial" w:hAnsi="Arial" w:cs="Arial"/>
                <w:b/>
                <w:sz w:val="20"/>
                <w:szCs w:val="20"/>
              </w:rPr>
              <w:t>Percentage</w:t>
            </w:r>
          </w:p>
        </w:tc>
        <w:tc>
          <w:tcPr>
            <w:tcW w:w="2736" w:type="dxa"/>
          </w:tcPr>
          <w:p w14:paraId="0574E961" w14:textId="77777777" w:rsidR="00B73851" w:rsidRPr="00597243" w:rsidRDefault="00000000">
            <w:pPr>
              <w:jc w:val="center"/>
              <w:rPr>
                <w:rFonts w:ascii="Arial" w:hAnsi="Arial" w:cs="Arial"/>
                <w:sz w:val="20"/>
                <w:szCs w:val="20"/>
              </w:rPr>
            </w:pPr>
            <w:r w:rsidRPr="00597243">
              <w:rPr>
                <w:rFonts w:ascii="Arial" w:hAnsi="Arial" w:cs="Arial"/>
                <w:b/>
                <w:sz w:val="20"/>
                <w:szCs w:val="20"/>
              </w:rPr>
              <w:t>Illustrative participant codes</w:t>
            </w:r>
          </w:p>
        </w:tc>
      </w:tr>
      <w:tr w:rsidR="0097712B" w:rsidRPr="00597243" w14:paraId="25451163" w14:textId="77777777" w:rsidTr="00474698">
        <w:tc>
          <w:tcPr>
            <w:tcW w:w="792" w:type="dxa"/>
          </w:tcPr>
          <w:p w14:paraId="6CD69165" w14:textId="77777777" w:rsidR="00B73851" w:rsidRPr="00597243" w:rsidRDefault="00000000">
            <w:pPr>
              <w:jc w:val="center"/>
              <w:rPr>
                <w:rFonts w:ascii="Arial" w:hAnsi="Arial" w:cs="Arial"/>
                <w:sz w:val="20"/>
                <w:szCs w:val="20"/>
              </w:rPr>
            </w:pPr>
            <w:r w:rsidRPr="00597243">
              <w:rPr>
                <w:rFonts w:ascii="Arial" w:hAnsi="Arial" w:cs="Arial"/>
                <w:sz w:val="20"/>
                <w:szCs w:val="20"/>
              </w:rPr>
              <w:t>1</w:t>
            </w:r>
          </w:p>
        </w:tc>
        <w:tc>
          <w:tcPr>
            <w:tcW w:w="3528" w:type="dxa"/>
          </w:tcPr>
          <w:p w14:paraId="7E94BB82" w14:textId="77777777" w:rsidR="00B73851" w:rsidRPr="00597243" w:rsidRDefault="00000000">
            <w:pPr>
              <w:rPr>
                <w:rFonts w:ascii="Arial" w:hAnsi="Arial" w:cs="Arial"/>
                <w:sz w:val="20"/>
                <w:szCs w:val="20"/>
              </w:rPr>
            </w:pPr>
            <w:r w:rsidRPr="00597243">
              <w:rPr>
                <w:rFonts w:ascii="Arial" w:hAnsi="Arial" w:cs="Arial"/>
                <w:sz w:val="20"/>
                <w:szCs w:val="20"/>
              </w:rPr>
              <w:t>Decline in sales or consumer footfall</w:t>
            </w:r>
          </w:p>
        </w:tc>
        <w:tc>
          <w:tcPr>
            <w:tcW w:w="1080" w:type="dxa"/>
          </w:tcPr>
          <w:p w14:paraId="2AEA791E" w14:textId="77777777" w:rsidR="00B73851" w:rsidRPr="00597243" w:rsidRDefault="00000000">
            <w:pPr>
              <w:jc w:val="center"/>
              <w:rPr>
                <w:rFonts w:ascii="Arial" w:hAnsi="Arial" w:cs="Arial"/>
                <w:sz w:val="20"/>
                <w:szCs w:val="20"/>
              </w:rPr>
            </w:pPr>
            <w:r w:rsidRPr="00597243">
              <w:rPr>
                <w:rFonts w:ascii="Arial" w:hAnsi="Arial" w:cs="Arial"/>
                <w:sz w:val="20"/>
                <w:szCs w:val="20"/>
              </w:rPr>
              <w:t>34</w:t>
            </w:r>
          </w:p>
        </w:tc>
        <w:tc>
          <w:tcPr>
            <w:tcW w:w="1224" w:type="dxa"/>
          </w:tcPr>
          <w:p w14:paraId="0035365D" w14:textId="77777777" w:rsidR="00B73851" w:rsidRPr="00597243" w:rsidRDefault="00000000">
            <w:pPr>
              <w:jc w:val="center"/>
              <w:rPr>
                <w:rFonts w:ascii="Arial" w:hAnsi="Arial" w:cs="Arial"/>
                <w:sz w:val="20"/>
                <w:szCs w:val="20"/>
              </w:rPr>
            </w:pPr>
            <w:r w:rsidRPr="00597243">
              <w:rPr>
                <w:rFonts w:ascii="Arial" w:hAnsi="Arial" w:cs="Arial"/>
                <w:sz w:val="20"/>
                <w:szCs w:val="20"/>
              </w:rPr>
              <w:t>81%</w:t>
            </w:r>
          </w:p>
        </w:tc>
        <w:tc>
          <w:tcPr>
            <w:tcW w:w="2736" w:type="dxa"/>
          </w:tcPr>
          <w:p w14:paraId="147345AF" w14:textId="77777777" w:rsidR="00B73851" w:rsidRPr="00597243" w:rsidRDefault="00000000">
            <w:pPr>
              <w:rPr>
                <w:rFonts w:ascii="Arial" w:hAnsi="Arial" w:cs="Arial"/>
                <w:sz w:val="20"/>
                <w:szCs w:val="20"/>
              </w:rPr>
            </w:pPr>
            <w:r w:rsidRPr="00597243">
              <w:rPr>
                <w:rFonts w:ascii="Arial" w:hAnsi="Arial" w:cs="Arial"/>
                <w:sz w:val="20"/>
                <w:szCs w:val="20"/>
              </w:rPr>
              <w:t>GH-02; SH-05</w:t>
            </w:r>
          </w:p>
        </w:tc>
      </w:tr>
      <w:tr w:rsidR="0097712B" w:rsidRPr="00597243" w14:paraId="6C2C4C8E" w14:textId="77777777" w:rsidTr="00474698">
        <w:tc>
          <w:tcPr>
            <w:tcW w:w="792" w:type="dxa"/>
          </w:tcPr>
          <w:p w14:paraId="65B8B765" w14:textId="77777777" w:rsidR="00B73851" w:rsidRPr="00597243" w:rsidRDefault="00000000">
            <w:pPr>
              <w:jc w:val="center"/>
              <w:rPr>
                <w:rFonts w:ascii="Arial" w:hAnsi="Arial" w:cs="Arial"/>
                <w:sz w:val="20"/>
                <w:szCs w:val="20"/>
              </w:rPr>
            </w:pPr>
            <w:r w:rsidRPr="00597243">
              <w:rPr>
                <w:rFonts w:ascii="Arial" w:hAnsi="Arial" w:cs="Arial"/>
                <w:sz w:val="20"/>
                <w:szCs w:val="20"/>
              </w:rPr>
              <w:t>2</w:t>
            </w:r>
          </w:p>
        </w:tc>
        <w:tc>
          <w:tcPr>
            <w:tcW w:w="3528" w:type="dxa"/>
          </w:tcPr>
          <w:p w14:paraId="7A608517" w14:textId="77777777" w:rsidR="00B73851" w:rsidRPr="00597243" w:rsidRDefault="00000000">
            <w:pPr>
              <w:rPr>
                <w:rFonts w:ascii="Arial" w:hAnsi="Arial" w:cs="Arial"/>
                <w:sz w:val="20"/>
                <w:szCs w:val="20"/>
              </w:rPr>
            </w:pPr>
            <w:r w:rsidRPr="00597243">
              <w:rPr>
                <w:rFonts w:ascii="Arial" w:hAnsi="Arial" w:cs="Arial"/>
                <w:sz w:val="20"/>
                <w:szCs w:val="20"/>
              </w:rPr>
              <w:t>Obstacles to transferring forest-based knowledge</w:t>
            </w:r>
          </w:p>
        </w:tc>
        <w:tc>
          <w:tcPr>
            <w:tcW w:w="1080" w:type="dxa"/>
          </w:tcPr>
          <w:p w14:paraId="63DEB6AB" w14:textId="77777777" w:rsidR="00B73851" w:rsidRPr="00597243" w:rsidRDefault="00000000">
            <w:pPr>
              <w:jc w:val="center"/>
              <w:rPr>
                <w:rFonts w:ascii="Arial" w:hAnsi="Arial" w:cs="Arial"/>
                <w:sz w:val="20"/>
                <w:szCs w:val="20"/>
              </w:rPr>
            </w:pPr>
            <w:r w:rsidRPr="00597243">
              <w:rPr>
                <w:rFonts w:ascii="Arial" w:hAnsi="Arial" w:cs="Arial"/>
                <w:sz w:val="20"/>
                <w:szCs w:val="20"/>
              </w:rPr>
              <w:t>29</w:t>
            </w:r>
          </w:p>
        </w:tc>
        <w:tc>
          <w:tcPr>
            <w:tcW w:w="1224" w:type="dxa"/>
          </w:tcPr>
          <w:p w14:paraId="7212ACF0" w14:textId="77777777" w:rsidR="00B73851" w:rsidRPr="00597243" w:rsidRDefault="00000000">
            <w:pPr>
              <w:jc w:val="center"/>
              <w:rPr>
                <w:rFonts w:ascii="Arial" w:hAnsi="Arial" w:cs="Arial"/>
                <w:sz w:val="20"/>
                <w:szCs w:val="20"/>
              </w:rPr>
            </w:pPr>
            <w:r w:rsidRPr="00597243">
              <w:rPr>
                <w:rFonts w:ascii="Arial" w:hAnsi="Arial" w:cs="Arial"/>
                <w:sz w:val="20"/>
                <w:szCs w:val="20"/>
              </w:rPr>
              <w:t>69%</w:t>
            </w:r>
          </w:p>
        </w:tc>
        <w:tc>
          <w:tcPr>
            <w:tcW w:w="2736" w:type="dxa"/>
          </w:tcPr>
          <w:p w14:paraId="518165D4" w14:textId="77777777" w:rsidR="00B73851" w:rsidRPr="00597243" w:rsidRDefault="00000000">
            <w:pPr>
              <w:rPr>
                <w:rFonts w:ascii="Arial" w:hAnsi="Arial" w:cs="Arial"/>
                <w:sz w:val="20"/>
                <w:szCs w:val="20"/>
              </w:rPr>
            </w:pPr>
            <w:r w:rsidRPr="00597243">
              <w:rPr>
                <w:rFonts w:ascii="Arial" w:hAnsi="Arial" w:cs="Arial"/>
                <w:sz w:val="20"/>
                <w:szCs w:val="20"/>
              </w:rPr>
              <w:t>TH-01; RH-04</w:t>
            </w:r>
          </w:p>
        </w:tc>
      </w:tr>
      <w:tr w:rsidR="0097712B" w:rsidRPr="00597243" w14:paraId="26CCBCDB" w14:textId="77777777" w:rsidTr="00474698">
        <w:tc>
          <w:tcPr>
            <w:tcW w:w="792" w:type="dxa"/>
          </w:tcPr>
          <w:p w14:paraId="7A81DBEB" w14:textId="77777777" w:rsidR="00B73851" w:rsidRPr="00597243" w:rsidRDefault="00000000">
            <w:pPr>
              <w:jc w:val="center"/>
              <w:rPr>
                <w:rFonts w:ascii="Arial" w:hAnsi="Arial" w:cs="Arial"/>
                <w:sz w:val="20"/>
                <w:szCs w:val="20"/>
              </w:rPr>
            </w:pPr>
            <w:r w:rsidRPr="00597243">
              <w:rPr>
                <w:rFonts w:ascii="Arial" w:hAnsi="Arial" w:cs="Arial"/>
                <w:sz w:val="20"/>
                <w:szCs w:val="20"/>
              </w:rPr>
              <w:t>3</w:t>
            </w:r>
          </w:p>
        </w:tc>
        <w:tc>
          <w:tcPr>
            <w:tcW w:w="3528" w:type="dxa"/>
          </w:tcPr>
          <w:p w14:paraId="62DEBBC8" w14:textId="77777777" w:rsidR="00B73851" w:rsidRPr="00597243" w:rsidRDefault="00000000">
            <w:pPr>
              <w:rPr>
                <w:rFonts w:ascii="Arial" w:hAnsi="Arial" w:cs="Arial"/>
                <w:sz w:val="20"/>
                <w:szCs w:val="20"/>
              </w:rPr>
            </w:pPr>
            <w:r w:rsidRPr="00597243">
              <w:rPr>
                <w:rFonts w:ascii="Arial" w:hAnsi="Arial" w:cs="Arial"/>
                <w:sz w:val="20"/>
                <w:szCs w:val="20"/>
              </w:rPr>
              <w:t>Reduced influence in selected household decisions</w:t>
            </w:r>
          </w:p>
        </w:tc>
        <w:tc>
          <w:tcPr>
            <w:tcW w:w="1080" w:type="dxa"/>
          </w:tcPr>
          <w:p w14:paraId="15D6D9C6" w14:textId="77777777" w:rsidR="00B73851" w:rsidRPr="00597243" w:rsidRDefault="00000000">
            <w:pPr>
              <w:jc w:val="center"/>
              <w:rPr>
                <w:rFonts w:ascii="Arial" w:hAnsi="Arial" w:cs="Arial"/>
                <w:sz w:val="20"/>
                <w:szCs w:val="20"/>
              </w:rPr>
            </w:pPr>
            <w:r w:rsidRPr="00597243">
              <w:rPr>
                <w:rFonts w:ascii="Arial" w:hAnsi="Arial" w:cs="Arial"/>
                <w:sz w:val="20"/>
                <w:szCs w:val="20"/>
              </w:rPr>
              <w:t>27</w:t>
            </w:r>
          </w:p>
        </w:tc>
        <w:tc>
          <w:tcPr>
            <w:tcW w:w="1224" w:type="dxa"/>
          </w:tcPr>
          <w:p w14:paraId="6E6D4CE8" w14:textId="77777777" w:rsidR="00B73851" w:rsidRPr="00597243" w:rsidRDefault="00000000">
            <w:pPr>
              <w:jc w:val="center"/>
              <w:rPr>
                <w:rFonts w:ascii="Arial" w:hAnsi="Arial" w:cs="Arial"/>
                <w:sz w:val="20"/>
                <w:szCs w:val="20"/>
              </w:rPr>
            </w:pPr>
            <w:r w:rsidRPr="00597243">
              <w:rPr>
                <w:rFonts w:ascii="Arial" w:hAnsi="Arial" w:cs="Arial"/>
                <w:sz w:val="20"/>
                <w:szCs w:val="20"/>
              </w:rPr>
              <w:t>64%</w:t>
            </w:r>
          </w:p>
        </w:tc>
        <w:tc>
          <w:tcPr>
            <w:tcW w:w="2736" w:type="dxa"/>
          </w:tcPr>
          <w:p w14:paraId="722C4129" w14:textId="77777777" w:rsidR="00B73851" w:rsidRPr="00597243" w:rsidRDefault="00000000">
            <w:pPr>
              <w:rPr>
                <w:rFonts w:ascii="Arial" w:hAnsi="Arial" w:cs="Arial"/>
                <w:sz w:val="20"/>
                <w:szCs w:val="20"/>
              </w:rPr>
            </w:pPr>
            <w:r w:rsidRPr="00597243">
              <w:rPr>
                <w:rFonts w:ascii="Arial" w:hAnsi="Arial" w:cs="Arial"/>
                <w:sz w:val="20"/>
                <w:szCs w:val="20"/>
              </w:rPr>
              <w:t>CH-03; DH-02</w:t>
            </w:r>
          </w:p>
        </w:tc>
      </w:tr>
      <w:tr w:rsidR="0097712B" w:rsidRPr="00597243" w14:paraId="373D04C8" w14:textId="77777777" w:rsidTr="00474698">
        <w:tc>
          <w:tcPr>
            <w:tcW w:w="792" w:type="dxa"/>
          </w:tcPr>
          <w:p w14:paraId="1775D3E2" w14:textId="77777777" w:rsidR="00B73851" w:rsidRPr="00597243" w:rsidRDefault="00000000">
            <w:pPr>
              <w:jc w:val="center"/>
              <w:rPr>
                <w:rFonts w:ascii="Arial" w:hAnsi="Arial" w:cs="Arial"/>
                <w:sz w:val="20"/>
                <w:szCs w:val="20"/>
              </w:rPr>
            </w:pPr>
            <w:r w:rsidRPr="00597243">
              <w:rPr>
                <w:rFonts w:ascii="Arial" w:hAnsi="Arial" w:cs="Arial"/>
                <w:sz w:val="20"/>
                <w:szCs w:val="20"/>
              </w:rPr>
              <w:t>4</w:t>
            </w:r>
          </w:p>
        </w:tc>
        <w:tc>
          <w:tcPr>
            <w:tcW w:w="3528" w:type="dxa"/>
          </w:tcPr>
          <w:p w14:paraId="1E4E5308" w14:textId="77777777" w:rsidR="00B73851" w:rsidRPr="00597243" w:rsidRDefault="00000000">
            <w:pPr>
              <w:rPr>
                <w:rFonts w:ascii="Arial" w:hAnsi="Arial" w:cs="Arial"/>
                <w:sz w:val="20"/>
                <w:szCs w:val="20"/>
              </w:rPr>
            </w:pPr>
            <w:r w:rsidRPr="00597243">
              <w:rPr>
                <w:rFonts w:ascii="Arial" w:hAnsi="Arial" w:cs="Arial"/>
                <w:sz w:val="20"/>
                <w:szCs w:val="20"/>
              </w:rPr>
              <w:t>Digital interest accompanied by access or use barriers</w:t>
            </w:r>
          </w:p>
        </w:tc>
        <w:tc>
          <w:tcPr>
            <w:tcW w:w="1080" w:type="dxa"/>
          </w:tcPr>
          <w:p w14:paraId="3DD409C9" w14:textId="77777777" w:rsidR="00B73851" w:rsidRPr="00597243" w:rsidRDefault="00000000">
            <w:pPr>
              <w:jc w:val="center"/>
              <w:rPr>
                <w:rFonts w:ascii="Arial" w:hAnsi="Arial" w:cs="Arial"/>
                <w:sz w:val="20"/>
                <w:szCs w:val="20"/>
              </w:rPr>
            </w:pPr>
            <w:r w:rsidRPr="00597243">
              <w:rPr>
                <w:rFonts w:ascii="Arial" w:hAnsi="Arial" w:cs="Arial"/>
                <w:sz w:val="20"/>
                <w:szCs w:val="20"/>
              </w:rPr>
              <w:t>14</w:t>
            </w:r>
          </w:p>
        </w:tc>
        <w:tc>
          <w:tcPr>
            <w:tcW w:w="1224" w:type="dxa"/>
          </w:tcPr>
          <w:p w14:paraId="0A88407C" w14:textId="77777777" w:rsidR="00B73851" w:rsidRPr="00597243" w:rsidRDefault="00000000">
            <w:pPr>
              <w:jc w:val="center"/>
              <w:rPr>
                <w:rFonts w:ascii="Arial" w:hAnsi="Arial" w:cs="Arial"/>
                <w:sz w:val="20"/>
                <w:szCs w:val="20"/>
              </w:rPr>
            </w:pPr>
            <w:r w:rsidRPr="00597243">
              <w:rPr>
                <w:rFonts w:ascii="Arial" w:hAnsi="Arial" w:cs="Arial"/>
                <w:sz w:val="20"/>
                <w:szCs w:val="20"/>
              </w:rPr>
              <w:t>33%</w:t>
            </w:r>
          </w:p>
        </w:tc>
        <w:tc>
          <w:tcPr>
            <w:tcW w:w="2736" w:type="dxa"/>
          </w:tcPr>
          <w:p w14:paraId="281E8E12" w14:textId="77777777" w:rsidR="00B73851" w:rsidRPr="00597243" w:rsidRDefault="00000000">
            <w:pPr>
              <w:rPr>
                <w:rFonts w:ascii="Arial" w:hAnsi="Arial" w:cs="Arial"/>
                <w:sz w:val="20"/>
                <w:szCs w:val="20"/>
              </w:rPr>
            </w:pPr>
            <w:r w:rsidRPr="00597243">
              <w:rPr>
                <w:rFonts w:ascii="Arial" w:hAnsi="Arial" w:cs="Arial"/>
                <w:sz w:val="20"/>
                <w:szCs w:val="20"/>
              </w:rPr>
              <w:t>KH-02; BH-03</w:t>
            </w:r>
          </w:p>
        </w:tc>
      </w:tr>
    </w:tbl>
    <w:p w14:paraId="3AED47FF" w14:textId="36450625" w:rsidR="00B73851" w:rsidRPr="00597243" w:rsidRDefault="00000000">
      <w:pPr>
        <w:spacing w:before="40" w:after="120" w:line="240" w:lineRule="auto"/>
        <w:rPr>
          <w:rFonts w:ascii="Arial" w:hAnsi="Arial" w:cs="Arial"/>
          <w:i/>
          <w:sz w:val="20"/>
          <w:szCs w:val="20"/>
        </w:rPr>
      </w:pPr>
      <w:r w:rsidRPr="00597243">
        <w:rPr>
          <w:rFonts w:ascii="Arial" w:hAnsi="Arial" w:cs="Arial"/>
          <w:i/>
          <w:sz w:val="20"/>
          <w:szCs w:val="20"/>
        </w:rPr>
        <w:t xml:space="preserve">Note. </w:t>
      </w:r>
      <w:r w:rsidR="004F18D3" w:rsidRPr="00597243">
        <w:rPr>
          <w:rFonts w:ascii="Arial" w:hAnsi="Arial" w:cs="Arial"/>
          <w:i/>
          <w:sz w:val="20"/>
          <w:szCs w:val="20"/>
        </w:rPr>
        <w:t xml:space="preserve">Themes were non-exclusive; participants could contribute to more than one category. Percentages are rounded to the nearest whole number. Participant codes are illustrative and </w:t>
      </w:r>
      <w:proofErr w:type="spellStart"/>
      <w:r w:rsidR="004F18D3" w:rsidRPr="00597243">
        <w:rPr>
          <w:rFonts w:ascii="Arial" w:hAnsi="Arial" w:cs="Arial"/>
          <w:i/>
          <w:sz w:val="20"/>
          <w:szCs w:val="20"/>
        </w:rPr>
        <w:t>anonymised</w:t>
      </w:r>
      <w:proofErr w:type="spellEnd"/>
      <w:r w:rsidR="004F18D3" w:rsidRPr="00597243">
        <w:rPr>
          <w:rFonts w:ascii="Arial" w:hAnsi="Arial" w:cs="Arial"/>
          <w:i/>
          <w:sz w:val="20"/>
          <w:szCs w:val="20"/>
        </w:rPr>
        <w:t xml:space="preserve">. Code prefixes indicate market location: GH, </w:t>
      </w:r>
      <w:proofErr w:type="spellStart"/>
      <w:r w:rsidR="004F18D3" w:rsidRPr="00597243">
        <w:rPr>
          <w:rFonts w:ascii="Arial" w:hAnsi="Arial" w:cs="Arial"/>
          <w:i/>
          <w:sz w:val="20"/>
          <w:szCs w:val="20"/>
        </w:rPr>
        <w:t>Gumla</w:t>
      </w:r>
      <w:proofErr w:type="spellEnd"/>
      <w:r w:rsidR="004F18D3" w:rsidRPr="00597243">
        <w:rPr>
          <w:rFonts w:ascii="Arial" w:hAnsi="Arial" w:cs="Arial"/>
          <w:i/>
          <w:sz w:val="20"/>
          <w:szCs w:val="20"/>
        </w:rPr>
        <w:t xml:space="preserve">; TH, Toto; SH, Sisai; BH, </w:t>
      </w:r>
      <w:proofErr w:type="spellStart"/>
      <w:r w:rsidR="004F18D3" w:rsidRPr="00597243">
        <w:rPr>
          <w:rFonts w:ascii="Arial" w:hAnsi="Arial" w:cs="Arial"/>
          <w:i/>
          <w:sz w:val="20"/>
          <w:szCs w:val="20"/>
        </w:rPr>
        <w:t>Bhariya</w:t>
      </w:r>
      <w:proofErr w:type="spellEnd"/>
      <w:r w:rsidR="004F18D3" w:rsidRPr="00597243">
        <w:rPr>
          <w:rFonts w:ascii="Arial" w:hAnsi="Arial" w:cs="Arial"/>
          <w:i/>
          <w:sz w:val="20"/>
          <w:szCs w:val="20"/>
        </w:rPr>
        <w:t xml:space="preserve">; KH, </w:t>
      </w:r>
      <w:proofErr w:type="spellStart"/>
      <w:r w:rsidR="004F18D3" w:rsidRPr="00597243">
        <w:rPr>
          <w:rFonts w:ascii="Arial" w:hAnsi="Arial" w:cs="Arial"/>
          <w:i/>
          <w:sz w:val="20"/>
          <w:szCs w:val="20"/>
        </w:rPr>
        <w:t>Kamdara</w:t>
      </w:r>
      <w:proofErr w:type="spellEnd"/>
      <w:r w:rsidR="004F18D3" w:rsidRPr="00597243">
        <w:rPr>
          <w:rFonts w:ascii="Arial" w:hAnsi="Arial" w:cs="Arial"/>
          <w:i/>
          <w:sz w:val="20"/>
          <w:szCs w:val="20"/>
        </w:rPr>
        <w:t xml:space="preserve">; RH, </w:t>
      </w:r>
      <w:proofErr w:type="spellStart"/>
      <w:r w:rsidR="004F18D3" w:rsidRPr="00597243">
        <w:rPr>
          <w:rFonts w:ascii="Arial" w:hAnsi="Arial" w:cs="Arial"/>
          <w:i/>
          <w:sz w:val="20"/>
          <w:szCs w:val="20"/>
        </w:rPr>
        <w:t>Raidih</w:t>
      </w:r>
      <w:proofErr w:type="spellEnd"/>
      <w:r w:rsidR="004F18D3" w:rsidRPr="00597243">
        <w:rPr>
          <w:rFonts w:ascii="Arial" w:hAnsi="Arial" w:cs="Arial"/>
          <w:i/>
          <w:sz w:val="20"/>
          <w:szCs w:val="20"/>
        </w:rPr>
        <w:t xml:space="preserve">; CH, </w:t>
      </w:r>
      <w:proofErr w:type="spellStart"/>
      <w:r w:rsidR="004F18D3" w:rsidRPr="00597243">
        <w:rPr>
          <w:rFonts w:ascii="Arial" w:hAnsi="Arial" w:cs="Arial"/>
          <w:i/>
          <w:sz w:val="20"/>
          <w:szCs w:val="20"/>
        </w:rPr>
        <w:t>Chainpur</w:t>
      </w:r>
      <w:proofErr w:type="spellEnd"/>
      <w:r w:rsidR="004F18D3" w:rsidRPr="00597243">
        <w:rPr>
          <w:rFonts w:ascii="Arial" w:hAnsi="Arial" w:cs="Arial"/>
          <w:i/>
          <w:sz w:val="20"/>
          <w:szCs w:val="20"/>
        </w:rPr>
        <w:t xml:space="preserve">; and DH, </w:t>
      </w:r>
      <w:proofErr w:type="spellStart"/>
      <w:r w:rsidR="004F18D3" w:rsidRPr="00597243">
        <w:rPr>
          <w:rFonts w:ascii="Arial" w:hAnsi="Arial" w:cs="Arial"/>
          <w:i/>
          <w:sz w:val="20"/>
          <w:szCs w:val="20"/>
        </w:rPr>
        <w:t>Dumri</w:t>
      </w:r>
      <w:proofErr w:type="spellEnd"/>
      <w:r w:rsidR="004F18D3" w:rsidRPr="00597243">
        <w:rPr>
          <w:rFonts w:ascii="Arial" w:hAnsi="Arial" w:cs="Arial"/>
          <w:i/>
          <w:sz w:val="20"/>
          <w:szCs w:val="20"/>
        </w:rPr>
        <w:t>.</w:t>
      </w:r>
    </w:p>
    <w:p w14:paraId="748F9719" w14:textId="77777777" w:rsidR="00474698" w:rsidRPr="00597243" w:rsidRDefault="00474698" w:rsidP="00474698">
      <w:pPr>
        <w:pStyle w:val="HTMLPreformatted"/>
        <w:jc w:val="center"/>
        <w:rPr>
          <w:rStyle w:val="HTMLCode"/>
          <w:rFonts w:ascii="Arial" w:hAnsi="Arial" w:cs="Arial"/>
          <w:b/>
        </w:rPr>
      </w:pPr>
    </w:p>
    <w:p w14:paraId="1B1EE719" w14:textId="77777777" w:rsidR="00474698" w:rsidRPr="00597243" w:rsidRDefault="00474698" w:rsidP="00474698">
      <w:pPr>
        <w:pStyle w:val="HTMLPreformatted"/>
        <w:jc w:val="center"/>
        <w:rPr>
          <w:rStyle w:val="HTMLCode"/>
          <w:rFonts w:ascii="Arial" w:hAnsi="Arial" w:cs="Arial"/>
          <w:b/>
        </w:rPr>
      </w:pPr>
    </w:p>
    <w:p w14:paraId="556BAD68" w14:textId="77777777" w:rsidR="00474698" w:rsidRPr="00597243" w:rsidRDefault="00474698" w:rsidP="00474698">
      <w:pPr>
        <w:pStyle w:val="HTMLPreformatted"/>
        <w:jc w:val="center"/>
        <w:rPr>
          <w:rStyle w:val="HTMLCode"/>
          <w:rFonts w:ascii="Arial" w:hAnsi="Arial" w:cs="Arial"/>
          <w:b/>
        </w:rPr>
      </w:pPr>
    </w:p>
    <w:p w14:paraId="6DC2010C" w14:textId="77777777" w:rsidR="00110C42" w:rsidRPr="00597243" w:rsidRDefault="00110C42" w:rsidP="00474698">
      <w:pPr>
        <w:pStyle w:val="HTMLPreformatted"/>
        <w:jc w:val="center"/>
        <w:rPr>
          <w:rStyle w:val="HTMLCode"/>
          <w:rFonts w:ascii="Arial" w:hAnsi="Arial" w:cs="Arial"/>
          <w:b/>
        </w:rPr>
      </w:pPr>
    </w:p>
    <w:p w14:paraId="448D5C84" w14:textId="77777777" w:rsidR="00110C42" w:rsidRPr="00597243" w:rsidRDefault="00110C42" w:rsidP="00474698">
      <w:pPr>
        <w:pStyle w:val="HTMLPreformatted"/>
        <w:jc w:val="center"/>
        <w:rPr>
          <w:rStyle w:val="HTMLCode"/>
          <w:rFonts w:ascii="Arial" w:hAnsi="Arial" w:cs="Arial"/>
          <w:b/>
        </w:rPr>
      </w:pPr>
    </w:p>
    <w:p w14:paraId="22958DC1" w14:textId="77777777" w:rsidR="00110C42" w:rsidRPr="00597243" w:rsidRDefault="00110C42" w:rsidP="00474698">
      <w:pPr>
        <w:pStyle w:val="HTMLPreformatted"/>
        <w:jc w:val="center"/>
        <w:rPr>
          <w:rStyle w:val="HTMLCode"/>
          <w:rFonts w:ascii="Arial" w:hAnsi="Arial" w:cs="Arial"/>
          <w:b/>
        </w:rPr>
      </w:pPr>
    </w:p>
    <w:p w14:paraId="6EEFF605" w14:textId="77777777" w:rsidR="00110C42" w:rsidRPr="00597243" w:rsidRDefault="00110C42" w:rsidP="00474698">
      <w:pPr>
        <w:pStyle w:val="HTMLPreformatted"/>
        <w:jc w:val="center"/>
        <w:rPr>
          <w:rStyle w:val="HTMLCode"/>
          <w:rFonts w:ascii="Arial" w:hAnsi="Arial" w:cs="Arial"/>
          <w:b/>
        </w:rPr>
      </w:pPr>
    </w:p>
    <w:p w14:paraId="42FAA0F3" w14:textId="77777777" w:rsidR="00110C42" w:rsidRPr="00597243" w:rsidRDefault="00110C42" w:rsidP="00474698">
      <w:pPr>
        <w:pStyle w:val="HTMLPreformatted"/>
        <w:jc w:val="center"/>
        <w:rPr>
          <w:rStyle w:val="HTMLCode"/>
          <w:rFonts w:ascii="Arial" w:hAnsi="Arial" w:cs="Arial"/>
          <w:b/>
        </w:rPr>
      </w:pPr>
    </w:p>
    <w:p w14:paraId="4858E2B4" w14:textId="77777777" w:rsidR="00110C42" w:rsidRPr="00597243" w:rsidRDefault="00110C42" w:rsidP="00474698">
      <w:pPr>
        <w:pStyle w:val="HTMLPreformatted"/>
        <w:jc w:val="center"/>
        <w:rPr>
          <w:rStyle w:val="HTMLCode"/>
          <w:rFonts w:ascii="Arial" w:hAnsi="Arial" w:cs="Arial"/>
          <w:b/>
        </w:rPr>
      </w:pPr>
    </w:p>
    <w:p w14:paraId="12B769F6" w14:textId="77777777" w:rsidR="00110C42" w:rsidRPr="00597243" w:rsidRDefault="00110C42" w:rsidP="00110C42">
      <w:pPr>
        <w:pStyle w:val="HTMLPreformatted"/>
        <w:jc w:val="both"/>
        <w:rPr>
          <w:rStyle w:val="HTMLCode"/>
          <w:rFonts w:ascii="Arial" w:hAnsi="Arial" w:cs="Arial"/>
        </w:rPr>
      </w:pPr>
    </w:p>
    <w:p w14:paraId="2168C8A7" w14:textId="77777777" w:rsidR="00110C42" w:rsidRPr="00597243" w:rsidRDefault="00110C42" w:rsidP="00110C42">
      <w:pPr>
        <w:pStyle w:val="HTMLPreformatted"/>
        <w:rPr>
          <w:rStyle w:val="HTMLCode"/>
          <w:rFonts w:ascii="Arial" w:hAnsi="Arial" w:cs="Arial"/>
        </w:rPr>
      </w:pPr>
      <w:r w:rsidRPr="00597243">
        <w:rPr>
          <w:rFonts w:ascii="Arial" w:hAnsi="Arial" w:cs="Arial"/>
          <w:noProof/>
        </w:rPr>
        <w:drawing>
          <wp:anchor distT="0" distB="0" distL="114300" distR="114300" simplePos="0" relativeHeight="251657728" behindDoc="0" locked="1" layoutInCell="1" allowOverlap="1" wp14:anchorId="49823B5A" wp14:editId="7079C820">
            <wp:simplePos x="0" y="0"/>
            <wp:positionH relativeFrom="margin">
              <wp:align>center</wp:align>
            </wp:positionH>
            <wp:positionV relativeFrom="paragraph">
              <wp:posOffset>57785</wp:posOffset>
            </wp:positionV>
            <wp:extent cx="4625975" cy="2541905"/>
            <wp:effectExtent l="0" t="0" r="0" b="10795"/>
            <wp:wrapSquare wrapText="bothSides"/>
            <wp:docPr id="5"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anchor>
        </w:drawing>
      </w:r>
    </w:p>
    <w:p w14:paraId="4BE670AE" w14:textId="77777777" w:rsidR="00110C42" w:rsidRPr="00597243" w:rsidRDefault="00110C42" w:rsidP="00110C42">
      <w:pPr>
        <w:pStyle w:val="HTMLPreformatted"/>
        <w:rPr>
          <w:rStyle w:val="HTMLCode"/>
          <w:rFonts w:ascii="Arial" w:hAnsi="Arial" w:cs="Arial"/>
        </w:rPr>
      </w:pPr>
    </w:p>
    <w:p w14:paraId="627D9E06" w14:textId="77777777" w:rsidR="00110C42" w:rsidRPr="00597243" w:rsidRDefault="00110C42" w:rsidP="00110C42">
      <w:pPr>
        <w:pStyle w:val="HTMLPreformatted"/>
        <w:rPr>
          <w:rStyle w:val="HTMLCode"/>
          <w:rFonts w:ascii="Arial" w:hAnsi="Arial" w:cs="Arial"/>
        </w:rPr>
      </w:pPr>
    </w:p>
    <w:p w14:paraId="08242BB8" w14:textId="77777777" w:rsidR="00110C42" w:rsidRPr="00597243" w:rsidRDefault="00110C42" w:rsidP="00110C42">
      <w:pPr>
        <w:pStyle w:val="HTMLPreformatted"/>
        <w:rPr>
          <w:rStyle w:val="HTMLCode"/>
          <w:rFonts w:ascii="Arial" w:hAnsi="Arial" w:cs="Arial"/>
        </w:rPr>
      </w:pPr>
    </w:p>
    <w:p w14:paraId="6EADD5A8" w14:textId="77777777" w:rsidR="00110C42" w:rsidRPr="00597243" w:rsidRDefault="00110C42" w:rsidP="00110C42">
      <w:pPr>
        <w:pStyle w:val="HTMLPreformatted"/>
        <w:rPr>
          <w:rStyle w:val="HTMLCode"/>
          <w:rFonts w:ascii="Arial" w:hAnsi="Arial" w:cs="Arial"/>
        </w:rPr>
      </w:pPr>
    </w:p>
    <w:p w14:paraId="1DEA877E" w14:textId="77777777" w:rsidR="00110C42" w:rsidRPr="00597243" w:rsidRDefault="00110C42" w:rsidP="00110C42">
      <w:pPr>
        <w:pStyle w:val="HTMLPreformatted"/>
        <w:rPr>
          <w:rStyle w:val="HTMLCode"/>
          <w:rFonts w:ascii="Arial" w:hAnsi="Arial" w:cs="Arial"/>
        </w:rPr>
      </w:pPr>
    </w:p>
    <w:p w14:paraId="495CB12F" w14:textId="77777777" w:rsidR="00110C42" w:rsidRPr="00597243" w:rsidRDefault="00110C42" w:rsidP="00110C42">
      <w:pPr>
        <w:pStyle w:val="HTMLPreformatted"/>
        <w:rPr>
          <w:rStyle w:val="HTMLCode"/>
          <w:rFonts w:ascii="Arial" w:hAnsi="Arial" w:cs="Arial"/>
        </w:rPr>
      </w:pPr>
    </w:p>
    <w:p w14:paraId="04062BB3" w14:textId="77777777" w:rsidR="00110C42" w:rsidRPr="00597243" w:rsidRDefault="00110C42" w:rsidP="00110C42">
      <w:pPr>
        <w:pStyle w:val="HTMLPreformatted"/>
        <w:rPr>
          <w:rStyle w:val="HTMLCode"/>
          <w:rFonts w:ascii="Arial" w:hAnsi="Arial" w:cs="Arial"/>
        </w:rPr>
      </w:pPr>
    </w:p>
    <w:p w14:paraId="7BC71A69" w14:textId="77777777" w:rsidR="00110C42" w:rsidRPr="00597243" w:rsidRDefault="00110C42" w:rsidP="00110C42">
      <w:pPr>
        <w:pStyle w:val="HTMLPreformatted"/>
        <w:rPr>
          <w:rStyle w:val="HTMLCode"/>
          <w:rFonts w:ascii="Arial" w:hAnsi="Arial" w:cs="Arial"/>
        </w:rPr>
      </w:pPr>
    </w:p>
    <w:p w14:paraId="204D2AAD" w14:textId="77777777" w:rsidR="00110C42" w:rsidRPr="00597243" w:rsidRDefault="00110C42" w:rsidP="00110C42">
      <w:pPr>
        <w:pStyle w:val="HTMLPreformatted"/>
        <w:rPr>
          <w:rStyle w:val="HTMLCode"/>
          <w:rFonts w:ascii="Arial" w:hAnsi="Arial" w:cs="Arial"/>
        </w:rPr>
      </w:pPr>
    </w:p>
    <w:p w14:paraId="4B6B047E" w14:textId="77777777" w:rsidR="00110C42" w:rsidRPr="00597243" w:rsidRDefault="00110C42" w:rsidP="00110C42">
      <w:pPr>
        <w:pStyle w:val="HTMLPreformatted"/>
        <w:rPr>
          <w:rStyle w:val="HTMLCode"/>
          <w:rFonts w:ascii="Arial" w:hAnsi="Arial" w:cs="Arial"/>
        </w:rPr>
      </w:pPr>
    </w:p>
    <w:p w14:paraId="639820DA" w14:textId="77777777" w:rsidR="00110C42" w:rsidRPr="00597243" w:rsidRDefault="00110C42" w:rsidP="00110C42">
      <w:pPr>
        <w:pStyle w:val="HTMLPreformatted"/>
        <w:rPr>
          <w:rStyle w:val="HTMLCode"/>
          <w:rFonts w:ascii="Arial" w:hAnsi="Arial" w:cs="Arial"/>
        </w:rPr>
      </w:pPr>
    </w:p>
    <w:p w14:paraId="5E31252F" w14:textId="77777777" w:rsidR="00110C42" w:rsidRPr="00597243" w:rsidRDefault="00110C42" w:rsidP="00110C42">
      <w:pPr>
        <w:pStyle w:val="HTMLPreformatted"/>
        <w:rPr>
          <w:rStyle w:val="HTMLCode"/>
          <w:rFonts w:ascii="Arial" w:hAnsi="Arial" w:cs="Arial"/>
        </w:rPr>
      </w:pPr>
    </w:p>
    <w:p w14:paraId="1E6C5BAF" w14:textId="77777777" w:rsidR="00110C42" w:rsidRPr="00597243" w:rsidRDefault="00110C42" w:rsidP="00110C42">
      <w:pPr>
        <w:pStyle w:val="HTMLPreformatted"/>
        <w:rPr>
          <w:rStyle w:val="HTMLCode"/>
          <w:rFonts w:ascii="Arial" w:hAnsi="Arial" w:cs="Arial"/>
        </w:rPr>
      </w:pPr>
    </w:p>
    <w:p w14:paraId="3E0619B9" w14:textId="77777777" w:rsidR="00110C42" w:rsidRPr="00597243" w:rsidRDefault="00110C42" w:rsidP="00110C42">
      <w:pPr>
        <w:pStyle w:val="HTMLPreformatted"/>
        <w:rPr>
          <w:rStyle w:val="HTMLCode"/>
          <w:rFonts w:ascii="Arial" w:hAnsi="Arial" w:cs="Arial"/>
        </w:rPr>
      </w:pPr>
    </w:p>
    <w:p w14:paraId="0B159D2F" w14:textId="77777777" w:rsidR="00110C42" w:rsidRPr="00597243" w:rsidRDefault="00110C42" w:rsidP="00110C42">
      <w:pPr>
        <w:pStyle w:val="HTMLPreformatted"/>
        <w:rPr>
          <w:rStyle w:val="HTMLCode"/>
          <w:rFonts w:ascii="Arial" w:hAnsi="Arial" w:cs="Arial"/>
        </w:rPr>
      </w:pPr>
    </w:p>
    <w:p w14:paraId="573BD8C8" w14:textId="77777777" w:rsidR="00110C42" w:rsidRPr="00597243" w:rsidRDefault="00110C42" w:rsidP="00110C42">
      <w:pPr>
        <w:pStyle w:val="HTMLPreformatted"/>
        <w:rPr>
          <w:rStyle w:val="HTMLCode"/>
          <w:rFonts w:ascii="Arial" w:hAnsi="Arial" w:cs="Arial"/>
        </w:rPr>
      </w:pPr>
    </w:p>
    <w:p w14:paraId="2DF86027" w14:textId="27D19020" w:rsidR="00110C42" w:rsidRPr="00597243" w:rsidRDefault="00110C42" w:rsidP="00110C42">
      <w:pPr>
        <w:pStyle w:val="HTMLPreformatted"/>
        <w:rPr>
          <w:rStyle w:val="HTMLCode"/>
          <w:rFonts w:ascii="Arial" w:hAnsi="Arial" w:cs="Arial"/>
        </w:rPr>
      </w:pPr>
      <w:r w:rsidRPr="00597243">
        <w:rPr>
          <w:rFonts w:ascii="Arial" w:hAnsi="Arial" w:cs="Arial"/>
          <w:noProof/>
        </w:rPr>
        <mc:AlternateContent>
          <mc:Choice Requires="wpg">
            <w:drawing>
              <wp:anchor distT="0" distB="0" distL="114300" distR="114300" simplePos="0" relativeHeight="251660288" behindDoc="0" locked="1" layoutInCell="1" allowOverlap="1" wp14:anchorId="1F3AECC6" wp14:editId="37D9FBED">
                <wp:simplePos x="0" y="0"/>
                <wp:positionH relativeFrom="margin">
                  <wp:posOffset>1678305</wp:posOffset>
                </wp:positionH>
                <wp:positionV relativeFrom="paragraph">
                  <wp:posOffset>-10795</wp:posOffset>
                </wp:positionV>
                <wp:extent cx="2453005" cy="1824355"/>
                <wp:effectExtent l="0" t="19050" r="4445" b="4445"/>
                <wp:wrapNone/>
                <wp:docPr id="1880265740"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53005" cy="1824355"/>
                          <a:chOff x="4053" y="9478"/>
                          <a:chExt cx="3855" cy="3751"/>
                        </a:xfrm>
                      </wpg:grpSpPr>
                      <wpg:grpSp>
                        <wpg:cNvPr id="563194748" name="Group 16"/>
                        <wpg:cNvGrpSpPr>
                          <a:grpSpLocks/>
                        </wpg:cNvGrpSpPr>
                        <wpg:grpSpPr bwMode="auto">
                          <a:xfrm>
                            <a:off x="4053" y="9478"/>
                            <a:ext cx="3855" cy="3751"/>
                            <a:chOff x="4053" y="9478"/>
                            <a:chExt cx="3855" cy="3751"/>
                          </a:xfrm>
                        </wpg:grpSpPr>
                        <wpg:grpSp>
                          <wpg:cNvPr id="1317943613" name="Group 17"/>
                          <wpg:cNvGrpSpPr>
                            <a:grpSpLocks/>
                          </wpg:cNvGrpSpPr>
                          <wpg:grpSpPr bwMode="auto">
                            <a:xfrm>
                              <a:off x="5057" y="9478"/>
                              <a:ext cx="2037" cy="871"/>
                              <a:chOff x="4822" y="9226"/>
                              <a:chExt cx="1758" cy="871"/>
                            </a:xfrm>
                          </wpg:grpSpPr>
                          <wpg:grpSp>
                            <wpg:cNvPr id="1211904032" name="Group 18"/>
                            <wpg:cNvGrpSpPr>
                              <a:grpSpLocks/>
                            </wpg:cNvGrpSpPr>
                            <wpg:grpSpPr bwMode="auto">
                              <a:xfrm>
                                <a:off x="4822" y="9226"/>
                                <a:ext cx="1758" cy="234"/>
                                <a:chOff x="4822" y="9226"/>
                                <a:chExt cx="1758" cy="234"/>
                              </a:xfrm>
                            </wpg:grpSpPr>
                            <wps:wsp>
                              <wps:cNvPr id="1692132963" name="AutoShape 19"/>
                              <wps:cNvCnPr>
                                <a:cxnSpLocks noChangeShapeType="1"/>
                              </wps:cNvCnPr>
                              <wps:spPr bwMode="auto">
                                <a:xfrm>
                                  <a:off x="4822" y="9226"/>
                                  <a:ext cx="737" cy="234"/>
                                </a:xfrm>
                                <a:prstGeom prst="bentConnector3">
                                  <a:avLst>
                                    <a:gd name="adj1" fmla="val 49931"/>
                                  </a:avLst>
                                </a:prstGeom>
                                <a:noFill/>
                                <a:ln w="28575">
                                  <a:solidFill>
                                    <a:schemeClr val="accent1">
                                      <a:lumMod val="100000"/>
                                      <a:lumOff val="0"/>
                                    </a:schemeClr>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969107322" name="AutoShape 20"/>
                              <wps:cNvCnPr>
                                <a:cxnSpLocks noChangeShapeType="1"/>
                              </wps:cNvCnPr>
                              <wps:spPr bwMode="auto">
                                <a:xfrm rot="10800000" flipV="1">
                                  <a:off x="5559" y="9226"/>
                                  <a:ext cx="1021" cy="234"/>
                                </a:xfrm>
                                <a:prstGeom prst="bentConnector3">
                                  <a:avLst>
                                    <a:gd name="adj1" fmla="val 49949"/>
                                  </a:avLst>
                                </a:prstGeom>
                                <a:noFill/>
                                <a:ln w="28575">
                                  <a:solidFill>
                                    <a:schemeClr val="accent1">
                                      <a:lumMod val="100000"/>
                                      <a:lumOff val="0"/>
                                    </a:schemeClr>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g:grpSp>
                          <wps:wsp>
                            <wps:cNvPr id="83251448" name="AutoShape 21"/>
                            <wps:cNvCnPr>
                              <a:cxnSpLocks noChangeShapeType="1"/>
                            </wps:cNvCnPr>
                            <wps:spPr bwMode="auto">
                              <a:xfrm>
                                <a:off x="5559" y="9460"/>
                                <a:ext cx="0" cy="637"/>
                              </a:xfrm>
                              <a:prstGeom prst="straightConnector1">
                                <a:avLst/>
                              </a:prstGeom>
                              <a:noFill/>
                              <a:ln w="28575">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g:grpSp>
                        <wps:wsp>
                          <wps:cNvPr id="407043994" name="Text Box 22"/>
                          <wps:cNvSpPr txBox="1">
                            <a:spLocks noChangeArrowheads="1"/>
                          </wps:cNvSpPr>
                          <wps:spPr bwMode="auto">
                            <a:xfrm>
                              <a:off x="4053" y="10349"/>
                              <a:ext cx="3855" cy="2880"/>
                            </a:xfrm>
                            <a:prstGeom prst="rect">
                              <a:avLst/>
                            </a:prstGeom>
                            <a:solidFill>
                              <a:schemeClr val="accent1">
                                <a:lumMod val="100000"/>
                                <a:lumOff val="0"/>
                              </a:schemeClr>
                            </a:solidFill>
                            <a:ln>
                              <a:noFill/>
                            </a:ln>
                            <a:effectLst/>
                            <a:extLst>
                              <a:ext uri="{91240B29-F687-4F45-9708-019B960494DF}">
                                <a14:hiddenLine xmlns:a14="http://schemas.microsoft.com/office/drawing/2010/main" w="127000" cmpd="dbl">
                                  <a:solidFill>
                                    <a:schemeClr val="accent1">
                                      <a:lumMod val="100000"/>
                                      <a:lumOff val="0"/>
                                    </a:schemeClr>
                                  </a:solidFill>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29A2F1D" w14:textId="5480FBA2" w:rsidR="00110C42" w:rsidRPr="009E532F" w:rsidRDefault="007B4447" w:rsidP="00110C42">
                                <w:pPr>
                                  <w:jc w:val="center"/>
                                  <w:rPr>
                                    <w:rStyle w:val="HTMLCode"/>
                                    <w:rFonts w:ascii="Arial" w:eastAsiaTheme="minorHAnsi" w:hAnsi="Arial" w:cs="Arial"/>
                                    <w:color w:val="FFFFFF" w:themeColor="background1"/>
                                  </w:rPr>
                                </w:pPr>
                                <w:r w:rsidRPr="007B4447">
                                  <w:rPr>
                                    <w:rStyle w:val="HTMLCode"/>
                                    <w:rFonts w:ascii="Arial" w:eastAsiaTheme="minorHAnsi" w:hAnsi="Arial" w:cs="Arial"/>
                                    <w:color w:val="FFFFFF" w:themeColor="background1"/>
                                  </w:rPr>
                                  <w:t>IMPACT ON WOMEN'SHOUSEHOLD AGENCY</w:t>
                                </w:r>
                                <w:r>
                                  <w:rPr>
                                    <w:rStyle w:val="HTMLCode"/>
                                    <w:rFonts w:ascii="Arial" w:eastAsiaTheme="minorHAnsi" w:hAnsi="Arial" w:cs="Arial"/>
                                    <w:color w:val="FFFFFF" w:themeColor="background1"/>
                                  </w:rPr>
                                  <w:t xml:space="preserve"> </w:t>
                                </w:r>
                                <w:r w:rsidR="00110C42" w:rsidRPr="009E532F">
                                  <w:rPr>
                                    <w:rStyle w:val="HTMLCode"/>
                                    <w:rFonts w:ascii="Arial" w:eastAsiaTheme="minorHAnsi" w:hAnsi="Arial" w:cs="Arial"/>
                                    <w:color w:val="FFFFFF" w:themeColor="background1"/>
                                  </w:rPr>
                                  <w:t>(64%)</w:t>
                                </w:r>
                              </w:p>
                              <w:p w14:paraId="600E3470" w14:textId="77777777" w:rsidR="00110C42" w:rsidRPr="009E532F" w:rsidRDefault="00110C42" w:rsidP="00110C42">
                                <w:pPr>
                                  <w:rPr>
                                    <w:rStyle w:val="HTMLCode"/>
                                    <w:rFonts w:ascii="Arial" w:eastAsiaTheme="minorHAnsi" w:hAnsi="Arial" w:cs="Arial"/>
                                    <w:color w:val="FFFFFF" w:themeColor="background1"/>
                                  </w:rPr>
                                </w:pPr>
                                <w:r w:rsidRPr="009E532F">
                                  <w:rPr>
                                    <w:rStyle w:val="HTMLCode"/>
                                    <w:rFonts w:ascii="Arial" w:eastAsiaTheme="minorHAnsi" w:hAnsi="Arial" w:cs="Arial"/>
                                    <w:color w:val="FFFFFF" w:themeColor="background1"/>
                                  </w:rPr>
                                  <w:t>• Diminished Consultative Influence</w:t>
                                </w:r>
                              </w:p>
                              <w:p w14:paraId="1BFEA2C7" w14:textId="4B6F5FF4" w:rsidR="00110C42" w:rsidRPr="009E532F" w:rsidRDefault="00110C42" w:rsidP="00110C42">
                                <w:pPr>
                                  <w:rPr>
                                    <w:rFonts w:ascii="Arial" w:hAnsi="Arial" w:cs="Arial"/>
                                  </w:rPr>
                                </w:pPr>
                                <w:r w:rsidRPr="009E532F">
                                  <w:rPr>
                                    <w:rStyle w:val="HTMLCode"/>
                                    <w:rFonts w:ascii="Arial" w:eastAsiaTheme="minorHAnsi" w:hAnsi="Arial" w:cs="Arial"/>
                                    <w:color w:val="FFFFFF" w:themeColor="background1"/>
                                  </w:rPr>
                                  <w:t xml:space="preserve">• </w:t>
                                </w:r>
                                <w:r w:rsidRPr="00110C42">
                                  <w:rPr>
                                    <w:rStyle w:val="HTMLCode"/>
                                    <w:rFonts w:ascii="Arial" w:eastAsiaTheme="minorHAnsi" w:hAnsi="Arial" w:cs="Arial"/>
                                    <w:color w:val="FFFFFF" w:themeColor="background1"/>
                                  </w:rPr>
                                  <w:t>Perceived Differences between Transfer Support and Self-Managed Forest Earnings</w:t>
                                </w:r>
                              </w:p>
                            </w:txbxContent>
                          </wps:txbx>
                          <wps:bodyPr rot="0" vert="horz" wrap="square" lIns="91440" tIns="45720" rIns="91440" bIns="45720" anchor="t" anchorCtr="0" upright="1">
                            <a:noAutofit/>
                          </wps:bodyPr>
                        </wps:wsp>
                      </wpg:grpSp>
                      <wpg:grpSp>
                        <wpg:cNvPr id="1786547835" name="Group 23"/>
                        <wpg:cNvGrpSpPr>
                          <a:grpSpLocks/>
                        </wpg:cNvGrpSpPr>
                        <wpg:grpSpPr bwMode="auto">
                          <a:xfrm>
                            <a:off x="5057" y="9478"/>
                            <a:ext cx="2037" cy="871"/>
                            <a:chOff x="4822" y="9226"/>
                            <a:chExt cx="1758" cy="871"/>
                          </a:xfrm>
                        </wpg:grpSpPr>
                        <wpg:grpSp>
                          <wpg:cNvPr id="169675132" name="Group 24"/>
                          <wpg:cNvGrpSpPr>
                            <a:grpSpLocks/>
                          </wpg:cNvGrpSpPr>
                          <wpg:grpSpPr bwMode="auto">
                            <a:xfrm>
                              <a:off x="4822" y="9226"/>
                              <a:ext cx="1758" cy="234"/>
                              <a:chOff x="4822" y="9226"/>
                              <a:chExt cx="1758" cy="234"/>
                            </a:xfrm>
                          </wpg:grpSpPr>
                          <wps:wsp>
                            <wps:cNvPr id="2008908166" name="AutoShape 25"/>
                            <wps:cNvCnPr>
                              <a:cxnSpLocks noChangeShapeType="1"/>
                            </wps:cNvCnPr>
                            <wps:spPr bwMode="auto">
                              <a:xfrm>
                                <a:off x="4822" y="9226"/>
                                <a:ext cx="737" cy="234"/>
                              </a:xfrm>
                              <a:prstGeom prst="bentConnector3">
                                <a:avLst>
                                  <a:gd name="adj1" fmla="val 49931"/>
                                </a:avLst>
                              </a:prstGeom>
                              <a:noFill/>
                              <a:ln w="28575">
                                <a:solidFill>
                                  <a:schemeClr val="accent1">
                                    <a:lumMod val="100000"/>
                                    <a:lumOff val="0"/>
                                  </a:schemeClr>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792547139" name="AutoShape 26"/>
                            <wps:cNvCnPr>
                              <a:cxnSpLocks noChangeShapeType="1"/>
                            </wps:cNvCnPr>
                            <wps:spPr bwMode="auto">
                              <a:xfrm rot="10800000" flipV="1">
                                <a:off x="5559" y="9226"/>
                                <a:ext cx="1021" cy="234"/>
                              </a:xfrm>
                              <a:prstGeom prst="bentConnector3">
                                <a:avLst>
                                  <a:gd name="adj1" fmla="val 49949"/>
                                </a:avLst>
                              </a:prstGeom>
                              <a:noFill/>
                              <a:ln w="28575">
                                <a:solidFill>
                                  <a:schemeClr val="accent1">
                                    <a:lumMod val="100000"/>
                                    <a:lumOff val="0"/>
                                  </a:schemeClr>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g:grpSp>
                        <wps:wsp>
                          <wps:cNvPr id="1480263736" name="AutoShape 27"/>
                          <wps:cNvCnPr>
                            <a:cxnSpLocks noChangeShapeType="1"/>
                          </wps:cNvCnPr>
                          <wps:spPr bwMode="auto">
                            <a:xfrm>
                              <a:off x="5559" y="9460"/>
                              <a:ext cx="0" cy="637"/>
                            </a:xfrm>
                            <a:prstGeom prst="straightConnector1">
                              <a:avLst/>
                            </a:prstGeom>
                            <a:noFill/>
                            <a:ln w="28575">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g:grpSp>
                    </wpg:wgp>
                  </a:graphicData>
                </a:graphic>
                <wp14:sizeRelH relativeFrom="page">
                  <wp14:pctWidth>0</wp14:pctWidth>
                </wp14:sizeRelH>
                <wp14:sizeRelV relativeFrom="page">
                  <wp14:pctHeight>0</wp14:pctHeight>
                </wp14:sizeRelV>
              </wp:anchor>
            </w:drawing>
          </mc:Choice>
          <mc:Fallback>
            <w:pict>
              <v:group w14:anchorId="1F3AECC6" id="Group 9" o:spid="_x0000_s1026" style="position:absolute;margin-left:132.15pt;margin-top:-.85pt;width:193.15pt;height:143.65pt;z-index:251660288;mso-position-horizontal-relative:margin" coordorigin="4053,9478" coordsize="3855,3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">
                <v:group id="Group 16" o:spid="_x0000_s1027" style="position:absolute;left:4053;top:9478;width:3855;height:3751" coordorigin="4053,9478" coordsize="3855,3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">
                  <v:group id="Group 17" o:spid="_x0000_s1028" style="position:absolute;left:5057;top:9478;width:2037;height:871" coordorigin="4822,9226" coordsize="1758,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">
                    <v:group id="Group 18" o:spid="_x0000_s1029" style="position:absolute;left:4822;top:9226;width:1758;height:234" coordorigin="4822,9226" coordsize="1758,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9" o:spid="_x0000_s1030" type="#_x0000_t34" style="position:absolute;left:4822;top:9226;width:737;height:23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" adj="10785" strokecolor="#4f81bd [3204]" strokeweight="2.25pt">
                        <v:shadow color="#868686"/>
                      </v:shape>
                      <v:shape id="AutoShape 20" o:spid="_x0000_s1031" type="#_x0000_t34" style="position:absolute;left:5559;top:9226;width:1021;height:234;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" adj="10789" strokecolor="#4f81bd [3204]" strokeweight="2.25pt">
                        <v:shadow color="#868686"/>
                      </v:shape>
                    </v:group>
                    <v:shapetype id="_x0000_t32" coordsize="21600,21600" o:spt="32" o:oned="t" path="m,l21600,21600e" filled="f">
                      <v:path arrowok="t" fillok="f" o:connecttype="none"/>
                      <o:lock v:ext="edit" shapetype="t"/>
                    </v:shapetype>
                    <v:shape id="AutoShape 21" o:spid="_x0000_s1032" type="#_x0000_t32" style="position:absolute;left:5559;top:9460;width:0;height:6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" strokecolor="#4f81bd [3204]" strokeweight="2.25pt">
                      <v:shadow color="#868686"/>
                    </v:shape>
                  </v:group>
                  <v:shapetype id="_x0000_t202" coordsize="21600,21600" o:spt="202" path="m,l,21600r21600,l21600,xe">
                    <v:stroke joinstyle="miter"/>
                    <v:path gradientshapeok="t" o:connecttype="rect"/>
                  </v:shapetype>
                  <v:shape id="Text Box 22" o:spid="_x0000_s1033" type="#_x0000_t202" style="position:absolute;left:4053;top:10349;width:3855;height:2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" fillcolor="#4f81bd [3204]" stroked="f" strokecolor="#4f81bd [3204]" strokeweight="10pt">
                    <v:stroke linestyle="thinThin"/>
                    <v:shadow color="#868686"/>
                    <v:textbox>
                      <w:txbxContent>
                        <w:p w14:paraId="329A2F1D" w14:textId="5480FBA2" w:rsidR="00110C42" w:rsidRPr="009E532F" w:rsidRDefault="007B4447" w:rsidP="00110C42">
                          <w:pPr>
                            <w:jc w:val="center"/>
                            <w:rPr>
                              <w:rStyle w:val="HTMLCode"/>
                              <w:rFonts w:ascii="Arial" w:eastAsiaTheme="minorHAnsi" w:hAnsi="Arial" w:cs="Arial"/>
                              <w:color w:val="FFFFFF" w:themeColor="background1"/>
                            </w:rPr>
                          </w:pPr>
                          <w:r w:rsidRPr="007B4447">
                            <w:rPr>
                              <w:rStyle w:val="HTMLCode"/>
                              <w:rFonts w:ascii="Arial" w:eastAsiaTheme="minorHAnsi" w:hAnsi="Arial" w:cs="Arial"/>
                              <w:color w:val="FFFFFF" w:themeColor="background1"/>
                            </w:rPr>
                            <w:t>IMPACT ON WOMEN'SHOUSEHOLD AGENCY</w:t>
                          </w:r>
                          <w:r>
                            <w:rPr>
                              <w:rStyle w:val="HTMLCode"/>
                              <w:rFonts w:ascii="Arial" w:eastAsiaTheme="minorHAnsi" w:hAnsi="Arial" w:cs="Arial"/>
                              <w:color w:val="FFFFFF" w:themeColor="background1"/>
                            </w:rPr>
                            <w:t xml:space="preserve"> </w:t>
                          </w:r>
                          <w:r w:rsidR="00110C42" w:rsidRPr="009E532F">
                            <w:rPr>
                              <w:rStyle w:val="HTMLCode"/>
                              <w:rFonts w:ascii="Arial" w:eastAsiaTheme="minorHAnsi" w:hAnsi="Arial" w:cs="Arial"/>
                              <w:color w:val="FFFFFF" w:themeColor="background1"/>
                            </w:rPr>
                            <w:t>(64%)</w:t>
                          </w:r>
                        </w:p>
                        <w:p w14:paraId="600E3470" w14:textId="77777777" w:rsidR="00110C42" w:rsidRPr="009E532F" w:rsidRDefault="00110C42" w:rsidP="00110C42">
                          <w:pPr>
                            <w:rPr>
                              <w:rStyle w:val="HTMLCode"/>
                              <w:rFonts w:ascii="Arial" w:eastAsiaTheme="minorHAnsi" w:hAnsi="Arial" w:cs="Arial"/>
                              <w:color w:val="FFFFFF" w:themeColor="background1"/>
                            </w:rPr>
                          </w:pPr>
                          <w:r w:rsidRPr="009E532F">
                            <w:rPr>
                              <w:rStyle w:val="HTMLCode"/>
                              <w:rFonts w:ascii="Arial" w:eastAsiaTheme="minorHAnsi" w:hAnsi="Arial" w:cs="Arial"/>
                              <w:color w:val="FFFFFF" w:themeColor="background1"/>
                            </w:rPr>
                            <w:t>• Diminished Consultative Influence</w:t>
                          </w:r>
                        </w:p>
                        <w:p w14:paraId="1BFEA2C7" w14:textId="4B6F5FF4" w:rsidR="00110C42" w:rsidRPr="009E532F" w:rsidRDefault="00110C42" w:rsidP="00110C42">
                          <w:pPr>
                            <w:rPr>
                              <w:rFonts w:ascii="Arial" w:hAnsi="Arial" w:cs="Arial"/>
                            </w:rPr>
                          </w:pPr>
                          <w:r w:rsidRPr="009E532F">
                            <w:rPr>
                              <w:rStyle w:val="HTMLCode"/>
                              <w:rFonts w:ascii="Arial" w:eastAsiaTheme="minorHAnsi" w:hAnsi="Arial" w:cs="Arial"/>
                              <w:color w:val="FFFFFF" w:themeColor="background1"/>
                            </w:rPr>
                            <w:t xml:space="preserve">• </w:t>
                          </w:r>
                          <w:r w:rsidRPr="00110C42">
                            <w:rPr>
                              <w:rStyle w:val="HTMLCode"/>
                              <w:rFonts w:ascii="Arial" w:eastAsiaTheme="minorHAnsi" w:hAnsi="Arial" w:cs="Arial"/>
                              <w:color w:val="FFFFFF" w:themeColor="background1"/>
                            </w:rPr>
                            <w:t>Perceived Differences between Transfer Support and Self-Managed Forest Earnings</w:t>
                          </w:r>
                        </w:p>
                      </w:txbxContent>
                    </v:textbox>
                  </v:shape>
                </v:group>
                <v:group id="Group 23" o:spid="_x0000_s1034" style="position:absolute;left:5057;top:9478;width:2037;height:871" coordorigin="4822,9226" coordsize="1758,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">
                  <v:group id="Group 24" o:spid="_x0000_s1035" style="position:absolute;left:4822;top:9226;width:1758;height:234" coordorigin="4822,9226" coordsize="1758,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">
                    <v:shape id="AutoShape 25" o:spid="_x0000_s1036" type="#_x0000_t34" style="position:absolute;left:4822;top:9226;width:737;height:23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" adj="10785" strokecolor="#4f81bd [3204]" strokeweight="2.25pt">
                      <v:shadow color="#868686"/>
                    </v:shape>
                    <v:shape id="AutoShape 26" o:spid="_x0000_s1037" type="#_x0000_t34" style="position:absolute;left:5559;top:9226;width:1021;height:234;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" adj="10789" strokecolor="#4f81bd [3204]" strokeweight="2.25pt">
                      <v:shadow color="#868686"/>
                    </v:shape>
                  </v:group>
                  <v:shape id="AutoShape 27" o:spid="_x0000_s1038" type="#_x0000_t32" style="position:absolute;left:5559;top:9460;width:0;height:6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" strokecolor="#4f81bd [3204]" strokeweight="2.25pt">
                    <v:shadow color="#868686"/>
                  </v:shape>
                </v:group>
                <w10:wrap anchorx="margin"/>
                <w10:anchorlock/>
              </v:group>
            </w:pict>
          </mc:Fallback>
        </mc:AlternateContent>
      </w:r>
      <w:r w:rsidRPr="00597243">
        <w:rPr>
          <w:rStyle w:val="HTMLCode"/>
          <w:rFonts w:ascii="Arial" w:hAnsi="Arial" w:cs="Arial"/>
          <w:color w:val="FFFFFF" w:themeColor="background1"/>
        </w:rPr>
        <w:t>IMPACT ON WOMEN'S</w:t>
      </w:r>
    </w:p>
    <w:p w14:paraId="2C8D766F" w14:textId="77777777" w:rsidR="00110C42" w:rsidRPr="00597243" w:rsidRDefault="00110C42" w:rsidP="00110C42">
      <w:pPr>
        <w:pStyle w:val="HTMLPreformatted"/>
        <w:rPr>
          <w:rStyle w:val="HTMLCode"/>
          <w:rFonts w:ascii="Arial" w:hAnsi="Arial" w:cs="Arial"/>
        </w:rPr>
      </w:pPr>
    </w:p>
    <w:p w14:paraId="4A0557FD" w14:textId="77777777" w:rsidR="00110C42" w:rsidRPr="00597243" w:rsidRDefault="00110C42" w:rsidP="00110C42">
      <w:pPr>
        <w:pStyle w:val="HTMLPreformatted"/>
        <w:rPr>
          <w:rStyle w:val="HTMLCode"/>
          <w:rFonts w:ascii="Arial" w:hAnsi="Arial" w:cs="Arial"/>
        </w:rPr>
      </w:pPr>
    </w:p>
    <w:p w14:paraId="4A0D72AE" w14:textId="77777777" w:rsidR="00110C42" w:rsidRPr="00597243" w:rsidRDefault="00110C42" w:rsidP="00110C42">
      <w:pPr>
        <w:pStyle w:val="HTMLPreformatted"/>
        <w:rPr>
          <w:rStyle w:val="HTMLCode"/>
          <w:rFonts w:ascii="Arial" w:hAnsi="Arial" w:cs="Arial"/>
        </w:rPr>
      </w:pPr>
    </w:p>
    <w:p w14:paraId="00F55B06" w14:textId="77777777" w:rsidR="00110C42" w:rsidRPr="00597243" w:rsidRDefault="00110C42" w:rsidP="00110C42">
      <w:pPr>
        <w:pStyle w:val="HTMLPreformatted"/>
        <w:rPr>
          <w:rStyle w:val="HTMLCode"/>
          <w:rFonts w:ascii="Arial" w:hAnsi="Arial" w:cs="Arial"/>
        </w:rPr>
      </w:pPr>
    </w:p>
    <w:p w14:paraId="5FB1B88A" w14:textId="77777777" w:rsidR="00110C42" w:rsidRPr="00597243" w:rsidRDefault="00110C42" w:rsidP="00110C42">
      <w:pPr>
        <w:pStyle w:val="HTMLPreformatted"/>
        <w:rPr>
          <w:rStyle w:val="HTMLCode"/>
          <w:rFonts w:ascii="Arial" w:hAnsi="Arial" w:cs="Arial"/>
        </w:rPr>
      </w:pPr>
    </w:p>
    <w:p w14:paraId="40016B4A" w14:textId="77777777" w:rsidR="00110C42" w:rsidRPr="00597243" w:rsidRDefault="00110C42" w:rsidP="00110C42">
      <w:pPr>
        <w:pStyle w:val="HTMLPreformatted"/>
        <w:rPr>
          <w:rStyle w:val="HTMLCode"/>
          <w:rFonts w:ascii="Arial" w:hAnsi="Arial" w:cs="Arial"/>
        </w:rPr>
      </w:pPr>
    </w:p>
    <w:p w14:paraId="117DBD11" w14:textId="77777777" w:rsidR="00110C42" w:rsidRPr="00597243" w:rsidRDefault="00110C42" w:rsidP="00110C42">
      <w:pPr>
        <w:pStyle w:val="HTMLPreformatted"/>
        <w:rPr>
          <w:rStyle w:val="HTMLCode"/>
          <w:rFonts w:ascii="Arial" w:hAnsi="Arial" w:cs="Arial"/>
        </w:rPr>
      </w:pPr>
    </w:p>
    <w:p w14:paraId="1FCAFE15" w14:textId="77777777" w:rsidR="00110C42" w:rsidRPr="00597243" w:rsidRDefault="00110C42" w:rsidP="00110C42">
      <w:pPr>
        <w:pStyle w:val="HTMLPreformatted"/>
        <w:rPr>
          <w:rStyle w:val="HTMLCode"/>
          <w:rFonts w:ascii="Arial" w:hAnsi="Arial" w:cs="Arial"/>
        </w:rPr>
      </w:pPr>
    </w:p>
    <w:p w14:paraId="54943843" w14:textId="77777777" w:rsidR="00474698" w:rsidRPr="00597243" w:rsidRDefault="00474698" w:rsidP="00474698">
      <w:pPr>
        <w:pStyle w:val="HTMLPreformatted"/>
        <w:jc w:val="both"/>
        <w:rPr>
          <w:rStyle w:val="HTMLCode"/>
          <w:rFonts w:ascii="Arial" w:hAnsi="Arial" w:cs="Arial"/>
        </w:rPr>
      </w:pPr>
    </w:p>
    <w:p w14:paraId="553F3283" w14:textId="668F24D1" w:rsidR="00474698" w:rsidRPr="00597243" w:rsidRDefault="00474698" w:rsidP="00474698">
      <w:pPr>
        <w:pStyle w:val="HTMLPreformatted"/>
        <w:rPr>
          <w:rStyle w:val="HTMLCode"/>
          <w:rFonts w:ascii="Arial" w:hAnsi="Arial" w:cs="Arial"/>
        </w:rPr>
      </w:pPr>
    </w:p>
    <w:p w14:paraId="3A283FD3" w14:textId="77777777" w:rsidR="007B4447" w:rsidRPr="00597243" w:rsidRDefault="007B4447" w:rsidP="00110C42">
      <w:pPr>
        <w:pStyle w:val="HTMLPreformatted"/>
        <w:jc w:val="center"/>
        <w:rPr>
          <w:rStyle w:val="HTMLCode"/>
          <w:rFonts w:ascii="Arial" w:hAnsi="Arial" w:cs="Arial"/>
          <w:b/>
        </w:rPr>
      </w:pPr>
    </w:p>
    <w:p w14:paraId="7364F744" w14:textId="77777777" w:rsidR="007B4447" w:rsidRPr="00597243" w:rsidRDefault="007B4447" w:rsidP="00110C42">
      <w:pPr>
        <w:pStyle w:val="HTMLPreformatted"/>
        <w:jc w:val="center"/>
        <w:rPr>
          <w:rStyle w:val="HTMLCode"/>
          <w:rFonts w:ascii="Arial" w:hAnsi="Arial" w:cs="Arial"/>
          <w:b/>
        </w:rPr>
      </w:pPr>
    </w:p>
    <w:p w14:paraId="73C7E584" w14:textId="35254F6E" w:rsidR="00474698" w:rsidRPr="00597243" w:rsidRDefault="00474698" w:rsidP="00110C42">
      <w:pPr>
        <w:pStyle w:val="HTMLPreformatted"/>
        <w:jc w:val="center"/>
        <w:rPr>
          <w:rStyle w:val="HTMLCode"/>
          <w:rFonts w:ascii="Arial" w:hAnsi="Arial" w:cs="Arial"/>
        </w:rPr>
      </w:pPr>
      <w:r w:rsidRPr="00597243">
        <w:rPr>
          <w:rStyle w:val="HTMLCode"/>
          <w:rFonts w:ascii="Arial" w:hAnsi="Arial" w:cs="Arial"/>
          <w:b/>
        </w:rPr>
        <w:t xml:space="preserve">Figure 1: Conceptual framework highlighting the perceived socio-economic and cultural intersections of digital transition and traditional forest economies among Adivasi women in </w:t>
      </w:r>
      <w:proofErr w:type="spellStart"/>
      <w:r w:rsidRPr="00597243">
        <w:rPr>
          <w:rStyle w:val="HTMLCode"/>
          <w:rFonts w:ascii="Arial" w:hAnsi="Arial" w:cs="Arial"/>
          <w:b/>
        </w:rPr>
        <w:t>Gumla</w:t>
      </w:r>
      <w:proofErr w:type="spellEnd"/>
    </w:p>
    <w:p w14:paraId="66FBB373" w14:textId="60A53DEC" w:rsidR="00474698" w:rsidRPr="00597243" w:rsidRDefault="00474698" w:rsidP="00474698">
      <w:pPr>
        <w:pStyle w:val="HTMLPreformatted"/>
        <w:jc w:val="center"/>
        <w:rPr>
          <w:rStyle w:val="HTMLCode"/>
          <w:rFonts w:ascii="Arial" w:hAnsi="Arial" w:cs="Arial"/>
          <w:i/>
          <w:iCs/>
        </w:rPr>
      </w:pPr>
      <w:r w:rsidRPr="00597243">
        <w:rPr>
          <w:rStyle w:val="HTMLCode"/>
          <w:rFonts w:ascii="Arial" w:hAnsi="Arial" w:cs="Arial"/>
          <w:i/>
          <w:iCs/>
        </w:rPr>
        <w:t>Source: Formulated by the author based on qualitative field themes</w:t>
      </w:r>
      <w:r w:rsidR="00110C42" w:rsidRPr="00597243">
        <w:rPr>
          <w:rStyle w:val="HTMLCode"/>
          <w:rFonts w:ascii="Arial" w:hAnsi="Arial" w:cs="Arial"/>
          <w:i/>
          <w:iCs/>
        </w:rPr>
        <w:t>; The arrows represent interpretive relationships derived from participant accounts and do not indicate statistically tested causal pathways.</w:t>
      </w:r>
    </w:p>
    <w:p w14:paraId="61204334" w14:textId="77777777" w:rsidR="00474698" w:rsidRPr="00597243" w:rsidRDefault="00474698" w:rsidP="00474698">
      <w:pPr>
        <w:pStyle w:val="HTMLPreformatted"/>
        <w:rPr>
          <w:rStyle w:val="HTMLCode"/>
          <w:rFonts w:ascii="Arial" w:hAnsi="Arial" w:cs="Arial"/>
        </w:rPr>
      </w:pPr>
    </w:p>
    <w:p w14:paraId="2F58C8C3" w14:textId="77777777" w:rsidR="00B73851" w:rsidRPr="00597243" w:rsidRDefault="00000000">
      <w:pPr>
        <w:pStyle w:val="Heading2"/>
        <w:spacing w:before="140" w:after="80"/>
        <w:rPr>
          <w:rFonts w:ascii="Arial" w:hAnsi="Arial" w:cs="Arial"/>
          <w:color w:val="auto"/>
          <w:sz w:val="20"/>
          <w:szCs w:val="20"/>
        </w:rPr>
      </w:pPr>
      <w:r w:rsidRPr="00597243">
        <w:rPr>
          <w:rFonts w:ascii="Arial" w:hAnsi="Arial" w:cs="Arial"/>
          <w:color w:val="auto"/>
          <w:sz w:val="20"/>
          <w:szCs w:val="20"/>
        </w:rPr>
        <w:t>4.2 Perceived Changes in Haat Activity and Trading Returns</w:t>
      </w:r>
    </w:p>
    <w:p w14:paraId="7C1AB6B4" w14:textId="77777777" w:rsidR="00B73851" w:rsidRPr="00597243" w:rsidRDefault="00000000">
      <w:pPr>
        <w:spacing w:after="100"/>
        <w:ind w:firstLine="425"/>
        <w:rPr>
          <w:rFonts w:ascii="Arial" w:hAnsi="Arial" w:cs="Arial"/>
          <w:sz w:val="20"/>
          <w:szCs w:val="20"/>
        </w:rPr>
      </w:pPr>
      <w:r w:rsidRPr="00597243">
        <w:rPr>
          <w:rFonts w:ascii="Arial" w:hAnsi="Arial" w:cs="Arial"/>
          <w:sz w:val="20"/>
          <w:szCs w:val="20"/>
        </w:rPr>
        <w:t>Participants commonly described lower or less predictable demand during recent market cycles. Their accounts did not attribute this pattern to a single cause. Instead, they referred to a combination of changing consumer preferences, price-setting by local buyers, transport expenses, seasonal availability and increasing exposure to mass-produced alternatives. Wider digital-market expansion formed part of this environment, but the study did not collect consumer data or transaction records capable of isolating its contribution.</w:t>
      </w:r>
    </w:p>
    <w:p w14:paraId="27E01DBD" w14:textId="77777777" w:rsidR="00B73851" w:rsidRPr="00597243" w:rsidRDefault="00000000">
      <w:pPr>
        <w:spacing w:after="100"/>
        <w:ind w:firstLine="425"/>
        <w:rPr>
          <w:rFonts w:ascii="Arial" w:hAnsi="Arial" w:cs="Arial"/>
          <w:sz w:val="20"/>
          <w:szCs w:val="20"/>
        </w:rPr>
      </w:pPr>
      <w:r w:rsidRPr="00597243">
        <w:rPr>
          <w:rFonts w:ascii="Arial" w:hAnsi="Arial" w:cs="Arial"/>
          <w:sz w:val="20"/>
          <w:szCs w:val="20"/>
        </w:rPr>
        <w:t>Some participants recalled that favourable market-day gross receipts during the 2022–2023 trading cycles could reach approximately ₹800–₹1,200 when seasonal supply and demand were favourable. They also described recent low-demand days on which gross receipts fell below ₹400. These values were retrospective estimates, were not reported by every participant and were not verified against sales books, quantities, transport costs or product-specific prices. They should therefore be interpreted as examples of perceived volatility rather than estimates of average or net income decline.</w:t>
      </w:r>
    </w:p>
    <w:p w14:paraId="5BE1A95C" w14:textId="7413521F" w:rsidR="00B73851" w:rsidRPr="00597243" w:rsidRDefault="00000000">
      <w:pPr>
        <w:spacing w:after="100"/>
        <w:ind w:firstLine="425"/>
        <w:rPr>
          <w:rFonts w:ascii="Arial" w:hAnsi="Arial" w:cs="Arial"/>
          <w:sz w:val="20"/>
          <w:szCs w:val="20"/>
        </w:rPr>
      </w:pPr>
      <w:r w:rsidRPr="00597243">
        <w:rPr>
          <w:rFonts w:ascii="Arial" w:hAnsi="Arial" w:cs="Arial"/>
          <w:sz w:val="20"/>
          <w:szCs w:val="20"/>
        </w:rPr>
        <w:t xml:space="preserve">A field-note account from Participant TH-03 indicated that mahua sales and primary lac processing had previously contributed reliably to household grocery expenditure, whereas recent stock was more likely to remain unsold or attract low offers from wholesale buyers. </w:t>
      </w:r>
      <w:r w:rsidR="003D408B" w:rsidRPr="00597243">
        <w:rPr>
          <w:rFonts w:ascii="Arial" w:hAnsi="Arial" w:cs="Arial"/>
          <w:sz w:val="20"/>
          <w:szCs w:val="20"/>
        </w:rPr>
        <w:t xml:space="preserve">In this participant’s account, reduced </w:t>
      </w:r>
      <w:r w:rsidR="003D408B" w:rsidRPr="00597243">
        <w:rPr>
          <w:rFonts w:ascii="Arial" w:hAnsi="Arial" w:cs="Arial"/>
          <w:sz w:val="20"/>
          <w:szCs w:val="20"/>
        </w:rPr>
        <w:lastRenderedPageBreak/>
        <w:t>demand was partly attributed to a perceived increase in some younger consumers’ preference for factory-made and plastic alternatives</w:t>
      </w:r>
      <w:r w:rsidRPr="00597243">
        <w:rPr>
          <w:rFonts w:ascii="Arial" w:hAnsi="Arial" w:cs="Arial"/>
          <w:sz w:val="20"/>
          <w:szCs w:val="20"/>
        </w:rPr>
        <w:t>. This interpretation represents the participant’s experience and was not independently tested through consumer interviews.</w:t>
      </w:r>
    </w:p>
    <w:p w14:paraId="7B2B161F" w14:textId="77777777" w:rsidR="00B73851" w:rsidRPr="00597243" w:rsidRDefault="00000000">
      <w:pPr>
        <w:pStyle w:val="Heading2"/>
        <w:spacing w:before="140" w:after="80"/>
        <w:rPr>
          <w:rFonts w:ascii="Arial" w:hAnsi="Arial" w:cs="Arial"/>
          <w:color w:val="auto"/>
          <w:sz w:val="20"/>
          <w:szCs w:val="20"/>
        </w:rPr>
      </w:pPr>
      <w:r w:rsidRPr="00597243">
        <w:rPr>
          <w:rFonts w:ascii="Arial" w:hAnsi="Arial" w:cs="Arial"/>
          <w:color w:val="auto"/>
          <w:sz w:val="20"/>
          <w:szCs w:val="20"/>
        </w:rPr>
        <w:t>4.3 Household Economic Agency</w:t>
      </w:r>
    </w:p>
    <w:p w14:paraId="3EFC8C16" w14:textId="7958559C" w:rsidR="00B73851" w:rsidRPr="00597243" w:rsidRDefault="003D408B">
      <w:pPr>
        <w:spacing w:after="100"/>
        <w:ind w:firstLine="425"/>
        <w:rPr>
          <w:rFonts w:ascii="Arial" w:hAnsi="Arial" w:cs="Arial"/>
          <w:sz w:val="20"/>
          <w:szCs w:val="20"/>
        </w:rPr>
      </w:pPr>
      <w:r w:rsidRPr="00597243">
        <w:rPr>
          <w:rFonts w:ascii="Arial" w:hAnsi="Arial" w:cs="Arial"/>
          <w:sz w:val="20"/>
          <w:szCs w:val="20"/>
        </w:rPr>
        <w:t>Twenty-seven participants perceived that lower or less predictable earnings from forest trade coincided with reduced consultative influence in some household spending discussions. Participants most often referred to education-related purchases, healthcare expenses, food and other immediate needs. The interviews did not use a validated household-autonomy scale and did not establish that all decision domains changed in the same direction. The finding should therefore be interpreted as participants’ perception that reduced access to directly managed trading income accompanied a decline in their consultative influence in selected spending decisions.</w:t>
      </w:r>
    </w:p>
    <w:p w14:paraId="79970653" w14:textId="2051A5C1" w:rsidR="00B73851" w:rsidRPr="00597243" w:rsidRDefault="003D408B">
      <w:pPr>
        <w:spacing w:after="100"/>
        <w:ind w:firstLine="425"/>
        <w:rPr>
          <w:rFonts w:ascii="Arial" w:hAnsi="Arial" w:cs="Arial"/>
          <w:sz w:val="20"/>
          <w:szCs w:val="20"/>
        </w:rPr>
      </w:pPr>
      <w:r w:rsidRPr="00597243">
        <w:rPr>
          <w:rFonts w:ascii="Arial" w:hAnsi="Arial" w:cs="Arial"/>
          <w:sz w:val="20"/>
          <w:szCs w:val="20"/>
        </w:rPr>
        <w:t xml:space="preserve">Among participants who discussed the Jharkhand </w:t>
      </w:r>
      <w:proofErr w:type="spellStart"/>
      <w:r w:rsidRPr="00597243">
        <w:rPr>
          <w:rFonts w:ascii="Arial" w:hAnsi="Arial" w:cs="Arial"/>
          <w:sz w:val="20"/>
          <w:szCs w:val="20"/>
        </w:rPr>
        <w:t>Mukhyamantri</w:t>
      </w:r>
      <w:proofErr w:type="spellEnd"/>
      <w:r w:rsidRPr="00597243">
        <w:rPr>
          <w:rFonts w:ascii="Arial" w:hAnsi="Arial" w:cs="Arial"/>
          <w:sz w:val="20"/>
          <w:szCs w:val="20"/>
        </w:rPr>
        <w:t xml:space="preserve"> Maiya Samman Yojana, the transfer was described as a useful source of household financial support. Several participants nevertheless described transfer income and earnings from self-managed trade as serving different functions within their livelihood strategies. For these participants, income from forest-based trade was associated not only with financial contribution but also with competence, mobility, livelihood identity and recognition within household and market settings. The study did not compare beneficiaries and non-beneficiaries or measure the independent effect of the scheme.</w:t>
      </w:r>
    </w:p>
    <w:p w14:paraId="31DA924B" w14:textId="77777777" w:rsidR="00B73851" w:rsidRPr="00597243" w:rsidRDefault="00000000">
      <w:pPr>
        <w:pStyle w:val="Heading2"/>
        <w:spacing w:before="140" w:after="80"/>
        <w:rPr>
          <w:rFonts w:ascii="Arial" w:hAnsi="Arial" w:cs="Arial"/>
          <w:color w:val="auto"/>
          <w:sz w:val="20"/>
          <w:szCs w:val="20"/>
        </w:rPr>
      </w:pPr>
      <w:r w:rsidRPr="00597243">
        <w:rPr>
          <w:rFonts w:ascii="Arial" w:hAnsi="Arial" w:cs="Arial"/>
          <w:color w:val="auto"/>
          <w:sz w:val="20"/>
          <w:szCs w:val="20"/>
        </w:rPr>
        <w:t>4.4 Intergenerational Knowledge and Digital Readiness</w:t>
      </w:r>
    </w:p>
    <w:p w14:paraId="292B0FB4" w14:textId="78B4087C" w:rsidR="00B73851" w:rsidRPr="00597243" w:rsidRDefault="00000000">
      <w:pPr>
        <w:spacing w:after="100"/>
        <w:ind w:firstLine="425"/>
        <w:rPr>
          <w:rFonts w:ascii="Arial" w:hAnsi="Arial" w:cs="Arial"/>
          <w:sz w:val="20"/>
          <w:szCs w:val="20"/>
        </w:rPr>
      </w:pPr>
      <w:r w:rsidRPr="00597243">
        <w:rPr>
          <w:rFonts w:ascii="Arial" w:hAnsi="Arial" w:cs="Arial"/>
          <w:sz w:val="20"/>
          <w:szCs w:val="20"/>
        </w:rPr>
        <w:t>Twenty-nine participants described difficulties in transmitting knowledge concerning sustainable mahua collection, flower drying and sorting, lac-host management, primary processing and craft or ornament techniques. Weekly markets were described not only as trading spaces but also as settings in which younger family members observed product assessment, negotiation and practical work. Participants attributed the perceived lower involvement of some younger family members to several possible factors, including limited livelihood returns, educational or occupational aspirations and interest in alternative forms of work. Because young people were not interviewed, these explanations remain the women’s interpretations rather than direct evidence of youth motivation.</w:t>
      </w:r>
    </w:p>
    <w:p w14:paraId="740638AA" w14:textId="77777777" w:rsidR="00B73851" w:rsidRPr="00597243" w:rsidRDefault="00000000">
      <w:pPr>
        <w:spacing w:after="100"/>
        <w:ind w:firstLine="425"/>
        <w:rPr>
          <w:rFonts w:ascii="Arial" w:hAnsi="Arial" w:cs="Arial"/>
          <w:sz w:val="20"/>
          <w:szCs w:val="20"/>
        </w:rPr>
      </w:pPr>
      <w:r w:rsidRPr="00597243">
        <w:rPr>
          <w:rFonts w:ascii="Arial" w:hAnsi="Arial" w:cs="Arial"/>
          <w:sz w:val="20"/>
          <w:szCs w:val="20"/>
        </w:rPr>
        <w:t>Digital interest was present but uneven. Fourteen participants expressed interest in using smartphones, digital payments, social media or online selling to widen market access. The same accounts identified barriers involving device access, confidence, language, fraud concerns, product presentation, delivery logistics and uncertainty about platform procedures. Digital adaptation was therefore perceived as a possible complement to haat trading rather than a complete replacement for physical markets.</w:t>
      </w:r>
    </w:p>
    <w:p w14:paraId="2DB8CE84" w14:textId="77777777" w:rsidR="00B73851" w:rsidRPr="00597243" w:rsidRDefault="00000000">
      <w:pPr>
        <w:pStyle w:val="Heading1"/>
        <w:spacing w:before="200" w:after="80"/>
        <w:rPr>
          <w:rFonts w:ascii="Arial" w:hAnsi="Arial" w:cs="Arial"/>
          <w:color w:val="auto"/>
          <w:sz w:val="20"/>
          <w:szCs w:val="20"/>
        </w:rPr>
      </w:pPr>
      <w:r w:rsidRPr="00597243">
        <w:rPr>
          <w:rFonts w:ascii="Arial" w:hAnsi="Arial" w:cs="Arial"/>
          <w:color w:val="auto"/>
          <w:sz w:val="20"/>
          <w:szCs w:val="20"/>
        </w:rPr>
        <w:t>5. DISCUSSION</w:t>
      </w:r>
    </w:p>
    <w:p w14:paraId="25D76211" w14:textId="41DAC34F" w:rsidR="00B73851" w:rsidRPr="00597243" w:rsidRDefault="00000000">
      <w:pPr>
        <w:spacing w:after="100"/>
        <w:ind w:firstLine="425"/>
        <w:rPr>
          <w:rFonts w:ascii="Arial" w:hAnsi="Arial" w:cs="Arial"/>
          <w:sz w:val="20"/>
          <w:szCs w:val="20"/>
        </w:rPr>
      </w:pPr>
      <w:r w:rsidRPr="00597243">
        <w:rPr>
          <w:rFonts w:ascii="Arial" w:hAnsi="Arial" w:cs="Arial"/>
          <w:sz w:val="20"/>
          <w:szCs w:val="20"/>
        </w:rPr>
        <w:t xml:space="preserve">The findings show that participants perceived livelihood pressure through a combination of market, household and cultural dimensions. The high frequency of reported sales or footfall decline is consistent with broader literature showing that NTFP returns are sensitive to market access, intermediaries, transport and value-chain organisation (Belcher &amp; Schreckenberg, 2007; Mahato &amp; Gaurav, 2023). </w:t>
      </w:r>
      <w:r w:rsidR="003D408B" w:rsidRPr="00597243">
        <w:rPr>
          <w:rFonts w:ascii="Arial" w:hAnsi="Arial" w:cs="Arial"/>
          <w:sz w:val="20"/>
          <w:szCs w:val="20"/>
        </w:rPr>
        <w:t xml:space="preserve">Evidence from tribal communities in western India further indicates that NTFP-derived income varies with collection </w:t>
      </w:r>
      <w:proofErr w:type="spellStart"/>
      <w:r w:rsidR="003D408B" w:rsidRPr="00597243">
        <w:rPr>
          <w:rFonts w:ascii="Arial" w:hAnsi="Arial" w:cs="Arial"/>
          <w:sz w:val="20"/>
          <w:szCs w:val="20"/>
        </w:rPr>
        <w:t>labour</w:t>
      </w:r>
      <w:proofErr w:type="spellEnd"/>
      <w:r w:rsidR="003D408B" w:rsidRPr="00597243">
        <w:rPr>
          <w:rFonts w:ascii="Arial" w:hAnsi="Arial" w:cs="Arial"/>
          <w:sz w:val="20"/>
          <w:szCs w:val="20"/>
        </w:rPr>
        <w:t xml:space="preserve">, household characteristics and the time invested in gathering forest produce, while mahua flowers can make a substantial contribution to seasonal employment (Chaudhari &amp; </w:t>
      </w:r>
      <w:proofErr w:type="spellStart"/>
      <w:r w:rsidR="003D408B" w:rsidRPr="00597243">
        <w:rPr>
          <w:rFonts w:ascii="Arial" w:hAnsi="Arial" w:cs="Arial"/>
          <w:sz w:val="20"/>
          <w:szCs w:val="20"/>
        </w:rPr>
        <w:t>Khunt</w:t>
      </w:r>
      <w:proofErr w:type="spellEnd"/>
      <w:r w:rsidR="003D408B" w:rsidRPr="00597243">
        <w:rPr>
          <w:rFonts w:ascii="Arial" w:hAnsi="Arial" w:cs="Arial"/>
          <w:sz w:val="20"/>
          <w:szCs w:val="20"/>
        </w:rPr>
        <w:t xml:space="preserve">, 2024). </w:t>
      </w:r>
      <w:r w:rsidRPr="00597243">
        <w:rPr>
          <w:rFonts w:ascii="Arial" w:hAnsi="Arial" w:cs="Arial"/>
          <w:sz w:val="20"/>
          <w:szCs w:val="20"/>
        </w:rPr>
        <w:t>However, the present design cannot determine whether market activity declined across Gumla, quantify the magnitude of change or identify e-commerce as a causal driver. The strongest conclusion is that many women in this sample experienced recent trading conditions as less secure and interpreted digital expansion as one part of a wider transformation in consumption and market access.</w:t>
      </w:r>
    </w:p>
    <w:p w14:paraId="52D9DDEC" w14:textId="1D4394CC" w:rsidR="00B73851" w:rsidRPr="00597243" w:rsidRDefault="00000000">
      <w:pPr>
        <w:spacing w:after="100"/>
        <w:ind w:firstLine="425"/>
        <w:rPr>
          <w:rFonts w:ascii="Arial" w:hAnsi="Arial" w:cs="Arial"/>
          <w:sz w:val="20"/>
          <w:szCs w:val="20"/>
        </w:rPr>
      </w:pPr>
      <w:r w:rsidRPr="00597243">
        <w:rPr>
          <w:rFonts w:ascii="Arial" w:hAnsi="Arial" w:cs="Arial"/>
          <w:sz w:val="20"/>
          <w:szCs w:val="20"/>
        </w:rPr>
        <w:t xml:space="preserve">The findings also support a balanced interpretation of digital commerce. Studies of rural women artisans show that digital spaces can improve visibility and access to customers, but benefits are conditional on capability, infrastructure, trust and sustained assistance (Ibrahim &amp; Ojha, 2024; Singh et al., 2024). The participants’ simultaneous interest and hesitation reflect this conditionality. </w:t>
      </w:r>
      <w:r w:rsidR="003D408B" w:rsidRPr="00597243">
        <w:rPr>
          <w:rFonts w:ascii="Arial" w:hAnsi="Arial" w:cs="Arial"/>
          <w:sz w:val="20"/>
          <w:szCs w:val="20"/>
        </w:rPr>
        <w:t xml:space="preserve">Recent evidence from women in northern India similarly indicates that digital financial services may support </w:t>
      </w:r>
      <w:r w:rsidR="003D408B" w:rsidRPr="00597243">
        <w:rPr>
          <w:rFonts w:ascii="Arial" w:hAnsi="Arial" w:cs="Arial"/>
          <w:sz w:val="20"/>
          <w:szCs w:val="20"/>
        </w:rPr>
        <w:lastRenderedPageBreak/>
        <w:t xml:space="preserve">financial independence, but their effective use depends on capability, confidence and the conditions under which women can access and control digital resources (Showkat et al., 2024). Digital training should therefore address not only operational skills but also payment security, informed decision-making and women’s practical control over accounts and devices. </w:t>
      </w:r>
      <w:r w:rsidRPr="00597243">
        <w:rPr>
          <w:rFonts w:ascii="Arial" w:hAnsi="Arial" w:cs="Arial"/>
          <w:sz w:val="20"/>
          <w:szCs w:val="20"/>
        </w:rPr>
        <w:t xml:space="preserve">A transition strategy focused only on platform enrolment would overlook packaging, fulfilment, product consistency, payment security, language support and collective bargaining. </w:t>
      </w:r>
      <w:r w:rsidR="003D408B" w:rsidRPr="00597243">
        <w:rPr>
          <w:rFonts w:ascii="Arial" w:hAnsi="Arial" w:cs="Arial"/>
          <w:sz w:val="20"/>
          <w:szCs w:val="20"/>
        </w:rPr>
        <w:t xml:space="preserve">Collective </w:t>
      </w:r>
      <w:proofErr w:type="spellStart"/>
      <w:r w:rsidR="003D408B" w:rsidRPr="00597243">
        <w:rPr>
          <w:rFonts w:ascii="Arial" w:hAnsi="Arial" w:cs="Arial"/>
          <w:sz w:val="20"/>
          <w:szCs w:val="20"/>
        </w:rPr>
        <w:t>organisation</w:t>
      </w:r>
      <w:proofErr w:type="spellEnd"/>
      <w:r w:rsidR="003D408B" w:rsidRPr="00597243">
        <w:rPr>
          <w:rFonts w:ascii="Arial" w:hAnsi="Arial" w:cs="Arial"/>
          <w:sz w:val="20"/>
          <w:szCs w:val="20"/>
        </w:rPr>
        <w:t xml:space="preserve"> may help address some of these constraints by enabling women to share information, develop market-facing capabilities and exercise greater control over income and credit decisions. Evidence from women’s self-help groups in India indicates that group participation can strengthen selected dimensions of empowerment, particularly control over income, decision-making over credit and active involvement in collective institutions, although outcomes remain dependent on </w:t>
      </w:r>
      <w:proofErr w:type="spellStart"/>
      <w:r w:rsidR="003D408B" w:rsidRPr="00597243">
        <w:rPr>
          <w:rFonts w:ascii="Arial" w:hAnsi="Arial" w:cs="Arial"/>
          <w:sz w:val="20"/>
          <w:szCs w:val="20"/>
        </w:rPr>
        <w:t>programme</w:t>
      </w:r>
      <w:proofErr w:type="spellEnd"/>
      <w:r w:rsidR="003D408B" w:rsidRPr="00597243">
        <w:rPr>
          <w:rFonts w:ascii="Arial" w:hAnsi="Arial" w:cs="Arial"/>
          <w:sz w:val="20"/>
          <w:szCs w:val="20"/>
        </w:rPr>
        <w:t xml:space="preserve"> design and participant context (Kumar et al., 2021). </w:t>
      </w:r>
      <w:r w:rsidRPr="00597243">
        <w:rPr>
          <w:rFonts w:ascii="Arial" w:hAnsi="Arial" w:cs="Arial"/>
          <w:sz w:val="20"/>
          <w:szCs w:val="20"/>
        </w:rPr>
        <w:t xml:space="preserve">The experience of </w:t>
      </w:r>
      <w:proofErr w:type="spellStart"/>
      <w:r w:rsidRPr="00597243">
        <w:rPr>
          <w:rFonts w:ascii="Arial" w:hAnsi="Arial" w:cs="Arial"/>
          <w:sz w:val="20"/>
          <w:szCs w:val="20"/>
        </w:rPr>
        <w:t>organised</w:t>
      </w:r>
      <w:proofErr w:type="spellEnd"/>
      <w:r w:rsidRPr="00597243">
        <w:rPr>
          <w:rFonts w:ascii="Arial" w:hAnsi="Arial" w:cs="Arial"/>
          <w:sz w:val="20"/>
          <w:szCs w:val="20"/>
        </w:rPr>
        <w:t xml:space="preserve"> lac interventions in Odisha further suggests that technical training and financial linkages are more effective when embedded within wider institutional support (Kindo &amp; Horo, 2025).</w:t>
      </w:r>
    </w:p>
    <w:p w14:paraId="0B2385F9" w14:textId="139042DA" w:rsidR="00B73851" w:rsidRPr="00597243" w:rsidRDefault="00000000">
      <w:pPr>
        <w:spacing w:after="100"/>
        <w:ind w:firstLine="425"/>
        <w:rPr>
          <w:rFonts w:ascii="Arial" w:hAnsi="Arial" w:cs="Arial"/>
          <w:sz w:val="20"/>
          <w:szCs w:val="20"/>
        </w:rPr>
      </w:pPr>
      <w:r w:rsidRPr="00597243">
        <w:rPr>
          <w:rFonts w:ascii="Arial" w:hAnsi="Arial" w:cs="Arial"/>
          <w:sz w:val="20"/>
          <w:szCs w:val="20"/>
        </w:rPr>
        <w:t xml:space="preserve">The relationship between livelihood income and household agency requires similar caution. Doss (2013) shows that women’s bargaining power can affect household resource allocation, but both measurement and causal identification are complex. </w:t>
      </w:r>
      <w:r w:rsidR="003D408B" w:rsidRPr="00597243">
        <w:rPr>
          <w:rFonts w:ascii="Arial" w:hAnsi="Arial" w:cs="Arial"/>
          <w:sz w:val="20"/>
          <w:szCs w:val="20"/>
        </w:rPr>
        <w:t>The field-note accounts indicate that some participants perceived lower control over trading income and reduced consultative influence as related experiences</w:t>
      </w:r>
      <w:r w:rsidRPr="00597243">
        <w:rPr>
          <w:rFonts w:ascii="Arial" w:hAnsi="Arial" w:cs="Arial"/>
          <w:sz w:val="20"/>
          <w:szCs w:val="20"/>
        </w:rPr>
        <w:t xml:space="preserve">. </w:t>
      </w:r>
      <w:r w:rsidR="004C285A" w:rsidRPr="00597243">
        <w:rPr>
          <w:rFonts w:ascii="Arial" w:hAnsi="Arial" w:cs="Arial"/>
          <w:sz w:val="20"/>
          <w:szCs w:val="20"/>
        </w:rPr>
        <w:t>The study does not establish a universal shift towards male control, nor does it assess all household decision domains</w:t>
      </w:r>
      <w:r w:rsidRPr="00597243">
        <w:rPr>
          <w:rFonts w:ascii="Arial" w:hAnsi="Arial" w:cs="Arial"/>
          <w:sz w:val="20"/>
          <w:szCs w:val="20"/>
        </w:rPr>
        <w:t>. Future research should combine qualitative interviews with a transparent decision-making measure and transaction-based income data.</w:t>
      </w:r>
    </w:p>
    <w:p w14:paraId="6CD74FC3" w14:textId="156B41B4" w:rsidR="00B73851" w:rsidRPr="00597243" w:rsidRDefault="00000000">
      <w:pPr>
        <w:spacing w:after="100"/>
        <w:ind w:firstLine="425"/>
        <w:rPr>
          <w:rFonts w:ascii="Arial" w:hAnsi="Arial" w:cs="Arial"/>
          <w:sz w:val="20"/>
          <w:szCs w:val="20"/>
        </w:rPr>
      </w:pPr>
      <w:r w:rsidRPr="00597243">
        <w:rPr>
          <w:rFonts w:ascii="Arial" w:hAnsi="Arial" w:cs="Arial"/>
          <w:sz w:val="20"/>
          <w:szCs w:val="20"/>
        </w:rPr>
        <w:t xml:space="preserve">Knowledge transmission emerged as a central outcome because forest work involves more than commodity production. Mahua collection and lac cultivation require ecological timing, host-tree knowledge, sorting, processing and market judgement. </w:t>
      </w:r>
      <w:r w:rsidR="003D408B" w:rsidRPr="00597243">
        <w:rPr>
          <w:rFonts w:ascii="Arial" w:hAnsi="Arial" w:cs="Arial"/>
          <w:sz w:val="20"/>
          <w:szCs w:val="20"/>
        </w:rPr>
        <w:t xml:space="preserve">Such knowledge is characteristically local, experiential and intergenerational, and much of it remains tacit rather than formally documented. Its continuity therefore depends on sustained participation, observation and community-controlled processes through which younger members can learn both practical techniques and their associated cultural meanings (Dei et al., 2025). </w:t>
      </w:r>
      <w:proofErr w:type="spellStart"/>
      <w:r w:rsidR="003D408B" w:rsidRPr="00597243">
        <w:rPr>
          <w:rFonts w:ascii="Arial" w:hAnsi="Arial" w:cs="Arial"/>
          <w:sz w:val="20"/>
          <w:szCs w:val="20"/>
        </w:rPr>
        <w:t>Xaxa’s</w:t>
      </w:r>
      <w:proofErr w:type="spellEnd"/>
      <w:r w:rsidR="003D408B" w:rsidRPr="00597243">
        <w:rPr>
          <w:rFonts w:ascii="Arial" w:hAnsi="Arial" w:cs="Arial"/>
          <w:sz w:val="20"/>
          <w:szCs w:val="20"/>
        </w:rPr>
        <w:t xml:space="preserve"> (2017) discussion of Indigenous livelihoods provides a broader context for understanding why participants may experience reduced engagement in forest-based work as both an economic concern and a change in opportunities for cultural learning</w:t>
      </w:r>
      <w:r w:rsidRPr="00597243">
        <w:rPr>
          <w:rFonts w:ascii="Arial" w:hAnsi="Arial" w:cs="Arial"/>
          <w:sz w:val="20"/>
          <w:szCs w:val="20"/>
        </w:rPr>
        <w:t>. Yet the present findings are based only on adult women’s accounts. Intergenerational research involving daughters, young artisans and community elders would be necessary to distinguish declining transmission from changes in educational participation, migration, aspirations or forest availability.</w:t>
      </w:r>
    </w:p>
    <w:p w14:paraId="1B1BCF6C" w14:textId="72EB351F" w:rsidR="00B73851" w:rsidRPr="00597243" w:rsidRDefault="00E471D0">
      <w:pPr>
        <w:spacing w:after="100"/>
        <w:ind w:firstLine="425"/>
        <w:rPr>
          <w:rFonts w:ascii="Arial" w:hAnsi="Arial" w:cs="Arial"/>
          <w:sz w:val="20"/>
          <w:szCs w:val="20"/>
        </w:rPr>
      </w:pPr>
      <w:r w:rsidRPr="00597243">
        <w:rPr>
          <w:rFonts w:ascii="Arial" w:hAnsi="Arial" w:cs="Arial"/>
          <w:sz w:val="20"/>
          <w:szCs w:val="20"/>
        </w:rPr>
        <w:t xml:space="preserve">The participant accounts suggest that social-protection transfers and livelihood-oriented support may address different dimensions of economic security and should not be assumed to produce identical outcomes. Social-protection transfers may assist with immediate household needs, whereas livelihood-oriented interventions may address production, marketing and opportunities to manage earned income; neither effect was independently evaluated in this study. The study does not justify redesigning a state welfare scheme on the basis of 42 interviews. The findings identify questions for locally co-designed pilot evaluation, including whether supported digital training improves participants’ confidence, whether collective logistics reduce verified costs, whether hybrid selling changes </w:t>
      </w:r>
      <w:proofErr w:type="spellStart"/>
      <w:r w:rsidRPr="00597243">
        <w:rPr>
          <w:rFonts w:ascii="Arial" w:hAnsi="Arial" w:cs="Arial"/>
          <w:sz w:val="20"/>
          <w:szCs w:val="20"/>
        </w:rPr>
        <w:t>realised</w:t>
      </w:r>
      <w:proofErr w:type="spellEnd"/>
      <w:r w:rsidRPr="00597243">
        <w:rPr>
          <w:rFonts w:ascii="Arial" w:hAnsi="Arial" w:cs="Arial"/>
          <w:sz w:val="20"/>
          <w:szCs w:val="20"/>
        </w:rPr>
        <w:t xml:space="preserve"> prices and whether any resulting income remains under participants’ control.</w:t>
      </w:r>
    </w:p>
    <w:p w14:paraId="14F12526" w14:textId="77777777" w:rsidR="00B73851" w:rsidRPr="00597243" w:rsidRDefault="00000000">
      <w:pPr>
        <w:pStyle w:val="Heading1"/>
        <w:spacing w:before="200" w:after="80"/>
        <w:rPr>
          <w:rFonts w:ascii="Arial" w:hAnsi="Arial" w:cs="Arial"/>
          <w:color w:val="auto"/>
          <w:sz w:val="20"/>
          <w:szCs w:val="20"/>
        </w:rPr>
      </w:pPr>
      <w:r w:rsidRPr="00597243">
        <w:rPr>
          <w:rFonts w:ascii="Arial" w:hAnsi="Arial" w:cs="Arial"/>
          <w:color w:val="auto"/>
          <w:sz w:val="20"/>
          <w:szCs w:val="20"/>
        </w:rPr>
        <w:t>6. CONCLUSION</w:t>
      </w:r>
    </w:p>
    <w:p w14:paraId="022ADE27" w14:textId="105F9017" w:rsidR="00B73851" w:rsidRPr="00597243" w:rsidRDefault="00000000">
      <w:pPr>
        <w:spacing w:after="100"/>
        <w:ind w:firstLine="425"/>
        <w:rPr>
          <w:rFonts w:ascii="Arial" w:hAnsi="Arial" w:cs="Arial"/>
          <w:sz w:val="20"/>
          <w:szCs w:val="20"/>
        </w:rPr>
      </w:pPr>
      <w:r w:rsidRPr="00597243">
        <w:rPr>
          <w:rFonts w:ascii="Arial" w:hAnsi="Arial" w:cs="Arial"/>
          <w:sz w:val="20"/>
          <w:szCs w:val="20"/>
        </w:rPr>
        <w:t xml:space="preserve">This exploratory study documents how 42 Adivasi women participating in mahua, lac and forest-product trade perceived recent changes in eight weekly markets in Gumla. </w:t>
      </w:r>
      <w:r w:rsidR="004C285A" w:rsidRPr="00597243">
        <w:rPr>
          <w:rFonts w:ascii="Arial" w:hAnsi="Arial" w:cs="Arial"/>
          <w:sz w:val="20"/>
          <w:szCs w:val="20"/>
        </w:rPr>
        <w:t xml:space="preserve">Most participants described declining sales, reduced footfall or less predictable market </w:t>
      </w:r>
      <w:r w:rsidRPr="00597243">
        <w:rPr>
          <w:rFonts w:ascii="Arial" w:hAnsi="Arial" w:cs="Arial"/>
          <w:sz w:val="20"/>
          <w:szCs w:val="20"/>
        </w:rPr>
        <w:t xml:space="preserve">activity, and substantial proportions reported barriers to knowledge transmission and reduced influence in selected household decisions. A smaller group expressed interest in digital tools while identifying significant barriers to adoption. The evidence does not show that e-commerce alone caused these changes. </w:t>
      </w:r>
      <w:r w:rsidR="004C285A" w:rsidRPr="00597243">
        <w:rPr>
          <w:rFonts w:ascii="Arial" w:hAnsi="Arial" w:cs="Arial"/>
          <w:sz w:val="20"/>
          <w:szCs w:val="20"/>
        </w:rPr>
        <w:t>Participants instead described an interacting set of conditions involving consumer preferences, intermediary relationships, transport, seasonality and unequal digital capability</w:t>
      </w:r>
      <w:r w:rsidRPr="00597243">
        <w:rPr>
          <w:rFonts w:ascii="Arial" w:hAnsi="Arial" w:cs="Arial"/>
          <w:sz w:val="20"/>
          <w:szCs w:val="20"/>
        </w:rPr>
        <w:t>.</w:t>
      </w:r>
    </w:p>
    <w:p w14:paraId="41992C40" w14:textId="77777777" w:rsidR="00B73851" w:rsidRPr="00597243" w:rsidRDefault="00000000">
      <w:pPr>
        <w:spacing w:after="100"/>
        <w:ind w:firstLine="425"/>
        <w:rPr>
          <w:rFonts w:ascii="Arial" w:hAnsi="Arial" w:cs="Arial"/>
          <w:sz w:val="20"/>
          <w:szCs w:val="20"/>
        </w:rPr>
      </w:pPr>
      <w:r w:rsidRPr="00597243">
        <w:rPr>
          <w:rFonts w:ascii="Arial" w:hAnsi="Arial" w:cs="Arial"/>
          <w:sz w:val="20"/>
          <w:szCs w:val="20"/>
        </w:rPr>
        <w:t xml:space="preserve">The findings support a cautious approach that protects the social and educational functions of haats while testing ways to widen market access. Digital tools may be useful when they are introduced as </w:t>
      </w:r>
      <w:r w:rsidRPr="00597243">
        <w:rPr>
          <w:rFonts w:ascii="Arial" w:hAnsi="Arial" w:cs="Arial"/>
          <w:sz w:val="20"/>
          <w:szCs w:val="20"/>
        </w:rPr>
        <w:lastRenderedPageBreak/>
        <w:t>optional, supported components of community-controlled enterprise rather than as replacements for traditional markets. Stronger conclusions will require longitudinal research, verified transaction data, consumer and intermediary perspectives and explicit measures of digital exposure and household decision-making.</w:t>
      </w:r>
    </w:p>
    <w:p w14:paraId="2C4361EE" w14:textId="77777777" w:rsidR="00B73851" w:rsidRPr="00597243" w:rsidRDefault="00000000">
      <w:pPr>
        <w:pStyle w:val="Heading1"/>
        <w:spacing w:before="200" w:after="80"/>
        <w:rPr>
          <w:rFonts w:ascii="Arial" w:hAnsi="Arial" w:cs="Arial"/>
          <w:color w:val="auto"/>
          <w:sz w:val="20"/>
          <w:szCs w:val="20"/>
        </w:rPr>
      </w:pPr>
      <w:r w:rsidRPr="00597243">
        <w:rPr>
          <w:rFonts w:ascii="Arial" w:hAnsi="Arial" w:cs="Arial"/>
          <w:color w:val="auto"/>
          <w:sz w:val="20"/>
          <w:szCs w:val="20"/>
        </w:rPr>
        <w:t>7. POLICY AND PRACTICE IMPLICATIONS</w:t>
      </w:r>
    </w:p>
    <w:p w14:paraId="3010A74D" w14:textId="77777777" w:rsidR="00B73851" w:rsidRPr="00597243" w:rsidRDefault="00000000">
      <w:pPr>
        <w:spacing w:after="100"/>
        <w:ind w:firstLine="425"/>
        <w:rPr>
          <w:rFonts w:ascii="Arial" w:hAnsi="Arial" w:cs="Arial"/>
          <w:sz w:val="20"/>
          <w:szCs w:val="20"/>
        </w:rPr>
      </w:pPr>
      <w:r w:rsidRPr="00597243">
        <w:rPr>
          <w:rFonts w:ascii="Arial" w:hAnsi="Arial" w:cs="Arial"/>
          <w:sz w:val="20"/>
          <w:szCs w:val="20"/>
        </w:rPr>
        <w:t>The following implications are framed as locally testable pilot options rather than established programme effects:</w:t>
      </w:r>
    </w:p>
    <w:p w14:paraId="09EF0586" w14:textId="77777777" w:rsidR="00B73851" w:rsidRPr="00597243" w:rsidRDefault="00000000" w:rsidP="003455B5">
      <w:pPr>
        <w:pStyle w:val="ListBullet"/>
        <w:numPr>
          <w:ilvl w:val="0"/>
          <w:numId w:val="0"/>
        </w:numPr>
        <w:spacing w:after="80"/>
        <w:ind w:left="425"/>
        <w:rPr>
          <w:rFonts w:ascii="Arial" w:hAnsi="Arial" w:cs="Arial"/>
          <w:sz w:val="20"/>
          <w:szCs w:val="20"/>
        </w:rPr>
      </w:pPr>
      <w:r w:rsidRPr="00597243">
        <w:rPr>
          <w:rFonts w:ascii="Arial" w:hAnsi="Arial" w:cs="Arial"/>
          <w:b/>
          <w:sz w:val="20"/>
          <w:szCs w:val="20"/>
        </w:rPr>
        <w:t xml:space="preserve">Gender-sensitive digital capacity building: </w:t>
      </w:r>
      <w:r w:rsidRPr="00597243">
        <w:rPr>
          <w:rFonts w:ascii="Arial" w:hAnsi="Arial" w:cs="Arial"/>
          <w:sz w:val="20"/>
          <w:szCs w:val="20"/>
        </w:rPr>
        <w:t>Short, repeated training sessions could be piloted through haats, panchayat facilities or self-help-group meetings. Content should address basic smartphone use, secure digital payments, product photography, local-language descriptions, platform navigation and fraud awareness. Participation should be voluntary, and outcomes should be assessed before scale-up.</w:t>
      </w:r>
    </w:p>
    <w:p w14:paraId="31B3A346" w14:textId="77777777" w:rsidR="00B73851" w:rsidRPr="00597243" w:rsidRDefault="00000000" w:rsidP="003455B5">
      <w:pPr>
        <w:pStyle w:val="ListBullet"/>
        <w:numPr>
          <w:ilvl w:val="0"/>
          <w:numId w:val="0"/>
        </w:numPr>
        <w:spacing w:after="80"/>
        <w:ind w:left="425"/>
        <w:rPr>
          <w:rFonts w:ascii="Arial" w:hAnsi="Arial" w:cs="Arial"/>
          <w:sz w:val="20"/>
          <w:szCs w:val="20"/>
        </w:rPr>
      </w:pPr>
      <w:r w:rsidRPr="00597243">
        <w:rPr>
          <w:rFonts w:ascii="Arial" w:hAnsi="Arial" w:cs="Arial"/>
          <w:b/>
          <w:sz w:val="20"/>
          <w:szCs w:val="20"/>
        </w:rPr>
        <w:t xml:space="preserve">Collective marketing and shared logistics: </w:t>
      </w:r>
      <w:r w:rsidRPr="00597243">
        <w:rPr>
          <w:rFonts w:ascii="Arial" w:hAnsi="Arial" w:cs="Arial"/>
          <w:sz w:val="20"/>
          <w:szCs w:val="20"/>
        </w:rPr>
        <w:t>Women’s groups could test common product catalogues, transparent price information, shared packaging and pooled delivery. Collective arrangements may reduce individual transaction costs, but governance rules, revenue sharing and product-quality responsibilities should be agreed in advance.</w:t>
      </w:r>
    </w:p>
    <w:p w14:paraId="538B73BE" w14:textId="77777777" w:rsidR="00B73851" w:rsidRPr="00597243" w:rsidRDefault="00000000" w:rsidP="003455B5">
      <w:pPr>
        <w:pStyle w:val="ListBullet"/>
        <w:numPr>
          <w:ilvl w:val="0"/>
          <w:numId w:val="0"/>
        </w:numPr>
        <w:spacing w:after="80"/>
        <w:ind w:left="425"/>
        <w:rPr>
          <w:rFonts w:ascii="Arial" w:hAnsi="Arial" w:cs="Arial"/>
          <w:sz w:val="20"/>
          <w:szCs w:val="20"/>
        </w:rPr>
      </w:pPr>
      <w:r w:rsidRPr="00597243">
        <w:rPr>
          <w:rFonts w:ascii="Arial" w:hAnsi="Arial" w:cs="Arial"/>
          <w:b/>
          <w:sz w:val="20"/>
          <w:szCs w:val="20"/>
        </w:rPr>
        <w:t xml:space="preserve">Livelihood-linked finance: </w:t>
      </w:r>
      <w:r w:rsidRPr="00597243">
        <w:rPr>
          <w:rFonts w:ascii="Arial" w:hAnsi="Arial" w:cs="Arial"/>
          <w:sz w:val="20"/>
          <w:szCs w:val="20"/>
        </w:rPr>
        <w:t>Small, carefully assessed credit or grant pilots could support processing tools, packaging and basic digital equipment. Financial products should not be tied automatically to platform participation, and repayment conditions should reflect seasonal forest-product income.</w:t>
      </w:r>
    </w:p>
    <w:p w14:paraId="27E42C85" w14:textId="77777777" w:rsidR="00B73851" w:rsidRPr="00597243" w:rsidRDefault="00000000" w:rsidP="003455B5">
      <w:pPr>
        <w:pStyle w:val="ListBullet"/>
        <w:numPr>
          <w:ilvl w:val="0"/>
          <w:numId w:val="0"/>
        </w:numPr>
        <w:spacing w:after="80"/>
        <w:ind w:left="425"/>
        <w:rPr>
          <w:rFonts w:ascii="Arial" w:hAnsi="Arial" w:cs="Arial"/>
          <w:sz w:val="20"/>
          <w:szCs w:val="20"/>
        </w:rPr>
      </w:pPr>
      <w:r w:rsidRPr="00597243">
        <w:rPr>
          <w:rFonts w:ascii="Arial" w:hAnsi="Arial" w:cs="Arial"/>
          <w:b/>
          <w:sz w:val="20"/>
          <w:szCs w:val="20"/>
        </w:rPr>
        <w:t xml:space="preserve">Hybrid haat–online models: </w:t>
      </w:r>
      <w:r w:rsidRPr="00597243">
        <w:rPr>
          <w:rFonts w:ascii="Arial" w:hAnsi="Arial" w:cs="Arial"/>
          <w:sz w:val="20"/>
          <w:szCs w:val="20"/>
        </w:rPr>
        <w:t>Digital channels could supplement physical markets through pre-orders, local catalogues or assisted selling while retaining haats as spaces for direct trade, social contact and knowledge exchange. Pilot evaluation should compare realised prices, costs, unsold stock and women’s control over receipts.</w:t>
      </w:r>
    </w:p>
    <w:p w14:paraId="778CC4C0" w14:textId="77777777" w:rsidR="00B73851" w:rsidRPr="00597243" w:rsidRDefault="00000000" w:rsidP="003455B5">
      <w:pPr>
        <w:pStyle w:val="ListBullet"/>
        <w:numPr>
          <w:ilvl w:val="0"/>
          <w:numId w:val="0"/>
        </w:numPr>
        <w:spacing w:after="80"/>
        <w:ind w:left="425"/>
        <w:rPr>
          <w:rFonts w:ascii="Arial" w:hAnsi="Arial" w:cs="Arial"/>
          <w:sz w:val="20"/>
          <w:szCs w:val="20"/>
        </w:rPr>
      </w:pPr>
      <w:r w:rsidRPr="00597243">
        <w:rPr>
          <w:rFonts w:ascii="Arial" w:hAnsi="Arial" w:cs="Arial"/>
          <w:b/>
          <w:sz w:val="20"/>
          <w:szCs w:val="20"/>
        </w:rPr>
        <w:t xml:space="preserve">Community-controlled monitoring: </w:t>
      </w:r>
      <w:r w:rsidRPr="00597243">
        <w:rPr>
          <w:rFonts w:ascii="Arial" w:hAnsi="Arial" w:cs="Arial"/>
          <w:sz w:val="20"/>
          <w:szCs w:val="20"/>
        </w:rPr>
        <w:t>Monitoring indicators should be co-designed with participants and may include market attendance, verified gross and net receipts, digital use, fulfilment costs, perceived decision influence and participation of younger learners. Qualitative feedback should accompany numerical indicators.</w:t>
      </w:r>
    </w:p>
    <w:p w14:paraId="6E65032A" w14:textId="6378A764" w:rsidR="00B73851" w:rsidRPr="00597243" w:rsidRDefault="00000000" w:rsidP="003455B5">
      <w:pPr>
        <w:pStyle w:val="ListBullet"/>
        <w:numPr>
          <w:ilvl w:val="0"/>
          <w:numId w:val="0"/>
        </w:numPr>
        <w:spacing w:after="80"/>
        <w:ind w:left="425"/>
        <w:rPr>
          <w:rFonts w:ascii="Arial" w:hAnsi="Arial" w:cs="Arial"/>
          <w:sz w:val="20"/>
          <w:szCs w:val="20"/>
        </w:rPr>
      </w:pPr>
      <w:r w:rsidRPr="00597243">
        <w:rPr>
          <w:rFonts w:ascii="Arial" w:hAnsi="Arial" w:cs="Arial"/>
          <w:b/>
          <w:sz w:val="20"/>
          <w:szCs w:val="20"/>
        </w:rPr>
        <w:t xml:space="preserve">Protection of cultural and intellectual interests: </w:t>
      </w:r>
      <w:r w:rsidR="00E471D0" w:rsidRPr="00597243">
        <w:rPr>
          <w:rFonts w:ascii="Arial" w:hAnsi="Arial" w:cs="Arial"/>
          <w:sz w:val="20"/>
          <w:szCs w:val="20"/>
        </w:rPr>
        <w:t>Any future use of community knowledge, cultural narratives or collective product identities in marketing should be developed through documented community consultation and appropriate legal and ethical review</w:t>
      </w:r>
      <w:r w:rsidRPr="00597243">
        <w:rPr>
          <w:rFonts w:ascii="Arial" w:hAnsi="Arial" w:cs="Arial"/>
          <w:sz w:val="20"/>
          <w:szCs w:val="20"/>
        </w:rPr>
        <w:t xml:space="preserve">. </w:t>
      </w:r>
    </w:p>
    <w:p w14:paraId="3437678E" w14:textId="77777777" w:rsidR="00B73851" w:rsidRPr="00597243" w:rsidRDefault="00000000">
      <w:pPr>
        <w:pStyle w:val="Heading1"/>
        <w:spacing w:before="200" w:after="80"/>
        <w:rPr>
          <w:rFonts w:ascii="Arial" w:hAnsi="Arial" w:cs="Arial"/>
          <w:color w:val="auto"/>
          <w:sz w:val="20"/>
          <w:szCs w:val="20"/>
        </w:rPr>
      </w:pPr>
      <w:r w:rsidRPr="00597243">
        <w:rPr>
          <w:rFonts w:ascii="Arial" w:hAnsi="Arial" w:cs="Arial"/>
          <w:color w:val="auto"/>
          <w:sz w:val="20"/>
          <w:szCs w:val="20"/>
        </w:rPr>
        <w:t>8. LIMITATIONS</w:t>
      </w:r>
    </w:p>
    <w:p w14:paraId="4C8C91D2" w14:textId="77777777" w:rsidR="00B73851" w:rsidRPr="00597243" w:rsidRDefault="00000000">
      <w:pPr>
        <w:spacing w:after="100"/>
        <w:ind w:firstLine="425"/>
        <w:rPr>
          <w:rFonts w:ascii="Arial" w:hAnsi="Arial" w:cs="Arial"/>
          <w:sz w:val="20"/>
          <w:szCs w:val="20"/>
        </w:rPr>
      </w:pPr>
      <w:r w:rsidRPr="00597243">
        <w:rPr>
          <w:rFonts w:ascii="Arial" w:hAnsi="Arial" w:cs="Arial"/>
          <w:sz w:val="20"/>
          <w:szCs w:val="20"/>
        </w:rPr>
        <w:t>The study used convenience sampling and included 42 women from eight weekly markets; the findings are not representative of all Adivasi women, traders or forest-based enterprises in Gumla. Interviews were conducted during one three-month period and were not audio-recorded. The analysis relied on field notes, retrospective recall and translation, creating risks of omission, recall bias and interpretive error. The study did not collect detailed participant demographics, interview consumers, intermediaries or younger family members, or verify sales, quantities, prices, transport expenses, footfall, platform use or household allocations. Interviews conducted in market environments may also have offered limited privacy and increased the risk of social-desirability bias. Seasonal production, climate variability, migration and policy implementation were not assessed systematically. Theme counts show the presence of coded experiences within the sample and should not be interpreted as causal effects, statistically generalisable prevalence estimates or evidence of district-wide change.</w:t>
      </w:r>
    </w:p>
    <w:p w14:paraId="47C2F9F5" w14:textId="77777777" w:rsidR="00B73851" w:rsidRPr="00597243" w:rsidRDefault="00000000">
      <w:pPr>
        <w:pStyle w:val="Heading1"/>
        <w:spacing w:before="200" w:after="80"/>
        <w:rPr>
          <w:rFonts w:ascii="Arial" w:hAnsi="Arial" w:cs="Arial"/>
          <w:color w:val="auto"/>
          <w:sz w:val="20"/>
          <w:szCs w:val="20"/>
        </w:rPr>
      </w:pPr>
      <w:r w:rsidRPr="00597243">
        <w:rPr>
          <w:rFonts w:ascii="Arial" w:hAnsi="Arial" w:cs="Arial"/>
          <w:color w:val="auto"/>
          <w:sz w:val="20"/>
          <w:szCs w:val="20"/>
        </w:rPr>
        <w:t>ETHICAL CONSIDERATIONS AND CONSENT</w:t>
      </w:r>
    </w:p>
    <w:p w14:paraId="1DFC0F96" w14:textId="6906A869" w:rsidR="00B73851" w:rsidRPr="00597243" w:rsidRDefault="00000000">
      <w:pPr>
        <w:spacing w:after="100"/>
        <w:rPr>
          <w:rFonts w:ascii="Arial" w:hAnsi="Arial" w:cs="Arial"/>
          <w:sz w:val="20"/>
          <w:szCs w:val="20"/>
        </w:rPr>
      </w:pPr>
      <w:r w:rsidRPr="00597243">
        <w:rPr>
          <w:rFonts w:ascii="Arial" w:hAnsi="Arial" w:cs="Arial"/>
          <w:sz w:val="20"/>
          <w:szCs w:val="20"/>
        </w:rPr>
        <w:t xml:space="preserve">Formal institutional ethics committee review was not obtained. </w:t>
      </w:r>
      <w:r w:rsidR="004C285A" w:rsidRPr="00597243">
        <w:rPr>
          <w:rFonts w:ascii="Arial" w:hAnsi="Arial" w:cs="Arial"/>
          <w:sz w:val="20"/>
          <w:szCs w:val="20"/>
        </w:rPr>
        <w:t>Before data collection, the study was explained orally in a language understood by each participant, and written informed consent was subsequently obtained</w:t>
      </w:r>
      <w:r w:rsidRPr="00597243">
        <w:rPr>
          <w:rFonts w:ascii="Arial" w:hAnsi="Arial" w:cs="Arial"/>
          <w:sz w:val="20"/>
          <w:szCs w:val="20"/>
        </w:rPr>
        <w:t>. Participation was voluntary, identifying information was excluded from the manuscript dataset and participant accounts were reported through anonymised codes and paraphrases. Written consent records have been retained by the authors.</w:t>
      </w:r>
    </w:p>
    <w:p w14:paraId="157B19E0" w14:textId="77777777" w:rsidR="00B867FE" w:rsidRPr="00597243" w:rsidRDefault="00B867FE" w:rsidP="00B867FE">
      <w:pPr>
        <w:spacing w:after="100"/>
        <w:rPr>
          <w:rFonts w:ascii="Arial" w:hAnsi="Arial" w:cs="Arial"/>
          <w:b/>
          <w:bCs/>
          <w:sz w:val="20"/>
          <w:szCs w:val="20"/>
        </w:rPr>
      </w:pPr>
      <w:r w:rsidRPr="00597243">
        <w:rPr>
          <w:rFonts w:ascii="Arial" w:hAnsi="Arial" w:cs="Arial"/>
          <w:b/>
          <w:bCs/>
          <w:sz w:val="20"/>
          <w:szCs w:val="20"/>
        </w:rPr>
        <w:t>Declaration of AI Use</w:t>
      </w:r>
    </w:p>
    <w:p w14:paraId="43BA14B5" w14:textId="2E9C64A4" w:rsidR="00B867FE" w:rsidRPr="00597243" w:rsidRDefault="00B867FE" w:rsidP="00B867FE">
      <w:pPr>
        <w:spacing w:after="100"/>
        <w:rPr>
          <w:rFonts w:ascii="Arial" w:hAnsi="Arial" w:cs="Arial"/>
          <w:sz w:val="20"/>
          <w:szCs w:val="20"/>
        </w:rPr>
      </w:pPr>
      <w:r w:rsidRPr="00597243">
        <w:rPr>
          <w:rFonts w:ascii="Arial" w:hAnsi="Arial" w:cs="Arial"/>
          <w:sz w:val="20"/>
          <w:szCs w:val="20"/>
        </w:rPr>
        <w:lastRenderedPageBreak/>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1664E3B3" w14:textId="77777777" w:rsidR="00B867FE" w:rsidRPr="00597243" w:rsidRDefault="00B867FE">
      <w:pPr>
        <w:pStyle w:val="Heading1"/>
        <w:spacing w:before="200" w:after="80"/>
        <w:rPr>
          <w:rFonts w:ascii="Arial" w:hAnsi="Arial" w:cs="Arial"/>
          <w:color w:val="auto"/>
          <w:sz w:val="20"/>
          <w:szCs w:val="20"/>
        </w:rPr>
      </w:pPr>
    </w:p>
    <w:p w14:paraId="6E72D32D" w14:textId="308C6E01" w:rsidR="00B73851" w:rsidRPr="00597243" w:rsidRDefault="00000000">
      <w:pPr>
        <w:pStyle w:val="Heading1"/>
        <w:spacing w:before="200" w:after="80"/>
        <w:rPr>
          <w:rFonts w:ascii="Arial" w:hAnsi="Arial" w:cs="Arial"/>
          <w:color w:val="auto"/>
          <w:sz w:val="20"/>
          <w:szCs w:val="20"/>
        </w:rPr>
      </w:pPr>
      <w:r w:rsidRPr="00597243">
        <w:rPr>
          <w:rFonts w:ascii="Arial" w:hAnsi="Arial" w:cs="Arial"/>
          <w:color w:val="auto"/>
          <w:sz w:val="20"/>
          <w:szCs w:val="20"/>
        </w:rPr>
        <w:t>REFERENCES</w:t>
      </w:r>
    </w:p>
    <w:p w14:paraId="4CE826BD" w14:textId="77777777" w:rsidR="003D408B" w:rsidRPr="00597243" w:rsidRDefault="003D408B">
      <w:pPr>
        <w:spacing w:after="80" w:line="240" w:lineRule="auto"/>
        <w:ind w:left="612" w:hanging="612"/>
        <w:rPr>
          <w:rFonts w:ascii="Arial" w:hAnsi="Arial" w:cs="Arial"/>
          <w:sz w:val="20"/>
          <w:szCs w:val="20"/>
        </w:rPr>
      </w:pPr>
      <w:r w:rsidRPr="00597243">
        <w:rPr>
          <w:rFonts w:ascii="Arial" w:eastAsia="Arial" w:hAnsi="Arial" w:cs="Arial"/>
          <w:color w:val="000000"/>
          <w:sz w:val="20"/>
        </w:rPr>
        <w:t xml:space="preserve">Belcher, B., &amp; Schreckenberg, K. (2007). Commercialisation of non-timber forest products: A reality check. </w:t>
      </w:r>
      <w:r w:rsidRPr="00597243">
        <w:rPr>
          <w:rFonts w:ascii="Arial" w:eastAsia="Arial" w:hAnsi="Arial" w:cs="Arial"/>
          <w:i/>
          <w:color w:val="000000"/>
          <w:sz w:val="20"/>
        </w:rPr>
        <w:t>Development Policy Review, 25</w:t>
      </w:r>
      <w:r w:rsidRPr="00597243">
        <w:rPr>
          <w:rFonts w:ascii="Arial" w:eastAsia="Arial" w:hAnsi="Arial" w:cs="Arial"/>
          <w:color w:val="000000"/>
          <w:sz w:val="20"/>
        </w:rPr>
        <w:t xml:space="preserve">(3), 355–377. </w:t>
      </w:r>
      <w:hyperlink r:id="rId13">
        <w:r w:rsidRPr="00597243">
          <w:rPr>
            <w:rFonts w:ascii="Arial" w:eastAsia="Arial" w:hAnsi="Arial" w:cs="Arial"/>
            <w:color w:val="000000"/>
            <w:sz w:val="20"/>
            <w:szCs w:val="20"/>
          </w:rPr>
          <w:t>https://doi.org/10.1111/j.1467-7679.2007.00374.x</w:t>
        </w:r>
      </w:hyperlink>
    </w:p>
    <w:p w14:paraId="0122EF57" w14:textId="77777777" w:rsidR="003D408B" w:rsidRPr="00597243" w:rsidRDefault="003D408B">
      <w:pPr>
        <w:spacing w:after="80" w:line="240" w:lineRule="auto"/>
        <w:ind w:left="612" w:hanging="612"/>
        <w:rPr>
          <w:rFonts w:ascii="Arial" w:hAnsi="Arial" w:cs="Arial"/>
          <w:sz w:val="20"/>
          <w:szCs w:val="20"/>
        </w:rPr>
      </w:pPr>
      <w:r w:rsidRPr="00597243">
        <w:rPr>
          <w:rFonts w:ascii="Arial" w:eastAsia="Arial" w:hAnsi="Arial" w:cs="Arial"/>
          <w:color w:val="000000"/>
          <w:sz w:val="20"/>
        </w:rPr>
        <w:t xml:space="preserve">Chakrabarti, P., &amp; Dutta, A. (2026). Beyond timber: A review on the role of non-timber forest products for ecological sustainability and rural empowerment in India. </w:t>
      </w:r>
      <w:r w:rsidRPr="00597243">
        <w:rPr>
          <w:rFonts w:ascii="Arial" w:eastAsia="Arial" w:hAnsi="Arial" w:cs="Arial"/>
          <w:i/>
          <w:color w:val="000000"/>
          <w:sz w:val="20"/>
        </w:rPr>
        <w:t>Frontiers in Sustainable Food Systems, 10</w:t>
      </w:r>
      <w:r w:rsidRPr="00597243">
        <w:rPr>
          <w:rFonts w:ascii="Arial" w:eastAsia="Arial" w:hAnsi="Arial" w:cs="Arial"/>
          <w:color w:val="000000"/>
          <w:sz w:val="20"/>
        </w:rPr>
        <w:t xml:space="preserve">, Article 1792816. </w:t>
      </w:r>
      <w:hyperlink r:id="rId14">
        <w:r w:rsidRPr="00597243">
          <w:rPr>
            <w:rFonts w:ascii="Arial" w:eastAsia="Arial" w:hAnsi="Arial" w:cs="Arial"/>
            <w:color w:val="000000"/>
            <w:sz w:val="20"/>
            <w:szCs w:val="20"/>
          </w:rPr>
          <w:t>https://doi.org/10.3389/fsufs.2026.1792816</w:t>
        </w:r>
      </w:hyperlink>
    </w:p>
    <w:p w14:paraId="34448571" w14:textId="77777777" w:rsidR="003D408B" w:rsidRPr="00597243" w:rsidRDefault="003D408B">
      <w:pPr>
        <w:spacing w:after="80" w:line="240" w:lineRule="auto"/>
        <w:ind w:left="612" w:hanging="612"/>
        <w:rPr>
          <w:rFonts w:ascii="Arial" w:hAnsi="Arial" w:cs="Arial"/>
          <w:sz w:val="20"/>
          <w:szCs w:val="20"/>
        </w:rPr>
      </w:pPr>
      <w:r w:rsidRPr="00597243">
        <w:rPr>
          <w:rFonts w:ascii="Arial" w:eastAsia="Arial" w:hAnsi="Arial" w:cs="Arial"/>
          <w:color w:val="000000"/>
          <w:sz w:val="20"/>
        </w:rPr>
        <w:t xml:space="preserve">Chaudhari, A. S., &amp; Khunt, K. A. (2024). Socio-economic determinants of non-timber forest product income among tribal communities in the Dangs region, Gujarat, India. </w:t>
      </w:r>
      <w:r w:rsidRPr="00597243">
        <w:rPr>
          <w:rFonts w:ascii="Arial" w:eastAsia="Arial" w:hAnsi="Arial" w:cs="Arial"/>
          <w:i/>
          <w:color w:val="000000"/>
          <w:sz w:val="20"/>
        </w:rPr>
        <w:t>Asian Journal of Research and Review in Agriculture, 6</w:t>
      </w:r>
      <w:r w:rsidRPr="00597243">
        <w:rPr>
          <w:rFonts w:ascii="Arial" w:eastAsia="Arial" w:hAnsi="Arial" w:cs="Arial"/>
          <w:color w:val="000000"/>
          <w:sz w:val="20"/>
        </w:rPr>
        <w:t xml:space="preserve">(1), 750–757. </w:t>
      </w:r>
      <w:hyperlink r:id="rId15">
        <w:r w:rsidRPr="00597243">
          <w:rPr>
            <w:rFonts w:ascii="Arial" w:eastAsia="Arial" w:hAnsi="Arial" w:cs="Arial"/>
            <w:color w:val="000000"/>
            <w:sz w:val="20"/>
            <w:szCs w:val="20"/>
          </w:rPr>
          <w:t>https://doi.org/10.56557/ajrra/2024/v6i1148</w:t>
        </w:r>
      </w:hyperlink>
    </w:p>
    <w:p w14:paraId="3BA57D64" w14:textId="77777777" w:rsidR="003D408B" w:rsidRPr="00597243" w:rsidRDefault="003D408B" w:rsidP="003D408B">
      <w:pPr>
        <w:spacing w:after="80" w:line="240" w:lineRule="auto"/>
        <w:ind w:left="612" w:hanging="612"/>
        <w:rPr>
          <w:rFonts w:ascii="Arial" w:hAnsi="Arial" w:cs="Arial"/>
          <w:sz w:val="20"/>
          <w:szCs w:val="20"/>
        </w:rPr>
      </w:pPr>
      <w:r w:rsidRPr="00597243">
        <w:rPr>
          <w:rFonts w:ascii="Arial" w:eastAsia="Arial" w:hAnsi="Arial" w:cs="Arial"/>
          <w:color w:val="000000"/>
          <w:sz w:val="20"/>
        </w:rPr>
        <w:t xml:space="preserve">Dei, D.-G. J., Anane-Donkor, L., Dzandza, P. E., Peasah, T., &amp; Puttick, C. P. (2025). Synthesizing the characteristics and applications of Indigenous knowledge for sustainable development: A systematic review. </w:t>
      </w:r>
      <w:r w:rsidRPr="00597243">
        <w:rPr>
          <w:rFonts w:ascii="Arial" w:eastAsia="Arial" w:hAnsi="Arial" w:cs="Arial"/>
          <w:i/>
          <w:color w:val="000000"/>
          <w:sz w:val="20"/>
        </w:rPr>
        <w:t>SAGE Open, 15</w:t>
      </w:r>
      <w:r w:rsidRPr="00597243">
        <w:rPr>
          <w:rFonts w:ascii="Arial" w:eastAsia="Arial" w:hAnsi="Arial" w:cs="Arial"/>
          <w:color w:val="000000"/>
          <w:sz w:val="20"/>
        </w:rPr>
        <w:t xml:space="preserve">(3), Article 21582440251383843. </w:t>
      </w:r>
      <w:hyperlink r:id="rId16">
        <w:r w:rsidRPr="00597243">
          <w:rPr>
            <w:rFonts w:ascii="Arial" w:eastAsia="Arial" w:hAnsi="Arial" w:cs="Arial"/>
            <w:color w:val="000000"/>
            <w:sz w:val="20"/>
            <w:szCs w:val="20"/>
          </w:rPr>
          <w:t>https://doi.org/10.1177/21582440251383843</w:t>
        </w:r>
      </w:hyperlink>
    </w:p>
    <w:p w14:paraId="56C83367" w14:textId="77777777" w:rsidR="003D408B" w:rsidRPr="00597243" w:rsidRDefault="003D408B">
      <w:pPr>
        <w:spacing w:after="80" w:line="240" w:lineRule="auto"/>
        <w:ind w:left="612" w:hanging="612"/>
        <w:rPr>
          <w:rFonts w:ascii="Arial" w:hAnsi="Arial" w:cs="Arial"/>
          <w:sz w:val="20"/>
          <w:szCs w:val="20"/>
        </w:rPr>
      </w:pPr>
      <w:r w:rsidRPr="00597243">
        <w:rPr>
          <w:rFonts w:ascii="Arial" w:eastAsia="Arial" w:hAnsi="Arial" w:cs="Arial"/>
          <w:color w:val="000000"/>
          <w:sz w:val="20"/>
        </w:rPr>
        <w:t xml:space="preserve">Department of Women, Child Development and Social Security, Government of Jharkhand. (2025). </w:t>
      </w:r>
      <w:r w:rsidRPr="00597243">
        <w:rPr>
          <w:rFonts w:ascii="Arial" w:eastAsia="Arial" w:hAnsi="Arial" w:cs="Arial"/>
          <w:i/>
          <w:color w:val="000000"/>
          <w:sz w:val="20"/>
        </w:rPr>
        <w:t>Savitribai Phule Kishori Samriddhi Yojana</w:t>
      </w:r>
      <w:r w:rsidRPr="00597243">
        <w:rPr>
          <w:rFonts w:ascii="Arial" w:eastAsia="Arial" w:hAnsi="Arial" w:cs="Arial"/>
          <w:color w:val="000000"/>
          <w:sz w:val="20"/>
        </w:rPr>
        <w:t xml:space="preserve">. </w:t>
      </w:r>
      <w:hyperlink r:id="rId17">
        <w:r w:rsidRPr="00597243">
          <w:rPr>
            <w:rFonts w:ascii="Arial" w:eastAsia="Arial" w:hAnsi="Arial" w:cs="Arial"/>
            <w:color w:val="000000"/>
            <w:sz w:val="20"/>
            <w:szCs w:val="20"/>
          </w:rPr>
          <w:t>https://savitribaipksy.jharkhand.gov.in/about</w:t>
        </w:r>
      </w:hyperlink>
    </w:p>
    <w:p w14:paraId="5968DA99" w14:textId="77777777" w:rsidR="003D408B" w:rsidRPr="00597243" w:rsidRDefault="003D408B">
      <w:pPr>
        <w:spacing w:after="80" w:line="240" w:lineRule="auto"/>
        <w:ind w:left="612" w:hanging="612"/>
        <w:rPr>
          <w:rFonts w:ascii="Arial" w:hAnsi="Arial" w:cs="Arial"/>
          <w:sz w:val="20"/>
          <w:szCs w:val="20"/>
        </w:rPr>
      </w:pPr>
      <w:r w:rsidRPr="00597243">
        <w:rPr>
          <w:rFonts w:ascii="Arial" w:eastAsia="Arial" w:hAnsi="Arial" w:cs="Arial"/>
          <w:color w:val="000000"/>
          <w:sz w:val="20"/>
        </w:rPr>
        <w:t xml:space="preserve">Doss, C. (2013). Intrahousehold bargaining and resource allocation in developing countries. </w:t>
      </w:r>
      <w:r w:rsidRPr="00597243">
        <w:rPr>
          <w:rFonts w:ascii="Arial" w:eastAsia="Arial" w:hAnsi="Arial" w:cs="Arial"/>
          <w:i/>
          <w:color w:val="000000"/>
          <w:sz w:val="20"/>
        </w:rPr>
        <w:t>The World Bank Research Observer, 28</w:t>
      </w:r>
      <w:r w:rsidRPr="00597243">
        <w:rPr>
          <w:rFonts w:ascii="Arial" w:eastAsia="Arial" w:hAnsi="Arial" w:cs="Arial"/>
          <w:color w:val="000000"/>
          <w:sz w:val="20"/>
        </w:rPr>
        <w:t xml:space="preserve">(1), 52–78. </w:t>
      </w:r>
      <w:hyperlink r:id="rId18">
        <w:r w:rsidRPr="00597243">
          <w:rPr>
            <w:rFonts w:ascii="Arial" w:eastAsia="Arial" w:hAnsi="Arial" w:cs="Arial"/>
            <w:color w:val="000000"/>
            <w:sz w:val="20"/>
            <w:szCs w:val="20"/>
          </w:rPr>
          <w:t>https://doi.org/10.1093/wbro/lkt001</w:t>
        </w:r>
      </w:hyperlink>
    </w:p>
    <w:p w14:paraId="2696F3CE" w14:textId="77777777" w:rsidR="003D408B" w:rsidRPr="00597243" w:rsidRDefault="003D408B">
      <w:pPr>
        <w:spacing w:after="80" w:line="240" w:lineRule="auto"/>
        <w:ind w:left="612" w:hanging="612"/>
        <w:rPr>
          <w:rFonts w:ascii="Arial" w:hAnsi="Arial" w:cs="Arial"/>
          <w:sz w:val="20"/>
          <w:szCs w:val="20"/>
        </w:rPr>
      </w:pPr>
      <w:r w:rsidRPr="00597243">
        <w:rPr>
          <w:rFonts w:ascii="Arial" w:eastAsia="Arial" w:hAnsi="Arial" w:cs="Arial"/>
          <w:color w:val="000000"/>
          <w:sz w:val="20"/>
        </w:rPr>
        <w:t xml:space="preserve">Gamango, D., &amp; Mohapatra, J. (2025). Social entrepreneurship among tribal women in Gajapati district, Odisha, India: Barriers, opportunities and pathways to empowerment. </w:t>
      </w:r>
      <w:r w:rsidRPr="00597243">
        <w:rPr>
          <w:rFonts w:ascii="Arial" w:eastAsia="Arial" w:hAnsi="Arial" w:cs="Arial"/>
          <w:i/>
          <w:color w:val="000000"/>
          <w:sz w:val="20"/>
        </w:rPr>
        <w:t>Asian Journal of Education and Social Studies, 51</w:t>
      </w:r>
      <w:r w:rsidRPr="00597243">
        <w:rPr>
          <w:rFonts w:ascii="Arial" w:eastAsia="Arial" w:hAnsi="Arial" w:cs="Arial"/>
          <w:color w:val="000000"/>
          <w:sz w:val="20"/>
        </w:rPr>
        <w:t xml:space="preserve">(10), 236–248. </w:t>
      </w:r>
      <w:hyperlink r:id="rId19">
        <w:r w:rsidRPr="00597243">
          <w:rPr>
            <w:rFonts w:ascii="Arial" w:eastAsia="Arial" w:hAnsi="Arial" w:cs="Arial"/>
            <w:color w:val="000000"/>
            <w:sz w:val="20"/>
            <w:szCs w:val="20"/>
          </w:rPr>
          <w:t>https://doi.org/10.9734/ajess/2025/v51i102490</w:t>
        </w:r>
      </w:hyperlink>
    </w:p>
    <w:p w14:paraId="7D7618DE" w14:textId="77777777" w:rsidR="003D408B" w:rsidRPr="00597243" w:rsidRDefault="003D408B">
      <w:pPr>
        <w:spacing w:after="80" w:line="240" w:lineRule="auto"/>
        <w:ind w:left="612" w:hanging="612"/>
        <w:rPr>
          <w:rFonts w:ascii="Arial" w:hAnsi="Arial" w:cs="Arial"/>
          <w:sz w:val="20"/>
          <w:szCs w:val="20"/>
        </w:rPr>
      </w:pPr>
      <w:r w:rsidRPr="00597243">
        <w:rPr>
          <w:rFonts w:ascii="Arial" w:eastAsia="Arial" w:hAnsi="Arial" w:cs="Arial"/>
          <w:color w:val="000000"/>
          <w:sz w:val="20"/>
        </w:rPr>
        <w:t xml:space="preserve">Government of Jharkhand. (2026). </w:t>
      </w:r>
      <w:r w:rsidRPr="00597243">
        <w:rPr>
          <w:rFonts w:ascii="Arial" w:eastAsia="Arial" w:hAnsi="Arial" w:cs="Arial"/>
          <w:i/>
          <w:color w:val="000000"/>
          <w:sz w:val="20"/>
        </w:rPr>
        <w:t>Outcome budget 2026–27: Department of Women, Child Development and Social Security</w:t>
      </w:r>
      <w:r w:rsidRPr="00597243">
        <w:rPr>
          <w:rFonts w:ascii="Arial" w:eastAsia="Arial" w:hAnsi="Arial" w:cs="Arial"/>
          <w:color w:val="000000"/>
          <w:sz w:val="20"/>
        </w:rPr>
        <w:t xml:space="preserve">. </w:t>
      </w:r>
      <w:hyperlink r:id="rId20">
        <w:r w:rsidRPr="00597243">
          <w:rPr>
            <w:rFonts w:ascii="Arial" w:eastAsia="Arial" w:hAnsi="Arial" w:cs="Arial"/>
            <w:color w:val="000000"/>
            <w:sz w:val="20"/>
            <w:szCs w:val="20"/>
          </w:rPr>
          <w:t>https://finance.jharkhand.gov.in/pdf/Budget_2026_27/OutCome/Women_and_Child_Development.pdf</w:t>
        </w:r>
      </w:hyperlink>
    </w:p>
    <w:p w14:paraId="36A4FB81" w14:textId="77777777" w:rsidR="003D408B" w:rsidRPr="00597243" w:rsidRDefault="003D408B">
      <w:pPr>
        <w:spacing w:after="80" w:line="240" w:lineRule="auto"/>
        <w:ind w:left="612" w:hanging="612"/>
        <w:rPr>
          <w:rFonts w:ascii="Arial" w:hAnsi="Arial" w:cs="Arial"/>
          <w:sz w:val="20"/>
          <w:szCs w:val="20"/>
        </w:rPr>
      </w:pPr>
      <w:r w:rsidRPr="00597243">
        <w:rPr>
          <w:rFonts w:ascii="Arial" w:eastAsia="Arial" w:hAnsi="Arial" w:cs="Arial"/>
          <w:color w:val="000000"/>
          <w:sz w:val="20"/>
        </w:rPr>
        <w:t xml:space="preserve">Hansda, A., &amp; Biswal, B. (2025). From forests to markets: Transformation of traditional livelihoods among Dongria Kandha in Rayagada District, Odisha, India. </w:t>
      </w:r>
      <w:r w:rsidRPr="00597243">
        <w:rPr>
          <w:rFonts w:ascii="Arial" w:eastAsia="Arial" w:hAnsi="Arial" w:cs="Arial"/>
          <w:i/>
          <w:color w:val="000000"/>
          <w:sz w:val="20"/>
        </w:rPr>
        <w:t>Asian Journal of Education and Social Studies, 51</w:t>
      </w:r>
      <w:r w:rsidRPr="00597243">
        <w:rPr>
          <w:rFonts w:ascii="Arial" w:eastAsia="Arial" w:hAnsi="Arial" w:cs="Arial"/>
          <w:color w:val="000000"/>
          <w:sz w:val="20"/>
        </w:rPr>
        <w:t xml:space="preserve">(8), 1048–1059. </w:t>
      </w:r>
      <w:hyperlink r:id="rId21">
        <w:r w:rsidRPr="00597243">
          <w:rPr>
            <w:rFonts w:ascii="Arial" w:eastAsia="Arial" w:hAnsi="Arial" w:cs="Arial"/>
            <w:color w:val="000000"/>
            <w:sz w:val="20"/>
            <w:szCs w:val="20"/>
          </w:rPr>
          <w:t>https://doi.org/10.9734/ajess/2025/v51i82300</w:t>
        </w:r>
      </w:hyperlink>
    </w:p>
    <w:p w14:paraId="72514B44" w14:textId="77777777" w:rsidR="003D408B" w:rsidRPr="00597243" w:rsidRDefault="003D408B">
      <w:pPr>
        <w:spacing w:after="80" w:line="240" w:lineRule="auto"/>
        <w:ind w:left="612" w:hanging="612"/>
        <w:rPr>
          <w:rFonts w:ascii="Arial" w:hAnsi="Arial" w:cs="Arial"/>
          <w:sz w:val="20"/>
          <w:szCs w:val="20"/>
        </w:rPr>
      </w:pPr>
      <w:r w:rsidRPr="00597243">
        <w:rPr>
          <w:rFonts w:ascii="Arial" w:eastAsia="Arial" w:hAnsi="Arial" w:cs="Arial"/>
          <w:color w:val="000000"/>
          <w:sz w:val="20"/>
        </w:rPr>
        <w:t xml:space="preserve">Hsieh, H.-F., &amp; Shannon, S. E. (2005). Three approaches to qualitative content analysis. </w:t>
      </w:r>
      <w:r w:rsidRPr="00597243">
        <w:rPr>
          <w:rFonts w:ascii="Arial" w:eastAsia="Arial" w:hAnsi="Arial" w:cs="Arial"/>
          <w:i/>
          <w:color w:val="000000"/>
          <w:sz w:val="20"/>
        </w:rPr>
        <w:t>Qualitative Health Research, 15</w:t>
      </w:r>
      <w:r w:rsidRPr="00597243">
        <w:rPr>
          <w:rFonts w:ascii="Arial" w:eastAsia="Arial" w:hAnsi="Arial" w:cs="Arial"/>
          <w:color w:val="000000"/>
          <w:sz w:val="20"/>
        </w:rPr>
        <w:t xml:space="preserve">(9), 1277–1288. </w:t>
      </w:r>
      <w:hyperlink r:id="rId22">
        <w:r w:rsidRPr="00597243">
          <w:rPr>
            <w:rFonts w:ascii="Arial" w:eastAsia="Arial" w:hAnsi="Arial" w:cs="Arial"/>
            <w:color w:val="000000"/>
            <w:sz w:val="20"/>
            <w:szCs w:val="20"/>
          </w:rPr>
          <w:t>https://doi.org/10.1177/1049732305276687</w:t>
        </w:r>
      </w:hyperlink>
    </w:p>
    <w:p w14:paraId="33C173E1" w14:textId="77777777" w:rsidR="003D408B" w:rsidRPr="00597243" w:rsidRDefault="003D408B">
      <w:pPr>
        <w:spacing w:after="80" w:line="240" w:lineRule="auto"/>
        <w:ind w:left="612" w:hanging="612"/>
        <w:rPr>
          <w:rFonts w:ascii="Arial" w:hAnsi="Arial" w:cs="Arial"/>
          <w:sz w:val="20"/>
          <w:szCs w:val="20"/>
        </w:rPr>
      </w:pPr>
      <w:r w:rsidRPr="00597243">
        <w:rPr>
          <w:rFonts w:ascii="Arial" w:eastAsia="Arial" w:hAnsi="Arial" w:cs="Arial"/>
          <w:color w:val="000000"/>
          <w:sz w:val="20"/>
        </w:rPr>
        <w:t xml:space="preserve">Ibrahim, M., &amp; Ojha, J. K. (2024). Leveraging digital spaces for rural women artisans and handicraft enterprises in the desert of Rajasthan, India. </w:t>
      </w:r>
      <w:r w:rsidRPr="00597243">
        <w:rPr>
          <w:rFonts w:ascii="Arial" w:eastAsia="Arial" w:hAnsi="Arial" w:cs="Arial"/>
          <w:i/>
          <w:color w:val="000000"/>
          <w:sz w:val="20"/>
        </w:rPr>
        <w:t>Journal of Heritage Management, 9</w:t>
      </w:r>
      <w:r w:rsidRPr="00597243">
        <w:rPr>
          <w:rFonts w:ascii="Arial" w:eastAsia="Arial" w:hAnsi="Arial" w:cs="Arial"/>
          <w:color w:val="000000"/>
          <w:sz w:val="20"/>
        </w:rPr>
        <w:t xml:space="preserve">(2), 140–149. </w:t>
      </w:r>
      <w:hyperlink r:id="rId23">
        <w:r w:rsidRPr="00597243">
          <w:rPr>
            <w:rFonts w:ascii="Arial" w:eastAsia="Arial" w:hAnsi="Arial" w:cs="Arial"/>
            <w:color w:val="000000"/>
            <w:sz w:val="20"/>
            <w:szCs w:val="20"/>
          </w:rPr>
          <w:t>https://doi.org/10.1177/24559296241305686</w:t>
        </w:r>
      </w:hyperlink>
    </w:p>
    <w:p w14:paraId="1F87421A" w14:textId="77777777" w:rsidR="003D408B" w:rsidRPr="00597243" w:rsidRDefault="003D408B">
      <w:pPr>
        <w:spacing w:after="80" w:line="240" w:lineRule="auto"/>
        <w:ind w:left="612" w:hanging="612"/>
        <w:rPr>
          <w:rFonts w:ascii="Arial" w:hAnsi="Arial" w:cs="Arial"/>
          <w:sz w:val="20"/>
          <w:szCs w:val="20"/>
        </w:rPr>
      </w:pPr>
      <w:r w:rsidRPr="00597243">
        <w:rPr>
          <w:rFonts w:ascii="Arial" w:eastAsia="Arial" w:hAnsi="Arial" w:cs="Arial"/>
          <w:color w:val="000000"/>
          <w:sz w:val="20"/>
        </w:rPr>
        <w:t xml:space="preserve">Kindo, D. P., &amp; Horo, S. (2025). Case study on lac cultivation by tribal women in the hinterland of Odisha: A journey from natural to cultural. </w:t>
      </w:r>
      <w:r w:rsidRPr="00597243">
        <w:rPr>
          <w:rFonts w:ascii="Arial" w:eastAsia="Arial" w:hAnsi="Arial" w:cs="Arial"/>
          <w:i/>
          <w:color w:val="000000"/>
          <w:sz w:val="20"/>
        </w:rPr>
        <w:t>Journal of Rural Development, 44</w:t>
      </w:r>
      <w:r w:rsidRPr="00597243">
        <w:rPr>
          <w:rFonts w:ascii="Arial" w:eastAsia="Arial" w:hAnsi="Arial" w:cs="Arial"/>
          <w:color w:val="000000"/>
          <w:sz w:val="20"/>
        </w:rPr>
        <w:t xml:space="preserve">(3), 288–301. </w:t>
      </w:r>
      <w:hyperlink r:id="rId24">
        <w:r w:rsidRPr="00597243">
          <w:rPr>
            <w:rFonts w:ascii="Arial" w:eastAsia="Arial" w:hAnsi="Arial" w:cs="Arial"/>
            <w:color w:val="000000"/>
            <w:sz w:val="20"/>
            <w:szCs w:val="20"/>
          </w:rPr>
          <w:t>https://doi.org/10.25175/jrd/2025/v44/i3/174138</w:t>
        </w:r>
      </w:hyperlink>
    </w:p>
    <w:p w14:paraId="22FF9E3D" w14:textId="77777777" w:rsidR="003D408B" w:rsidRPr="00597243" w:rsidRDefault="003D408B" w:rsidP="003D408B">
      <w:pPr>
        <w:spacing w:after="80" w:line="240" w:lineRule="auto"/>
        <w:ind w:left="612" w:hanging="612"/>
        <w:rPr>
          <w:rFonts w:ascii="Arial" w:hAnsi="Arial" w:cs="Arial"/>
          <w:sz w:val="20"/>
          <w:szCs w:val="20"/>
        </w:rPr>
      </w:pPr>
      <w:r w:rsidRPr="00597243">
        <w:rPr>
          <w:rFonts w:ascii="Arial" w:eastAsia="Arial" w:hAnsi="Arial" w:cs="Arial"/>
          <w:color w:val="000000"/>
          <w:sz w:val="20"/>
        </w:rPr>
        <w:t xml:space="preserve">Kochar, A., Nagabhushana, C., Sarkar, R., Shah, R., &amp; Singh, G. (2022). Financial access and women’s role in household decisions: Empirical evidence from India’s National Rural Livelihoods Project. </w:t>
      </w:r>
      <w:r w:rsidRPr="00597243">
        <w:rPr>
          <w:rFonts w:ascii="Arial" w:eastAsia="Arial" w:hAnsi="Arial" w:cs="Arial"/>
          <w:i/>
          <w:color w:val="000000"/>
          <w:sz w:val="20"/>
        </w:rPr>
        <w:t>Journal of Development Economics, 155</w:t>
      </w:r>
      <w:r w:rsidRPr="00597243">
        <w:rPr>
          <w:rFonts w:ascii="Arial" w:eastAsia="Arial" w:hAnsi="Arial" w:cs="Arial"/>
          <w:color w:val="000000"/>
          <w:sz w:val="20"/>
        </w:rPr>
        <w:t xml:space="preserve">, Article 102821. </w:t>
      </w:r>
      <w:hyperlink r:id="rId25">
        <w:r w:rsidRPr="00597243">
          <w:rPr>
            <w:rFonts w:ascii="Arial" w:eastAsia="Arial" w:hAnsi="Arial" w:cs="Arial"/>
            <w:color w:val="000000"/>
            <w:sz w:val="20"/>
            <w:szCs w:val="20"/>
          </w:rPr>
          <w:t>https://doi.org/10.1016/j.jdeveco.2022.102821</w:t>
        </w:r>
      </w:hyperlink>
    </w:p>
    <w:p w14:paraId="436645E1" w14:textId="77777777" w:rsidR="003D408B" w:rsidRPr="00597243" w:rsidRDefault="003D408B" w:rsidP="003D408B">
      <w:pPr>
        <w:spacing w:after="80" w:line="240" w:lineRule="auto"/>
        <w:ind w:left="612" w:hanging="612"/>
        <w:rPr>
          <w:rFonts w:ascii="Arial" w:hAnsi="Arial" w:cs="Arial"/>
          <w:sz w:val="20"/>
          <w:szCs w:val="20"/>
        </w:rPr>
      </w:pPr>
      <w:r w:rsidRPr="00597243">
        <w:rPr>
          <w:rFonts w:ascii="Arial" w:eastAsia="Arial" w:hAnsi="Arial" w:cs="Arial"/>
          <w:color w:val="000000"/>
          <w:sz w:val="20"/>
        </w:rPr>
        <w:t xml:space="preserve">Kumar, N., Raghunathan, K., Arrieta, A., Jilani, A. H., &amp; Pandey, S. (2021). The power of the collective empowers women: Evidence from self-help groups in India. </w:t>
      </w:r>
      <w:r w:rsidRPr="00597243">
        <w:rPr>
          <w:rFonts w:ascii="Arial" w:eastAsia="Arial" w:hAnsi="Arial" w:cs="Arial"/>
          <w:i/>
          <w:color w:val="000000"/>
          <w:sz w:val="20"/>
        </w:rPr>
        <w:t>World Development, 146</w:t>
      </w:r>
      <w:r w:rsidRPr="00597243">
        <w:rPr>
          <w:rFonts w:ascii="Arial" w:eastAsia="Arial" w:hAnsi="Arial" w:cs="Arial"/>
          <w:color w:val="000000"/>
          <w:sz w:val="20"/>
        </w:rPr>
        <w:t xml:space="preserve">, Article 105579. </w:t>
      </w:r>
      <w:hyperlink r:id="rId26">
        <w:r w:rsidRPr="00597243">
          <w:rPr>
            <w:rFonts w:ascii="Arial" w:eastAsia="Arial" w:hAnsi="Arial" w:cs="Arial"/>
            <w:color w:val="000000"/>
            <w:sz w:val="20"/>
            <w:szCs w:val="20"/>
          </w:rPr>
          <w:t>https://doi.org/10.1016/j.worlddev.2021.105579</w:t>
        </w:r>
      </w:hyperlink>
    </w:p>
    <w:p w14:paraId="459399A9" w14:textId="77777777" w:rsidR="003D408B" w:rsidRPr="00597243" w:rsidRDefault="003D408B">
      <w:pPr>
        <w:spacing w:after="80" w:line="240" w:lineRule="auto"/>
        <w:ind w:left="612" w:hanging="612"/>
        <w:rPr>
          <w:rFonts w:ascii="Arial" w:hAnsi="Arial" w:cs="Arial"/>
          <w:sz w:val="20"/>
          <w:szCs w:val="20"/>
        </w:rPr>
      </w:pPr>
      <w:r w:rsidRPr="00597243">
        <w:rPr>
          <w:rFonts w:ascii="Arial" w:eastAsia="Arial" w:hAnsi="Arial" w:cs="Arial"/>
          <w:color w:val="000000"/>
          <w:sz w:val="20"/>
        </w:rPr>
        <w:lastRenderedPageBreak/>
        <w:t xml:space="preserve">Mahato, J., &amp; Gaurav, K. (2023). Economic analysis of non-timber forest products with reference to the tribal entrepreneurs in Jharkhand. </w:t>
      </w:r>
      <w:r w:rsidRPr="00597243">
        <w:rPr>
          <w:rFonts w:ascii="Arial" w:eastAsia="Arial" w:hAnsi="Arial" w:cs="Arial"/>
          <w:i/>
          <w:color w:val="000000"/>
          <w:sz w:val="20"/>
        </w:rPr>
        <w:t>Arthshastra Indian Journal of Economics &amp; Research, 12</w:t>
      </w:r>
      <w:r w:rsidRPr="00597243">
        <w:rPr>
          <w:rFonts w:ascii="Arial" w:eastAsia="Arial" w:hAnsi="Arial" w:cs="Arial"/>
          <w:color w:val="000000"/>
          <w:sz w:val="20"/>
        </w:rPr>
        <w:t xml:space="preserve">(1), 43–52. </w:t>
      </w:r>
      <w:hyperlink r:id="rId27">
        <w:r w:rsidRPr="00597243">
          <w:rPr>
            <w:rFonts w:ascii="Arial" w:eastAsia="Arial" w:hAnsi="Arial" w:cs="Arial"/>
            <w:color w:val="000000"/>
            <w:sz w:val="20"/>
            <w:szCs w:val="20"/>
          </w:rPr>
          <w:t>https://doi.org/10.17010/aijer/2023/v12i1/172842</w:t>
        </w:r>
      </w:hyperlink>
    </w:p>
    <w:p w14:paraId="4A7AC8D4" w14:textId="77777777" w:rsidR="003D408B" w:rsidRPr="00597243" w:rsidRDefault="003D408B">
      <w:pPr>
        <w:spacing w:after="80" w:line="240" w:lineRule="auto"/>
        <w:ind w:left="612" w:hanging="612"/>
        <w:rPr>
          <w:rFonts w:ascii="Arial" w:hAnsi="Arial" w:cs="Arial"/>
          <w:sz w:val="20"/>
          <w:szCs w:val="20"/>
        </w:rPr>
      </w:pPr>
      <w:r w:rsidRPr="00597243">
        <w:rPr>
          <w:rFonts w:ascii="Arial" w:eastAsia="Arial" w:hAnsi="Arial" w:cs="Arial"/>
          <w:color w:val="000000"/>
          <w:sz w:val="20"/>
        </w:rPr>
        <w:t xml:space="preserve">Malterud, K., Siersma, V. D., &amp; Guassora, A. D. (2016). Sample size in qualitative interview studies: Guided by information power. </w:t>
      </w:r>
      <w:r w:rsidRPr="00597243">
        <w:rPr>
          <w:rFonts w:ascii="Arial" w:eastAsia="Arial" w:hAnsi="Arial" w:cs="Arial"/>
          <w:i/>
          <w:color w:val="000000"/>
          <w:sz w:val="20"/>
        </w:rPr>
        <w:t>Qualitative Health Research, 26</w:t>
      </w:r>
      <w:r w:rsidRPr="00597243">
        <w:rPr>
          <w:rFonts w:ascii="Arial" w:eastAsia="Arial" w:hAnsi="Arial" w:cs="Arial"/>
          <w:color w:val="000000"/>
          <w:sz w:val="20"/>
        </w:rPr>
        <w:t xml:space="preserve">(13), 1753–1760. </w:t>
      </w:r>
      <w:hyperlink r:id="rId28">
        <w:r w:rsidRPr="00597243">
          <w:rPr>
            <w:rFonts w:ascii="Arial" w:eastAsia="Arial" w:hAnsi="Arial" w:cs="Arial"/>
            <w:color w:val="000000"/>
            <w:sz w:val="20"/>
            <w:szCs w:val="20"/>
          </w:rPr>
          <w:t>https://doi.org/10.1177/1049732315617444</w:t>
        </w:r>
      </w:hyperlink>
    </w:p>
    <w:p w14:paraId="63773E16" w14:textId="77777777" w:rsidR="003D408B" w:rsidRPr="00597243" w:rsidRDefault="003D408B">
      <w:pPr>
        <w:spacing w:after="80" w:line="240" w:lineRule="auto"/>
        <w:ind w:left="612" w:hanging="612"/>
        <w:rPr>
          <w:rFonts w:ascii="Arial" w:hAnsi="Arial" w:cs="Arial"/>
          <w:sz w:val="20"/>
          <w:szCs w:val="20"/>
        </w:rPr>
      </w:pPr>
      <w:r w:rsidRPr="00597243">
        <w:rPr>
          <w:rFonts w:ascii="Arial" w:eastAsia="Arial" w:hAnsi="Arial" w:cs="Arial"/>
          <w:color w:val="000000"/>
          <w:sz w:val="20"/>
        </w:rPr>
        <w:t xml:space="preserve">Ministry of Tribal Affairs, Government of India. (2006). </w:t>
      </w:r>
      <w:r w:rsidRPr="00597243">
        <w:rPr>
          <w:rFonts w:ascii="Arial" w:eastAsia="Arial" w:hAnsi="Arial" w:cs="Arial"/>
          <w:i/>
          <w:color w:val="000000"/>
          <w:sz w:val="20"/>
        </w:rPr>
        <w:t>The Scheduled Tribes and Other Traditional Forest Dwellers (Recognition of Forest Rights) Act, 2006</w:t>
      </w:r>
      <w:r w:rsidRPr="00597243">
        <w:rPr>
          <w:rFonts w:ascii="Arial" w:eastAsia="Arial" w:hAnsi="Arial" w:cs="Arial"/>
          <w:color w:val="000000"/>
          <w:sz w:val="20"/>
        </w:rPr>
        <w:t xml:space="preserve">. </w:t>
      </w:r>
      <w:hyperlink r:id="rId29">
        <w:r w:rsidRPr="00597243">
          <w:rPr>
            <w:rFonts w:ascii="Arial" w:eastAsia="Arial" w:hAnsi="Arial" w:cs="Arial"/>
            <w:color w:val="000000"/>
            <w:sz w:val="20"/>
            <w:szCs w:val="20"/>
          </w:rPr>
          <w:t>https://tribal.nic.in/FRA/data/FRAAct.pdf</w:t>
        </w:r>
      </w:hyperlink>
    </w:p>
    <w:p w14:paraId="7095C05C" w14:textId="77777777" w:rsidR="003D408B" w:rsidRPr="00597243" w:rsidRDefault="003D408B">
      <w:pPr>
        <w:spacing w:after="80" w:line="240" w:lineRule="auto"/>
        <w:ind w:left="612" w:hanging="612"/>
        <w:rPr>
          <w:rFonts w:ascii="Arial" w:hAnsi="Arial" w:cs="Arial"/>
          <w:sz w:val="20"/>
          <w:szCs w:val="20"/>
        </w:rPr>
      </w:pPr>
      <w:r w:rsidRPr="00597243">
        <w:rPr>
          <w:rFonts w:ascii="Arial" w:eastAsia="Arial" w:hAnsi="Arial" w:cs="Arial"/>
          <w:color w:val="000000"/>
          <w:sz w:val="20"/>
        </w:rPr>
        <w:t xml:space="preserve">Office of the Registrar General &amp; Census Commissioner, India. (2011). </w:t>
      </w:r>
      <w:r w:rsidRPr="00597243">
        <w:rPr>
          <w:rFonts w:ascii="Arial" w:eastAsia="Arial" w:hAnsi="Arial" w:cs="Arial"/>
          <w:i/>
          <w:color w:val="000000"/>
          <w:sz w:val="20"/>
        </w:rPr>
        <w:t>District census handbook: Gumla, Census of India 2011</w:t>
      </w:r>
      <w:r w:rsidRPr="00597243">
        <w:rPr>
          <w:rFonts w:ascii="Arial" w:eastAsia="Arial" w:hAnsi="Arial" w:cs="Arial"/>
          <w:color w:val="000000"/>
          <w:sz w:val="20"/>
        </w:rPr>
        <w:t xml:space="preserve">. </w:t>
      </w:r>
      <w:hyperlink r:id="rId30">
        <w:r w:rsidRPr="00597243">
          <w:rPr>
            <w:rFonts w:ascii="Arial" w:eastAsia="Arial" w:hAnsi="Arial" w:cs="Arial"/>
            <w:color w:val="000000"/>
            <w:sz w:val="20"/>
            <w:szCs w:val="20"/>
          </w:rPr>
          <w:t>https://censusindia.gov.in/nada/index.php/catalog/575/download/1948/DH_2011_2021_PART_B_DCHB_GUMLA.pdf</w:t>
        </w:r>
      </w:hyperlink>
    </w:p>
    <w:p w14:paraId="3C01789E" w14:textId="77777777" w:rsidR="003D408B" w:rsidRPr="00597243" w:rsidRDefault="003D408B" w:rsidP="003D408B">
      <w:pPr>
        <w:spacing w:after="80" w:line="240" w:lineRule="auto"/>
        <w:ind w:left="612" w:hanging="612"/>
        <w:rPr>
          <w:rFonts w:ascii="Arial" w:hAnsi="Arial" w:cs="Arial"/>
          <w:sz w:val="20"/>
          <w:szCs w:val="20"/>
        </w:rPr>
      </w:pPr>
      <w:r w:rsidRPr="00597243">
        <w:rPr>
          <w:rFonts w:ascii="Arial" w:eastAsia="Arial" w:hAnsi="Arial" w:cs="Arial"/>
          <w:color w:val="000000"/>
          <w:sz w:val="20"/>
        </w:rPr>
        <w:t xml:space="preserve">Rani, U., Castel-Branco, R., Satija, S., &amp; Nayar, M. (2022). Women, work, and the digital economy. </w:t>
      </w:r>
      <w:r w:rsidRPr="00597243">
        <w:rPr>
          <w:rFonts w:ascii="Arial" w:eastAsia="Arial" w:hAnsi="Arial" w:cs="Arial"/>
          <w:i/>
          <w:color w:val="000000"/>
          <w:sz w:val="20"/>
        </w:rPr>
        <w:t>Gender &amp; Development, 30</w:t>
      </w:r>
      <w:r w:rsidRPr="00597243">
        <w:rPr>
          <w:rFonts w:ascii="Arial" w:eastAsia="Arial" w:hAnsi="Arial" w:cs="Arial"/>
          <w:color w:val="000000"/>
          <w:sz w:val="20"/>
        </w:rPr>
        <w:t xml:space="preserve">(3), 421–435. </w:t>
      </w:r>
      <w:hyperlink r:id="rId31">
        <w:r w:rsidRPr="00597243">
          <w:rPr>
            <w:rFonts w:ascii="Arial" w:eastAsia="Arial" w:hAnsi="Arial" w:cs="Arial"/>
            <w:color w:val="000000"/>
            <w:sz w:val="20"/>
            <w:szCs w:val="20"/>
          </w:rPr>
          <w:t>https://doi.org/10.1080/13552074.2022.2151729</w:t>
        </w:r>
      </w:hyperlink>
    </w:p>
    <w:p w14:paraId="1F7D0E28" w14:textId="77777777" w:rsidR="003D408B" w:rsidRPr="00597243" w:rsidRDefault="003D408B" w:rsidP="003D408B">
      <w:pPr>
        <w:spacing w:after="80" w:line="240" w:lineRule="auto"/>
        <w:ind w:left="612" w:hanging="612"/>
        <w:rPr>
          <w:rFonts w:ascii="Arial" w:hAnsi="Arial" w:cs="Arial"/>
          <w:sz w:val="20"/>
          <w:szCs w:val="20"/>
        </w:rPr>
      </w:pPr>
      <w:r w:rsidRPr="00597243">
        <w:rPr>
          <w:rFonts w:ascii="Arial" w:eastAsia="Arial" w:hAnsi="Arial" w:cs="Arial"/>
          <w:color w:val="000000"/>
          <w:sz w:val="20"/>
        </w:rPr>
        <w:t xml:space="preserve">Rola-Rubzen, M. F., Vuong, H. T., Doll, C., Rollins, C., Sarmiento, J. M., Alam, M. J., &amp; Begum, I. A. (2023). Gender and rural transformation: A systematic literature review. </w:t>
      </w:r>
      <w:r w:rsidRPr="00597243">
        <w:rPr>
          <w:rFonts w:ascii="Arial" w:eastAsia="Arial" w:hAnsi="Arial" w:cs="Arial"/>
          <w:i/>
          <w:color w:val="000000"/>
          <w:sz w:val="20"/>
        </w:rPr>
        <w:t>Journal of Integrative Agriculture, 22</w:t>
      </w:r>
      <w:r w:rsidRPr="00597243">
        <w:rPr>
          <w:rFonts w:ascii="Arial" w:eastAsia="Arial" w:hAnsi="Arial" w:cs="Arial"/>
          <w:color w:val="000000"/>
          <w:sz w:val="20"/>
        </w:rPr>
        <w:t xml:space="preserve">(12), 3624–3637. </w:t>
      </w:r>
      <w:hyperlink r:id="rId32">
        <w:r w:rsidRPr="00597243">
          <w:rPr>
            <w:rFonts w:ascii="Arial" w:eastAsia="Arial" w:hAnsi="Arial" w:cs="Arial"/>
            <w:color w:val="000000"/>
            <w:sz w:val="20"/>
            <w:szCs w:val="20"/>
          </w:rPr>
          <w:t>https://doi.org/10.1016/j.jia.2023.10.035</w:t>
        </w:r>
      </w:hyperlink>
    </w:p>
    <w:p w14:paraId="1B94D652" w14:textId="77777777" w:rsidR="003D408B" w:rsidRPr="00597243" w:rsidRDefault="003D408B">
      <w:pPr>
        <w:spacing w:after="80" w:line="240" w:lineRule="auto"/>
        <w:ind w:left="612" w:hanging="612"/>
        <w:rPr>
          <w:rFonts w:ascii="Arial" w:hAnsi="Arial" w:cs="Arial"/>
          <w:sz w:val="20"/>
          <w:szCs w:val="20"/>
        </w:rPr>
      </w:pPr>
      <w:r w:rsidRPr="00597243">
        <w:rPr>
          <w:rFonts w:ascii="Arial" w:eastAsia="Arial" w:hAnsi="Arial" w:cs="Arial"/>
          <w:color w:val="000000"/>
          <w:sz w:val="20"/>
        </w:rPr>
        <w:t xml:space="preserve">Sandelowski, M. (2000). Whatever happened to qualitative description? </w:t>
      </w:r>
      <w:r w:rsidRPr="00597243">
        <w:rPr>
          <w:rFonts w:ascii="Arial" w:eastAsia="Arial" w:hAnsi="Arial" w:cs="Arial"/>
          <w:i/>
          <w:color w:val="000000"/>
          <w:sz w:val="20"/>
        </w:rPr>
        <w:t>Research in Nursing &amp; Health, 23</w:t>
      </w:r>
      <w:r w:rsidRPr="00597243">
        <w:rPr>
          <w:rFonts w:ascii="Arial" w:eastAsia="Arial" w:hAnsi="Arial" w:cs="Arial"/>
          <w:color w:val="000000"/>
          <w:sz w:val="20"/>
        </w:rPr>
        <w:t xml:space="preserve">(4), 334–340. </w:t>
      </w:r>
      <w:hyperlink r:id="rId33">
        <w:r w:rsidRPr="00597243">
          <w:rPr>
            <w:rFonts w:ascii="Arial" w:eastAsia="Arial" w:hAnsi="Arial" w:cs="Arial"/>
            <w:color w:val="000000"/>
            <w:sz w:val="20"/>
            <w:szCs w:val="20"/>
          </w:rPr>
          <w:t>https://doi.org/10.1002/1098-240X(200008)23:4&lt;334::AID-NUR9&gt;3.0.CO;2-G</w:t>
        </w:r>
      </w:hyperlink>
    </w:p>
    <w:p w14:paraId="37EECDB3" w14:textId="141389ED" w:rsidR="003D408B" w:rsidRPr="00597243" w:rsidRDefault="003D408B" w:rsidP="003D408B">
      <w:pPr>
        <w:spacing w:after="80" w:line="240" w:lineRule="auto"/>
        <w:ind w:left="612" w:hanging="612"/>
        <w:rPr>
          <w:rFonts w:ascii="Arial" w:hAnsi="Arial" w:cs="Arial"/>
          <w:sz w:val="20"/>
          <w:szCs w:val="20"/>
        </w:rPr>
      </w:pPr>
      <w:r w:rsidRPr="00597243">
        <w:rPr>
          <w:rFonts w:ascii="Arial" w:eastAsia="Arial" w:hAnsi="Arial" w:cs="Arial"/>
          <w:color w:val="000000"/>
          <w:sz w:val="20"/>
        </w:rPr>
        <w:t xml:space="preserve">Showkat, M., Nagina, R., Nori, U., Baba, M. A., &amp; Shah, M. A. (2024). Empowering women in the digital age: Can digital financial services fulfil the promise of financial autonomy and gender equality in the attainment of Sustainable Development Goal 5? </w:t>
      </w:r>
      <w:r w:rsidRPr="00597243">
        <w:rPr>
          <w:rFonts w:ascii="Arial" w:eastAsia="Arial" w:hAnsi="Arial" w:cs="Arial"/>
          <w:i/>
          <w:color w:val="000000"/>
          <w:sz w:val="20"/>
        </w:rPr>
        <w:t>Cogent Economics &amp; Finance, 12</w:t>
      </w:r>
      <w:r w:rsidRPr="00597243">
        <w:rPr>
          <w:rFonts w:ascii="Arial" w:eastAsia="Arial" w:hAnsi="Arial" w:cs="Arial"/>
          <w:color w:val="000000"/>
          <w:sz w:val="20"/>
        </w:rPr>
        <w:t xml:space="preserve">(1), Article 2342459. </w:t>
      </w:r>
      <w:hyperlink r:id="rId34">
        <w:r w:rsidRPr="00597243">
          <w:rPr>
            <w:rFonts w:ascii="Arial" w:eastAsia="Arial" w:hAnsi="Arial" w:cs="Arial"/>
            <w:color w:val="000000"/>
            <w:sz w:val="20"/>
            <w:szCs w:val="20"/>
          </w:rPr>
          <w:t>https://doi.org/10.1080/23322039.2024.2342459</w:t>
        </w:r>
      </w:hyperlink>
    </w:p>
    <w:p w14:paraId="5F56118F" w14:textId="77777777" w:rsidR="003D408B" w:rsidRPr="00597243" w:rsidRDefault="003D408B">
      <w:pPr>
        <w:spacing w:after="80" w:line="240" w:lineRule="auto"/>
        <w:ind w:left="612" w:hanging="612"/>
        <w:rPr>
          <w:rFonts w:ascii="Arial" w:hAnsi="Arial" w:cs="Arial"/>
          <w:sz w:val="20"/>
          <w:szCs w:val="20"/>
        </w:rPr>
      </w:pPr>
      <w:r w:rsidRPr="00597243">
        <w:rPr>
          <w:rFonts w:ascii="Arial" w:eastAsia="Arial" w:hAnsi="Arial" w:cs="Arial"/>
          <w:color w:val="000000"/>
          <w:sz w:val="20"/>
        </w:rPr>
        <w:t xml:space="preserve">Singh, N., Moid, S., Mehta, M., &amp; Saxena, P. (2024). Empowering women artisans in Madhubani painting: Navigating digital challenges for long-term viability. </w:t>
      </w:r>
      <w:r w:rsidRPr="00597243">
        <w:rPr>
          <w:rFonts w:ascii="Arial" w:eastAsia="Arial" w:hAnsi="Arial" w:cs="Arial"/>
          <w:i/>
          <w:color w:val="000000"/>
          <w:sz w:val="20"/>
        </w:rPr>
        <w:t>Vision: The Journal of Business Perspective</w:t>
      </w:r>
      <w:r w:rsidRPr="00597243">
        <w:rPr>
          <w:rFonts w:ascii="Arial" w:eastAsia="Arial" w:hAnsi="Arial" w:cs="Arial"/>
          <w:color w:val="000000"/>
          <w:sz w:val="20"/>
        </w:rPr>
        <w:t xml:space="preserve">. Advance online publication. </w:t>
      </w:r>
      <w:hyperlink r:id="rId35">
        <w:r w:rsidRPr="00597243">
          <w:rPr>
            <w:rFonts w:ascii="Arial" w:eastAsia="Arial" w:hAnsi="Arial" w:cs="Arial"/>
            <w:color w:val="000000"/>
            <w:sz w:val="20"/>
            <w:szCs w:val="20"/>
          </w:rPr>
          <w:t>https://doi.org/10.1177/09722629241259886</w:t>
        </w:r>
      </w:hyperlink>
    </w:p>
    <w:p w14:paraId="03EC8A5F" w14:textId="77777777" w:rsidR="003D408B" w:rsidRPr="00597243" w:rsidRDefault="003D408B">
      <w:pPr>
        <w:spacing w:after="80" w:line="240" w:lineRule="auto"/>
        <w:ind w:left="612" w:hanging="612"/>
        <w:rPr>
          <w:rFonts w:ascii="Arial" w:hAnsi="Arial" w:cs="Arial"/>
          <w:sz w:val="20"/>
          <w:szCs w:val="20"/>
        </w:rPr>
      </w:pPr>
      <w:r w:rsidRPr="00597243">
        <w:rPr>
          <w:rFonts w:ascii="Arial" w:eastAsia="Arial" w:hAnsi="Arial" w:cs="Arial"/>
          <w:color w:val="000000"/>
          <w:sz w:val="20"/>
        </w:rPr>
        <w:t xml:space="preserve">Telecom Regulatory Authority of India. (2025). </w:t>
      </w:r>
      <w:r w:rsidRPr="00597243">
        <w:rPr>
          <w:rFonts w:ascii="Arial" w:eastAsia="Arial" w:hAnsi="Arial" w:cs="Arial"/>
          <w:i/>
          <w:color w:val="000000"/>
          <w:sz w:val="20"/>
        </w:rPr>
        <w:t>The Indian telecom services yearly performance indicators 2024–2025</w:t>
      </w:r>
      <w:r w:rsidRPr="00597243">
        <w:rPr>
          <w:rFonts w:ascii="Arial" w:eastAsia="Arial" w:hAnsi="Arial" w:cs="Arial"/>
          <w:color w:val="000000"/>
          <w:sz w:val="20"/>
        </w:rPr>
        <w:t xml:space="preserve">. </w:t>
      </w:r>
      <w:hyperlink r:id="rId36">
        <w:r w:rsidRPr="00597243">
          <w:rPr>
            <w:rFonts w:ascii="Arial" w:eastAsia="Arial" w:hAnsi="Arial" w:cs="Arial"/>
            <w:color w:val="000000"/>
            <w:sz w:val="20"/>
            <w:szCs w:val="20"/>
          </w:rPr>
          <w:t>https://trai.gov.in/sites/default/files/2025-07/YIR_08072025.pdf</w:t>
        </w:r>
      </w:hyperlink>
    </w:p>
    <w:p w14:paraId="248515D0" w14:textId="77777777" w:rsidR="003D408B" w:rsidRPr="00597243" w:rsidRDefault="003D408B">
      <w:pPr>
        <w:spacing w:after="80" w:line="240" w:lineRule="auto"/>
        <w:ind w:left="612" w:hanging="612"/>
        <w:rPr>
          <w:rFonts w:ascii="Arial" w:hAnsi="Arial" w:cs="Arial"/>
          <w:sz w:val="20"/>
          <w:szCs w:val="20"/>
        </w:rPr>
      </w:pPr>
      <w:r w:rsidRPr="00597243">
        <w:rPr>
          <w:rFonts w:ascii="Arial" w:eastAsia="Arial" w:hAnsi="Arial" w:cs="Arial"/>
          <w:color w:val="000000"/>
          <w:sz w:val="20"/>
        </w:rPr>
        <w:t xml:space="preserve">Tong, A., Sainsbury, P., &amp; Craig, J. (2007). Consolidated criteria for reporting qualitative research (COREQ): A 32-item checklist for interviews and focus groups. </w:t>
      </w:r>
      <w:r w:rsidRPr="00597243">
        <w:rPr>
          <w:rFonts w:ascii="Arial" w:eastAsia="Arial" w:hAnsi="Arial" w:cs="Arial"/>
          <w:i/>
          <w:color w:val="000000"/>
          <w:sz w:val="20"/>
        </w:rPr>
        <w:t>International Journal for Quality in Health Care, 19</w:t>
      </w:r>
      <w:r w:rsidRPr="00597243">
        <w:rPr>
          <w:rFonts w:ascii="Arial" w:eastAsia="Arial" w:hAnsi="Arial" w:cs="Arial"/>
          <w:color w:val="000000"/>
          <w:sz w:val="20"/>
        </w:rPr>
        <w:t xml:space="preserve">(6), 349–357. </w:t>
      </w:r>
      <w:hyperlink r:id="rId37">
        <w:r w:rsidRPr="00597243">
          <w:rPr>
            <w:rFonts w:ascii="Arial" w:eastAsia="Arial" w:hAnsi="Arial" w:cs="Arial"/>
            <w:color w:val="000000"/>
            <w:sz w:val="20"/>
            <w:szCs w:val="20"/>
          </w:rPr>
          <w:t>https://doi.org/10.1093/intqhc/mzm042</w:t>
        </w:r>
      </w:hyperlink>
    </w:p>
    <w:p w14:paraId="20A281FD" w14:textId="3F23E336" w:rsidR="003D408B" w:rsidRDefault="00DB4D9B" w:rsidP="00DB4D9B">
      <w:pPr>
        <w:spacing w:after="80" w:line="240" w:lineRule="auto"/>
        <w:ind w:left="612" w:hanging="612"/>
        <w:rPr>
          <w:rFonts w:ascii="Arial" w:hAnsi="Arial" w:cs="Arial"/>
          <w:sz w:val="20"/>
          <w:szCs w:val="20"/>
        </w:rPr>
      </w:pPr>
      <w:r w:rsidRPr="00597243">
        <w:rPr>
          <w:rFonts w:ascii="Arial" w:eastAsia="Arial" w:hAnsi="Arial" w:cs="Arial"/>
          <w:color w:val="000000"/>
          <w:sz w:val="20"/>
        </w:rPr>
        <w:t xml:space="preserve">Xaxa, V. (2017). Rural transformation and Indigenous Peoples in India. In V. Xaxa, D. Saha, &amp; R. Singha (Eds.), </w:t>
      </w:r>
      <w:r w:rsidRPr="00597243">
        <w:rPr>
          <w:rFonts w:ascii="Arial" w:eastAsia="Arial" w:hAnsi="Arial" w:cs="Arial"/>
          <w:i/>
          <w:color w:val="000000"/>
          <w:sz w:val="20"/>
        </w:rPr>
        <w:t>Work, institutions and sustainable livelihood: Issues and challenges of transformation</w:t>
      </w:r>
      <w:r w:rsidRPr="00597243">
        <w:rPr>
          <w:rFonts w:ascii="Arial" w:eastAsia="Arial" w:hAnsi="Arial" w:cs="Arial"/>
          <w:color w:val="000000"/>
          <w:sz w:val="20"/>
        </w:rPr>
        <w:t xml:space="preserve"> (pp. 17–34). Palgrave Macmillan. </w:t>
      </w:r>
      <w:hyperlink r:id="rId38">
        <w:r w:rsidRPr="00597243">
          <w:rPr>
            <w:rFonts w:ascii="Arial" w:eastAsia="Arial" w:hAnsi="Arial" w:cs="Arial"/>
            <w:color w:val="000000"/>
            <w:sz w:val="20"/>
            <w:szCs w:val="20"/>
          </w:rPr>
          <w:t>https://doi.org/10.1007/978-981-10-5756-4_2</w:t>
        </w:r>
      </w:hyperlink>
    </w:p>
    <w:p w14:paraId="33C66C79" w14:textId="77777777" w:rsidR="00FD6148" w:rsidRDefault="00FD6148" w:rsidP="00DB4D9B">
      <w:pPr>
        <w:spacing w:after="80" w:line="240" w:lineRule="auto"/>
        <w:ind w:left="425" w:hanging="425"/>
        <w:rPr>
          <w:rFonts w:ascii="Arial" w:hAnsi="Arial" w:cs="Arial"/>
          <w:sz w:val="20"/>
          <w:szCs w:val="20"/>
        </w:rPr>
      </w:pPr>
    </w:p>
    <w:p w14:paraId="25E55390" w14:textId="77777777" w:rsidR="00FD6148" w:rsidRDefault="00FD6148" w:rsidP="00DB4D9B">
      <w:pPr>
        <w:spacing w:after="80" w:line="240" w:lineRule="auto"/>
        <w:ind w:left="425" w:hanging="425"/>
        <w:rPr>
          <w:rFonts w:ascii="Arial" w:hAnsi="Arial" w:cs="Arial"/>
          <w:sz w:val="20"/>
          <w:szCs w:val="20"/>
        </w:rPr>
      </w:pPr>
    </w:p>
    <w:p w14:paraId="0E2CB721" w14:textId="77777777" w:rsidR="00FD6148" w:rsidRDefault="00FD6148" w:rsidP="00DB4D9B">
      <w:pPr>
        <w:spacing w:after="80" w:line="240" w:lineRule="auto"/>
        <w:ind w:left="425" w:hanging="425"/>
        <w:rPr>
          <w:rFonts w:ascii="Arial" w:hAnsi="Arial" w:cs="Arial"/>
          <w:sz w:val="20"/>
          <w:szCs w:val="20"/>
        </w:rPr>
      </w:pPr>
    </w:p>
    <w:p w14:paraId="3D58DA19" w14:textId="77777777" w:rsidR="00FD6148" w:rsidRPr="00474698" w:rsidRDefault="00FD6148" w:rsidP="00DB4D9B">
      <w:pPr>
        <w:spacing w:after="80" w:line="240" w:lineRule="auto"/>
        <w:ind w:left="425" w:hanging="425"/>
        <w:rPr>
          <w:rFonts w:ascii="Arial" w:hAnsi="Arial" w:cs="Arial"/>
          <w:sz w:val="20"/>
          <w:szCs w:val="20"/>
        </w:rPr>
      </w:pPr>
    </w:p>
    <w:sectPr w:rsidR="00FD6148" w:rsidRPr="00474698" w:rsidSect="00034616">
      <w:footerReference w:type="default" r:id="rId39"/>
      <w:pgSz w:w="11906" w:h="16838"/>
      <w:pgMar w:top="1247" w:right="1304" w:bottom="1191" w:left="130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B4AA9" w14:textId="77777777" w:rsidR="001339B2" w:rsidRDefault="001339B2">
      <w:pPr>
        <w:spacing w:after="0" w:line="240" w:lineRule="auto"/>
      </w:pPr>
      <w:r>
        <w:separator/>
      </w:r>
    </w:p>
  </w:endnote>
  <w:endnote w:type="continuationSeparator" w:id="0">
    <w:p w14:paraId="77E7D59B" w14:textId="77777777" w:rsidR="001339B2" w:rsidRDefault="001339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4074A" w14:textId="77777777" w:rsidR="00B73851" w:rsidRDefault="00000000">
    <w:pPr>
      <w:pStyle w:val="Footer"/>
      <w:jc w:val="center"/>
    </w:pPr>
    <w:r>
      <w:rPr>
        <w:sz w:val="18"/>
      </w:rPr>
      <w:fldChar w:fldCharType="begin"/>
    </w:r>
    <w:r>
      <w:rPr>
        <w:sz w:val="18"/>
      </w:rPr>
      <w:instrText xml:space="preserve"> PAGE </w:instrText>
    </w:r>
    <w:r>
      <w:rPr>
        <w:sz w:val="18"/>
      </w:rPr>
      <w:fldChar w:fldCharType="separate"/>
    </w:r>
    <w:r w:rsidR="0097712B">
      <w:rPr>
        <w:noProof/>
        <w:sz w:val="18"/>
      </w:rPr>
      <w:t>1</w:t>
    </w:r>
    <w:r>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3CD74" w14:textId="77777777" w:rsidR="001339B2" w:rsidRDefault="001339B2">
      <w:pPr>
        <w:spacing w:after="0" w:line="240" w:lineRule="auto"/>
      </w:pPr>
      <w:r>
        <w:separator/>
      </w:r>
    </w:p>
  </w:footnote>
  <w:footnote w:type="continuationSeparator" w:id="0">
    <w:p w14:paraId="4267DE3C" w14:textId="77777777" w:rsidR="001339B2" w:rsidRDefault="001339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6DC0B34"/>
    <w:multiLevelType w:val="multilevel"/>
    <w:tmpl w:val="04E29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46701713">
    <w:abstractNumId w:val="8"/>
  </w:num>
  <w:num w:numId="2" w16cid:durableId="2064333492">
    <w:abstractNumId w:val="6"/>
  </w:num>
  <w:num w:numId="3" w16cid:durableId="1805927636">
    <w:abstractNumId w:val="5"/>
  </w:num>
  <w:num w:numId="4" w16cid:durableId="1733385891">
    <w:abstractNumId w:val="4"/>
  </w:num>
  <w:num w:numId="5" w16cid:durableId="1706559697">
    <w:abstractNumId w:val="7"/>
  </w:num>
  <w:num w:numId="6" w16cid:durableId="1358198520">
    <w:abstractNumId w:val="3"/>
  </w:num>
  <w:num w:numId="7" w16cid:durableId="1970240522">
    <w:abstractNumId w:val="2"/>
  </w:num>
  <w:num w:numId="8" w16cid:durableId="1145700973">
    <w:abstractNumId w:val="1"/>
  </w:num>
  <w:num w:numId="9" w16cid:durableId="178546969">
    <w:abstractNumId w:val="0"/>
  </w:num>
  <w:num w:numId="10" w16cid:durableId="3732319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jS3NDc2NQFiczNzQyUdpeDU4uLM/DyQAsNaABov6aosAAAA"/>
  </w:docVars>
  <w:rsids>
    <w:rsidRoot w:val="00B47730"/>
    <w:rsid w:val="00034616"/>
    <w:rsid w:val="0006063C"/>
    <w:rsid w:val="000A0D8A"/>
    <w:rsid w:val="00110C42"/>
    <w:rsid w:val="001339B2"/>
    <w:rsid w:val="0015074B"/>
    <w:rsid w:val="002735B8"/>
    <w:rsid w:val="0029639D"/>
    <w:rsid w:val="0029691C"/>
    <w:rsid w:val="00326F90"/>
    <w:rsid w:val="003279C4"/>
    <w:rsid w:val="003455B5"/>
    <w:rsid w:val="003D408B"/>
    <w:rsid w:val="0043322A"/>
    <w:rsid w:val="00474698"/>
    <w:rsid w:val="004C285A"/>
    <w:rsid w:val="004F18D3"/>
    <w:rsid w:val="005315A8"/>
    <w:rsid w:val="00597243"/>
    <w:rsid w:val="00625B49"/>
    <w:rsid w:val="00646A71"/>
    <w:rsid w:val="00696584"/>
    <w:rsid w:val="006B3D0A"/>
    <w:rsid w:val="007B4447"/>
    <w:rsid w:val="00847A7C"/>
    <w:rsid w:val="0097712B"/>
    <w:rsid w:val="00AA1D8D"/>
    <w:rsid w:val="00AE15C7"/>
    <w:rsid w:val="00B47730"/>
    <w:rsid w:val="00B73851"/>
    <w:rsid w:val="00B867FE"/>
    <w:rsid w:val="00BC4FF3"/>
    <w:rsid w:val="00CB0664"/>
    <w:rsid w:val="00D304EF"/>
    <w:rsid w:val="00DB4D9B"/>
    <w:rsid w:val="00DC1658"/>
    <w:rsid w:val="00E22E31"/>
    <w:rsid w:val="00E471D0"/>
    <w:rsid w:val="00FC693F"/>
    <w:rsid w:val="00FD61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5FA12AD"/>
  <w14:defaultImageDpi w14:val="300"/>
  <w15:docId w15:val="{326BE032-DD34-49AF-844C-82C84B2E1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F3D50"/>
      <w:sz w:val="25"/>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2F5D7C"/>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2F5D7C"/>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F3D50"/>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3D408B"/>
    <w:rPr>
      <w:color w:val="0000FF" w:themeColor="hyperlink"/>
      <w:u w:val="single"/>
    </w:rPr>
  </w:style>
  <w:style w:type="character" w:styleId="UnresolvedMention">
    <w:name w:val="Unresolved Mention"/>
    <w:basedOn w:val="DefaultParagraphFont"/>
    <w:uiPriority w:val="99"/>
    <w:semiHidden/>
    <w:unhideWhenUsed/>
    <w:rsid w:val="003D408B"/>
    <w:rPr>
      <w:color w:val="605E5C"/>
      <w:shd w:val="clear" w:color="auto" w:fill="E1DFDD"/>
    </w:rPr>
  </w:style>
  <w:style w:type="paragraph" w:styleId="NormalWeb">
    <w:name w:val="Normal (Web)"/>
    <w:basedOn w:val="Normal"/>
    <w:uiPriority w:val="99"/>
    <w:unhideWhenUsed/>
    <w:rsid w:val="00474698"/>
    <w:pPr>
      <w:spacing w:before="100" w:beforeAutospacing="1" w:after="100" w:afterAutospacing="1" w:line="240" w:lineRule="auto"/>
    </w:pPr>
    <w:rPr>
      <w:rFonts w:eastAsia="Times New Roman" w:cs="Times New Roman"/>
      <w:sz w:val="24"/>
      <w:szCs w:val="24"/>
    </w:rPr>
  </w:style>
  <w:style w:type="paragraph" w:styleId="HTMLPreformatted">
    <w:name w:val="HTML Preformatted"/>
    <w:basedOn w:val="Normal"/>
    <w:link w:val="HTMLPreformattedChar"/>
    <w:uiPriority w:val="99"/>
    <w:unhideWhenUsed/>
    <w:rsid w:val="00474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474698"/>
    <w:rPr>
      <w:rFonts w:ascii="Courier New" w:eastAsia="Times New Roman" w:hAnsi="Courier New" w:cs="Courier New"/>
      <w:sz w:val="20"/>
      <w:szCs w:val="20"/>
    </w:rPr>
  </w:style>
  <w:style w:type="character" w:styleId="HTMLCode">
    <w:name w:val="HTML Code"/>
    <w:basedOn w:val="DefaultParagraphFont"/>
    <w:uiPriority w:val="99"/>
    <w:semiHidden/>
    <w:unhideWhenUsed/>
    <w:rsid w:val="00474698"/>
    <w:rPr>
      <w:rFonts w:ascii="Courier New" w:eastAsia="Times New Roman" w:hAnsi="Courier New" w:cs="Courier New"/>
      <w:sz w:val="20"/>
      <w:szCs w:val="20"/>
    </w:rPr>
  </w:style>
  <w:style w:type="paragraph" w:customStyle="1" w:styleId="pdq2pgselectionanchorcontainer">
    <w:name w:val="pdq2pg_selectionanchorcontainer"/>
    <w:basedOn w:val="Normal"/>
    <w:rsid w:val="0043322A"/>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111/j.1467-7679.2007.00374.x" TargetMode="External"/><Relationship Id="rId18" Type="http://schemas.openxmlformats.org/officeDocument/2006/relationships/hyperlink" Target="https://doi.org/10.1093/wbro/lkt001" TargetMode="External"/><Relationship Id="rId26" Type="http://schemas.openxmlformats.org/officeDocument/2006/relationships/hyperlink" Target="https://doi.org/10.1016/j.worlddev.2021.105579" TargetMode="External"/><Relationship Id="rId39" Type="http://schemas.openxmlformats.org/officeDocument/2006/relationships/footer" Target="footer1.xml"/><Relationship Id="rId21" Type="http://schemas.openxmlformats.org/officeDocument/2006/relationships/hyperlink" Target="https://doi.org/10.9734/ajess/2025/v51i82300" TargetMode="External"/><Relationship Id="rId34" Type="http://schemas.openxmlformats.org/officeDocument/2006/relationships/hyperlink" Target="https://doi.org/10.1080/23322039.2024.2342459"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177/21582440251383843" TargetMode="External"/><Relationship Id="rId20" Type="http://schemas.openxmlformats.org/officeDocument/2006/relationships/hyperlink" Target="https://finance.jharkhand.gov.in/pdf/Budget_2026_27/OutCome/Women_and_Child_Development.pdf" TargetMode="External"/><Relationship Id="rId29" Type="http://schemas.openxmlformats.org/officeDocument/2006/relationships/hyperlink" Target="https://tribal.nic.in/FRA/data/FRAAct.pdf"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hyperlink" Target="https://doi.org/10.25175/jrd/2025/v44/i3/174138" TargetMode="External"/><Relationship Id="rId32" Type="http://schemas.openxmlformats.org/officeDocument/2006/relationships/hyperlink" Target="https://doi.org/10.1016/j.jia.2023.10.035" TargetMode="External"/><Relationship Id="rId37" Type="http://schemas.openxmlformats.org/officeDocument/2006/relationships/hyperlink" Target="https://doi.org/10.1093/intqhc/mzm042"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56557/ajrra/2024/v6i1148" TargetMode="External"/><Relationship Id="rId23" Type="http://schemas.openxmlformats.org/officeDocument/2006/relationships/hyperlink" Target="https://doi.org/10.1177/24559296241305686" TargetMode="External"/><Relationship Id="rId28" Type="http://schemas.openxmlformats.org/officeDocument/2006/relationships/hyperlink" Target="https://doi.org/10.1177/1049732315617444" TargetMode="External"/><Relationship Id="rId36" Type="http://schemas.openxmlformats.org/officeDocument/2006/relationships/hyperlink" Target="https://trai.gov.in/sites/default/files/2025-07/YIR_08072025.pdf" TargetMode="External"/><Relationship Id="rId10" Type="http://schemas.openxmlformats.org/officeDocument/2006/relationships/diagramQuickStyle" Target="diagrams/quickStyle1.xml"/><Relationship Id="rId19" Type="http://schemas.openxmlformats.org/officeDocument/2006/relationships/hyperlink" Target="https://doi.org/10.9734/ajess/2025/v51i102490" TargetMode="External"/><Relationship Id="rId31" Type="http://schemas.openxmlformats.org/officeDocument/2006/relationships/hyperlink" Target="https://doi.org/10.1080/13552074.2022.2151729" TargetMode="Externa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yperlink" Target="https://doi.org/10.3389/fsufs.2026.1792816" TargetMode="External"/><Relationship Id="rId22" Type="http://schemas.openxmlformats.org/officeDocument/2006/relationships/hyperlink" Target="https://doi.org/10.1177/1049732305276687" TargetMode="External"/><Relationship Id="rId27" Type="http://schemas.openxmlformats.org/officeDocument/2006/relationships/hyperlink" Target="https://doi.org/10.17010/aijer/2023/v12i1/172842" TargetMode="External"/><Relationship Id="rId30" Type="http://schemas.openxmlformats.org/officeDocument/2006/relationships/hyperlink" Target="https://censusindia.gov.in/nada/index.php/catalog/575/download/1948/DH_2011_2021_PART_B_DCHB_GUMLA.pdf" TargetMode="External"/><Relationship Id="rId35" Type="http://schemas.openxmlformats.org/officeDocument/2006/relationships/hyperlink" Target="https://doi.org/10.1177/09722629241259886" TargetMode="External"/><Relationship Id="rId8" Type="http://schemas.openxmlformats.org/officeDocument/2006/relationships/diagramData" Target="diagrams/data1.xml"/><Relationship Id="rId3" Type="http://schemas.openxmlformats.org/officeDocument/2006/relationships/styles" Target="styles.xml"/><Relationship Id="rId12" Type="http://schemas.microsoft.com/office/2007/relationships/diagramDrawing" Target="diagrams/drawing1.xml"/><Relationship Id="rId17" Type="http://schemas.openxmlformats.org/officeDocument/2006/relationships/hyperlink" Target="https://savitribaipksy.jharkhand.gov.in/about" TargetMode="External"/><Relationship Id="rId25" Type="http://schemas.openxmlformats.org/officeDocument/2006/relationships/hyperlink" Target="https://doi.org/10.1016/j.jdeveco.2022.102821" TargetMode="External"/><Relationship Id="rId33" Type="http://schemas.openxmlformats.org/officeDocument/2006/relationships/hyperlink" Target="https://doi.org/10.1002/1098-240X(200008)23:4%3C334::AID-NUR9%3E3.0.CO;2-G" TargetMode="External"/><Relationship Id="rId38" Type="http://schemas.openxmlformats.org/officeDocument/2006/relationships/hyperlink" Target="https://doi.org/10.1007/978-981-10-5756-4_2"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850B544-80B3-40E8-998F-22C35F35AF85}"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lang="en-US"/>
        </a:p>
      </dgm:t>
    </dgm:pt>
    <dgm:pt modelId="{05C2E674-A2B5-427F-8DE6-880915ED094A}">
      <dgm:prSet phldrT="[Text]" custT="1"/>
      <dgm:spPr/>
      <dgm:t>
        <a:bodyPr/>
        <a:lstStyle/>
        <a:p>
          <a:pPr algn="ctr"/>
          <a:r>
            <a:rPr lang="en-US" sz="1000">
              <a:latin typeface="Arial" pitchFamily="34" charset="0"/>
              <a:cs typeface="Arial" pitchFamily="34" charset="0"/>
            </a:rPr>
            <a:t>Digital Expansion and Rural Mobile Connectivity (TRAI 2025 Data )</a:t>
          </a:r>
        </a:p>
      </dgm:t>
    </dgm:pt>
    <dgm:pt modelId="{16C190A0-F08D-4945-B067-38152BC110E0}" type="parTrans" cxnId="{D50B27EE-F42E-4BAD-BDAA-BEB78F23C5F6}">
      <dgm:prSet/>
      <dgm:spPr/>
      <dgm:t>
        <a:bodyPr/>
        <a:lstStyle/>
        <a:p>
          <a:endParaRPr lang="en-US"/>
        </a:p>
      </dgm:t>
    </dgm:pt>
    <dgm:pt modelId="{E65A4B8E-1D09-48D7-A95A-517574EE333F}" type="sibTrans" cxnId="{D50B27EE-F42E-4BAD-BDAA-BEB78F23C5F6}">
      <dgm:prSet/>
      <dgm:spPr/>
      <dgm:t>
        <a:bodyPr/>
        <a:lstStyle/>
        <a:p>
          <a:endParaRPr lang="en-US"/>
        </a:p>
      </dgm:t>
    </dgm:pt>
    <dgm:pt modelId="{76DB10D9-4705-447F-B581-4B0FB44CA785}">
      <dgm:prSet phldrT="[Text]" custT="1"/>
      <dgm:spPr/>
      <dgm:t>
        <a:bodyPr/>
        <a:lstStyle/>
        <a:p>
          <a:pPr algn="ctr"/>
          <a:r>
            <a:rPr lang="en-US" sz="1000">
              <a:latin typeface="Arial" pitchFamily="34" charset="0"/>
              <a:cs typeface="Arial" pitchFamily="34" charset="0"/>
            </a:rPr>
            <a:t>ECONOMIC  DIMENSION (81%)  Retail Sales, Income Volatility</a:t>
          </a:r>
        </a:p>
      </dgm:t>
    </dgm:pt>
    <dgm:pt modelId="{DCE13A19-7ACD-4AE6-A553-B1AEF4D351E9}" type="parTrans" cxnId="{CC242A9D-B2F3-4B5C-8559-3236F2B062AA}">
      <dgm:prSet/>
      <dgm:spPr/>
      <dgm:t>
        <a:bodyPr/>
        <a:lstStyle/>
        <a:p>
          <a:endParaRPr lang="en-US"/>
        </a:p>
      </dgm:t>
    </dgm:pt>
    <dgm:pt modelId="{7DC946D5-B367-42DC-BFBC-345A9A8E9B92}" type="sibTrans" cxnId="{CC242A9D-B2F3-4B5C-8559-3236F2B062AA}">
      <dgm:prSet/>
      <dgm:spPr/>
      <dgm:t>
        <a:bodyPr/>
        <a:lstStyle/>
        <a:p>
          <a:endParaRPr lang="en-US"/>
        </a:p>
      </dgm:t>
    </dgm:pt>
    <dgm:pt modelId="{68BD87AB-0153-486B-8F63-31F93D2C68A2}">
      <dgm:prSet phldrT="[Text]" custT="1"/>
      <dgm:spPr/>
      <dgm:t>
        <a:bodyPr/>
        <a:lstStyle/>
        <a:p>
          <a:pPr algn="ctr"/>
          <a:r>
            <a:rPr lang="en-US" sz="1000">
              <a:latin typeface="Arial" pitchFamily="34" charset="0"/>
              <a:cs typeface="Arial" pitchFamily="34" charset="0"/>
            </a:rPr>
            <a:t>Changing Consumption Practices and Shift in Youth Market Preferences </a:t>
          </a:r>
        </a:p>
      </dgm:t>
    </dgm:pt>
    <dgm:pt modelId="{FFC6E470-B48A-44AA-B0C5-47B2471A4964}" type="sibTrans" cxnId="{470E5521-9A4E-408B-83A8-3A65323D8548}">
      <dgm:prSet/>
      <dgm:spPr/>
      <dgm:t>
        <a:bodyPr/>
        <a:lstStyle/>
        <a:p>
          <a:endParaRPr lang="en-US"/>
        </a:p>
      </dgm:t>
    </dgm:pt>
    <dgm:pt modelId="{809F5C2B-1237-456A-A1AE-3DD7D7B02F20}" type="parTrans" cxnId="{470E5521-9A4E-408B-83A8-3A65323D8548}">
      <dgm:prSet/>
      <dgm:spPr/>
      <dgm:t>
        <a:bodyPr/>
        <a:lstStyle/>
        <a:p>
          <a:endParaRPr lang="en-US"/>
        </a:p>
      </dgm:t>
    </dgm:pt>
    <dgm:pt modelId="{93B3877F-0453-4D32-9C24-DFA9A47697E1}">
      <dgm:prSet custT="1"/>
      <dgm:spPr/>
      <dgm:t>
        <a:bodyPr/>
        <a:lstStyle/>
        <a:p>
          <a:pPr algn="ctr"/>
          <a:r>
            <a:rPr lang="en-US" sz="1000">
              <a:latin typeface="Arial" pitchFamily="34" charset="0"/>
              <a:cs typeface="Arial" pitchFamily="34" charset="0"/>
            </a:rPr>
            <a:t>CULTURAL DIMENSION</a:t>
          </a:r>
        </a:p>
        <a:p>
          <a:pPr algn="ctr"/>
          <a:r>
            <a:rPr lang="en-US" sz="1000">
              <a:latin typeface="Arial" pitchFamily="34" charset="0"/>
              <a:cs typeface="Arial" pitchFamily="34" charset="0"/>
            </a:rPr>
            <a:t> (69 %)  Knowledge Transfer, Haat  Learning  Loss</a:t>
          </a:r>
        </a:p>
      </dgm:t>
    </dgm:pt>
    <dgm:pt modelId="{C23C4516-5392-4A9D-BD57-21D4A390BE94}" type="sibTrans" cxnId="{79F5A108-9337-406B-832F-AE4D92624FDD}">
      <dgm:prSet/>
      <dgm:spPr/>
      <dgm:t>
        <a:bodyPr/>
        <a:lstStyle/>
        <a:p>
          <a:endParaRPr lang="en-US"/>
        </a:p>
      </dgm:t>
    </dgm:pt>
    <dgm:pt modelId="{918BE546-C1C0-4544-B203-3364A58BD0CF}" type="parTrans" cxnId="{79F5A108-9337-406B-832F-AE4D92624FDD}">
      <dgm:prSet/>
      <dgm:spPr/>
      <dgm:t>
        <a:bodyPr/>
        <a:lstStyle/>
        <a:p>
          <a:endParaRPr lang="en-US"/>
        </a:p>
      </dgm:t>
    </dgm:pt>
    <dgm:pt modelId="{7E0A2C3D-0D77-4585-923A-8653C2B7F2C1}" type="pres">
      <dgm:prSet presAssocID="{A850B544-80B3-40E8-998F-22C35F35AF85}" presName="mainComposite" presStyleCnt="0">
        <dgm:presLayoutVars>
          <dgm:chPref val="1"/>
          <dgm:dir/>
          <dgm:animOne val="branch"/>
          <dgm:animLvl val="lvl"/>
          <dgm:resizeHandles val="exact"/>
        </dgm:presLayoutVars>
      </dgm:prSet>
      <dgm:spPr/>
    </dgm:pt>
    <dgm:pt modelId="{0D007FE8-2D77-4055-839E-58DB93DCC593}" type="pres">
      <dgm:prSet presAssocID="{A850B544-80B3-40E8-998F-22C35F35AF85}" presName="hierFlow" presStyleCnt="0"/>
      <dgm:spPr/>
    </dgm:pt>
    <dgm:pt modelId="{1D306473-8609-4883-AE27-073B6BD371DD}" type="pres">
      <dgm:prSet presAssocID="{A850B544-80B3-40E8-998F-22C35F35AF85}" presName="hierChild1" presStyleCnt="0">
        <dgm:presLayoutVars>
          <dgm:chPref val="1"/>
          <dgm:animOne val="branch"/>
          <dgm:animLvl val="lvl"/>
        </dgm:presLayoutVars>
      </dgm:prSet>
      <dgm:spPr/>
    </dgm:pt>
    <dgm:pt modelId="{CE8BD99F-F329-4ED8-9D97-2262D020C1A5}" type="pres">
      <dgm:prSet presAssocID="{05C2E674-A2B5-427F-8DE6-880915ED094A}" presName="Name14" presStyleCnt="0"/>
      <dgm:spPr/>
    </dgm:pt>
    <dgm:pt modelId="{367F8D08-1191-48A5-8C9B-880BDCB086A7}" type="pres">
      <dgm:prSet presAssocID="{05C2E674-A2B5-427F-8DE6-880915ED094A}" presName="level1Shape" presStyleLbl="node0" presStyleIdx="0" presStyleCnt="1" custScaleX="242591" custScaleY="142089">
        <dgm:presLayoutVars>
          <dgm:chPref val="3"/>
        </dgm:presLayoutVars>
      </dgm:prSet>
      <dgm:spPr/>
    </dgm:pt>
    <dgm:pt modelId="{66BB3B17-F517-496D-B427-DAD93959975F}" type="pres">
      <dgm:prSet presAssocID="{05C2E674-A2B5-427F-8DE6-880915ED094A}" presName="hierChild2" presStyleCnt="0"/>
      <dgm:spPr/>
    </dgm:pt>
    <dgm:pt modelId="{B3291A11-2C2A-4F40-B9B5-508197756929}" type="pres">
      <dgm:prSet presAssocID="{809F5C2B-1237-456A-A1AE-3DD7D7B02F20}" presName="Name19" presStyleLbl="parChTrans1D2" presStyleIdx="0" presStyleCnt="1"/>
      <dgm:spPr/>
    </dgm:pt>
    <dgm:pt modelId="{77092E07-0C67-47D4-9BF1-875A37B82E16}" type="pres">
      <dgm:prSet presAssocID="{68BD87AB-0153-486B-8F63-31F93D2C68A2}" presName="Name21" presStyleCnt="0"/>
      <dgm:spPr/>
    </dgm:pt>
    <dgm:pt modelId="{0B7243C6-B674-4D93-A7F4-3024EB6BDE96}" type="pres">
      <dgm:prSet presAssocID="{68BD87AB-0153-486B-8F63-31F93D2C68A2}" presName="level2Shape" presStyleLbl="node2" presStyleIdx="0" presStyleCnt="1" custScaleX="222788" custScaleY="168359"/>
      <dgm:spPr/>
    </dgm:pt>
    <dgm:pt modelId="{105A7977-EDA3-4B45-A66A-D43143B8A063}" type="pres">
      <dgm:prSet presAssocID="{68BD87AB-0153-486B-8F63-31F93D2C68A2}" presName="hierChild3" presStyleCnt="0"/>
      <dgm:spPr/>
    </dgm:pt>
    <dgm:pt modelId="{AAB38C97-A6C2-4CCD-B57F-33BB7B8AD451}" type="pres">
      <dgm:prSet presAssocID="{DCE13A19-7ACD-4AE6-A553-B1AEF4D351E9}" presName="Name19" presStyleLbl="parChTrans1D3" presStyleIdx="0" presStyleCnt="2"/>
      <dgm:spPr/>
    </dgm:pt>
    <dgm:pt modelId="{42EABB41-63F7-426D-B0FE-38D7655E877E}" type="pres">
      <dgm:prSet presAssocID="{76DB10D9-4705-447F-B581-4B0FB44CA785}" presName="Name21" presStyleCnt="0"/>
      <dgm:spPr/>
    </dgm:pt>
    <dgm:pt modelId="{71A953DE-004A-4193-A6A3-540D72AA270A}" type="pres">
      <dgm:prSet presAssocID="{76DB10D9-4705-447F-B581-4B0FB44CA785}" presName="level2Shape" presStyleLbl="node3" presStyleIdx="0" presStyleCnt="2" custScaleX="232200" custScaleY="186902"/>
      <dgm:spPr/>
    </dgm:pt>
    <dgm:pt modelId="{6B79CF84-1FED-4C50-AC50-42C0B6B3B248}" type="pres">
      <dgm:prSet presAssocID="{76DB10D9-4705-447F-B581-4B0FB44CA785}" presName="hierChild3" presStyleCnt="0"/>
      <dgm:spPr/>
    </dgm:pt>
    <dgm:pt modelId="{6EAF3669-8CA3-43C9-BA07-DF4FBD9A24A4}" type="pres">
      <dgm:prSet presAssocID="{918BE546-C1C0-4544-B203-3364A58BD0CF}" presName="Name19" presStyleLbl="parChTrans1D3" presStyleIdx="1" presStyleCnt="2"/>
      <dgm:spPr/>
    </dgm:pt>
    <dgm:pt modelId="{099AE8B8-EB1E-4AD8-BCB4-89A6A9D1CEAF}" type="pres">
      <dgm:prSet presAssocID="{93B3877F-0453-4D32-9C24-DFA9A47697E1}" presName="Name21" presStyleCnt="0"/>
      <dgm:spPr/>
    </dgm:pt>
    <dgm:pt modelId="{0DA00C4B-64F0-4771-B478-FE4E75C5F1AC}" type="pres">
      <dgm:prSet presAssocID="{93B3877F-0453-4D32-9C24-DFA9A47697E1}" presName="level2Shape" presStyleLbl="node3" presStyleIdx="1" presStyleCnt="2" custScaleX="249987" custScaleY="179761" custLinFactNeighborX="5518" custLinFactNeighborY="22937"/>
      <dgm:spPr/>
    </dgm:pt>
    <dgm:pt modelId="{4CFE25A5-8D27-4BBA-87CF-0FEB5BE523FD}" type="pres">
      <dgm:prSet presAssocID="{93B3877F-0453-4D32-9C24-DFA9A47697E1}" presName="hierChild3" presStyleCnt="0"/>
      <dgm:spPr/>
    </dgm:pt>
    <dgm:pt modelId="{BE7D0CA9-7DBB-427A-8FC2-C1AEAB2D8BE5}" type="pres">
      <dgm:prSet presAssocID="{A850B544-80B3-40E8-998F-22C35F35AF85}" presName="bgShapesFlow" presStyleCnt="0"/>
      <dgm:spPr/>
    </dgm:pt>
  </dgm:ptLst>
  <dgm:cxnLst>
    <dgm:cxn modelId="{79F5A108-9337-406B-832F-AE4D92624FDD}" srcId="{68BD87AB-0153-486B-8F63-31F93D2C68A2}" destId="{93B3877F-0453-4D32-9C24-DFA9A47697E1}" srcOrd="1" destOrd="0" parTransId="{918BE546-C1C0-4544-B203-3364A58BD0CF}" sibTransId="{C23C4516-5392-4A9D-BD57-21D4A390BE94}"/>
    <dgm:cxn modelId="{470E5521-9A4E-408B-83A8-3A65323D8548}" srcId="{05C2E674-A2B5-427F-8DE6-880915ED094A}" destId="{68BD87AB-0153-486B-8F63-31F93D2C68A2}" srcOrd="0" destOrd="0" parTransId="{809F5C2B-1237-456A-A1AE-3DD7D7B02F20}" sibTransId="{FFC6E470-B48A-44AA-B0C5-47B2471A4964}"/>
    <dgm:cxn modelId="{879FD744-5ECC-409F-862E-83CA7537C12E}" type="presOf" srcId="{A850B544-80B3-40E8-998F-22C35F35AF85}" destId="{7E0A2C3D-0D77-4585-923A-8653C2B7F2C1}" srcOrd="0" destOrd="0" presId="urn:microsoft.com/office/officeart/2005/8/layout/hierarchy6"/>
    <dgm:cxn modelId="{4E3DE978-EB00-4264-B679-92AF47D6207F}" type="presOf" srcId="{05C2E674-A2B5-427F-8DE6-880915ED094A}" destId="{367F8D08-1191-48A5-8C9B-880BDCB086A7}" srcOrd="0" destOrd="0" presId="urn:microsoft.com/office/officeart/2005/8/layout/hierarchy6"/>
    <dgm:cxn modelId="{D138507C-F159-43F2-93F0-F4FA72CDBD33}" type="presOf" srcId="{93B3877F-0453-4D32-9C24-DFA9A47697E1}" destId="{0DA00C4B-64F0-4771-B478-FE4E75C5F1AC}" srcOrd="0" destOrd="0" presId="urn:microsoft.com/office/officeart/2005/8/layout/hierarchy6"/>
    <dgm:cxn modelId="{B9C50E8F-26B8-4F09-9A26-BE3D43D70244}" type="presOf" srcId="{76DB10D9-4705-447F-B581-4B0FB44CA785}" destId="{71A953DE-004A-4193-A6A3-540D72AA270A}" srcOrd="0" destOrd="0" presId="urn:microsoft.com/office/officeart/2005/8/layout/hierarchy6"/>
    <dgm:cxn modelId="{B917618F-955F-406E-80C4-BE6292004B45}" type="presOf" srcId="{68BD87AB-0153-486B-8F63-31F93D2C68A2}" destId="{0B7243C6-B674-4D93-A7F4-3024EB6BDE96}" srcOrd="0" destOrd="0" presId="urn:microsoft.com/office/officeart/2005/8/layout/hierarchy6"/>
    <dgm:cxn modelId="{EAC1758F-8327-4E99-98FA-EFA064EC4B85}" type="presOf" srcId="{DCE13A19-7ACD-4AE6-A553-B1AEF4D351E9}" destId="{AAB38C97-A6C2-4CCD-B57F-33BB7B8AD451}" srcOrd="0" destOrd="0" presId="urn:microsoft.com/office/officeart/2005/8/layout/hierarchy6"/>
    <dgm:cxn modelId="{CC242A9D-B2F3-4B5C-8559-3236F2B062AA}" srcId="{68BD87AB-0153-486B-8F63-31F93D2C68A2}" destId="{76DB10D9-4705-447F-B581-4B0FB44CA785}" srcOrd="0" destOrd="0" parTransId="{DCE13A19-7ACD-4AE6-A553-B1AEF4D351E9}" sibTransId="{7DC946D5-B367-42DC-BFBC-345A9A8E9B92}"/>
    <dgm:cxn modelId="{463BFEDB-BE01-45CC-9B6E-F34652266DB6}" type="presOf" srcId="{809F5C2B-1237-456A-A1AE-3DD7D7B02F20}" destId="{B3291A11-2C2A-4F40-B9B5-508197756929}" srcOrd="0" destOrd="0" presId="urn:microsoft.com/office/officeart/2005/8/layout/hierarchy6"/>
    <dgm:cxn modelId="{D50B27EE-F42E-4BAD-BDAA-BEB78F23C5F6}" srcId="{A850B544-80B3-40E8-998F-22C35F35AF85}" destId="{05C2E674-A2B5-427F-8DE6-880915ED094A}" srcOrd="0" destOrd="0" parTransId="{16C190A0-F08D-4945-B067-38152BC110E0}" sibTransId="{E65A4B8E-1D09-48D7-A95A-517574EE333F}"/>
    <dgm:cxn modelId="{D7D5B0F3-1F2B-47E7-8841-43834A6C2504}" type="presOf" srcId="{918BE546-C1C0-4544-B203-3364A58BD0CF}" destId="{6EAF3669-8CA3-43C9-BA07-DF4FBD9A24A4}" srcOrd="0" destOrd="0" presId="urn:microsoft.com/office/officeart/2005/8/layout/hierarchy6"/>
    <dgm:cxn modelId="{D25C5016-68E4-4CD0-962E-7551E3582951}" type="presParOf" srcId="{7E0A2C3D-0D77-4585-923A-8653C2B7F2C1}" destId="{0D007FE8-2D77-4055-839E-58DB93DCC593}" srcOrd="0" destOrd="0" presId="urn:microsoft.com/office/officeart/2005/8/layout/hierarchy6"/>
    <dgm:cxn modelId="{7F348D1B-08FB-4302-BD0F-18675DAF18E4}" type="presParOf" srcId="{0D007FE8-2D77-4055-839E-58DB93DCC593}" destId="{1D306473-8609-4883-AE27-073B6BD371DD}" srcOrd="0" destOrd="0" presId="urn:microsoft.com/office/officeart/2005/8/layout/hierarchy6"/>
    <dgm:cxn modelId="{20D6691D-7959-4B89-98A7-A13FC9DF29B8}" type="presParOf" srcId="{1D306473-8609-4883-AE27-073B6BD371DD}" destId="{CE8BD99F-F329-4ED8-9D97-2262D020C1A5}" srcOrd="0" destOrd="0" presId="urn:microsoft.com/office/officeart/2005/8/layout/hierarchy6"/>
    <dgm:cxn modelId="{A19D39CA-9A6F-4692-9486-C5E2B7BC802B}" type="presParOf" srcId="{CE8BD99F-F329-4ED8-9D97-2262D020C1A5}" destId="{367F8D08-1191-48A5-8C9B-880BDCB086A7}" srcOrd="0" destOrd="0" presId="urn:microsoft.com/office/officeart/2005/8/layout/hierarchy6"/>
    <dgm:cxn modelId="{6388C08B-D195-4B37-9708-25A998258462}" type="presParOf" srcId="{CE8BD99F-F329-4ED8-9D97-2262D020C1A5}" destId="{66BB3B17-F517-496D-B427-DAD93959975F}" srcOrd="1" destOrd="0" presId="urn:microsoft.com/office/officeart/2005/8/layout/hierarchy6"/>
    <dgm:cxn modelId="{AD7960A3-2CF3-4327-A717-E86F0968A334}" type="presParOf" srcId="{66BB3B17-F517-496D-B427-DAD93959975F}" destId="{B3291A11-2C2A-4F40-B9B5-508197756929}" srcOrd="0" destOrd="0" presId="urn:microsoft.com/office/officeart/2005/8/layout/hierarchy6"/>
    <dgm:cxn modelId="{527CF9DE-D2AA-421F-9C3D-1F9C209D464A}" type="presParOf" srcId="{66BB3B17-F517-496D-B427-DAD93959975F}" destId="{77092E07-0C67-47D4-9BF1-875A37B82E16}" srcOrd="1" destOrd="0" presId="urn:microsoft.com/office/officeart/2005/8/layout/hierarchy6"/>
    <dgm:cxn modelId="{1E252BB9-DE19-4FDC-9AD3-E9CF6DF75B3D}" type="presParOf" srcId="{77092E07-0C67-47D4-9BF1-875A37B82E16}" destId="{0B7243C6-B674-4D93-A7F4-3024EB6BDE96}" srcOrd="0" destOrd="0" presId="urn:microsoft.com/office/officeart/2005/8/layout/hierarchy6"/>
    <dgm:cxn modelId="{2E2FCAFA-150B-4108-BBA3-FF41F7724C57}" type="presParOf" srcId="{77092E07-0C67-47D4-9BF1-875A37B82E16}" destId="{105A7977-EDA3-4B45-A66A-D43143B8A063}" srcOrd="1" destOrd="0" presId="urn:microsoft.com/office/officeart/2005/8/layout/hierarchy6"/>
    <dgm:cxn modelId="{089A263A-227F-4EFF-891D-2AA0B4FB05D0}" type="presParOf" srcId="{105A7977-EDA3-4B45-A66A-D43143B8A063}" destId="{AAB38C97-A6C2-4CCD-B57F-33BB7B8AD451}" srcOrd="0" destOrd="0" presId="urn:microsoft.com/office/officeart/2005/8/layout/hierarchy6"/>
    <dgm:cxn modelId="{DD00A2AD-6CE0-4030-8366-39C56CB88552}" type="presParOf" srcId="{105A7977-EDA3-4B45-A66A-D43143B8A063}" destId="{42EABB41-63F7-426D-B0FE-38D7655E877E}" srcOrd="1" destOrd="0" presId="urn:microsoft.com/office/officeart/2005/8/layout/hierarchy6"/>
    <dgm:cxn modelId="{19F92254-CFFE-4EF3-913E-AF11A94F818E}" type="presParOf" srcId="{42EABB41-63F7-426D-B0FE-38D7655E877E}" destId="{71A953DE-004A-4193-A6A3-540D72AA270A}" srcOrd="0" destOrd="0" presId="urn:microsoft.com/office/officeart/2005/8/layout/hierarchy6"/>
    <dgm:cxn modelId="{737A621E-781D-4552-BA41-39F4E9335EC9}" type="presParOf" srcId="{42EABB41-63F7-426D-B0FE-38D7655E877E}" destId="{6B79CF84-1FED-4C50-AC50-42C0B6B3B248}" srcOrd="1" destOrd="0" presId="urn:microsoft.com/office/officeart/2005/8/layout/hierarchy6"/>
    <dgm:cxn modelId="{94D54FBA-2C18-4DD9-834B-5586F024DBDA}" type="presParOf" srcId="{105A7977-EDA3-4B45-A66A-D43143B8A063}" destId="{6EAF3669-8CA3-43C9-BA07-DF4FBD9A24A4}" srcOrd="2" destOrd="0" presId="urn:microsoft.com/office/officeart/2005/8/layout/hierarchy6"/>
    <dgm:cxn modelId="{E473BC7E-0D7B-4F32-BB1A-30448CE0A4D3}" type="presParOf" srcId="{105A7977-EDA3-4B45-A66A-D43143B8A063}" destId="{099AE8B8-EB1E-4AD8-BCB4-89A6A9D1CEAF}" srcOrd="3" destOrd="0" presId="urn:microsoft.com/office/officeart/2005/8/layout/hierarchy6"/>
    <dgm:cxn modelId="{61A9DB59-7E00-4020-99AD-AF68372DD362}" type="presParOf" srcId="{099AE8B8-EB1E-4AD8-BCB4-89A6A9D1CEAF}" destId="{0DA00C4B-64F0-4771-B478-FE4E75C5F1AC}" srcOrd="0" destOrd="0" presId="urn:microsoft.com/office/officeart/2005/8/layout/hierarchy6"/>
    <dgm:cxn modelId="{EC2D9AB2-68E7-4F21-A836-005800A8A6AE}" type="presParOf" srcId="{099AE8B8-EB1E-4AD8-BCB4-89A6A9D1CEAF}" destId="{4CFE25A5-8D27-4BBA-87CF-0FEB5BE523FD}" srcOrd="1" destOrd="0" presId="urn:microsoft.com/office/officeart/2005/8/layout/hierarchy6"/>
    <dgm:cxn modelId="{8EF53559-FB31-45A2-96A2-B6C560CC7D47}" type="presParOf" srcId="{7E0A2C3D-0D77-4585-923A-8653C2B7F2C1}" destId="{BE7D0CA9-7DBB-427A-8FC2-C1AEAB2D8BE5}"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67F8D08-1191-48A5-8C9B-880BDCB086A7}">
      <dsp:nvSpPr>
        <dsp:cNvPr id="0" name=""/>
        <dsp:cNvSpPr/>
      </dsp:nvSpPr>
      <dsp:spPr>
        <a:xfrm>
          <a:off x="1512967" y="1623"/>
          <a:ext cx="1600040" cy="62477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latin typeface="Arial" pitchFamily="34" charset="0"/>
              <a:cs typeface="Arial" pitchFamily="34" charset="0"/>
            </a:rPr>
            <a:t>Digital Expansion and Rural Mobile Connectivity (TRAI 2025 Data )</a:t>
          </a:r>
        </a:p>
      </dsp:txBody>
      <dsp:txXfrm>
        <a:off x="1531266" y="19922"/>
        <a:ext cx="1563442" cy="588179"/>
      </dsp:txXfrm>
    </dsp:sp>
    <dsp:sp modelId="{B3291A11-2C2A-4F40-B9B5-508197756929}">
      <dsp:nvSpPr>
        <dsp:cNvPr id="0" name=""/>
        <dsp:cNvSpPr/>
      </dsp:nvSpPr>
      <dsp:spPr>
        <a:xfrm>
          <a:off x="2267267" y="626401"/>
          <a:ext cx="91440" cy="175883"/>
        </a:xfrm>
        <a:custGeom>
          <a:avLst/>
          <a:gdLst/>
          <a:ahLst/>
          <a:cxnLst/>
          <a:rect l="0" t="0" r="0" b="0"/>
          <a:pathLst>
            <a:path>
              <a:moveTo>
                <a:pt x="45720" y="0"/>
              </a:moveTo>
              <a:lnTo>
                <a:pt x="45720" y="17588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B7243C6-B674-4D93-A7F4-3024EB6BDE96}">
      <dsp:nvSpPr>
        <dsp:cNvPr id="0" name=""/>
        <dsp:cNvSpPr/>
      </dsp:nvSpPr>
      <dsp:spPr>
        <a:xfrm>
          <a:off x="1578274" y="802284"/>
          <a:ext cx="1469426" cy="74028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latin typeface="Arial" pitchFamily="34" charset="0"/>
              <a:cs typeface="Arial" pitchFamily="34" charset="0"/>
            </a:rPr>
            <a:t>Changing Consumption Practices and Shift in Youth Market Preferences </a:t>
          </a:r>
        </a:p>
      </dsp:txBody>
      <dsp:txXfrm>
        <a:off x="1599956" y="823966"/>
        <a:ext cx="1426062" cy="696924"/>
      </dsp:txXfrm>
    </dsp:sp>
    <dsp:sp modelId="{AAB38C97-A6C2-4CCD-B57F-33BB7B8AD451}">
      <dsp:nvSpPr>
        <dsp:cNvPr id="0" name=""/>
        <dsp:cNvSpPr/>
      </dsp:nvSpPr>
      <dsp:spPr>
        <a:xfrm>
          <a:off x="1389642" y="1542573"/>
          <a:ext cx="923345" cy="175883"/>
        </a:xfrm>
        <a:custGeom>
          <a:avLst/>
          <a:gdLst/>
          <a:ahLst/>
          <a:cxnLst/>
          <a:rect l="0" t="0" r="0" b="0"/>
          <a:pathLst>
            <a:path>
              <a:moveTo>
                <a:pt x="923345" y="0"/>
              </a:moveTo>
              <a:lnTo>
                <a:pt x="923345" y="87941"/>
              </a:lnTo>
              <a:lnTo>
                <a:pt x="0" y="87941"/>
              </a:lnTo>
              <a:lnTo>
                <a:pt x="0" y="17588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1A953DE-004A-4193-A6A3-540D72AA270A}">
      <dsp:nvSpPr>
        <dsp:cNvPr id="0" name=""/>
        <dsp:cNvSpPr/>
      </dsp:nvSpPr>
      <dsp:spPr>
        <a:xfrm>
          <a:off x="623889" y="1718457"/>
          <a:ext cx="1531504" cy="82182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latin typeface="Arial" pitchFamily="34" charset="0"/>
              <a:cs typeface="Arial" pitchFamily="34" charset="0"/>
            </a:rPr>
            <a:t>ECONOMIC  DIMENSION (81%)  Retail Sales, Income Volatility</a:t>
          </a:r>
        </a:p>
      </dsp:txBody>
      <dsp:txXfrm>
        <a:off x="647959" y="1742527"/>
        <a:ext cx="1483364" cy="773684"/>
      </dsp:txXfrm>
    </dsp:sp>
    <dsp:sp modelId="{6EAF3669-8CA3-43C9-BA07-DF4FBD9A24A4}">
      <dsp:nvSpPr>
        <dsp:cNvPr id="0" name=""/>
        <dsp:cNvSpPr/>
      </dsp:nvSpPr>
      <dsp:spPr>
        <a:xfrm>
          <a:off x="2312987" y="1542573"/>
          <a:ext cx="901081" cy="208906"/>
        </a:xfrm>
        <a:custGeom>
          <a:avLst/>
          <a:gdLst/>
          <a:ahLst/>
          <a:cxnLst/>
          <a:rect l="0" t="0" r="0" b="0"/>
          <a:pathLst>
            <a:path>
              <a:moveTo>
                <a:pt x="0" y="0"/>
              </a:moveTo>
              <a:lnTo>
                <a:pt x="0" y="104453"/>
              </a:lnTo>
              <a:lnTo>
                <a:pt x="901081" y="104453"/>
              </a:lnTo>
              <a:lnTo>
                <a:pt x="901081" y="20890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DA00C4B-64F0-4771-B478-FE4E75C5F1AC}">
      <dsp:nvSpPr>
        <dsp:cNvPr id="0" name=""/>
        <dsp:cNvSpPr/>
      </dsp:nvSpPr>
      <dsp:spPr>
        <a:xfrm>
          <a:off x="2389658" y="1751480"/>
          <a:ext cx="1648821" cy="79042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latin typeface="Arial" pitchFamily="34" charset="0"/>
              <a:cs typeface="Arial" pitchFamily="34" charset="0"/>
            </a:rPr>
            <a:t>CULTURAL DIMENSION</a:t>
          </a:r>
        </a:p>
        <a:p>
          <a:pPr marL="0" lvl="0" indent="0" algn="ctr" defTabSz="444500">
            <a:lnSpc>
              <a:spcPct val="90000"/>
            </a:lnSpc>
            <a:spcBef>
              <a:spcPct val="0"/>
            </a:spcBef>
            <a:spcAft>
              <a:spcPct val="35000"/>
            </a:spcAft>
            <a:buNone/>
          </a:pPr>
          <a:r>
            <a:rPr lang="en-US" sz="1000" kern="1200">
              <a:latin typeface="Arial" pitchFamily="34" charset="0"/>
              <a:cs typeface="Arial" pitchFamily="34" charset="0"/>
            </a:rPr>
            <a:t> (69 %)  Knowledge Transfer, Haat  Learning  Loss</a:t>
          </a:r>
        </a:p>
      </dsp:txBody>
      <dsp:txXfrm>
        <a:off x="2412809" y="1774631"/>
        <a:ext cx="1602519" cy="744122"/>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12</Pages>
  <Words>7032</Words>
  <Characters>40089</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Mahua, Lac and Digital-Market Change</vt:lpstr>
    </vt:vector>
  </TitlesOfParts>
  <Manager/>
  <Company/>
  <LinksUpToDate>false</LinksUpToDate>
  <CharactersWithSpaces>47027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Revised-ms_AJSR_2735_v1_ grammar-edited manuscript</dc:title>
  <dc:subject>Clean revised academic manuscript</dc:subject>
  <dc:creator/>
  <cp:keywords>Adivasi women, mahua, lac, digital markets, Gumla</cp:keywords>
  <dc:description/>
  <cp:lastModifiedBy>SDI 1020</cp:lastModifiedBy>
  <cp:revision>16</cp:revision>
  <dcterms:created xsi:type="dcterms:W3CDTF">2013-12-23T23:15:00Z</dcterms:created>
  <dcterms:modified xsi:type="dcterms:W3CDTF">2026-07-29T11:16:00Z</dcterms:modified>
  <cp:category/>
</cp:coreProperties>
</file>