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E4188" w14:textId="77777777" w:rsidR="0080216C" w:rsidRDefault="004A4404">
      <w:pPr>
        <w:spacing w:after="360"/>
        <w:jc w:val="center"/>
        <w:rPr>
          <w:b/>
          <w:bCs/>
          <w:sz w:val="30"/>
          <w:szCs w:val="30"/>
        </w:rPr>
      </w:pPr>
      <w:r>
        <w:rPr>
          <w:b/>
          <w:bCs/>
          <w:sz w:val="30"/>
          <w:szCs w:val="30"/>
        </w:rPr>
        <w:t>Commercial nursery systems in Nigerian vegetable production: a critical review of agronomic performance, phytosanitary function and institutional constraints</w:t>
      </w:r>
    </w:p>
    <w:p w14:paraId="03B4BABA" w14:textId="77777777" w:rsidR="005011B5" w:rsidRDefault="005011B5">
      <w:pPr>
        <w:spacing w:after="360"/>
        <w:jc w:val="center"/>
      </w:pPr>
    </w:p>
    <w:p w14:paraId="476C2D84" w14:textId="77777777" w:rsidR="0080216C" w:rsidRDefault="004A4404">
      <w:pPr>
        <w:pStyle w:val="Heading1"/>
        <w:spacing w:before="320" w:after="160"/>
      </w:pPr>
      <w:r>
        <w:rPr>
          <w:b/>
          <w:bCs/>
          <w:color w:val="000000"/>
          <w:sz w:val="26"/>
          <w:szCs w:val="26"/>
        </w:rPr>
        <w:t>Abstract</w:t>
      </w:r>
    </w:p>
    <w:p w14:paraId="1C1AEBEB" w14:textId="2320EC4B" w:rsidR="0080216C" w:rsidRDefault="004A4404">
      <w:pPr>
        <w:spacing w:after="160" w:line="360" w:lineRule="auto"/>
        <w:jc w:val="both"/>
      </w:pPr>
      <w:r>
        <w:t xml:space="preserve">Specialised commercial nurseries that raise vegetable transplants for sale are expanding across Nigerian production landscapes, and they are widely presented as an entry point for more productive and more sustainable vegetable systems. The evidence underpinning that expectation has not been examined critically. This review assembles and appraises the international transplant-production literature, the sub-Saharan African evidence on protected nursery structures and grafting, and the Nigerian horticultural literature, in order to establish what can and cannot be defended about the contribution of commercial nurseries to sustainable vegetable production in Nigeria. Four analytical claims emerge. First, the biological case for improved transplant quality is well established, but almost all of the controlled evidence originates from temperate or subtropical systems and from crops, substrates and </w:t>
      </w:r>
      <w:proofErr w:type="spellStart"/>
      <w:r w:rsidR="00897C7D">
        <w:t>S</w:t>
      </w:r>
      <w:r>
        <w:t>climates</w:t>
      </w:r>
      <w:proofErr w:type="spellEnd"/>
      <w:r>
        <w:t xml:space="preserve"> that differ substantially from Nigerian conditions, so effect sizes cannot be transferred without qualification. Second, the phytosanitary argument is asymmetrical: protected nursery structures demonstrably reduce insect pressure and improve transplant quality in East Africa, whereas the corresponding risk that centralised propagation amplifies and disseminates soil-borne and seed-borne pathogens across wide production areas has been almost entirely unexamined in West Africa. Third, the economic literature on nursery enterprises in Nigeria is thin, largely descriptive and rarely counterfactual, so claims that purchasing transplants raises farm profitability rest on inference rather than measurement. Fourth, Nigerian seed legislation defines agricultural seeds to include horticultural seedlings, yet the operational certification apparatus is organised around seed lots, leaving nursery output effectively outside routine quality assurance. Priorities for research include counterfactual evaluation of transplant purchase, systematic surveillance of pathogen movement through nursery networks, life-cycle accounting of substrate and structure use, and analysis of the regulatory instruments that would make seedling quality verifiable. Confidence in current recommendations should be treated as provisional.</w:t>
      </w:r>
    </w:p>
    <w:p w14:paraId="4FD94B1F" w14:textId="77777777" w:rsidR="0080216C" w:rsidRDefault="004A4404">
      <w:pPr>
        <w:pStyle w:val="Heading1"/>
        <w:spacing w:before="320" w:after="160"/>
      </w:pPr>
      <w:r>
        <w:rPr>
          <w:b/>
          <w:bCs/>
          <w:color w:val="000000"/>
          <w:sz w:val="26"/>
          <w:szCs w:val="26"/>
        </w:rPr>
        <w:t>Keywords</w:t>
      </w:r>
    </w:p>
    <w:p w14:paraId="5E23B94E" w14:textId="77777777" w:rsidR="0080216C" w:rsidRDefault="004A4404">
      <w:pPr>
        <w:spacing w:after="160" w:line="360" w:lineRule="auto"/>
        <w:jc w:val="both"/>
      </w:pPr>
      <w:r>
        <w:t>transplant quality; seedling nursery enterprises; vegetable value chains; Nigeria; protected cultivation; vegetable grafting; seed and planting material systems</w:t>
      </w:r>
    </w:p>
    <w:p w14:paraId="1B88C566" w14:textId="77777777" w:rsidR="0080216C" w:rsidRDefault="004A4404">
      <w:pPr>
        <w:pStyle w:val="Heading1"/>
        <w:spacing w:before="320" w:after="160"/>
      </w:pPr>
      <w:r>
        <w:rPr>
          <w:b/>
          <w:bCs/>
          <w:color w:val="000000"/>
          <w:sz w:val="26"/>
          <w:szCs w:val="26"/>
        </w:rPr>
        <w:t>1. Introduction</w:t>
      </w:r>
    </w:p>
    <w:p w14:paraId="69098849" w14:textId="77777777" w:rsidR="0080216C" w:rsidRDefault="004A4404">
      <w:pPr>
        <w:spacing w:after="160" w:line="360" w:lineRule="auto"/>
        <w:jc w:val="both"/>
      </w:pPr>
      <w:r>
        <w:lastRenderedPageBreak/>
        <w:t>Vegetables occupy a position in African food systems that is disproportionate to the land they occupy. They generate high returns per unit area, absorb large amounts of labour, and supply micronutrients that cereal-dominated diets do not provide, which is why vegetable intensification has become a recurring theme in agricultural policy across the continent (</w:t>
      </w:r>
      <w:proofErr w:type="spellStart"/>
      <w:r>
        <w:t>Schreinemachers</w:t>
      </w:r>
      <w:proofErr w:type="spellEnd"/>
      <w:r>
        <w:t xml:space="preserve"> et al., 2018). Nigeria illustrates both the scale of the opportunity and the difficulty of realising it. The country is the largest tomato producer in sub-Saharan Africa, yet national output has repeatedly proved fragile in the face of biotic shocks, and the invasion of the tomato </w:t>
      </w:r>
      <w:proofErr w:type="spellStart"/>
      <w:r>
        <w:t>leafminer</w:t>
      </w:r>
      <w:proofErr w:type="spellEnd"/>
      <w:r>
        <w:t xml:space="preserve"> </w:t>
      </w:r>
      <w:r>
        <w:rPr>
          <w:i/>
          <w:iCs/>
        </w:rPr>
        <w:t xml:space="preserve">Tuta </w:t>
      </w:r>
      <w:proofErr w:type="spellStart"/>
      <w:r>
        <w:rPr>
          <w:i/>
          <w:iCs/>
        </w:rPr>
        <w:t>absoluta</w:t>
      </w:r>
      <w:proofErr w:type="spellEnd"/>
      <w:r>
        <w:t xml:space="preserve"> prompted an emergency response after extensive destruction of the crop in the northern production belt (CABI, 2019).</w:t>
      </w:r>
    </w:p>
    <w:p w14:paraId="2DBE3522" w14:textId="77777777" w:rsidR="0080216C" w:rsidRDefault="004A4404">
      <w:pPr>
        <w:spacing w:after="160" w:line="360" w:lineRule="auto"/>
        <w:jc w:val="both"/>
      </w:pPr>
      <w:r>
        <w:t>Within this setting, the seedling has become an object of policy attention. Most fruiting and leafy vegetables cultivated in Nigeria are transplanted rather than direct-sown, which means that every field crop passes through a propagation phase in which germination, early nutrition, root architecture and pest exposure are determined. Traditionally that phase has been managed on-farm, typically on open seedbeds, using saved or locally purchased seed, farm soil and manure. A different arrangement has emerged over the past two decades: enterprises that specialise in raising transplants in trays, under shade or netting, from purchased hybrid seed, and that sell finished seedlings to growers. Such enterprises are described here as commercial nursery systems, in the sense of dedicated units whose principal output is a saleable transplant rather than a field crop.</w:t>
      </w:r>
    </w:p>
    <w:p w14:paraId="7509204E" w14:textId="77777777" w:rsidR="0080216C" w:rsidRDefault="004A4404">
      <w:pPr>
        <w:spacing w:after="160" w:line="360" w:lineRule="auto"/>
        <w:jc w:val="both"/>
      </w:pPr>
      <w:r>
        <w:t>The expectation attached to these enterprises is that they will improve productivity while reducing the environmental burden of vegetable production. Several mechanisms are proposed. Concentrating propagation in specialised units should raise the technical quality of seedlings, since operators can invest in trays, substrates, irrigation and protective structures that individual smallholders cannot justify. Nurseries should improve the diffusion of improved varieties, because they purchase certified or hybrid seed on behalf of growers who might otherwise rely on informal channels (</w:t>
      </w:r>
      <w:proofErr w:type="spellStart"/>
      <w:r>
        <w:t>Schreinemachers</w:t>
      </w:r>
      <w:proofErr w:type="spellEnd"/>
      <w:r>
        <w:t xml:space="preserve"> et al., 2021). Protected propagation should reduce insecticide use during the most vulnerable growth stage (</w:t>
      </w:r>
      <w:proofErr w:type="spellStart"/>
      <w:r>
        <w:t>Nordey</w:t>
      </w:r>
      <w:proofErr w:type="spellEnd"/>
      <w:r>
        <w:t xml:space="preserve"> et al., 2017). Nurseries should also provide a delivery mechanism for technologies that smallholders cannot execute independently, of which grafting onto resistant rootstocks is the most frequently discussed (</w:t>
      </w:r>
      <w:proofErr w:type="spellStart"/>
      <w:r>
        <w:t>Nordey</w:t>
      </w:r>
      <w:proofErr w:type="spellEnd"/>
      <w:r>
        <w:t xml:space="preserve"> et al., 2020).</w:t>
      </w:r>
    </w:p>
    <w:p w14:paraId="7A29510F" w14:textId="77777777" w:rsidR="00AF73DA" w:rsidRPr="006D7307" w:rsidRDefault="00000000">
      <w:pPr>
        <w:spacing w:after="160" w:line="360" w:lineRule="auto"/>
        <w:jc w:val="both"/>
        <w:rPr>
          <w:bCs/>
        </w:rPr>
      </w:pPr>
      <w:r w:rsidRPr="006D7307">
        <w:rPr>
          <w:bCs/>
          <w:highlight w:val="yellow"/>
        </w:rPr>
        <w:t>Recent syntheses of vegetable transplant research likewise treat nursery performance as the outcome of interacting decisions on container design, growing media, environmental control and propagation practices, rather than as an automatic consequence of commercialisation (Gallegos-Cedillo et al., 2024a; Gallegos-Cedillo et al., 2024b).</w:t>
      </w:r>
    </w:p>
    <w:p w14:paraId="1E17AF0D" w14:textId="3B5F6EAC" w:rsidR="0080216C" w:rsidRDefault="004A4404">
      <w:pPr>
        <w:spacing w:after="160" w:line="360" w:lineRule="auto"/>
        <w:jc w:val="both"/>
      </w:pPr>
      <w:r>
        <w:t xml:space="preserve">These propositions are plausible, and each </w:t>
      </w:r>
      <w:proofErr w:type="gramStart"/>
      <w:r>
        <w:t>rests</w:t>
      </w:r>
      <w:proofErr w:type="gramEnd"/>
      <w:r>
        <w:t xml:space="preserve"> on a defensible biological or economic mechanism. They are nonetheless propositions rather than findings. The transplant-production literature that establishes the agronomic value of container volume, seedling age, substrate quality and nursery </w:t>
      </w:r>
      <w:r>
        <w:lastRenderedPageBreak/>
        <w:t xml:space="preserve">nutrition was generated overwhelmingly in temperate and Mediterranean systems (Balliu, 2017; Leskovar &amp; Vavrina, 1999; Özer, 2018). The African evidence on protected nursery structures comes almost entirely from East Africa and concerns technologies, not enterprises (Gogo et al., 2012; </w:t>
      </w:r>
      <w:proofErr w:type="spellStart"/>
      <w:r>
        <w:t>Muleke</w:t>
      </w:r>
      <w:proofErr w:type="spellEnd"/>
      <w:r>
        <w:t xml:space="preserve"> et al., 201</w:t>
      </w:r>
      <w:r w:rsidR="0052262B">
        <w:t>3</w:t>
      </w:r>
      <w:r>
        <w:t>). Nigerian horticultural research has concentrated on field agronomy, marketing and postharvest losses rather than on the propagation stage as an economic activity (</w:t>
      </w:r>
      <w:proofErr w:type="spellStart"/>
      <w:r>
        <w:t>Bamire</w:t>
      </w:r>
      <w:proofErr w:type="spellEnd"/>
      <w:r>
        <w:t xml:space="preserve"> &amp; Oke, 2004; Pasquini et al., 2004; Yami et al., 2025). The result is an evidence structure in which the case for commercial nurseries is assembled by analogy across contexts, and in which the central Nigerian question, namely whether growers who buy transplants achieve different outcomes from growers who raise their own, has not been answered with data.</w:t>
      </w:r>
    </w:p>
    <w:p w14:paraId="0DA35048" w14:textId="77777777" w:rsidR="00AF73DA" w:rsidRPr="006D7307" w:rsidRDefault="00000000">
      <w:pPr>
        <w:spacing w:after="160" w:line="360" w:lineRule="auto"/>
        <w:jc w:val="both"/>
        <w:rPr>
          <w:bCs/>
        </w:rPr>
      </w:pPr>
      <w:r w:rsidRPr="006D7307">
        <w:rPr>
          <w:bCs/>
          <w:highlight w:val="yellow"/>
        </w:rPr>
        <w:t>Recent Tanzanian evidence on grafted tomato adds regional support for nursery-delivered stress-management technologies, while also reinforcing that their performance remains contingent on local production conditions (</w:t>
      </w:r>
      <w:proofErr w:type="spellStart"/>
      <w:r w:rsidRPr="006D7307">
        <w:rPr>
          <w:bCs/>
          <w:highlight w:val="yellow"/>
        </w:rPr>
        <w:t>Msabila</w:t>
      </w:r>
      <w:proofErr w:type="spellEnd"/>
      <w:r w:rsidRPr="006D7307">
        <w:rPr>
          <w:bCs/>
          <w:highlight w:val="yellow"/>
        </w:rPr>
        <w:t xml:space="preserve"> et al., 2024).</w:t>
      </w:r>
    </w:p>
    <w:p w14:paraId="4D4B835E" w14:textId="77777777" w:rsidR="0080216C" w:rsidRDefault="004A4404">
      <w:pPr>
        <w:spacing w:after="160" w:line="360" w:lineRule="auto"/>
        <w:jc w:val="both"/>
      </w:pPr>
      <w:r>
        <w:t>A further difficulty is that the sustainability claim itself is rarely specified. Sustainability may refer to reduced pesticide load, to lower water or land requirements per unit of output, to improved economic resilience of the grower, to the durability of the nursery enterprise, or to the environmental cost of the inputs that nurseries themselves consume. These meanings are not equivalent, and the evidence relevant to each is of different quality. Imported substrates illustrate the tension: the substitution of field soil by coir or peat-based media improves seedling uniformity but introduces an imported, transport-intensive input whose environmental accounting has been debated in the horticultural literature and has not been performed for African conditions (Altland &amp; Bugbee, 2026; Gruda, 2019).</w:t>
      </w:r>
    </w:p>
    <w:p w14:paraId="64FB833D" w14:textId="77777777" w:rsidR="0080216C" w:rsidRDefault="004A4404">
      <w:pPr>
        <w:spacing w:after="160" w:line="360" w:lineRule="auto"/>
        <w:jc w:val="both"/>
      </w:pPr>
      <w:r>
        <w:t>Existing reviews do not resolve these questions. Reviews of protected cultivation and of grafting in sub-Saharan Africa are thorough within their subject boundaries but treat the nursery as a technical setting rather than as an institution, and both draw their empirical base predominantly from East and Southern Africa (</w:t>
      </w:r>
      <w:proofErr w:type="spellStart"/>
      <w:r>
        <w:t>Nordey</w:t>
      </w:r>
      <w:proofErr w:type="spellEnd"/>
      <w:r>
        <w:t xml:space="preserve"> et al., 2017; </w:t>
      </w:r>
      <w:proofErr w:type="spellStart"/>
      <w:r>
        <w:t>Nordey</w:t>
      </w:r>
      <w:proofErr w:type="spellEnd"/>
      <w:r>
        <w:t xml:space="preserve"> et al., 2020). Reviews of African vegetable seed systems examine the supply of seed but stop short of the seedling, which is a distinct commodity with distinct perishability, transport and liability characteristics (</w:t>
      </w:r>
      <w:proofErr w:type="spellStart"/>
      <w:r>
        <w:t>Schreinemachers</w:t>
      </w:r>
      <w:proofErr w:type="spellEnd"/>
      <w:r>
        <w:t xml:space="preserve"> et al., 2021). No synthesis has taken the commercial nursery as its unit of analysis in Nigeria, nor has any assessed the sustainability claim against the specific evidence available.</w:t>
      </w:r>
    </w:p>
    <w:p w14:paraId="1FE6B00D" w14:textId="77777777" w:rsidR="00AF73DA" w:rsidRPr="006D7307" w:rsidRDefault="00000000">
      <w:pPr>
        <w:spacing w:after="160" w:line="360" w:lineRule="auto"/>
        <w:jc w:val="both"/>
        <w:rPr>
          <w:bCs/>
        </w:rPr>
      </w:pPr>
      <w:r w:rsidRPr="006D7307">
        <w:rPr>
          <w:bCs/>
          <w:highlight w:val="yellow"/>
        </w:rPr>
        <w:t xml:space="preserve">Recent analysis of market-driven vegetable seed-sector transitions in sub-Saharan Africa further documents heterogeneous private-sector business models and increasing emphasis on hybrid seed, but it does not evaluate commercial seedling enterprises or transplant purchase as a distinct production decision (ter Steeg &amp; </w:t>
      </w:r>
      <w:proofErr w:type="spellStart"/>
      <w:r w:rsidRPr="006D7307">
        <w:rPr>
          <w:bCs/>
          <w:highlight w:val="yellow"/>
        </w:rPr>
        <w:t>Louwaars</w:t>
      </w:r>
      <w:proofErr w:type="spellEnd"/>
      <w:r w:rsidRPr="006D7307">
        <w:rPr>
          <w:bCs/>
          <w:highlight w:val="yellow"/>
        </w:rPr>
        <w:t>, 2024).</w:t>
      </w:r>
    </w:p>
    <w:p w14:paraId="6FFCA3FC" w14:textId="77777777" w:rsidR="0080216C" w:rsidRDefault="004A4404">
      <w:pPr>
        <w:pStyle w:val="Heading2"/>
        <w:spacing w:before="320" w:after="160"/>
      </w:pPr>
      <w:r>
        <w:rPr>
          <w:b/>
          <w:bCs/>
          <w:color w:val="000000"/>
          <w:sz w:val="24"/>
          <w:szCs w:val="24"/>
        </w:rPr>
        <w:t>1.1 Scope, Research Gap and Objectives</w:t>
      </w:r>
    </w:p>
    <w:p w14:paraId="4A2BDC67" w14:textId="77777777" w:rsidR="0080216C" w:rsidRDefault="004A4404">
      <w:pPr>
        <w:spacing w:after="160" w:line="360" w:lineRule="auto"/>
        <w:jc w:val="both"/>
      </w:pPr>
      <w:r>
        <w:lastRenderedPageBreak/>
        <w:t>This review examines commercial nursery systems producing vegetable transplants for sale, and their relationship to the sustainability of vegetable production in Nigeria. The scope covers the propagation stage from sowing to transplanting, the enterprises that carry out that stage as a commercial service, the technologies they deploy, and the institutional arrangements that govern the quality of what they sell. Field agronomy after transplanting is considered only where nursery-stage decisions demonstrably determine field outcomes.</w:t>
      </w:r>
    </w:p>
    <w:p w14:paraId="0FB33DF4" w14:textId="77777777" w:rsidR="0080216C" w:rsidRDefault="004A4404">
      <w:pPr>
        <w:spacing w:after="160" w:line="360" w:lineRule="auto"/>
        <w:jc w:val="both"/>
      </w:pPr>
      <w:r>
        <w:t>The gap addressed is specific. Transplant physiology has been studied extensively, protected propagation has been evaluated in East Africa, and Nigerian vegetable value chains have been described repeatedly, but these bodies of work have not been brought together around the question of whether specialised commercial propagation constitutes a sustainability intervention in Nigeria, and the Nigerian evidence base on nursery enterprises as such remains slight. The critical task is therefore to distinguish what is demonstrated from what is assumed, and to identify where the assumption of transferability is doing analytical work that the evidence cannot support.</w:t>
      </w:r>
    </w:p>
    <w:p w14:paraId="6A5C67A5" w14:textId="77777777" w:rsidR="00AF73DA" w:rsidRPr="00E5005E" w:rsidRDefault="00000000">
      <w:pPr>
        <w:spacing w:after="160" w:line="360" w:lineRule="auto"/>
        <w:jc w:val="both"/>
        <w:rPr>
          <w:bCs/>
        </w:rPr>
      </w:pPr>
      <w:r w:rsidRPr="00E5005E">
        <w:rPr>
          <w:bCs/>
          <w:highlight w:val="yellow"/>
        </w:rPr>
        <w:t>Accordingly, the recent literature strengthens the technical and seed-system context for specialised propagation but does not close the manuscript's central evidence gap concerning the comparative performance, phytosanitary consequences and institutional conditions of commercial nursery systems in Nigeria.</w:t>
      </w:r>
    </w:p>
    <w:p w14:paraId="76011302" w14:textId="77777777" w:rsidR="0080216C" w:rsidRDefault="004A4404">
      <w:pPr>
        <w:spacing w:after="160" w:line="360" w:lineRule="auto"/>
        <w:jc w:val="both"/>
      </w:pPr>
      <w:r>
        <w:t>Several matters are excluded. Forestry, plantation and ornamental nurseries are not considered, since their production cycles, quality criteria and markets differ fundamentally from those of vegetable propagation. Tissue-culture and micropropagation systems fall outside the scope, as does the breeding and multiplication of seed itself. The review does not attempt a quantitative synthesis and does not estimate national coverage or output of nursery enterprises, because the data required for such estimates do not exist in verifiable form.</w:t>
      </w:r>
    </w:p>
    <w:p w14:paraId="22432D6A" w14:textId="77777777" w:rsidR="00AF73DA" w:rsidRDefault="00000000">
      <w:pPr>
        <w:pStyle w:val="Heading2"/>
        <w:spacing w:before="320" w:after="160"/>
      </w:pPr>
      <w:r>
        <w:rPr>
          <w:b/>
          <w:color w:val="000000"/>
          <w:highlight w:val="yellow"/>
        </w:rPr>
        <w:t>1.2 Objectives</w:t>
      </w:r>
    </w:p>
    <w:p w14:paraId="0631EE63" w14:textId="77777777" w:rsidR="0080216C" w:rsidRDefault="004A4404">
      <w:pPr>
        <w:spacing w:after="160" w:line="360" w:lineRule="auto"/>
        <w:jc w:val="both"/>
      </w:pPr>
      <w:r>
        <w:t>Four objectives follow. The first is to construct a defensible typology of seedling supply arrangements in Nigerian vegetable systems and to specify the mechanisms through which commercial propagation is expected to influence sustainability. The second is to appraise the agronomic evidence on transplant quality and to establish the limits of its transferability to Nigerian conditions. The third is to evaluate the phytosanitary case, giving equal weight to the protective and the dissemination functions of centralised propagation. The fourth is to examine the economic, institutional and regulatory conditions that determine whether nursery enterprises are viable and whether their output can be held to a verifiable standard.</w:t>
      </w:r>
    </w:p>
    <w:p w14:paraId="44930C41" w14:textId="77777777" w:rsidR="0080216C" w:rsidRDefault="004A4404">
      <w:pPr>
        <w:pStyle w:val="Heading1"/>
        <w:spacing w:before="320" w:after="160"/>
      </w:pPr>
      <w:r>
        <w:rPr>
          <w:b/>
          <w:bCs/>
          <w:color w:val="000000"/>
          <w:sz w:val="26"/>
          <w:szCs w:val="26"/>
        </w:rPr>
        <w:lastRenderedPageBreak/>
        <w:t>2. Methods for Literature Selection</w:t>
      </w:r>
    </w:p>
    <w:p w14:paraId="5849ED9B" w14:textId="77777777" w:rsidR="0080216C" w:rsidRDefault="004A4404">
      <w:pPr>
        <w:pStyle w:val="Heading2"/>
        <w:spacing w:before="320" w:after="160"/>
      </w:pPr>
      <w:r>
        <w:rPr>
          <w:b/>
          <w:bCs/>
          <w:color w:val="000000"/>
          <w:sz w:val="24"/>
          <w:szCs w:val="24"/>
        </w:rPr>
        <w:t>2.1 Review Design and Rationale</w:t>
      </w:r>
    </w:p>
    <w:p w14:paraId="272D44E7" w14:textId="77777777" w:rsidR="0080216C" w:rsidRDefault="004A4404">
      <w:pPr>
        <w:spacing w:after="160" w:line="360" w:lineRule="auto"/>
        <w:jc w:val="both"/>
      </w:pPr>
      <w:r>
        <w:t>A critical narrative review was selected because the question posed is integrative rather than comparative. The relevant evidence spans plant physiology, entomology, plant pathology, agricultural economics and regulatory analysis, and it is heterogeneous in design, outcome measure and unit of observation. A systematic review requires a defined population, intervention and outcome set, and a meta-analysis requires effect estimates that are commensurable; neither condition is met when the literature ranges from randomised nursery trials in Mediterranean greenhouses to cross-sectional surveys of Nigerian farming households. Narrative synthesis is the appropriate instrument when the purpose is to interrogate the coherence of an argument that spans several disciplines, and it remains defensible provided its procedures are stated and its interpretive character is acknowledged (Ferrari, 2015; Greenhalgh et al., 2018; Sukhera, 2022).</w:t>
      </w:r>
    </w:p>
    <w:p w14:paraId="0EB9137C" w14:textId="77777777" w:rsidR="0080216C" w:rsidRDefault="004A4404">
      <w:pPr>
        <w:spacing w:after="160" w:line="360" w:lineRule="auto"/>
        <w:jc w:val="both"/>
      </w:pPr>
      <w:r>
        <w:t>Narrative form is not a licence for opacity. The conduct of this review was guided by the quality dimensions used to appraise narrative reviews, which emphasise justification of importance, statement of aims, description of the literature search, referencing of evidence, appropriate presentation of evidence and clarity about the strength of conclusions (</w:t>
      </w:r>
      <w:proofErr w:type="spellStart"/>
      <w:r>
        <w:t>Baethge</w:t>
      </w:r>
      <w:proofErr w:type="spellEnd"/>
      <w:r>
        <w:t xml:space="preserve"> et al., 2019). Guidance on the structure and conduct of narrative reviews for peer-reviewed journals was also applied in organising the search and synthesis (Green et al., 2006). Critical appraisal was therefore applied to every included source, and disagreements between sources were retained rather than reconciled.</w:t>
      </w:r>
    </w:p>
    <w:p w14:paraId="6D2D2D0C" w14:textId="77777777" w:rsidR="0080216C" w:rsidRDefault="004A4404">
      <w:pPr>
        <w:pStyle w:val="Heading2"/>
        <w:spacing w:before="320" w:after="160"/>
      </w:pPr>
      <w:r>
        <w:rPr>
          <w:b/>
          <w:bCs/>
          <w:color w:val="000000"/>
          <w:sz w:val="24"/>
          <w:szCs w:val="24"/>
        </w:rPr>
        <w:t>2.2 Information Sources</w:t>
      </w:r>
    </w:p>
    <w:p w14:paraId="79261D9E" w14:textId="77777777" w:rsidR="0080216C" w:rsidRDefault="004A4404">
      <w:pPr>
        <w:spacing w:after="160" w:line="360" w:lineRule="auto"/>
        <w:jc w:val="both"/>
      </w:pPr>
      <w:r>
        <w:t xml:space="preserve">Literature was identified through searching of </w:t>
      </w:r>
      <w:proofErr w:type="spellStart"/>
      <w:r>
        <w:t>Crossref</w:t>
      </w:r>
      <w:proofErr w:type="spellEnd"/>
      <w:r>
        <w:t xml:space="preserve"> Metadata Search, Europe PMC and general web search of publisher landing pages, institutional repositories and official government publication portals. Bibliographic records retrieved through these routes were verified against the </w:t>
      </w:r>
      <w:proofErr w:type="spellStart"/>
      <w:r>
        <w:t>Crossref</w:t>
      </w:r>
      <w:proofErr w:type="spellEnd"/>
      <w:r>
        <w:t xml:space="preserve"> registry, and each Digital Object Identifier was checked to confirm that it resolved to the record cited. Legal and institutional material was obtained from official publication sources.</w:t>
      </w:r>
    </w:p>
    <w:p w14:paraId="464B24C5" w14:textId="77777777" w:rsidR="0080216C" w:rsidRDefault="004A4404">
      <w:pPr>
        <w:spacing w:after="160" w:line="360" w:lineRule="auto"/>
        <w:jc w:val="both"/>
      </w:pPr>
      <w:r>
        <w:t>Subscription-only bibliographic databases were not accessible during the preparation of this review. Searches of Web of Science Core Collection, Scopus and CAB Abstracts were therefore not performed, and no claim is made regarding their coverage of this topic. This limitation is stated explicitly because those indexes contain African agricultural and horticultural journals that are unevenly represented in the open registries used here, and their absence is likely to have reduced the retrieval of regionally published Nigerian studies.</w:t>
      </w:r>
    </w:p>
    <w:p w14:paraId="4BCE6279" w14:textId="77777777" w:rsidR="0080216C" w:rsidRDefault="004A4404">
      <w:pPr>
        <w:spacing w:after="160" w:line="360" w:lineRule="auto"/>
        <w:jc w:val="both"/>
      </w:pPr>
      <w:r>
        <w:t xml:space="preserve">Database searching was supplemented by backward citation searching of the reference lists of recent reviews of protected cultivation, vegetable grafting and African vegetable seed systems, by forward </w:t>
      </w:r>
      <w:r>
        <w:lastRenderedPageBreak/>
        <w:t>citation checking of highly cited transplant-production studies, and by targeted searching for corrections and retraction notices affecting candidate sources.</w:t>
      </w:r>
    </w:p>
    <w:p w14:paraId="47A48BAE" w14:textId="77777777" w:rsidR="0080216C" w:rsidRDefault="004A4404">
      <w:pPr>
        <w:pStyle w:val="Heading2"/>
        <w:spacing w:before="320" w:after="160"/>
      </w:pPr>
      <w:r>
        <w:rPr>
          <w:b/>
          <w:bCs/>
          <w:color w:val="000000"/>
          <w:sz w:val="24"/>
          <w:szCs w:val="24"/>
        </w:rPr>
        <w:t>2.3 Search Strategy and Search Period</w:t>
      </w:r>
    </w:p>
    <w:p w14:paraId="0E8F763E" w14:textId="77777777" w:rsidR="0080216C" w:rsidRDefault="004A4404">
      <w:pPr>
        <w:spacing w:after="160" w:line="360" w:lineRule="auto"/>
        <w:jc w:val="both"/>
      </w:pPr>
      <w:r>
        <w:t xml:space="preserve">Search concepts were constructed around four axes: the propagation unit, the crop and production system, the outcome domain and the geographical setting. Representative Boolean strings combined terms for the propagation unit, such as nursery, seedling, transplant, plug, </w:t>
      </w:r>
      <w:proofErr w:type="spellStart"/>
      <w:r>
        <w:t>protray</w:t>
      </w:r>
      <w:proofErr w:type="spellEnd"/>
      <w:r>
        <w:t>, seedbed and propagation unit, with terms for the production system, such as vegetable, tomato, pepper, cabbage, okra and leafy vegetable, and with outcome terms covering seedling quality, yield, pest infestation, pesticide use, profitability, water use and adoption. Geographical terms covered Nigeria, West Africa and sub-Saharan Africa. A representative combination took the form of (nursery OR seedling OR transplant OR plug) AND (vegetable OR tomato OR pepper OR cabbage) AND (quality OR yield OR pest OR profitability) AND (Nigeria OR "West Africa" OR "sub-Saharan Africa"). Parallel strings without geographical restriction were used to retrieve the mechanistic transplant-production literature, and separate strings addressed grafting, protected structures, growing media and seed regulation.</w:t>
      </w:r>
    </w:p>
    <w:p w14:paraId="30B7EECF" w14:textId="77777777" w:rsidR="0080216C" w:rsidRDefault="004A4404">
      <w:pPr>
        <w:spacing w:after="160" w:line="360" w:lineRule="auto"/>
        <w:jc w:val="both"/>
      </w:pPr>
      <w:r>
        <w:t>The search period ran from 1960 to 12 June 2026. The starting year was chosen because the standardised morphological appraisal of nursery stock, which remains the conceptual basis for contemporary seedling quality indices, was formalised at that point (Dickson et al., 1960). Foundational publications predating the search window were eligible where they were necessary to explain the development of a method or concept.</w:t>
      </w:r>
    </w:p>
    <w:p w14:paraId="1B513D37" w14:textId="77777777" w:rsidR="0080216C" w:rsidRDefault="004A4404">
      <w:pPr>
        <w:pStyle w:val="Heading2"/>
        <w:spacing w:before="320" w:after="160"/>
      </w:pPr>
      <w:r>
        <w:rPr>
          <w:b/>
          <w:bCs/>
          <w:color w:val="000000"/>
          <w:sz w:val="24"/>
          <w:szCs w:val="24"/>
        </w:rPr>
        <w:t>2.4 Eligibility Criteria</w:t>
      </w:r>
    </w:p>
    <w:p w14:paraId="16A61B6F" w14:textId="77777777" w:rsidR="0080216C" w:rsidRDefault="004A4404">
      <w:pPr>
        <w:spacing w:after="160" w:line="360" w:lineRule="auto"/>
        <w:jc w:val="both"/>
      </w:pPr>
      <w:r>
        <w:t>Peer-reviewed journal articles, high-quality reviews, and reports and legal instruments issued by recognised governmental, intergovernmental or research institutions were eligible. Studies were included when they addressed the biology or management of vegetable transplant production, the performance of protected propagation structures, grafting as a nursery-delivered technology, the economics or institutional organisation of seedling or seed supply, or the sustainability outcomes associated with any of these in tropical smallholder systems. Nigerian and other sub-Saharan African studies of vegetable production were included where they established the production, phytosanitary, economic or regulatory context within which nurseries operate.</w:t>
      </w:r>
    </w:p>
    <w:p w14:paraId="7D772A7E" w14:textId="77777777" w:rsidR="0080216C" w:rsidRDefault="004A4404">
      <w:pPr>
        <w:spacing w:after="160" w:line="360" w:lineRule="auto"/>
        <w:jc w:val="both"/>
      </w:pPr>
      <w:r>
        <w:t xml:space="preserve">Studies were excluded when they concerned forestry, plantation, ornamental or tissue-culture propagation, when they reported field agronomy without a nursery-stage component, when the publication outlet could not be verified or lacked evidence of editorial process, when bibliographic details could not be confirmed, and when the article was available only as a preprint on a topic for which peer-reviewed evidence existed. Only sources in English were assessed, which is a substantive </w:t>
      </w:r>
      <w:r>
        <w:lastRenderedPageBreak/>
        <w:t>restriction given the francophone literature on horticultural systems in neighbouring West African countries.</w:t>
      </w:r>
    </w:p>
    <w:p w14:paraId="5FA61450" w14:textId="77777777" w:rsidR="0080216C" w:rsidRDefault="004A4404">
      <w:pPr>
        <w:pStyle w:val="Heading2"/>
        <w:spacing w:before="320" w:after="160"/>
      </w:pPr>
      <w:r>
        <w:rPr>
          <w:b/>
          <w:bCs/>
          <w:color w:val="000000"/>
          <w:sz w:val="24"/>
          <w:szCs w:val="24"/>
        </w:rPr>
        <w:t>2.5 Screening, Duplicate Handling and Study Selection</w:t>
      </w:r>
    </w:p>
    <w:p w14:paraId="01663AAD" w14:textId="77777777" w:rsidR="0080216C" w:rsidRDefault="004A4404">
      <w:pPr>
        <w:spacing w:after="160" w:line="360" w:lineRule="auto"/>
        <w:jc w:val="both"/>
      </w:pPr>
      <w:r>
        <w:t>Titles and abstracts of retrieved records were assessed against the eligibility criteria, and records passing this stage were examined in full text where accessible, or through the abstract and verified bibliographic record where full text was not accessible. Duplicates arising from retrieval of the same work through different routes were identified by matching Digital Object Identifiers and, where identifiers were absent, by matching author, title and year. Preprint and published versions of the same work were reconciled in favour of the published version.</w:t>
      </w:r>
    </w:p>
    <w:p w14:paraId="49E5AAC1" w14:textId="77777777" w:rsidR="0080216C" w:rsidRDefault="004A4404">
      <w:pPr>
        <w:spacing w:after="160" w:line="360" w:lineRule="auto"/>
        <w:jc w:val="both"/>
      </w:pPr>
      <w:r>
        <w:t>Selection was purposive rather than exhaustive. Sources were retained on the basis of their contribution to the analytical argument, the adequacy of their design for the claim they were used to support, and the credibility of the outlet. No formal screening counts are reported, because the selection process was iterative and interpretive rather than systematic, and reporting counts would imply a procedural rigour that a narrative review of this kind does not possess. Sources whose bibliographic identity or claim relevance could not be confirmed were discarded rather than cited with qualification.</w:t>
      </w:r>
    </w:p>
    <w:p w14:paraId="0AD498E4" w14:textId="77777777" w:rsidR="0080216C" w:rsidRDefault="004A4404">
      <w:pPr>
        <w:pStyle w:val="Heading2"/>
        <w:spacing w:before="320" w:after="160"/>
      </w:pPr>
      <w:r>
        <w:rPr>
          <w:b/>
          <w:bCs/>
          <w:color w:val="000000"/>
          <w:sz w:val="24"/>
          <w:szCs w:val="24"/>
        </w:rPr>
        <w:t>2.6 Critical Appraisal and Evidence Synthesis</w:t>
      </w:r>
    </w:p>
    <w:p w14:paraId="18FA1B8D" w14:textId="77777777" w:rsidR="0080216C" w:rsidRDefault="004A4404">
      <w:pPr>
        <w:spacing w:after="160" w:line="360" w:lineRule="auto"/>
        <w:jc w:val="both"/>
      </w:pPr>
      <w:r>
        <w:t>Each included study was appraised against criteria appropriate to its design. Experimental nursery studies were assessed for replication, control adequacy, the specification of the growing environment, the duration over which carry-over effects were tracked, and whether outcomes were measured at the seedling stage only or followed through to field yield. Survey and economic studies were assessed for sampling frame, sample size, the presence of a counterfactual, and the treatment of self-selection. Reviews were assessed for the transparency of their evidence base and for whether their conclusions exceeded that base. Formal risk-of-bias instruments were not applied, since no recognised tool was used systematically across this heterogeneous evidence and the reporting in many sources would not support such scoring.</w:t>
      </w:r>
    </w:p>
    <w:p w14:paraId="4DFFB6F4" w14:textId="77777777" w:rsidR="0080216C" w:rsidRDefault="004A4404">
      <w:pPr>
        <w:spacing w:after="160" w:line="360" w:lineRule="auto"/>
        <w:jc w:val="both"/>
      </w:pPr>
      <w:r>
        <w:t>Themes were developed inductively from the appraised evidence and then tested against the mechanisms proposed in the introduction. Where studies disagreed, the disagreement was attributed where possible to differences in crop, climate, substrate, structure type, measurement endpoint or study design, and where no such explanation was available the inconsistency was reported as unresolved. Evidence originating outside sub-Saharan Africa was treated as establishing mechanism rather than magnitude, and this distinction is maintained throughout the synthesis.</w:t>
      </w:r>
    </w:p>
    <w:p w14:paraId="661A9A76" w14:textId="77777777" w:rsidR="0080216C" w:rsidRDefault="004A4404">
      <w:pPr>
        <w:pStyle w:val="Heading1"/>
        <w:spacing w:before="320" w:after="160"/>
      </w:pPr>
      <w:r>
        <w:rPr>
          <w:b/>
          <w:bCs/>
          <w:color w:val="000000"/>
          <w:sz w:val="26"/>
          <w:szCs w:val="26"/>
        </w:rPr>
        <w:t>3. Conceptual Foundations of Commercial Propagation</w:t>
      </w:r>
    </w:p>
    <w:p w14:paraId="25A48952" w14:textId="77777777" w:rsidR="0080216C" w:rsidRDefault="004A4404">
      <w:pPr>
        <w:pStyle w:val="Heading2"/>
        <w:spacing w:before="320" w:after="160"/>
      </w:pPr>
      <w:r>
        <w:rPr>
          <w:b/>
          <w:bCs/>
          <w:color w:val="000000"/>
          <w:sz w:val="24"/>
          <w:szCs w:val="24"/>
        </w:rPr>
        <w:lastRenderedPageBreak/>
        <w:t>3.1 Seedling supply arrangements as a continuum</w:t>
      </w:r>
    </w:p>
    <w:p w14:paraId="3434CA35" w14:textId="77777777" w:rsidR="0080216C" w:rsidRDefault="004A4404">
      <w:pPr>
        <w:spacing w:after="160" w:line="360" w:lineRule="auto"/>
        <w:jc w:val="both"/>
      </w:pPr>
      <w:r>
        <w:t>Discussion of nurseries in Nigeria frequently collapses several distinct arrangements into a single category, which obscures the fact that the arrangements differ in almost every respect that matters for sustainability. At one end lies on-farm open seedbed propagation, in which the grower sows into a prepared bed of field soil, often broadcast, and lifts bare-rooted seedlings for transplanting. This arrangement requires negligible capital, ties the seedling to the soil and pathogen environment of the farm, and produces plants whose root systems are damaged at lifting. Traditional practice of this kind has been documented across Nigerian vegetable-producing zones, where dry-season irrigated production on floodplains and around urban centres has long depended on grower-managed propagation (Pasquini et al., 2004).</w:t>
      </w:r>
    </w:p>
    <w:p w14:paraId="683E2EAA" w14:textId="77777777" w:rsidR="0080216C" w:rsidRDefault="004A4404">
      <w:pPr>
        <w:spacing w:after="160" w:line="360" w:lineRule="auto"/>
        <w:jc w:val="both"/>
      </w:pPr>
      <w:r>
        <w:t>A second arrangement involves on-farm container propagation, in which the grower adopts trays, an improved substrate and sometimes a shade or net structure, but continues to produce solely for personal use. The technology changes while the institutional relationship does not. A third arrangement is the informal seedling market, in which growers who have produced a surplus sell it locally without operating as dedicated enterprises. Supply in this arrangement is opportunistic, quality is not specified, and no continuing relationship or liability attaches to the transaction.</w:t>
      </w:r>
    </w:p>
    <w:p w14:paraId="349120AD" w14:textId="77777777" w:rsidR="0080216C" w:rsidRDefault="004A4404">
      <w:pPr>
        <w:spacing w:after="160" w:line="360" w:lineRule="auto"/>
        <w:jc w:val="both"/>
      </w:pPr>
      <w:r>
        <w:t>The commercial nursery system proper is a fourth arrangement, characterised by dedicated production for sale, planned rather than surplus supply, purchased seed of specified variety, container production in a controlled substrate, and at least partial protection of the propagation environment. A fifth arrangement, integrated nursery provision within a contracted or vertically coordinated production scheme, differs again, since the seedling is supplied as part of a package and its cost is recovered through the output contract rather than through a cash sale. These distinctions matter because the sustainability mechanisms attributed to nurseries operate differently across them. Varietal diffusion depends on purchased seed and therefore does not apply to informal surplus sales. Pathogen filtering depends on substrate control and structure. Liability for quality depends on the continuity of the commercial relationship.</w:t>
      </w:r>
    </w:p>
    <w:p w14:paraId="3E9F5C6C" w14:textId="77777777" w:rsidR="0080216C" w:rsidRDefault="004A4404">
      <w:pPr>
        <w:spacing w:after="160" w:line="360" w:lineRule="auto"/>
        <w:jc w:val="both"/>
      </w:pPr>
      <w:r>
        <w:t>Nigerian evidence characterising the distribution of growers across these arrangements is not available in verified form, and this absence is itself analytically important. Adoption studies of improved vegetable practices in Nigeria have examined the uptake of agronomic techniques and inputs without treating seedling sourcing as a separate decision (</w:t>
      </w:r>
      <w:proofErr w:type="spellStart"/>
      <w:r>
        <w:t>Odoemlam</w:t>
      </w:r>
      <w:proofErr w:type="spellEnd"/>
      <w:r>
        <w:t xml:space="preserve"> &amp; Nzeakor, 2021), and value-chain analyses have concentrated on the post-farm-gate segment (Yami et al., 2025). The propagation stage has consequently been described qualitatively but not enumerated.</w:t>
      </w:r>
    </w:p>
    <w:p w14:paraId="02A97155" w14:textId="77777777" w:rsidR="0080216C" w:rsidRDefault="004A4404">
      <w:pPr>
        <w:spacing w:after="160" w:line="360" w:lineRule="auto"/>
        <w:jc w:val="both"/>
      </w:pPr>
      <w:r>
        <w:t xml:space="preserve">The typology set out in Table 1 organises these arrangements and identifies the sustainability mechanisms that each can plausibly deliver. Its purpose is analytical rather than descriptive: by making </w:t>
      </w:r>
      <w:r>
        <w:lastRenderedPageBreak/>
        <w:t>explicit which mechanism depends on which structural feature, it demonstrates that generalised claims about the benefits of nurseries are underspecified. Protection against insect vectors, for example, is a property of the structure rather than of commercial status, and can be achieved by an on-farm grower who invests in netting, whereas varietal renewal is a property of the seed procurement relationship and is not achieved by structure alone. The table also indicates where the Nigerian evidence base is silent, which is most of the right-hand columns.</w:t>
      </w:r>
    </w:p>
    <w:p w14:paraId="396D720B" w14:textId="77777777" w:rsidR="0080216C" w:rsidRDefault="004A4404">
      <w:pPr>
        <w:keepNext/>
        <w:spacing w:before="200" w:after="100"/>
      </w:pPr>
      <w:r>
        <w:rPr>
          <w:b/>
          <w:bCs/>
          <w:sz w:val="19"/>
          <w:szCs w:val="19"/>
        </w:rPr>
        <w:t>Table 1. Typology of vegetable seedling supply arrangements and the sustainability mechanisms each can plausibly deliver</w:t>
      </w:r>
    </w:p>
    <w:tbl>
      <w:tblPr>
        <w:tblW w:w="5000" w:type="pct"/>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654"/>
        <w:gridCol w:w="1940"/>
        <w:gridCol w:w="1167"/>
        <w:gridCol w:w="1942"/>
        <w:gridCol w:w="1383"/>
        <w:gridCol w:w="1654"/>
      </w:tblGrid>
      <w:tr w:rsidR="0080216C" w14:paraId="267DC7D6" w14:textId="77777777" w:rsidTr="005011B5">
        <w:trPr>
          <w:tblHeader/>
        </w:trPr>
        <w:tc>
          <w:tcPr>
            <w:tcW w:w="849" w:type="pct"/>
            <w:shd w:val="clear" w:color="auto" w:fill="E8E8E8"/>
            <w:tcMar>
              <w:top w:w="60" w:type="dxa"/>
              <w:left w:w="90" w:type="dxa"/>
              <w:bottom w:w="60" w:type="dxa"/>
              <w:right w:w="90" w:type="dxa"/>
            </w:tcMar>
          </w:tcPr>
          <w:p w14:paraId="36BCD143" w14:textId="77777777" w:rsidR="0080216C" w:rsidRDefault="004A4404">
            <w:r>
              <w:rPr>
                <w:b/>
                <w:bCs/>
                <w:sz w:val="19"/>
                <w:szCs w:val="19"/>
              </w:rPr>
              <w:t>Arrangement</w:t>
            </w:r>
          </w:p>
        </w:tc>
        <w:tc>
          <w:tcPr>
            <w:tcW w:w="996" w:type="pct"/>
            <w:shd w:val="clear" w:color="auto" w:fill="E8E8E8"/>
            <w:tcMar>
              <w:top w:w="60" w:type="dxa"/>
              <w:left w:w="90" w:type="dxa"/>
              <w:bottom w:w="60" w:type="dxa"/>
              <w:right w:w="90" w:type="dxa"/>
            </w:tcMar>
          </w:tcPr>
          <w:p w14:paraId="04B4C9D7" w14:textId="77777777" w:rsidR="0080216C" w:rsidRDefault="004A4404">
            <w:r>
              <w:rPr>
                <w:b/>
                <w:bCs/>
                <w:sz w:val="19"/>
                <w:szCs w:val="19"/>
              </w:rPr>
              <w:t>Defining features</w:t>
            </w:r>
          </w:p>
        </w:tc>
        <w:tc>
          <w:tcPr>
            <w:tcW w:w="599" w:type="pct"/>
            <w:shd w:val="clear" w:color="auto" w:fill="E8E8E8"/>
            <w:tcMar>
              <w:top w:w="60" w:type="dxa"/>
              <w:left w:w="90" w:type="dxa"/>
              <w:bottom w:w="60" w:type="dxa"/>
              <w:right w:w="90" w:type="dxa"/>
            </w:tcMar>
          </w:tcPr>
          <w:p w14:paraId="26AFF00F" w14:textId="77777777" w:rsidR="0080216C" w:rsidRDefault="004A4404">
            <w:r>
              <w:rPr>
                <w:b/>
                <w:bCs/>
                <w:sz w:val="19"/>
                <w:szCs w:val="19"/>
              </w:rPr>
              <w:t>Capital intensity</w:t>
            </w:r>
          </w:p>
        </w:tc>
        <w:tc>
          <w:tcPr>
            <w:tcW w:w="997" w:type="pct"/>
            <w:shd w:val="clear" w:color="auto" w:fill="E8E8E8"/>
            <w:tcMar>
              <w:top w:w="60" w:type="dxa"/>
              <w:left w:w="90" w:type="dxa"/>
              <w:bottom w:w="60" w:type="dxa"/>
              <w:right w:w="90" w:type="dxa"/>
            </w:tcMar>
          </w:tcPr>
          <w:p w14:paraId="469936B5" w14:textId="77777777" w:rsidR="0080216C" w:rsidRDefault="004A4404">
            <w:r>
              <w:rPr>
                <w:b/>
                <w:bCs/>
                <w:sz w:val="19"/>
                <w:szCs w:val="19"/>
              </w:rPr>
              <w:t>Sustainability mechanisms plausibly available</w:t>
            </w:r>
          </w:p>
        </w:tc>
        <w:tc>
          <w:tcPr>
            <w:tcW w:w="710" w:type="pct"/>
            <w:shd w:val="clear" w:color="auto" w:fill="E8E8E8"/>
            <w:tcMar>
              <w:top w:w="60" w:type="dxa"/>
              <w:left w:w="90" w:type="dxa"/>
              <w:bottom w:w="60" w:type="dxa"/>
              <w:right w:w="90" w:type="dxa"/>
            </w:tcMar>
          </w:tcPr>
          <w:p w14:paraId="7ED48DA0" w14:textId="77777777" w:rsidR="0080216C" w:rsidRDefault="004A4404">
            <w:r>
              <w:rPr>
                <w:b/>
                <w:bCs/>
                <w:sz w:val="19"/>
                <w:szCs w:val="19"/>
              </w:rPr>
              <w:t>Evidence status for Nigeria</w:t>
            </w:r>
          </w:p>
        </w:tc>
        <w:tc>
          <w:tcPr>
            <w:tcW w:w="849" w:type="pct"/>
            <w:shd w:val="clear" w:color="auto" w:fill="E8E8E8"/>
            <w:tcMar>
              <w:top w:w="60" w:type="dxa"/>
              <w:left w:w="90" w:type="dxa"/>
              <w:bottom w:w="60" w:type="dxa"/>
              <w:right w:w="90" w:type="dxa"/>
            </w:tcMar>
          </w:tcPr>
          <w:p w14:paraId="3B4A2517" w14:textId="77777777" w:rsidR="0080216C" w:rsidRDefault="004A4404">
            <w:r>
              <w:rPr>
                <w:b/>
                <w:bCs/>
                <w:sz w:val="19"/>
                <w:szCs w:val="19"/>
              </w:rPr>
              <w:t>Supporting references</w:t>
            </w:r>
          </w:p>
        </w:tc>
      </w:tr>
      <w:tr w:rsidR="0080216C" w14:paraId="7B9B757A" w14:textId="77777777" w:rsidTr="005011B5">
        <w:tc>
          <w:tcPr>
            <w:tcW w:w="849" w:type="pct"/>
            <w:tcMar>
              <w:top w:w="60" w:type="dxa"/>
              <w:left w:w="90" w:type="dxa"/>
              <w:bottom w:w="60" w:type="dxa"/>
              <w:right w:w="90" w:type="dxa"/>
            </w:tcMar>
          </w:tcPr>
          <w:p w14:paraId="42682679" w14:textId="77777777" w:rsidR="0080216C" w:rsidRDefault="004A4404">
            <w:r>
              <w:rPr>
                <w:sz w:val="19"/>
                <w:szCs w:val="19"/>
              </w:rPr>
              <w:t>On-farm open seedbed</w:t>
            </w:r>
          </w:p>
        </w:tc>
        <w:tc>
          <w:tcPr>
            <w:tcW w:w="996" w:type="pct"/>
            <w:tcMar>
              <w:top w:w="60" w:type="dxa"/>
              <w:left w:w="90" w:type="dxa"/>
              <w:bottom w:w="60" w:type="dxa"/>
              <w:right w:w="90" w:type="dxa"/>
            </w:tcMar>
          </w:tcPr>
          <w:p w14:paraId="3098BF9B" w14:textId="77777777" w:rsidR="0080216C" w:rsidRDefault="004A4404">
            <w:r>
              <w:rPr>
                <w:sz w:val="19"/>
                <w:szCs w:val="19"/>
              </w:rPr>
              <w:t>Field soil, broadcast or drilled sowing, bare-root lifting, no protection</w:t>
            </w:r>
          </w:p>
        </w:tc>
        <w:tc>
          <w:tcPr>
            <w:tcW w:w="599" w:type="pct"/>
            <w:tcMar>
              <w:top w:w="60" w:type="dxa"/>
              <w:left w:w="90" w:type="dxa"/>
              <w:bottom w:w="60" w:type="dxa"/>
              <w:right w:w="90" w:type="dxa"/>
            </w:tcMar>
          </w:tcPr>
          <w:p w14:paraId="6EFB7A5E" w14:textId="77777777" w:rsidR="0080216C" w:rsidRDefault="004A4404">
            <w:r>
              <w:rPr>
                <w:sz w:val="19"/>
                <w:szCs w:val="19"/>
              </w:rPr>
              <w:t>Negligible</w:t>
            </w:r>
          </w:p>
        </w:tc>
        <w:tc>
          <w:tcPr>
            <w:tcW w:w="997" w:type="pct"/>
            <w:tcMar>
              <w:top w:w="60" w:type="dxa"/>
              <w:left w:w="90" w:type="dxa"/>
              <w:bottom w:w="60" w:type="dxa"/>
              <w:right w:w="90" w:type="dxa"/>
            </w:tcMar>
          </w:tcPr>
          <w:p w14:paraId="409258EA" w14:textId="77777777" w:rsidR="0080216C" w:rsidRDefault="004A4404">
            <w:r>
              <w:rPr>
                <w:sz w:val="19"/>
                <w:szCs w:val="19"/>
              </w:rPr>
              <w:t>None specific; quality determined by farm conditions</w:t>
            </w:r>
          </w:p>
        </w:tc>
        <w:tc>
          <w:tcPr>
            <w:tcW w:w="710" w:type="pct"/>
            <w:tcMar>
              <w:top w:w="60" w:type="dxa"/>
              <w:left w:w="90" w:type="dxa"/>
              <w:bottom w:w="60" w:type="dxa"/>
              <w:right w:w="90" w:type="dxa"/>
            </w:tcMar>
          </w:tcPr>
          <w:p w14:paraId="4969F115" w14:textId="77777777" w:rsidR="0080216C" w:rsidRDefault="004A4404">
            <w:r>
              <w:rPr>
                <w:sz w:val="19"/>
                <w:szCs w:val="19"/>
              </w:rPr>
              <w:t>Described qualitatively; no quantitative characterisation located</w:t>
            </w:r>
          </w:p>
        </w:tc>
        <w:tc>
          <w:tcPr>
            <w:tcW w:w="849" w:type="pct"/>
            <w:tcMar>
              <w:top w:w="60" w:type="dxa"/>
              <w:left w:w="90" w:type="dxa"/>
              <w:bottom w:w="60" w:type="dxa"/>
              <w:right w:w="90" w:type="dxa"/>
            </w:tcMar>
          </w:tcPr>
          <w:p w14:paraId="005297F0" w14:textId="77777777" w:rsidR="0080216C" w:rsidRDefault="004A4404">
            <w:r>
              <w:rPr>
                <w:sz w:val="19"/>
                <w:szCs w:val="19"/>
              </w:rPr>
              <w:t>Pasquini et al. (2004)</w:t>
            </w:r>
          </w:p>
        </w:tc>
      </w:tr>
      <w:tr w:rsidR="0080216C" w14:paraId="0269E100" w14:textId="77777777" w:rsidTr="005011B5">
        <w:tc>
          <w:tcPr>
            <w:tcW w:w="849" w:type="pct"/>
            <w:tcMar>
              <w:top w:w="60" w:type="dxa"/>
              <w:left w:w="90" w:type="dxa"/>
              <w:bottom w:w="60" w:type="dxa"/>
              <w:right w:w="90" w:type="dxa"/>
            </w:tcMar>
          </w:tcPr>
          <w:p w14:paraId="15F6B85E" w14:textId="77777777" w:rsidR="0080216C" w:rsidRDefault="004A4404">
            <w:r>
              <w:rPr>
                <w:sz w:val="19"/>
                <w:szCs w:val="19"/>
              </w:rPr>
              <w:t>On-farm container propagation</w:t>
            </w:r>
          </w:p>
        </w:tc>
        <w:tc>
          <w:tcPr>
            <w:tcW w:w="996" w:type="pct"/>
            <w:tcMar>
              <w:top w:w="60" w:type="dxa"/>
              <w:left w:w="90" w:type="dxa"/>
              <w:bottom w:w="60" w:type="dxa"/>
              <w:right w:w="90" w:type="dxa"/>
            </w:tcMar>
          </w:tcPr>
          <w:p w14:paraId="350BB75B" w14:textId="77777777" w:rsidR="0080216C" w:rsidRDefault="004A4404">
            <w:r>
              <w:rPr>
                <w:sz w:val="19"/>
                <w:szCs w:val="19"/>
              </w:rPr>
              <w:t>Trays and formulated substrate, optional shade or net cover, production for own use</w:t>
            </w:r>
          </w:p>
        </w:tc>
        <w:tc>
          <w:tcPr>
            <w:tcW w:w="599" w:type="pct"/>
            <w:tcMar>
              <w:top w:w="60" w:type="dxa"/>
              <w:left w:w="90" w:type="dxa"/>
              <w:bottom w:w="60" w:type="dxa"/>
              <w:right w:w="90" w:type="dxa"/>
            </w:tcMar>
          </w:tcPr>
          <w:p w14:paraId="1D85E34B" w14:textId="77777777" w:rsidR="0080216C" w:rsidRDefault="004A4404">
            <w:r>
              <w:rPr>
                <w:sz w:val="19"/>
                <w:szCs w:val="19"/>
              </w:rPr>
              <w:t>Low to moderate</w:t>
            </w:r>
          </w:p>
        </w:tc>
        <w:tc>
          <w:tcPr>
            <w:tcW w:w="997" w:type="pct"/>
            <w:tcMar>
              <w:top w:w="60" w:type="dxa"/>
              <w:left w:w="90" w:type="dxa"/>
              <w:bottom w:w="60" w:type="dxa"/>
              <w:right w:w="90" w:type="dxa"/>
            </w:tcMar>
          </w:tcPr>
          <w:p w14:paraId="346D87CB" w14:textId="77777777" w:rsidR="0080216C" w:rsidRDefault="004A4404">
            <w:r>
              <w:rPr>
                <w:sz w:val="19"/>
                <w:szCs w:val="19"/>
              </w:rPr>
              <w:t>Improved uniformity; reduced transplant shock; partial pest exclusion</w:t>
            </w:r>
          </w:p>
        </w:tc>
        <w:tc>
          <w:tcPr>
            <w:tcW w:w="710" w:type="pct"/>
            <w:tcMar>
              <w:top w:w="60" w:type="dxa"/>
              <w:left w:w="90" w:type="dxa"/>
              <w:bottom w:w="60" w:type="dxa"/>
              <w:right w:w="90" w:type="dxa"/>
            </w:tcMar>
          </w:tcPr>
          <w:p w14:paraId="68FF3E86" w14:textId="77777777" w:rsidR="0080216C" w:rsidRDefault="004A4404">
            <w:r>
              <w:rPr>
                <w:sz w:val="19"/>
                <w:szCs w:val="19"/>
              </w:rPr>
              <w:t>Not documented as a distinct category in Nigerian studies</w:t>
            </w:r>
          </w:p>
        </w:tc>
        <w:tc>
          <w:tcPr>
            <w:tcW w:w="849" w:type="pct"/>
            <w:tcMar>
              <w:top w:w="60" w:type="dxa"/>
              <w:left w:w="90" w:type="dxa"/>
              <w:bottom w:w="60" w:type="dxa"/>
              <w:right w:w="90" w:type="dxa"/>
            </w:tcMar>
          </w:tcPr>
          <w:p w14:paraId="230E9B55" w14:textId="77777777" w:rsidR="0080216C" w:rsidRDefault="004A4404">
            <w:r>
              <w:rPr>
                <w:sz w:val="19"/>
                <w:szCs w:val="19"/>
              </w:rPr>
              <w:t>Balliu (2017); Gogo et al. (2012)</w:t>
            </w:r>
          </w:p>
        </w:tc>
      </w:tr>
      <w:tr w:rsidR="0080216C" w14:paraId="088A85A1" w14:textId="77777777" w:rsidTr="005011B5">
        <w:tc>
          <w:tcPr>
            <w:tcW w:w="849" w:type="pct"/>
            <w:tcMar>
              <w:top w:w="60" w:type="dxa"/>
              <w:left w:w="90" w:type="dxa"/>
              <w:bottom w:w="60" w:type="dxa"/>
              <w:right w:w="90" w:type="dxa"/>
            </w:tcMar>
          </w:tcPr>
          <w:p w14:paraId="32E97DAA" w14:textId="77777777" w:rsidR="0080216C" w:rsidRDefault="004A4404">
            <w:r>
              <w:rPr>
                <w:sz w:val="19"/>
                <w:szCs w:val="19"/>
              </w:rPr>
              <w:t>Informal seedling market</w:t>
            </w:r>
          </w:p>
        </w:tc>
        <w:tc>
          <w:tcPr>
            <w:tcW w:w="996" w:type="pct"/>
            <w:tcMar>
              <w:top w:w="60" w:type="dxa"/>
              <w:left w:w="90" w:type="dxa"/>
              <w:bottom w:w="60" w:type="dxa"/>
              <w:right w:w="90" w:type="dxa"/>
            </w:tcMar>
          </w:tcPr>
          <w:p w14:paraId="4286B33C" w14:textId="77777777" w:rsidR="0080216C" w:rsidRDefault="004A4404">
            <w:r>
              <w:rPr>
                <w:sz w:val="19"/>
                <w:szCs w:val="19"/>
              </w:rPr>
              <w:t>Sale of surplus from own-use propagation, no planned volume, unspecified variety</w:t>
            </w:r>
          </w:p>
        </w:tc>
        <w:tc>
          <w:tcPr>
            <w:tcW w:w="599" w:type="pct"/>
            <w:tcMar>
              <w:top w:w="60" w:type="dxa"/>
              <w:left w:w="90" w:type="dxa"/>
              <w:bottom w:w="60" w:type="dxa"/>
              <w:right w:w="90" w:type="dxa"/>
            </w:tcMar>
          </w:tcPr>
          <w:p w14:paraId="4496D26C" w14:textId="77777777" w:rsidR="0080216C" w:rsidRDefault="004A4404">
            <w:r>
              <w:rPr>
                <w:sz w:val="19"/>
                <w:szCs w:val="19"/>
              </w:rPr>
              <w:t>Negligible</w:t>
            </w:r>
          </w:p>
        </w:tc>
        <w:tc>
          <w:tcPr>
            <w:tcW w:w="997" w:type="pct"/>
            <w:tcMar>
              <w:top w:w="60" w:type="dxa"/>
              <w:left w:w="90" w:type="dxa"/>
              <w:bottom w:w="60" w:type="dxa"/>
              <w:right w:w="90" w:type="dxa"/>
            </w:tcMar>
          </w:tcPr>
          <w:p w14:paraId="691359F7" w14:textId="77777777" w:rsidR="0080216C" w:rsidRDefault="004A4404">
            <w:r>
              <w:rPr>
                <w:sz w:val="19"/>
                <w:szCs w:val="19"/>
              </w:rPr>
              <w:t>None reliably available; quality unverifiable at sale</w:t>
            </w:r>
          </w:p>
        </w:tc>
        <w:tc>
          <w:tcPr>
            <w:tcW w:w="710" w:type="pct"/>
            <w:tcMar>
              <w:top w:w="60" w:type="dxa"/>
              <w:left w:w="90" w:type="dxa"/>
              <w:bottom w:w="60" w:type="dxa"/>
              <w:right w:w="90" w:type="dxa"/>
            </w:tcMar>
          </w:tcPr>
          <w:p w14:paraId="266F45AE" w14:textId="77777777" w:rsidR="0080216C" w:rsidRDefault="004A4404">
            <w:r>
              <w:rPr>
                <w:sz w:val="19"/>
                <w:szCs w:val="19"/>
              </w:rPr>
              <w:t>Not enumerated</w:t>
            </w:r>
          </w:p>
        </w:tc>
        <w:tc>
          <w:tcPr>
            <w:tcW w:w="849" w:type="pct"/>
            <w:tcMar>
              <w:top w:w="60" w:type="dxa"/>
              <w:left w:w="90" w:type="dxa"/>
              <w:bottom w:w="60" w:type="dxa"/>
              <w:right w:w="90" w:type="dxa"/>
            </w:tcMar>
          </w:tcPr>
          <w:p w14:paraId="15D0DBBC" w14:textId="77777777" w:rsidR="0080216C" w:rsidRDefault="004A4404">
            <w:proofErr w:type="spellStart"/>
            <w:r>
              <w:rPr>
                <w:sz w:val="19"/>
                <w:szCs w:val="19"/>
              </w:rPr>
              <w:t>Schreinemachers</w:t>
            </w:r>
            <w:proofErr w:type="spellEnd"/>
            <w:r>
              <w:rPr>
                <w:sz w:val="19"/>
                <w:szCs w:val="19"/>
              </w:rPr>
              <w:t xml:space="preserve"> et al. (2021)</w:t>
            </w:r>
          </w:p>
        </w:tc>
      </w:tr>
      <w:tr w:rsidR="0080216C" w14:paraId="4C2A4311" w14:textId="77777777" w:rsidTr="005011B5">
        <w:tc>
          <w:tcPr>
            <w:tcW w:w="849" w:type="pct"/>
            <w:tcMar>
              <w:top w:w="60" w:type="dxa"/>
              <w:left w:w="90" w:type="dxa"/>
              <w:bottom w:w="60" w:type="dxa"/>
              <w:right w:w="90" w:type="dxa"/>
            </w:tcMar>
          </w:tcPr>
          <w:p w14:paraId="45352C28" w14:textId="77777777" w:rsidR="0080216C" w:rsidRDefault="004A4404">
            <w:r>
              <w:rPr>
                <w:sz w:val="19"/>
                <w:szCs w:val="19"/>
              </w:rPr>
              <w:t>Commercial nursery enterprise</w:t>
            </w:r>
          </w:p>
        </w:tc>
        <w:tc>
          <w:tcPr>
            <w:tcW w:w="996" w:type="pct"/>
            <w:tcMar>
              <w:top w:w="60" w:type="dxa"/>
              <w:left w:w="90" w:type="dxa"/>
              <w:bottom w:w="60" w:type="dxa"/>
              <w:right w:w="90" w:type="dxa"/>
            </w:tcMar>
          </w:tcPr>
          <w:p w14:paraId="23EBDCFD" w14:textId="77777777" w:rsidR="0080216C" w:rsidRDefault="004A4404">
            <w:r>
              <w:rPr>
                <w:sz w:val="19"/>
                <w:szCs w:val="19"/>
              </w:rPr>
              <w:t>Dedicated production for sale, purchased seed, container substrate, protected structure</w:t>
            </w:r>
          </w:p>
        </w:tc>
        <w:tc>
          <w:tcPr>
            <w:tcW w:w="599" w:type="pct"/>
            <w:tcMar>
              <w:top w:w="60" w:type="dxa"/>
              <w:left w:w="90" w:type="dxa"/>
              <w:bottom w:w="60" w:type="dxa"/>
              <w:right w:w="90" w:type="dxa"/>
            </w:tcMar>
          </w:tcPr>
          <w:p w14:paraId="2A89A350" w14:textId="77777777" w:rsidR="0080216C" w:rsidRDefault="004A4404">
            <w:r>
              <w:rPr>
                <w:sz w:val="19"/>
                <w:szCs w:val="19"/>
              </w:rPr>
              <w:t>Moderate to high</w:t>
            </w:r>
          </w:p>
        </w:tc>
        <w:tc>
          <w:tcPr>
            <w:tcW w:w="997" w:type="pct"/>
            <w:tcMar>
              <w:top w:w="60" w:type="dxa"/>
              <w:left w:w="90" w:type="dxa"/>
              <w:bottom w:w="60" w:type="dxa"/>
              <w:right w:w="90" w:type="dxa"/>
            </w:tcMar>
          </w:tcPr>
          <w:p w14:paraId="7D4AFFE3" w14:textId="77777777" w:rsidR="0080216C" w:rsidRDefault="004A4404">
            <w:r>
              <w:rPr>
                <w:sz w:val="19"/>
                <w:szCs w:val="19"/>
              </w:rPr>
              <w:t>Varietal renewal; substrate and pathogen control; pest exclusion; delivery of grafted plants</w:t>
            </w:r>
          </w:p>
        </w:tc>
        <w:tc>
          <w:tcPr>
            <w:tcW w:w="710" w:type="pct"/>
            <w:tcMar>
              <w:top w:w="60" w:type="dxa"/>
              <w:left w:w="90" w:type="dxa"/>
              <w:bottom w:w="60" w:type="dxa"/>
              <w:right w:w="90" w:type="dxa"/>
            </w:tcMar>
          </w:tcPr>
          <w:p w14:paraId="4147A0C6" w14:textId="77777777" w:rsidR="0080216C" w:rsidRDefault="004A4404">
            <w:r>
              <w:rPr>
                <w:sz w:val="19"/>
                <w:szCs w:val="19"/>
              </w:rPr>
              <w:t>No counterfactual evaluation located</w:t>
            </w:r>
          </w:p>
        </w:tc>
        <w:tc>
          <w:tcPr>
            <w:tcW w:w="849" w:type="pct"/>
            <w:tcMar>
              <w:top w:w="60" w:type="dxa"/>
              <w:left w:w="90" w:type="dxa"/>
              <w:bottom w:w="60" w:type="dxa"/>
              <w:right w:w="90" w:type="dxa"/>
            </w:tcMar>
          </w:tcPr>
          <w:p w14:paraId="73EFA8C3" w14:textId="77777777" w:rsidR="0080216C" w:rsidRDefault="004A4404">
            <w:proofErr w:type="spellStart"/>
            <w:r>
              <w:rPr>
                <w:sz w:val="19"/>
                <w:szCs w:val="19"/>
              </w:rPr>
              <w:t>Nordey</w:t>
            </w:r>
            <w:proofErr w:type="spellEnd"/>
            <w:r>
              <w:rPr>
                <w:sz w:val="19"/>
                <w:szCs w:val="19"/>
              </w:rPr>
              <w:t xml:space="preserve"> et al. (2017); </w:t>
            </w:r>
            <w:proofErr w:type="spellStart"/>
            <w:r>
              <w:rPr>
                <w:sz w:val="19"/>
                <w:szCs w:val="19"/>
              </w:rPr>
              <w:t>Nordey</w:t>
            </w:r>
            <w:proofErr w:type="spellEnd"/>
            <w:r>
              <w:rPr>
                <w:sz w:val="19"/>
                <w:szCs w:val="19"/>
              </w:rPr>
              <w:t xml:space="preserve"> et al. (2020); </w:t>
            </w:r>
            <w:proofErr w:type="spellStart"/>
            <w:r>
              <w:rPr>
                <w:sz w:val="19"/>
                <w:szCs w:val="19"/>
              </w:rPr>
              <w:t>Schreinemachers</w:t>
            </w:r>
            <w:proofErr w:type="spellEnd"/>
            <w:r>
              <w:rPr>
                <w:sz w:val="19"/>
                <w:szCs w:val="19"/>
              </w:rPr>
              <w:t xml:space="preserve"> et al. (2021)</w:t>
            </w:r>
          </w:p>
        </w:tc>
      </w:tr>
      <w:tr w:rsidR="0080216C" w14:paraId="4CCAA58A" w14:textId="77777777" w:rsidTr="005011B5">
        <w:tc>
          <w:tcPr>
            <w:tcW w:w="849" w:type="pct"/>
            <w:tcMar>
              <w:top w:w="60" w:type="dxa"/>
              <w:left w:w="90" w:type="dxa"/>
              <w:bottom w:w="60" w:type="dxa"/>
              <w:right w:w="90" w:type="dxa"/>
            </w:tcMar>
          </w:tcPr>
          <w:p w14:paraId="0C5BB154" w14:textId="77777777" w:rsidR="0080216C" w:rsidRDefault="004A4404">
            <w:r>
              <w:rPr>
                <w:sz w:val="19"/>
                <w:szCs w:val="19"/>
              </w:rPr>
              <w:t>Integrated provision within coordinated schemes</w:t>
            </w:r>
          </w:p>
        </w:tc>
        <w:tc>
          <w:tcPr>
            <w:tcW w:w="996" w:type="pct"/>
            <w:tcMar>
              <w:top w:w="60" w:type="dxa"/>
              <w:left w:w="90" w:type="dxa"/>
              <w:bottom w:w="60" w:type="dxa"/>
              <w:right w:w="90" w:type="dxa"/>
            </w:tcMar>
          </w:tcPr>
          <w:p w14:paraId="34AEA84D" w14:textId="77777777" w:rsidR="0080216C" w:rsidRDefault="004A4404">
            <w:r>
              <w:rPr>
                <w:sz w:val="19"/>
                <w:szCs w:val="19"/>
              </w:rPr>
              <w:t>Seedling supplied as part of an output contract or programme package</w:t>
            </w:r>
          </w:p>
        </w:tc>
        <w:tc>
          <w:tcPr>
            <w:tcW w:w="599" w:type="pct"/>
            <w:tcMar>
              <w:top w:w="60" w:type="dxa"/>
              <w:left w:w="90" w:type="dxa"/>
              <w:bottom w:w="60" w:type="dxa"/>
              <w:right w:w="90" w:type="dxa"/>
            </w:tcMar>
          </w:tcPr>
          <w:p w14:paraId="2B7B6213" w14:textId="77777777" w:rsidR="0080216C" w:rsidRDefault="004A4404">
            <w:r>
              <w:rPr>
                <w:sz w:val="19"/>
                <w:szCs w:val="19"/>
              </w:rPr>
              <w:t>Variable</w:t>
            </w:r>
          </w:p>
        </w:tc>
        <w:tc>
          <w:tcPr>
            <w:tcW w:w="997" w:type="pct"/>
            <w:tcMar>
              <w:top w:w="60" w:type="dxa"/>
              <w:left w:w="90" w:type="dxa"/>
              <w:bottom w:w="60" w:type="dxa"/>
              <w:right w:w="90" w:type="dxa"/>
            </w:tcMar>
          </w:tcPr>
          <w:p w14:paraId="376E2D0C" w14:textId="77777777" w:rsidR="0080216C" w:rsidRDefault="004A4404">
            <w:r>
              <w:rPr>
                <w:sz w:val="19"/>
                <w:szCs w:val="19"/>
              </w:rPr>
              <w:t>All of the above plus advisory linkage; cost recovery through output</w:t>
            </w:r>
          </w:p>
        </w:tc>
        <w:tc>
          <w:tcPr>
            <w:tcW w:w="710" w:type="pct"/>
            <w:tcMar>
              <w:top w:w="60" w:type="dxa"/>
              <w:left w:w="90" w:type="dxa"/>
              <w:bottom w:w="60" w:type="dxa"/>
              <w:right w:w="90" w:type="dxa"/>
            </w:tcMar>
          </w:tcPr>
          <w:p w14:paraId="18C2FD67" w14:textId="77777777" w:rsidR="0080216C" w:rsidRDefault="004A4404">
            <w:r>
              <w:rPr>
                <w:sz w:val="19"/>
                <w:szCs w:val="19"/>
              </w:rPr>
              <w:t>Programme reporting only; no independent evaluation located</w:t>
            </w:r>
          </w:p>
        </w:tc>
        <w:tc>
          <w:tcPr>
            <w:tcW w:w="849" w:type="pct"/>
            <w:tcMar>
              <w:top w:w="60" w:type="dxa"/>
              <w:left w:w="90" w:type="dxa"/>
              <w:bottom w:w="60" w:type="dxa"/>
              <w:right w:w="90" w:type="dxa"/>
            </w:tcMar>
          </w:tcPr>
          <w:p w14:paraId="0B801C4E" w14:textId="77777777" w:rsidR="0080216C" w:rsidRDefault="004A4404">
            <w:proofErr w:type="spellStart"/>
            <w:r>
              <w:rPr>
                <w:sz w:val="19"/>
                <w:szCs w:val="19"/>
              </w:rPr>
              <w:t>Matanmi</w:t>
            </w:r>
            <w:proofErr w:type="spellEnd"/>
            <w:r>
              <w:rPr>
                <w:sz w:val="19"/>
                <w:szCs w:val="19"/>
              </w:rPr>
              <w:t xml:space="preserve"> et al. (2017)</w:t>
            </w:r>
          </w:p>
        </w:tc>
      </w:tr>
    </w:tbl>
    <w:p w14:paraId="153D8ABC" w14:textId="77777777" w:rsidR="0080216C" w:rsidRDefault="004A4404">
      <w:pPr>
        <w:spacing w:before="100" w:after="260"/>
        <w:jc w:val="both"/>
      </w:pPr>
      <w:r>
        <w:rPr>
          <w:sz w:val="18"/>
          <w:szCs w:val="18"/>
        </w:rPr>
        <w:t>Note. The typology is analytical and does not imply that the arrangements are mutually exclusive within a single farming household. Capital intensity is assessed relative to the alternatives listed, not against an absolute scale. Entries under evidence status refer to the peer-reviewed and institutional literature retrieved for this review and should not be read as evidence of absence in the wider grey literature.</w:t>
      </w:r>
    </w:p>
    <w:p w14:paraId="74FFFB7A" w14:textId="77777777" w:rsidR="0080216C" w:rsidRDefault="004A4404">
      <w:pPr>
        <w:pStyle w:val="Heading2"/>
        <w:spacing w:before="320" w:after="160"/>
      </w:pPr>
      <w:r>
        <w:rPr>
          <w:b/>
          <w:bCs/>
          <w:color w:val="000000"/>
          <w:sz w:val="24"/>
          <w:szCs w:val="24"/>
        </w:rPr>
        <w:t>3.2 The biological logic of transplant quality</w:t>
      </w:r>
    </w:p>
    <w:p w14:paraId="1B5F6578" w14:textId="77777777" w:rsidR="0080216C" w:rsidRDefault="004A4404">
      <w:pPr>
        <w:spacing w:after="160" w:line="360" w:lineRule="auto"/>
        <w:jc w:val="both"/>
      </w:pPr>
      <w:r>
        <w:t xml:space="preserve">The argument that propagation quality determines field performance rests on a well-characterised sequence. A seedling raised under favourable conditions accumulates carbohydrate reserves, develops a root system capable of rapid extension into the receiving soil, and maintains a shoot-to-root balance that limits </w:t>
      </w:r>
      <w:proofErr w:type="spellStart"/>
      <w:r>
        <w:t>transpirational</w:t>
      </w:r>
      <w:proofErr w:type="spellEnd"/>
      <w:r>
        <w:t xml:space="preserve"> demand during establishment. When these conditions are not met, the plant experiences a period of arrested growth after transplanting whose duration and severity determine the subsequent yield trajectory. Morphological appraisal of nursery stock formalised this reasoning through composite indices that combine height, stem diameter and dry-matter partitioning, an approach </w:t>
      </w:r>
      <w:r>
        <w:lastRenderedPageBreak/>
        <w:t>developed for forest nurseries and subsequently adapted across propagated crops (Dickson et al., 1960).</w:t>
      </w:r>
    </w:p>
    <w:p w14:paraId="35C460AB" w14:textId="77777777" w:rsidR="0080216C" w:rsidRDefault="004A4404">
      <w:pPr>
        <w:spacing w:after="160" w:line="360" w:lineRule="auto"/>
        <w:jc w:val="both"/>
      </w:pPr>
      <w:r>
        <w:t>Nursery management influences each component of this sequence. Reviewing the physiological basis of transplant quality, Balliu (2017) identifies container volume, substrate physical and chemical properties, water and nutrient supply, light environment and hardening regime as the principal controllable variables, and notes that their effects interact rather than acting independently. This interaction is the reason that single-factor recommendations transfer poorly between settings: the optimal cell volume depends on the irrigation regime, which depends in turn on substrate water-holding capacity and on evaporative demand.</w:t>
      </w:r>
    </w:p>
    <w:p w14:paraId="49BD632D" w14:textId="77777777" w:rsidR="0080216C" w:rsidRDefault="004A4404">
      <w:pPr>
        <w:spacing w:after="160" w:line="360" w:lineRule="auto"/>
        <w:jc w:val="both"/>
      </w:pPr>
      <w:r>
        <w:t>A second element of the logic concerns risk transfer rather than growth. Transplanting shifts the most vulnerable phase of the crop cycle out of the field and into an environment where temperature, moisture and pest exposure can be moderated. This is the mechanism through which propagation is expected to contribute to resource efficiency, since seed, water and protection are applied to a small area for a short period rather than to the full field for the full season. Comparative work on muskmelon found that transplanting rather than direct seeding altered both yield and water use efficiency, with the direction and magnitude of the effect depending on the irrigation regime applied (Leskovar et al., 2001). The mechanism is therefore real but conditional, and the conditionality is frequently omitted when the argument is restated in policy terms.</w:t>
      </w:r>
    </w:p>
    <w:p w14:paraId="01929423" w14:textId="77777777" w:rsidR="0080216C" w:rsidRDefault="004A4404">
      <w:pPr>
        <w:pStyle w:val="Heading2"/>
        <w:spacing w:before="320" w:after="160"/>
      </w:pPr>
      <w:r>
        <w:rPr>
          <w:b/>
          <w:bCs/>
          <w:color w:val="000000"/>
          <w:sz w:val="24"/>
          <w:szCs w:val="24"/>
        </w:rPr>
        <w:t>3.3 What the sustainability claim actually asserts</w:t>
      </w:r>
    </w:p>
    <w:p w14:paraId="6F49AD92" w14:textId="77777777" w:rsidR="0080216C" w:rsidRDefault="004A4404">
      <w:pPr>
        <w:spacing w:after="160" w:line="360" w:lineRule="auto"/>
        <w:jc w:val="both"/>
      </w:pPr>
      <w:r>
        <w:t>The proposition that commercial nurseries advance sustainable vegetable production can be decomposed into four assertions that require different kinds of evidence. The productivity assertion holds that transplants from specialised nurseries yield more than farm-raised transplants. The input-substitution assertion holds that nursery-raised transplants require less pesticide, water or fertiliser per unit of output. The resilience assertion holds that growers using purchased transplants are better able to withstand pest, disease or climatic shocks. The enterprise assertion holds that nursery businesses are themselves durable and therefore constitute a stable component of the value chain.</w:t>
      </w:r>
    </w:p>
    <w:p w14:paraId="7894B658" w14:textId="77777777" w:rsidR="0080216C" w:rsidRDefault="004A4404">
      <w:pPr>
        <w:spacing w:after="160" w:line="360" w:lineRule="auto"/>
        <w:jc w:val="both"/>
      </w:pPr>
      <w:r>
        <w:t xml:space="preserve">Only the first two assertions concern the field crop, and only the fourth concerns the nursery. The third occupies an intermediate position and depends on both. Evidence relevant to the first assertion exists in abundance for the effect of seedling attributes on yield, but almost none of it compares sources of supply, which is the actual policy question. Evidence relevant to the second assertion exists for protected propagation in East Africa but concerns nursery-stage insecticide application rather than season-long input use. Evidence relevant to the third is largely absent. Evidence relevant to the fourth </w:t>
      </w:r>
      <w:r>
        <w:lastRenderedPageBreak/>
        <w:t>has not been generated in Nigeria in peer-reviewed form. Sustaining the overall claim therefore requires transferring findings between assertions, and the transfers are not innocuous.</w:t>
      </w:r>
    </w:p>
    <w:p w14:paraId="7C244088" w14:textId="77777777" w:rsidR="0080216C" w:rsidRDefault="004A4404">
      <w:pPr>
        <w:pStyle w:val="Heading1"/>
        <w:spacing w:before="320" w:after="160"/>
      </w:pPr>
      <w:r>
        <w:rPr>
          <w:b/>
          <w:bCs/>
          <w:color w:val="000000"/>
          <w:sz w:val="26"/>
          <w:szCs w:val="26"/>
        </w:rPr>
        <w:t>4. Agronomic Evidence on Transplant Quality and Its Transferability</w:t>
      </w:r>
    </w:p>
    <w:p w14:paraId="15CC9745" w14:textId="77777777" w:rsidR="0080216C" w:rsidRDefault="004A4404">
      <w:pPr>
        <w:pStyle w:val="Heading2"/>
        <w:spacing w:before="320" w:after="160"/>
      </w:pPr>
      <w:r>
        <w:rPr>
          <w:b/>
          <w:bCs/>
          <w:color w:val="000000"/>
          <w:sz w:val="24"/>
          <w:szCs w:val="24"/>
        </w:rPr>
        <w:t>4.1 Container volume, seedling age and carry-over effects</w:t>
      </w:r>
    </w:p>
    <w:p w14:paraId="64D40144" w14:textId="77777777" w:rsidR="0080216C" w:rsidRDefault="004A4404">
      <w:pPr>
        <w:spacing w:after="160" w:line="360" w:lineRule="auto"/>
        <w:jc w:val="both"/>
      </w:pPr>
      <w:r>
        <w:t>Among nursery variables, container volume and seedling age have received the most consistent experimental attention, and the findings are among the most robust in the field. Work on pepper transplants established that flat cell size, transplant age and production site interact to determine subsequent growth and yield, with larger cells generally supporting greater early vigour but the advantage varying with age at transplanting and with the environment in which the transplants were raised (Weston, 1988). Comparable work on onion demonstrated that tray cell size and transplant age jointly influenced growth and yield, and that the effect persisted to harvest rather than dissipating after establishment (Leskovar &amp; Vavrina, 1999).</w:t>
      </w:r>
    </w:p>
    <w:p w14:paraId="34416752" w14:textId="77777777" w:rsidR="0080216C" w:rsidRDefault="004A4404">
      <w:pPr>
        <w:spacing w:after="160" w:line="360" w:lineRule="auto"/>
        <w:jc w:val="both"/>
      </w:pPr>
      <w:r>
        <w:t>Two features of this literature deserve emphasis. The first is that carry-over to yield, rather than seedling appearance alone, is the outcome that matters, and studies that terminate at the transplanting stage cannot support yield claims. A study comparing traditional and floating seedling production systems, organic fertiliser sources and two tray cell sizes in tomato reported differences in seedling quality parameters including stem diameter, dry weight and specific leaf area, but such measurements characterise the transplant rather than the crop (Özer, 2018). The distinction is often blurred when nursery research is cited in support of production claims.</w:t>
      </w:r>
    </w:p>
    <w:p w14:paraId="4C25718E" w14:textId="77777777" w:rsidR="0080216C" w:rsidRDefault="004A4404">
      <w:pPr>
        <w:spacing w:after="160" w:line="360" w:lineRule="auto"/>
        <w:jc w:val="both"/>
      </w:pPr>
      <w:r>
        <w:t>The second feature is the strong environmental dependence of optimal settings. Because larger cells buffer against water stress, their advantage is greatest where evaporative demand is high and irrigation is intermittent, which describes much Nigerian dry-season production but does not describe the conditions under which the foundational experiments were conducted. The direction of the effect is likely to be conserved; the magnitude and the optimal cell volume are not. No Nigerian study defining locally optimal cell volumes for the principal transplanted vegetables was located, which means that nursery operators are applying imported specifications without local calibration.</w:t>
      </w:r>
    </w:p>
    <w:p w14:paraId="53823A56" w14:textId="77777777" w:rsidR="0080216C" w:rsidRDefault="004A4404">
      <w:pPr>
        <w:pStyle w:val="Heading2"/>
        <w:spacing w:before="320" w:after="160"/>
      </w:pPr>
      <w:r>
        <w:rPr>
          <w:b/>
          <w:bCs/>
          <w:color w:val="000000"/>
          <w:sz w:val="24"/>
          <w:szCs w:val="24"/>
        </w:rPr>
        <w:t>4.2 Substrate composition and the peat problem in tropical settings</w:t>
      </w:r>
    </w:p>
    <w:p w14:paraId="4604E8B5" w14:textId="77777777" w:rsidR="0080216C" w:rsidRDefault="004A4404">
      <w:pPr>
        <w:spacing w:after="160" w:line="360" w:lineRule="auto"/>
        <w:jc w:val="both"/>
      </w:pPr>
      <w:r>
        <w:t xml:space="preserve">Substrate is the input that most clearly distinguishes commercial propagation from traditional practice, and it is also the input with the most contested sustainability profile. Formulated media provide reproducible aeration, water retention and nutrient release, and they largely exclude soil-borne pathogens present in field soil. These properties account for much of the quality advantage attributed to commercial nurseries. They are obtained, however, through the use of constituents that are either </w:t>
      </w:r>
      <w:r>
        <w:lastRenderedPageBreak/>
        <w:t>mined or imported, and the environmental accounting of those constituents has become a substantive question in horticultural science.</w:t>
      </w:r>
    </w:p>
    <w:p w14:paraId="45603E12" w14:textId="77777777" w:rsidR="0080216C" w:rsidRDefault="004A4404">
      <w:pPr>
        <w:spacing w:after="160" w:line="360" w:lineRule="auto"/>
        <w:jc w:val="both"/>
      </w:pPr>
      <w:r>
        <w:t>The sustainability of growing media constituents has been examined systematically, with attention to the limited availability of high-quality peat, the environmental cost of its extraction, and the properties of alternatives including coir, bark, wood fibre and composted materials (Gruda, 2019). More recently the argument has been reframed around whether peat use in propagation is defensible at all given the small volumes involved relative to other land uses, a position that highlights how differently the same evidence can be interpreted depending on the system boundary chosen (Altland &amp; Bugbee, 2026). This disagreement is not a defect in the literature; it reflects a genuine dependence of the conclusion on the scope of the accounting, and it means that a Nigerian nursery importing coir or peat cannot infer its environmental position from either publication.</w:t>
      </w:r>
    </w:p>
    <w:p w14:paraId="183A1BF9" w14:textId="77777777" w:rsidR="0080216C" w:rsidRDefault="004A4404">
      <w:pPr>
        <w:spacing w:after="160" w:line="360" w:lineRule="auto"/>
        <w:jc w:val="both"/>
      </w:pPr>
      <w:r>
        <w:t>Substitution research offers a partial route out of this difficulty. Municipal solid waste compost has been used to replace peat in watermelon seedling production, with fertigation used to compensate for the altered nutrient dynamics of the substituted medium (</w:t>
      </w:r>
      <w:proofErr w:type="spellStart"/>
      <w:r>
        <w:t>Papamichalaki</w:t>
      </w:r>
      <w:proofErr w:type="spellEnd"/>
      <w:r>
        <w:t xml:space="preserve"> et al., 2014). Agricultural waste materials have similarly been evaluated as alternative media for cucumber greenhouse transplants, with performance depending on the physical and chemical properties of the specific residue (</w:t>
      </w:r>
      <w:proofErr w:type="spellStart"/>
      <w:r>
        <w:t>Fesendouz</w:t>
      </w:r>
      <w:proofErr w:type="spellEnd"/>
      <w:r>
        <w:t xml:space="preserve"> et al., 2025). Nigerian nursery operations have access to rice husk, sawdust, cocoa pod husk, coconut waste and poultry manure in quantity, and the mechanisms demonstrated in these studies suggest that locally formulated media are technically feasible.</w:t>
      </w:r>
    </w:p>
    <w:p w14:paraId="084FD45C" w14:textId="77777777" w:rsidR="0080216C" w:rsidRDefault="004A4404">
      <w:pPr>
        <w:spacing w:after="160" w:line="360" w:lineRule="auto"/>
        <w:jc w:val="both"/>
      </w:pPr>
      <w:r>
        <w:t xml:space="preserve">The inference nonetheless requires care. Compost-based media introduce variability in electrical conductivity, nitrogen immobilisation and pathogen load that formulated commercial media are designed to eliminate, and the substitution studies cited were conducted with controlled composting processes and defined feedstocks. A nursery formulating its own medium from variable residues faces a quality-control problem that the published trials did not encounter. The evidence supports the feasibility of substitution; it does not support the claim that substitution is straightforward, and no published Nigerian evaluation of locally formulated vegetable propagation media under commercial rather than experimental conditions </w:t>
      </w:r>
      <w:proofErr w:type="gramStart"/>
      <w:r>
        <w:t>was</w:t>
      </w:r>
      <w:proofErr w:type="gramEnd"/>
      <w:r>
        <w:t xml:space="preserve"> identified.</w:t>
      </w:r>
    </w:p>
    <w:p w14:paraId="79928A09" w14:textId="77777777" w:rsidR="0080216C" w:rsidRDefault="004A4404">
      <w:pPr>
        <w:pStyle w:val="Heading2"/>
        <w:spacing w:before="320" w:after="160"/>
      </w:pPr>
      <w:r>
        <w:rPr>
          <w:b/>
          <w:bCs/>
          <w:color w:val="000000"/>
          <w:sz w:val="24"/>
          <w:szCs w:val="24"/>
        </w:rPr>
        <w:t xml:space="preserve">4.3 Nutrition, </w:t>
      </w:r>
      <w:proofErr w:type="spellStart"/>
      <w:r>
        <w:rPr>
          <w:b/>
          <w:bCs/>
          <w:color w:val="000000"/>
          <w:sz w:val="24"/>
          <w:szCs w:val="24"/>
        </w:rPr>
        <w:t>biostimulants</w:t>
      </w:r>
      <w:proofErr w:type="spellEnd"/>
      <w:r>
        <w:rPr>
          <w:b/>
          <w:bCs/>
          <w:color w:val="000000"/>
          <w:sz w:val="24"/>
          <w:szCs w:val="24"/>
        </w:rPr>
        <w:t xml:space="preserve"> and biological inoculation in the nursery</w:t>
      </w:r>
    </w:p>
    <w:p w14:paraId="05C67974" w14:textId="77777777" w:rsidR="0080216C" w:rsidRDefault="004A4404">
      <w:pPr>
        <w:spacing w:after="160" w:line="360" w:lineRule="auto"/>
        <w:jc w:val="both"/>
      </w:pPr>
      <w:r>
        <w:t xml:space="preserve">The nursery phase offers an efficient point of intervention for nutritional and biological treatments, because a small volume of substrate serves a large number of plants and because the treatment is applied before the plant enters the heterogeneous field environment. Fertigation management combined with growth-promoting treatments has been shown to affect both transplant production and subsequent plant growth in tomato, indicating that the nursery investment carries forward (Moncada </w:t>
      </w:r>
      <w:r>
        <w:lastRenderedPageBreak/>
        <w:t>et al., 2020). Humic substances applied during propagation improved vegetable seedling quality and post-transplant yield performance under stress conditions, which is directly relevant to environments in which establishment stress is the norm rather than the exception (Qin &amp; Leskovar, 2020).</w:t>
      </w:r>
    </w:p>
    <w:p w14:paraId="2A2E061F" w14:textId="77777777" w:rsidR="0080216C" w:rsidRDefault="004A4404">
      <w:pPr>
        <w:spacing w:after="160" w:line="360" w:lineRule="auto"/>
        <w:jc w:val="both"/>
      </w:pPr>
      <w:r>
        <w:t>Biological inoculation follows the same logic. Nursery inoculation of tomato with arbuscular mycorrhizal fungi altered subsequent performance under irrigation with saline water, demonstrating that a treatment applied for a few weeks in the nursery can modify the plant response to a stress encountered months later in the field (Al-Karaki, 2006). The mechanism is attractive for Nigerian conditions, where salinity, drought and low phosphorus availability all occur, and it is one of the few respects in which a commercial nursery could deliver something that on-farm propagation cannot readily replicate.</w:t>
      </w:r>
    </w:p>
    <w:p w14:paraId="42ADA8D4" w14:textId="77777777" w:rsidR="0080216C" w:rsidRDefault="004A4404">
      <w:pPr>
        <w:spacing w:after="160" w:line="360" w:lineRule="auto"/>
        <w:jc w:val="both"/>
      </w:pPr>
      <w:r>
        <w:t xml:space="preserve">The evidential caution here concerns generalisation across stress types and inoculum sources. These studies establish that nursery-applied treatments can produce carry-over effects; they do not establish that any given commercial product will do so under Nigerian field conditions, and the stress-dependence reported in the humic substance work implies that benefits under non-stress conditions may be small or absent. Where nurseries market inoculated or </w:t>
      </w:r>
      <w:proofErr w:type="spellStart"/>
      <w:r>
        <w:t>biostimulant</w:t>
      </w:r>
      <w:proofErr w:type="spellEnd"/>
      <w:r>
        <w:t>-treated seedlings, the claim is currently supported by mechanism rather than by local verification.</w:t>
      </w:r>
    </w:p>
    <w:p w14:paraId="1B32B77E" w14:textId="77777777" w:rsidR="0080216C" w:rsidRDefault="004A4404">
      <w:pPr>
        <w:pStyle w:val="Heading2"/>
        <w:spacing w:before="320" w:after="160"/>
      </w:pPr>
      <w:r>
        <w:rPr>
          <w:b/>
          <w:bCs/>
          <w:color w:val="000000"/>
          <w:sz w:val="24"/>
          <w:szCs w:val="24"/>
        </w:rPr>
        <w:t>4.4 The inferential gap</w:t>
      </w:r>
    </w:p>
    <w:p w14:paraId="03B61486" w14:textId="77777777" w:rsidR="0080216C" w:rsidRDefault="004A4404">
      <w:pPr>
        <w:spacing w:after="160" w:line="360" w:lineRule="auto"/>
        <w:jc w:val="both"/>
      </w:pPr>
      <w:r>
        <w:t>Stepping back from the individual findings, the structure of the agronomic evidence has a consistent shape. Mechanisms are well established, effect directions are reasonably consistent, and effect magnitudes are strongly context-dependent. Almost the entire body of controlled evidence was generated outside sub-Saharan Africa, and the sub-Saharan work that does exist concerns structures rather than the full set of nursery management variables. Nigerian research on the propagation of vegetables has not produced the calibration studies that would allow the international findings to be applied with confidence.</w:t>
      </w:r>
    </w:p>
    <w:p w14:paraId="7B3E118C" w14:textId="77777777" w:rsidR="0080216C" w:rsidRDefault="004A4404">
      <w:pPr>
        <w:spacing w:after="160" w:line="360" w:lineRule="auto"/>
        <w:jc w:val="both"/>
      </w:pPr>
      <w:r>
        <w:t>This creates a specific analytical hazard. When nursery promotion is justified by reference to the transplant-quality literature, the justification is legitimate at the level of mechanism and illegitimate at the level of quantity. Statements that commercial transplants increase yield by a specified proportion cannot be supported from the sources reviewed, since no study located compared seedling sources in Nigeria under controlled conditions. What can be supported is the weaker and still useful proposition that the variables which commercial nurseries control are variables that demonstrably affect field performance elsewhere.</w:t>
      </w:r>
    </w:p>
    <w:p w14:paraId="173422E5" w14:textId="77777777" w:rsidR="0080216C" w:rsidRDefault="004A4404">
      <w:pPr>
        <w:spacing w:after="160" w:line="360" w:lineRule="auto"/>
        <w:jc w:val="both"/>
      </w:pPr>
      <w:r>
        <w:t xml:space="preserve">Table 2 summarises the principal nursery management levers, the direction of effect reported, the endpoint at which the effect was measured, and an assessment of the strength of the evidence for </w:t>
      </w:r>
      <w:r>
        <w:lastRenderedPageBreak/>
        <w:t>tropical smallholder application. The distinction between studies terminating at the seedling stage and those following through to yield is made explicit, because it is the point at which the literature is most often over-read. The table also makes clear that no lever has been evaluated in Nigeria to the standard applied in the source studies, and that the strongest evidence concerns variables that on-farm growers could in principle adopt without purchasing seedlings, which weakens the specific case for commercial provision even as it strengthens the general case for improved propagation.</w:t>
      </w:r>
    </w:p>
    <w:p w14:paraId="462B688F" w14:textId="77777777" w:rsidR="0080216C" w:rsidRDefault="004A4404">
      <w:pPr>
        <w:keepNext/>
        <w:spacing w:before="200" w:after="100"/>
      </w:pPr>
      <w:r>
        <w:rPr>
          <w:b/>
          <w:bCs/>
          <w:sz w:val="19"/>
          <w:szCs w:val="19"/>
        </w:rPr>
        <w:t>Table 2. Nursery management levers, reported effects, measurement endpoints and assessed strength of evidence for application in Nigerian vegetable systems</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657"/>
        <w:gridCol w:w="1949"/>
        <w:gridCol w:w="1170"/>
        <w:gridCol w:w="1949"/>
        <w:gridCol w:w="1364"/>
        <w:gridCol w:w="1657"/>
      </w:tblGrid>
      <w:tr w:rsidR="0080216C" w14:paraId="6A50A006" w14:textId="77777777">
        <w:trPr>
          <w:tblHeader/>
        </w:trPr>
        <w:tc>
          <w:tcPr>
            <w:tcW w:w="1657" w:type="dxa"/>
            <w:shd w:val="clear" w:color="auto" w:fill="E8E8E8"/>
            <w:tcMar>
              <w:top w:w="60" w:type="dxa"/>
              <w:left w:w="90" w:type="dxa"/>
              <w:bottom w:w="60" w:type="dxa"/>
              <w:right w:w="90" w:type="dxa"/>
            </w:tcMar>
          </w:tcPr>
          <w:p w14:paraId="0A5706BA" w14:textId="77777777" w:rsidR="0080216C" w:rsidRDefault="004A4404">
            <w:r>
              <w:rPr>
                <w:b/>
                <w:bCs/>
                <w:sz w:val="19"/>
                <w:szCs w:val="19"/>
              </w:rPr>
              <w:t>Management lever</w:t>
            </w:r>
          </w:p>
        </w:tc>
        <w:tc>
          <w:tcPr>
            <w:tcW w:w="1949" w:type="dxa"/>
            <w:shd w:val="clear" w:color="auto" w:fill="E8E8E8"/>
            <w:tcMar>
              <w:top w:w="60" w:type="dxa"/>
              <w:left w:w="90" w:type="dxa"/>
              <w:bottom w:w="60" w:type="dxa"/>
              <w:right w:w="90" w:type="dxa"/>
            </w:tcMar>
          </w:tcPr>
          <w:p w14:paraId="47A9B9B4" w14:textId="77777777" w:rsidR="0080216C" w:rsidRDefault="004A4404">
            <w:r>
              <w:rPr>
                <w:b/>
                <w:bCs/>
                <w:sz w:val="19"/>
                <w:szCs w:val="19"/>
              </w:rPr>
              <w:t>Reported direction of effect</w:t>
            </w:r>
          </w:p>
        </w:tc>
        <w:tc>
          <w:tcPr>
            <w:tcW w:w="1170" w:type="dxa"/>
            <w:shd w:val="clear" w:color="auto" w:fill="E8E8E8"/>
            <w:tcMar>
              <w:top w:w="60" w:type="dxa"/>
              <w:left w:w="90" w:type="dxa"/>
              <w:bottom w:w="60" w:type="dxa"/>
              <w:right w:w="90" w:type="dxa"/>
            </w:tcMar>
          </w:tcPr>
          <w:p w14:paraId="554607B4" w14:textId="77777777" w:rsidR="0080216C" w:rsidRDefault="004A4404">
            <w:r>
              <w:rPr>
                <w:b/>
                <w:bCs/>
                <w:sz w:val="19"/>
                <w:szCs w:val="19"/>
              </w:rPr>
              <w:t>Endpoint measured in source studies</w:t>
            </w:r>
          </w:p>
        </w:tc>
        <w:tc>
          <w:tcPr>
            <w:tcW w:w="1949" w:type="dxa"/>
            <w:shd w:val="clear" w:color="auto" w:fill="E8E8E8"/>
            <w:tcMar>
              <w:top w:w="60" w:type="dxa"/>
              <w:left w:w="90" w:type="dxa"/>
              <w:bottom w:w="60" w:type="dxa"/>
              <w:right w:w="90" w:type="dxa"/>
            </w:tcMar>
          </w:tcPr>
          <w:p w14:paraId="7AA27202" w14:textId="77777777" w:rsidR="0080216C" w:rsidRDefault="004A4404">
            <w:r>
              <w:rPr>
                <w:b/>
                <w:bCs/>
                <w:sz w:val="19"/>
                <w:szCs w:val="19"/>
              </w:rPr>
              <w:t>Assessed evidence strength for Nigerian application</w:t>
            </w:r>
          </w:p>
        </w:tc>
        <w:tc>
          <w:tcPr>
            <w:tcW w:w="1364" w:type="dxa"/>
            <w:shd w:val="clear" w:color="auto" w:fill="E8E8E8"/>
            <w:tcMar>
              <w:top w:w="60" w:type="dxa"/>
              <w:left w:w="90" w:type="dxa"/>
              <w:bottom w:w="60" w:type="dxa"/>
              <w:right w:w="90" w:type="dxa"/>
            </w:tcMar>
          </w:tcPr>
          <w:p w14:paraId="44FCACF7" w14:textId="77777777" w:rsidR="0080216C" w:rsidRDefault="004A4404">
            <w:r>
              <w:rPr>
                <w:b/>
                <w:bCs/>
                <w:sz w:val="19"/>
                <w:szCs w:val="19"/>
              </w:rPr>
              <w:t>Principal limitation</w:t>
            </w:r>
          </w:p>
        </w:tc>
        <w:tc>
          <w:tcPr>
            <w:tcW w:w="1657" w:type="dxa"/>
            <w:shd w:val="clear" w:color="auto" w:fill="E8E8E8"/>
            <w:tcMar>
              <w:top w:w="60" w:type="dxa"/>
              <w:left w:w="90" w:type="dxa"/>
              <w:bottom w:w="60" w:type="dxa"/>
              <w:right w:w="90" w:type="dxa"/>
            </w:tcMar>
          </w:tcPr>
          <w:p w14:paraId="2C844B7C" w14:textId="77777777" w:rsidR="0080216C" w:rsidRDefault="004A4404">
            <w:r>
              <w:rPr>
                <w:b/>
                <w:bCs/>
                <w:sz w:val="19"/>
                <w:szCs w:val="19"/>
              </w:rPr>
              <w:t>Supporting references</w:t>
            </w:r>
          </w:p>
        </w:tc>
      </w:tr>
      <w:tr w:rsidR="0080216C" w14:paraId="06638742" w14:textId="77777777">
        <w:tc>
          <w:tcPr>
            <w:tcW w:w="1657" w:type="dxa"/>
            <w:tcMar>
              <w:top w:w="60" w:type="dxa"/>
              <w:left w:w="90" w:type="dxa"/>
              <w:bottom w:w="60" w:type="dxa"/>
              <w:right w:w="90" w:type="dxa"/>
            </w:tcMar>
          </w:tcPr>
          <w:p w14:paraId="3217E710" w14:textId="77777777" w:rsidR="0080216C" w:rsidRDefault="004A4404">
            <w:r>
              <w:rPr>
                <w:sz w:val="19"/>
                <w:szCs w:val="19"/>
              </w:rPr>
              <w:t>Container cell volume</w:t>
            </w:r>
          </w:p>
        </w:tc>
        <w:tc>
          <w:tcPr>
            <w:tcW w:w="1949" w:type="dxa"/>
            <w:tcMar>
              <w:top w:w="60" w:type="dxa"/>
              <w:left w:w="90" w:type="dxa"/>
              <w:bottom w:w="60" w:type="dxa"/>
              <w:right w:w="90" w:type="dxa"/>
            </w:tcMar>
          </w:tcPr>
          <w:p w14:paraId="5A082555" w14:textId="77777777" w:rsidR="0080216C" w:rsidRDefault="004A4404">
            <w:r>
              <w:rPr>
                <w:sz w:val="19"/>
                <w:szCs w:val="19"/>
              </w:rPr>
              <w:t>Larger cells increase early vigour; effect interacts with transplant age</w:t>
            </w:r>
          </w:p>
        </w:tc>
        <w:tc>
          <w:tcPr>
            <w:tcW w:w="1170" w:type="dxa"/>
            <w:tcMar>
              <w:top w:w="60" w:type="dxa"/>
              <w:left w:w="90" w:type="dxa"/>
              <w:bottom w:w="60" w:type="dxa"/>
              <w:right w:w="90" w:type="dxa"/>
            </w:tcMar>
          </w:tcPr>
          <w:p w14:paraId="058D0387" w14:textId="77777777" w:rsidR="0080216C" w:rsidRDefault="004A4404">
            <w:r>
              <w:rPr>
                <w:sz w:val="19"/>
                <w:szCs w:val="19"/>
              </w:rPr>
              <w:t>Seedling attributes and field yield</w:t>
            </w:r>
          </w:p>
        </w:tc>
        <w:tc>
          <w:tcPr>
            <w:tcW w:w="1949" w:type="dxa"/>
            <w:tcMar>
              <w:top w:w="60" w:type="dxa"/>
              <w:left w:w="90" w:type="dxa"/>
              <w:bottom w:w="60" w:type="dxa"/>
              <w:right w:w="90" w:type="dxa"/>
            </w:tcMar>
          </w:tcPr>
          <w:p w14:paraId="0DCCF6C3" w14:textId="77777777" w:rsidR="0080216C" w:rsidRDefault="004A4404">
            <w:r>
              <w:rPr>
                <w:sz w:val="19"/>
                <w:szCs w:val="19"/>
              </w:rPr>
              <w:t>Moderate for direction; weak for optimal specification</w:t>
            </w:r>
          </w:p>
        </w:tc>
        <w:tc>
          <w:tcPr>
            <w:tcW w:w="1364" w:type="dxa"/>
            <w:tcMar>
              <w:top w:w="60" w:type="dxa"/>
              <w:left w:w="90" w:type="dxa"/>
              <w:bottom w:w="60" w:type="dxa"/>
              <w:right w:w="90" w:type="dxa"/>
            </w:tcMar>
          </w:tcPr>
          <w:p w14:paraId="0B234A78" w14:textId="77777777" w:rsidR="0080216C" w:rsidRDefault="004A4404">
            <w:r>
              <w:rPr>
                <w:sz w:val="19"/>
                <w:szCs w:val="19"/>
              </w:rPr>
              <w:t>No local calibration; source environments differ in evaporative demand</w:t>
            </w:r>
          </w:p>
        </w:tc>
        <w:tc>
          <w:tcPr>
            <w:tcW w:w="1657" w:type="dxa"/>
            <w:tcMar>
              <w:top w:w="60" w:type="dxa"/>
              <w:left w:w="90" w:type="dxa"/>
              <w:bottom w:w="60" w:type="dxa"/>
              <w:right w:w="90" w:type="dxa"/>
            </w:tcMar>
          </w:tcPr>
          <w:p w14:paraId="63EC96D6" w14:textId="77777777" w:rsidR="0080216C" w:rsidRDefault="004A4404">
            <w:r>
              <w:rPr>
                <w:sz w:val="19"/>
                <w:szCs w:val="19"/>
              </w:rPr>
              <w:t>Leskovar and Vavrina (1999); Weston (1988)</w:t>
            </w:r>
          </w:p>
        </w:tc>
      </w:tr>
      <w:tr w:rsidR="0080216C" w14:paraId="0FDD4B9D" w14:textId="77777777">
        <w:tc>
          <w:tcPr>
            <w:tcW w:w="1657" w:type="dxa"/>
            <w:tcMar>
              <w:top w:w="60" w:type="dxa"/>
              <w:left w:w="90" w:type="dxa"/>
              <w:bottom w:w="60" w:type="dxa"/>
              <w:right w:w="90" w:type="dxa"/>
            </w:tcMar>
          </w:tcPr>
          <w:p w14:paraId="33489797" w14:textId="77777777" w:rsidR="0080216C" w:rsidRDefault="004A4404">
            <w:r>
              <w:rPr>
                <w:sz w:val="19"/>
                <w:szCs w:val="19"/>
              </w:rPr>
              <w:t>Seedling age at transplanting</w:t>
            </w:r>
          </w:p>
        </w:tc>
        <w:tc>
          <w:tcPr>
            <w:tcW w:w="1949" w:type="dxa"/>
            <w:tcMar>
              <w:top w:w="60" w:type="dxa"/>
              <w:left w:w="90" w:type="dxa"/>
              <w:bottom w:w="60" w:type="dxa"/>
              <w:right w:w="90" w:type="dxa"/>
            </w:tcMar>
          </w:tcPr>
          <w:p w14:paraId="02EC4092" w14:textId="77777777" w:rsidR="0080216C" w:rsidRDefault="004A4404">
            <w:r>
              <w:rPr>
                <w:sz w:val="19"/>
                <w:szCs w:val="19"/>
              </w:rPr>
              <w:t>Age interacts with cell volume to determine establishment and yield</w:t>
            </w:r>
          </w:p>
        </w:tc>
        <w:tc>
          <w:tcPr>
            <w:tcW w:w="1170" w:type="dxa"/>
            <w:tcMar>
              <w:top w:w="60" w:type="dxa"/>
              <w:left w:w="90" w:type="dxa"/>
              <w:bottom w:w="60" w:type="dxa"/>
              <w:right w:w="90" w:type="dxa"/>
            </w:tcMar>
          </w:tcPr>
          <w:p w14:paraId="3C75C3CE" w14:textId="77777777" w:rsidR="0080216C" w:rsidRDefault="004A4404">
            <w:r>
              <w:rPr>
                <w:sz w:val="19"/>
                <w:szCs w:val="19"/>
              </w:rPr>
              <w:t>Field yield</w:t>
            </w:r>
          </w:p>
        </w:tc>
        <w:tc>
          <w:tcPr>
            <w:tcW w:w="1949" w:type="dxa"/>
            <w:tcMar>
              <w:top w:w="60" w:type="dxa"/>
              <w:left w:w="90" w:type="dxa"/>
              <w:bottom w:w="60" w:type="dxa"/>
              <w:right w:w="90" w:type="dxa"/>
            </w:tcMar>
          </w:tcPr>
          <w:p w14:paraId="0CE59A78" w14:textId="77777777" w:rsidR="0080216C" w:rsidRDefault="004A4404">
            <w:r>
              <w:rPr>
                <w:sz w:val="19"/>
                <w:szCs w:val="19"/>
              </w:rPr>
              <w:t>Moderate for direction; weak for optimal specification</w:t>
            </w:r>
          </w:p>
        </w:tc>
        <w:tc>
          <w:tcPr>
            <w:tcW w:w="1364" w:type="dxa"/>
            <w:tcMar>
              <w:top w:w="60" w:type="dxa"/>
              <w:left w:w="90" w:type="dxa"/>
              <w:bottom w:w="60" w:type="dxa"/>
              <w:right w:w="90" w:type="dxa"/>
            </w:tcMar>
          </w:tcPr>
          <w:p w14:paraId="5F63B5E6" w14:textId="77777777" w:rsidR="0080216C" w:rsidRDefault="004A4404">
            <w:r>
              <w:rPr>
                <w:sz w:val="19"/>
                <w:szCs w:val="19"/>
              </w:rPr>
              <w:t>Crop-specific and season-specific; not evaluated locally</w:t>
            </w:r>
          </w:p>
        </w:tc>
        <w:tc>
          <w:tcPr>
            <w:tcW w:w="1657" w:type="dxa"/>
            <w:tcMar>
              <w:top w:w="60" w:type="dxa"/>
              <w:left w:w="90" w:type="dxa"/>
              <w:bottom w:w="60" w:type="dxa"/>
              <w:right w:w="90" w:type="dxa"/>
            </w:tcMar>
          </w:tcPr>
          <w:p w14:paraId="0F461D43" w14:textId="77777777" w:rsidR="0080216C" w:rsidRDefault="004A4404">
            <w:r>
              <w:rPr>
                <w:sz w:val="19"/>
                <w:szCs w:val="19"/>
              </w:rPr>
              <w:t>Leskovar and Vavrina (1999); Weston (1988)</w:t>
            </w:r>
          </w:p>
        </w:tc>
      </w:tr>
      <w:tr w:rsidR="0080216C" w14:paraId="18CF2EEE" w14:textId="77777777">
        <w:tc>
          <w:tcPr>
            <w:tcW w:w="1657" w:type="dxa"/>
            <w:tcMar>
              <w:top w:w="60" w:type="dxa"/>
              <w:left w:w="90" w:type="dxa"/>
              <w:bottom w:w="60" w:type="dxa"/>
              <w:right w:w="90" w:type="dxa"/>
            </w:tcMar>
          </w:tcPr>
          <w:p w14:paraId="37AA8952" w14:textId="77777777" w:rsidR="0080216C" w:rsidRDefault="004A4404">
            <w:r>
              <w:rPr>
                <w:sz w:val="19"/>
                <w:szCs w:val="19"/>
              </w:rPr>
              <w:t>Production system and substrate type</w:t>
            </w:r>
          </w:p>
        </w:tc>
        <w:tc>
          <w:tcPr>
            <w:tcW w:w="1949" w:type="dxa"/>
            <w:tcMar>
              <w:top w:w="60" w:type="dxa"/>
              <w:left w:w="90" w:type="dxa"/>
              <w:bottom w:w="60" w:type="dxa"/>
              <w:right w:w="90" w:type="dxa"/>
            </w:tcMar>
          </w:tcPr>
          <w:p w14:paraId="2462ECFA" w14:textId="77777777" w:rsidR="0080216C" w:rsidRDefault="004A4404">
            <w:r>
              <w:rPr>
                <w:sz w:val="19"/>
                <w:szCs w:val="19"/>
              </w:rPr>
              <w:t>Formulated media improve uniformity and seedling quality parameters</w:t>
            </w:r>
          </w:p>
        </w:tc>
        <w:tc>
          <w:tcPr>
            <w:tcW w:w="1170" w:type="dxa"/>
            <w:tcMar>
              <w:top w:w="60" w:type="dxa"/>
              <w:left w:w="90" w:type="dxa"/>
              <w:bottom w:w="60" w:type="dxa"/>
              <w:right w:w="90" w:type="dxa"/>
            </w:tcMar>
          </w:tcPr>
          <w:p w14:paraId="0229F2AA" w14:textId="77777777" w:rsidR="0080216C" w:rsidRDefault="004A4404">
            <w:r>
              <w:rPr>
                <w:sz w:val="19"/>
                <w:szCs w:val="19"/>
              </w:rPr>
              <w:t>Seedling attributes only in several studies</w:t>
            </w:r>
          </w:p>
        </w:tc>
        <w:tc>
          <w:tcPr>
            <w:tcW w:w="1949" w:type="dxa"/>
            <w:tcMar>
              <w:top w:w="60" w:type="dxa"/>
              <w:left w:w="90" w:type="dxa"/>
              <w:bottom w:w="60" w:type="dxa"/>
              <w:right w:w="90" w:type="dxa"/>
            </w:tcMar>
          </w:tcPr>
          <w:p w14:paraId="1E4F0DF2" w14:textId="77777777" w:rsidR="0080216C" w:rsidRDefault="004A4404">
            <w:r>
              <w:rPr>
                <w:sz w:val="19"/>
                <w:szCs w:val="19"/>
              </w:rPr>
              <w:t>Moderate</w:t>
            </w:r>
          </w:p>
        </w:tc>
        <w:tc>
          <w:tcPr>
            <w:tcW w:w="1364" w:type="dxa"/>
            <w:tcMar>
              <w:top w:w="60" w:type="dxa"/>
              <w:left w:w="90" w:type="dxa"/>
              <w:bottom w:w="60" w:type="dxa"/>
              <w:right w:w="90" w:type="dxa"/>
            </w:tcMar>
          </w:tcPr>
          <w:p w14:paraId="59D6BA82" w14:textId="77777777" w:rsidR="0080216C" w:rsidRDefault="004A4404">
            <w:r>
              <w:rPr>
                <w:sz w:val="19"/>
                <w:szCs w:val="19"/>
              </w:rPr>
              <w:t>Yield carry-over not always measured; media differ from locally available materials</w:t>
            </w:r>
          </w:p>
        </w:tc>
        <w:tc>
          <w:tcPr>
            <w:tcW w:w="1657" w:type="dxa"/>
            <w:tcMar>
              <w:top w:w="60" w:type="dxa"/>
              <w:left w:w="90" w:type="dxa"/>
              <w:bottom w:w="60" w:type="dxa"/>
              <w:right w:w="90" w:type="dxa"/>
            </w:tcMar>
          </w:tcPr>
          <w:p w14:paraId="1DBDE38C" w14:textId="77777777" w:rsidR="0080216C" w:rsidRDefault="004A4404">
            <w:r>
              <w:rPr>
                <w:sz w:val="19"/>
                <w:szCs w:val="19"/>
              </w:rPr>
              <w:t>Balliu (2017); Özer (2018)</w:t>
            </w:r>
          </w:p>
        </w:tc>
      </w:tr>
      <w:tr w:rsidR="0080216C" w14:paraId="484FFD5C" w14:textId="77777777">
        <w:tc>
          <w:tcPr>
            <w:tcW w:w="1657" w:type="dxa"/>
            <w:tcMar>
              <w:top w:w="60" w:type="dxa"/>
              <w:left w:w="90" w:type="dxa"/>
              <w:bottom w:w="60" w:type="dxa"/>
              <w:right w:w="90" w:type="dxa"/>
            </w:tcMar>
          </w:tcPr>
          <w:p w14:paraId="5F48155C" w14:textId="77777777" w:rsidR="0080216C" w:rsidRDefault="004A4404">
            <w:r>
              <w:rPr>
                <w:sz w:val="19"/>
                <w:szCs w:val="19"/>
              </w:rPr>
              <w:t>Peat substitution with composted materials</w:t>
            </w:r>
          </w:p>
        </w:tc>
        <w:tc>
          <w:tcPr>
            <w:tcW w:w="1949" w:type="dxa"/>
            <w:tcMar>
              <w:top w:w="60" w:type="dxa"/>
              <w:left w:w="90" w:type="dxa"/>
              <w:bottom w:w="60" w:type="dxa"/>
              <w:right w:w="90" w:type="dxa"/>
            </w:tcMar>
          </w:tcPr>
          <w:p w14:paraId="6B684D66" w14:textId="77777777" w:rsidR="0080216C" w:rsidRDefault="004A4404">
            <w:r>
              <w:rPr>
                <w:sz w:val="19"/>
                <w:szCs w:val="19"/>
              </w:rPr>
              <w:t>Substitution feasible with nutrient management adjustment</w:t>
            </w:r>
          </w:p>
        </w:tc>
        <w:tc>
          <w:tcPr>
            <w:tcW w:w="1170" w:type="dxa"/>
            <w:tcMar>
              <w:top w:w="60" w:type="dxa"/>
              <w:left w:w="90" w:type="dxa"/>
              <w:bottom w:w="60" w:type="dxa"/>
              <w:right w:w="90" w:type="dxa"/>
            </w:tcMar>
          </w:tcPr>
          <w:p w14:paraId="1B6E403D" w14:textId="77777777" w:rsidR="0080216C" w:rsidRDefault="004A4404">
            <w:r>
              <w:rPr>
                <w:sz w:val="19"/>
                <w:szCs w:val="19"/>
              </w:rPr>
              <w:t>Seedling attributes and early growth</w:t>
            </w:r>
          </w:p>
        </w:tc>
        <w:tc>
          <w:tcPr>
            <w:tcW w:w="1949" w:type="dxa"/>
            <w:tcMar>
              <w:top w:w="60" w:type="dxa"/>
              <w:left w:w="90" w:type="dxa"/>
              <w:bottom w:w="60" w:type="dxa"/>
              <w:right w:w="90" w:type="dxa"/>
            </w:tcMar>
          </w:tcPr>
          <w:p w14:paraId="6FA31323" w14:textId="77777777" w:rsidR="0080216C" w:rsidRDefault="004A4404">
            <w:r>
              <w:rPr>
                <w:sz w:val="19"/>
                <w:szCs w:val="19"/>
              </w:rPr>
              <w:t>Weak to moderate</w:t>
            </w:r>
          </w:p>
        </w:tc>
        <w:tc>
          <w:tcPr>
            <w:tcW w:w="1364" w:type="dxa"/>
            <w:tcMar>
              <w:top w:w="60" w:type="dxa"/>
              <w:left w:w="90" w:type="dxa"/>
              <w:bottom w:w="60" w:type="dxa"/>
              <w:right w:w="90" w:type="dxa"/>
            </w:tcMar>
          </w:tcPr>
          <w:p w14:paraId="5E2221A5" w14:textId="77777777" w:rsidR="0080216C" w:rsidRDefault="004A4404">
            <w:r>
              <w:rPr>
                <w:sz w:val="19"/>
                <w:szCs w:val="19"/>
              </w:rPr>
              <w:t>Feedstock variability under commercial conditions not represented</w:t>
            </w:r>
          </w:p>
        </w:tc>
        <w:tc>
          <w:tcPr>
            <w:tcW w:w="1657" w:type="dxa"/>
            <w:tcMar>
              <w:top w:w="60" w:type="dxa"/>
              <w:left w:w="90" w:type="dxa"/>
              <w:bottom w:w="60" w:type="dxa"/>
              <w:right w:w="90" w:type="dxa"/>
            </w:tcMar>
          </w:tcPr>
          <w:p w14:paraId="5E71A190" w14:textId="77777777" w:rsidR="0080216C" w:rsidRDefault="004A4404">
            <w:proofErr w:type="spellStart"/>
            <w:r>
              <w:rPr>
                <w:sz w:val="19"/>
                <w:szCs w:val="19"/>
              </w:rPr>
              <w:t>Fesendouz</w:t>
            </w:r>
            <w:proofErr w:type="spellEnd"/>
            <w:r>
              <w:rPr>
                <w:sz w:val="19"/>
                <w:szCs w:val="19"/>
              </w:rPr>
              <w:t xml:space="preserve"> et al. (2025); </w:t>
            </w:r>
            <w:proofErr w:type="spellStart"/>
            <w:r>
              <w:rPr>
                <w:sz w:val="19"/>
                <w:szCs w:val="19"/>
              </w:rPr>
              <w:t>Papamichalaki</w:t>
            </w:r>
            <w:proofErr w:type="spellEnd"/>
            <w:r>
              <w:rPr>
                <w:sz w:val="19"/>
                <w:szCs w:val="19"/>
              </w:rPr>
              <w:t xml:space="preserve"> et al. (2014)</w:t>
            </w:r>
          </w:p>
        </w:tc>
      </w:tr>
      <w:tr w:rsidR="0080216C" w14:paraId="76035F29" w14:textId="77777777">
        <w:tc>
          <w:tcPr>
            <w:tcW w:w="1657" w:type="dxa"/>
            <w:tcMar>
              <w:top w:w="60" w:type="dxa"/>
              <w:left w:w="90" w:type="dxa"/>
              <w:bottom w:w="60" w:type="dxa"/>
              <w:right w:w="90" w:type="dxa"/>
            </w:tcMar>
          </w:tcPr>
          <w:p w14:paraId="3FB7896A" w14:textId="77777777" w:rsidR="0080216C" w:rsidRDefault="004A4404">
            <w:r>
              <w:rPr>
                <w:sz w:val="19"/>
                <w:szCs w:val="19"/>
              </w:rPr>
              <w:t>Fertigation and growth-promoting treatments</w:t>
            </w:r>
          </w:p>
        </w:tc>
        <w:tc>
          <w:tcPr>
            <w:tcW w:w="1949" w:type="dxa"/>
            <w:tcMar>
              <w:top w:w="60" w:type="dxa"/>
              <w:left w:w="90" w:type="dxa"/>
              <w:bottom w:w="60" w:type="dxa"/>
              <w:right w:w="90" w:type="dxa"/>
            </w:tcMar>
          </w:tcPr>
          <w:p w14:paraId="7F1F7CEC" w14:textId="77777777" w:rsidR="0080216C" w:rsidRDefault="004A4404">
            <w:r>
              <w:rPr>
                <w:sz w:val="19"/>
                <w:szCs w:val="19"/>
              </w:rPr>
              <w:t>Improved transplant production and post-transplant growth</w:t>
            </w:r>
          </w:p>
        </w:tc>
        <w:tc>
          <w:tcPr>
            <w:tcW w:w="1170" w:type="dxa"/>
            <w:tcMar>
              <w:top w:w="60" w:type="dxa"/>
              <w:left w:w="90" w:type="dxa"/>
              <w:bottom w:w="60" w:type="dxa"/>
              <w:right w:w="90" w:type="dxa"/>
            </w:tcMar>
          </w:tcPr>
          <w:p w14:paraId="76086CA2" w14:textId="77777777" w:rsidR="0080216C" w:rsidRDefault="004A4404">
            <w:r>
              <w:rPr>
                <w:sz w:val="19"/>
                <w:szCs w:val="19"/>
              </w:rPr>
              <w:t>Transplant and subsequent plant growth</w:t>
            </w:r>
          </w:p>
        </w:tc>
        <w:tc>
          <w:tcPr>
            <w:tcW w:w="1949" w:type="dxa"/>
            <w:tcMar>
              <w:top w:w="60" w:type="dxa"/>
              <w:left w:w="90" w:type="dxa"/>
              <w:bottom w:w="60" w:type="dxa"/>
              <w:right w:w="90" w:type="dxa"/>
            </w:tcMar>
          </w:tcPr>
          <w:p w14:paraId="3C3C6947" w14:textId="77777777" w:rsidR="0080216C" w:rsidRDefault="004A4404">
            <w:r>
              <w:rPr>
                <w:sz w:val="19"/>
                <w:szCs w:val="19"/>
              </w:rPr>
              <w:t>Moderate</w:t>
            </w:r>
          </w:p>
        </w:tc>
        <w:tc>
          <w:tcPr>
            <w:tcW w:w="1364" w:type="dxa"/>
            <w:tcMar>
              <w:top w:w="60" w:type="dxa"/>
              <w:left w:w="90" w:type="dxa"/>
              <w:bottom w:w="60" w:type="dxa"/>
              <w:right w:w="90" w:type="dxa"/>
            </w:tcMar>
          </w:tcPr>
          <w:p w14:paraId="749FAE51" w14:textId="77777777" w:rsidR="0080216C" w:rsidRDefault="004A4404">
            <w:r>
              <w:rPr>
                <w:sz w:val="19"/>
                <w:szCs w:val="19"/>
              </w:rPr>
              <w:t>Product-specific; controlled greenhouse conditions</w:t>
            </w:r>
          </w:p>
        </w:tc>
        <w:tc>
          <w:tcPr>
            <w:tcW w:w="1657" w:type="dxa"/>
            <w:tcMar>
              <w:top w:w="60" w:type="dxa"/>
              <w:left w:w="90" w:type="dxa"/>
              <w:bottom w:w="60" w:type="dxa"/>
              <w:right w:w="90" w:type="dxa"/>
            </w:tcMar>
          </w:tcPr>
          <w:p w14:paraId="2CEF5E5A" w14:textId="77777777" w:rsidR="0080216C" w:rsidRDefault="004A4404">
            <w:r>
              <w:rPr>
                <w:sz w:val="19"/>
                <w:szCs w:val="19"/>
              </w:rPr>
              <w:t>Moncada et al. (2020)</w:t>
            </w:r>
          </w:p>
        </w:tc>
      </w:tr>
      <w:tr w:rsidR="0080216C" w14:paraId="78943EF7" w14:textId="77777777">
        <w:tc>
          <w:tcPr>
            <w:tcW w:w="1657" w:type="dxa"/>
            <w:tcMar>
              <w:top w:w="60" w:type="dxa"/>
              <w:left w:w="90" w:type="dxa"/>
              <w:bottom w:w="60" w:type="dxa"/>
              <w:right w:w="90" w:type="dxa"/>
            </w:tcMar>
          </w:tcPr>
          <w:p w14:paraId="7A669822" w14:textId="77777777" w:rsidR="0080216C" w:rsidRDefault="004A4404">
            <w:r>
              <w:rPr>
                <w:sz w:val="19"/>
                <w:szCs w:val="19"/>
              </w:rPr>
              <w:t>Humic substance application</w:t>
            </w:r>
          </w:p>
        </w:tc>
        <w:tc>
          <w:tcPr>
            <w:tcW w:w="1949" w:type="dxa"/>
            <w:tcMar>
              <w:top w:w="60" w:type="dxa"/>
              <w:left w:w="90" w:type="dxa"/>
              <w:bottom w:w="60" w:type="dxa"/>
              <w:right w:w="90" w:type="dxa"/>
            </w:tcMar>
          </w:tcPr>
          <w:p w14:paraId="4CE75473" w14:textId="77777777" w:rsidR="0080216C" w:rsidRDefault="004A4404">
            <w:r>
              <w:rPr>
                <w:sz w:val="19"/>
                <w:szCs w:val="19"/>
              </w:rPr>
              <w:t>Improved seedling quality and post-transplant yield under stress</w:t>
            </w:r>
          </w:p>
        </w:tc>
        <w:tc>
          <w:tcPr>
            <w:tcW w:w="1170" w:type="dxa"/>
            <w:tcMar>
              <w:top w:w="60" w:type="dxa"/>
              <w:left w:w="90" w:type="dxa"/>
              <w:bottom w:w="60" w:type="dxa"/>
              <w:right w:w="90" w:type="dxa"/>
            </w:tcMar>
          </w:tcPr>
          <w:p w14:paraId="619FA29B" w14:textId="77777777" w:rsidR="0080216C" w:rsidRDefault="004A4404">
            <w:r>
              <w:rPr>
                <w:sz w:val="19"/>
                <w:szCs w:val="19"/>
              </w:rPr>
              <w:t>Field yield under imposed stress</w:t>
            </w:r>
          </w:p>
        </w:tc>
        <w:tc>
          <w:tcPr>
            <w:tcW w:w="1949" w:type="dxa"/>
            <w:tcMar>
              <w:top w:w="60" w:type="dxa"/>
              <w:left w:w="90" w:type="dxa"/>
              <w:bottom w:w="60" w:type="dxa"/>
              <w:right w:w="90" w:type="dxa"/>
            </w:tcMar>
          </w:tcPr>
          <w:p w14:paraId="442E048D" w14:textId="77777777" w:rsidR="0080216C" w:rsidRDefault="004A4404">
            <w:r>
              <w:rPr>
                <w:sz w:val="19"/>
                <w:szCs w:val="19"/>
              </w:rPr>
              <w:t>Moderate, conditional on stress occurrence</w:t>
            </w:r>
          </w:p>
        </w:tc>
        <w:tc>
          <w:tcPr>
            <w:tcW w:w="1364" w:type="dxa"/>
            <w:tcMar>
              <w:top w:w="60" w:type="dxa"/>
              <w:left w:w="90" w:type="dxa"/>
              <w:bottom w:w="60" w:type="dxa"/>
              <w:right w:w="90" w:type="dxa"/>
            </w:tcMar>
          </w:tcPr>
          <w:p w14:paraId="347172CF" w14:textId="77777777" w:rsidR="0080216C" w:rsidRDefault="004A4404">
            <w:r>
              <w:rPr>
                <w:sz w:val="19"/>
                <w:szCs w:val="19"/>
              </w:rPr>
              <w:t>Benefit may be small where stress is absent</w:t>
            </w:r>
          </w:p>
        </w:tc>
        <w:tc>
          <w:tcPr>
            <w:tcW w:w="1657" w:type="dxa"/>
            <w:tcMar>
              <w:top w:w="60" w:type="dxa"/>
              <w:left w:w="90" w:type="dxa"/>
              <w:bottom w:w="60" w:type="dxa"/>
              <w:right w:w="90" w:type="dxa"/>
            </w:tcMar>
          </w:tcPr>
          <w:p w14:paraId="7F4E4404" w14:textId="77777777" w:rsidR="0080216C" w:rsidRDefault="004A4404">
            <w:r>
              <w:rPr>
                <w:sz w:val="19"/>
                <w:szCs w:val="19"/>
              </w:rPr>
              <w:t>Qin and Leskovar (2020)</w:t>
            </w:r>
          </w:p>
        </w:tc>
      </w:tr>
      <w:tr w:rsidR="0080216C" w14:paraId="098C0266" w14:textId="77777777">
        <w:tc>
          <w:tcPr>
            <w:tcW w:w="1657" w:type="dxa"/>
            <w:tcMar>
              <w:top w:w="60" w:type="dxa"/>
              <w:left w:w="90" w:type="dxa"/>
              <w:bottom w:w="60" w:type="dxa"/>
              <w:right w:w="90" w:type="dxa"/>
            </w:tcMar>
          </w:tcPr>
          <w:p w14:paraId="6A409120" w14:textId="77777777" w:rsidR="0080216C" w:rsidRDefault="004A4404">
            <w:r>
              <w:rPr>
                <w:sz w:val="19"/>
                <w:szCs w:val="19"/>
              </w:rPr>
              <w:t>Arbuscular mycorrhizal inoculation</w:t>
            </w:r>
          </w:p>
        </w:tc>
        <w:tc>
          <w:tcPr>
            <w:tcW w:w="1949" w:type="dxa"/>
            <w:tcMar>
              <w:top w:w="60" w:type="dxa"/>
              <w:left w:w="90" w:type="dxa"/>
              <w:bottom w:w="60" w:type="dxa"/>
              <w:right w:w="90" w:type="dxa"/>
            </w:tcMar>
          </w:tcPr>
          <w:p w14:paraId="4A0C5B28" w14:textId="77777777" w:rsidR="0080216C" w:rsidRDefault="004A4404">
            <w:r>
              <w:rPr>
                <w:sz w:val="19"/>
                <w:szCs w:val="19"/>
              </w:rPr>
              <w:t>Modified performance under saline irrigation</w:t>
            </w:r>
          </w:p>
        </w:tc>
        <w:tc>
          <w:tcPr>
            <w:tcW w:w="1170" w:type="dxa"/>
            <w:tcMar>
              <w:top w:w="60" w:type="dxa"/>
              <w:left w:w="90" w:type="dxa"/>
              <w:bottom w:w="60" w:type="dxa"/>
              <w:right w:w="90" w:type="dxa"/>
            </w:tcMar>
          </w:tcPr>
          <w:p w14:paraId="5711E1E6" w14:textId="77777777" w:rsidR="0080216C" w:rsidRDefault="004A4404">
            <w:r>
              <w:rPr>
                <w:sz w:val="19"/>
                <w:szCs w:val="19"/>
              </w:rPr>
              <w:t>Post-transplant performance</w:t>
            </w:r>
          </w:p>
        </w:tc>
        <w:tc>
          <w:tcPr>
            <w:tcW w:w="1949" w:type="dxa"/>
            <w:tcMar>
              <w:top w:w="60" w:type="dxa"/>
              <w:left w:w="90" w:type="dxa"/>
              <w:bottom w:w="60" w:type="dxa"/>
              <w:right w:w="90" w:type="dxa"/>
            </w:tcMar>
          </w:tcPr>
          <w:p w14:paraId="6414229F" w14:textId="77777777" w:rsidR="0080216C" w:rsidRDefault="004A4404">
            <w:r>
              <w:rPr>
                <w:sz w:val="19"/>
                <w:szCs w:val="19"/>
              </w:rPr>
              <w:t>Weak to moderate</w:t>
            </w:r>
          </w:p>
        </w:tc>
        <w:tc>
          <w:tcPr>
            <w:tcW w:w="1364" w:type="dxa"/>
            <w:tcMar>
              <w:top w:w="60" w:type="dxa"/>
              <w:left w:w="90" w:type="dxa"/>
              <w:bottom w:w="60" w:type="dxa"/>
              <w:right w:w="90" w:type="dxa"/>
            </w:tcMar>
          </w:tcPr>
          <w:p w14:paraId="73812771" w14:textId="77777777" w:rsidR="0080216C" w:rsidRDefault="004A4404">
            <w:r>
              <w:rPr>
                <w:sz w:val="19"/>
                <w:szCs w:val="19"/>
              </w:rPr>
              <w:t>Single stress type; inoculum-specific; not verified locally</w:t>
            </w:r>
          </w:p>
        </w:tc>
        <w:tc>
          <w:tcPr>
            <w:tcW w:w="1657" w:type="dxa"/>
            <w:tcMar>
              <w:top w:w="60" w:type="dxa"/>
              <w:left w:w="90" w:type="dxa"/>
              <w:bottom w:w="60" w:type="dxa"/>
              <w:right w:w="90" w:type="dxa"/>
            </w:tcMar>
          </w:tcPr>
          <w:p w14:paraId="3CD319A7" w14:textId="77777777" w:rsidR="0080216C" w:rsidRDefault="004A4404">
            <w:r>
              <w:rPr>
                <w:sz w:val="19"/>
                <w:szCs w:val="19"/>
              </w:rPr>
              <w:t>Al-Karaki (2006)</w:t>
            </w:r>
          </w:p>
        </w:tc>
      </w:tr>
      <w:tr w:rsidR="0080216C" w14:paraId="54B69DD8" w14:textId="77777777">
        <w:tc>
          <w:tcPr>
            <w:tcW w:w="1657" w:type="dxa"/>
            <w:tcMar>
              <w:top w:w="60" w:type="dxa"/>
              <w:left w:w="90" w:type="dxa"/>
              <w:bottom w:w="60" w:type="dxa"/>
              <w:right w:w="90" w:type="dxa"/>
            </w:tcMar>
          </w:tcPr>
          <w:p w14:paraId="5B44B7A7" w14:textId="77777777" w:rsidR="0080216C" w:rsidRDefault="004A4404">
            <w:r>
              <w:rPr>
                <w:sz w:val="19"/>
                <w:szCs w:val="19"/>
              </w:rPr>
              <w:t>Transplanting relative to direct seeding</w:t>
            </w:r>
          </w:p>
        </w:tc>
        <w:tc>
          <w:tcPr>
            <w:tcW w:w="1949" w:type="dxa"/>
            <w:tcMar>
              <w:top w:w="60" w:type="dxa"/>
              <w:left w:w="90" w:type="dxa"/>
              <w:bottom w:w="60" w:type="dxa"/>
              <w:right w:w="90" w:type="dxa"/>
            </w:tcMar>
          </w:tcPr>
          <w:p w14:paraId="76466F23" w14:textId="77777777" w:rsidR="0080216C" w:rsidRDefault="004A4404">
            <w:r>
              <w:rPr>
                <w:sz w:val="19"/>
                <w:szCs w:val="19"/>
              </w:rPr>
              <w:t xml:space="preserve">Alters yield and water use efficiency </w:t>
            </w:r>
            <w:r>
              <w:rPr>
                <w:sz w:val="19"/>
                <w:szCs w:val="19"/>
              </w:rPr>
              <w:lastRenderedPageBreak/>
              <w:t>depending on irrigation</w:t>
            </w:r>
          </w:p>
        </w:tc>
        <w:tc>
          <w:tcPr>
            <w:tcW w:w="1170" w:type="dxa"/>
            <w:tcMar>
              <w:top w:w="60" w:type="dxa"/>
              <w:left w:w="90" w:type="dxa"/>
              <w:bottom w:w="60" w:type="dxa"/>
              <w:right w:w="90" w:type="dxa"/>
            </w:tcMar>
          </w:tcPr>
          <w:p w14:paraId="07227A05" w14:textId="77777777" w:rsidR="0080216C" w:rsidRDefault="004A4404">
            <w:r>
              <w:rPr>
                <w:sz w:val="19"/>
                <w:szCs w:val="19"/>
              </w:rPr>
              <w:lastRenderedPageBreak/>
              <w:t xml:space="preserve">Field yield and water </w:t>
            </w:r>
            <w:r>
              <w:rPr>
                <w:sz w:val="19"/>
                <w:szCs w:val="19"/>
              </w:rPr>
              <w:lastRenderedPageBreak/>
              <w:t>use efficiency</w:t>
            </w:r>
          </w:p>
        </w:tc>
        <w:tc>
          <w:tcPr>
            <w:tcW w:w="1949" w:type="dxa"/>
            <w:tcMar>
              <w:top w:w="60" w:type="dxa"/>
              <w:left w:w="90" w:type="dxa"/>
              <w:bottom w:w="60" w:type="dxa"/>
              <w:right w:w="90" w:type="dxa"/>
            </w:tcMar>
          </w:tcPr>
          <w:p w14:paraId="50AFBF4C" w14:textId="77777777" w:rsidR="0080216C" w:rsidRDefault="004A4404">
            <w:r>
              <w:rPr>
                <w:sz w:val="19"/>
                <w:szCs w:val="19"/>
              </w:rPr>
              <w:lastRenderedPageBreak/>
              <w:t>Moderate for mechanism; weak for magnitude</w:t>
            </w:r>
          </w:p>
        </w:tc>
        <w:tc>
          <w:tcPr>
            <w:tcW w:w="1364" w:type="dxa"/>
            <w:tcMar>
              <w:top w:w="60" w:type="dxa"/>
              <w:left w:w="90" w:type="dxa"/>
              <w:bottom w:w="60" w:type="dxa"/>
              <w:right w:w="90" w:type="dxa"/>
            </w:tcMar>
          </w:tcPr>
          <w:p w14:paraId="014AAA45" w14:textId="77777777" w:rsidR="0080216C" w:rsidRDefault="004A4404">
            <w:r>
              <w:rPr>
                <w:sz w:val="19"/>
                <w:szCs w:val="19"/>
              </w:rPr>
              <w:t>Single crop; irrigation-</w:t>
            </w:r>
            <w:r>
              <w:rPr>
                <w:sz w:val="19"/>
                <w:szCs w:val="19"/>
              </w:rPr>
              <w:lastRenderedPageBreak/>
              <w:t>regime dependent</w:t>
            </w:r>
          </w:p>
        </w:tc>
        <w:tc>
          <w:tcPr>
            <w:tcW w:w="1657" w:type="dxa"/>
            <w:tcMar>
              <w:top w:w="60" w:type="dxa"/>
              <w:left w:w="90" w:type="dxa"/>
              <w:bottom w:w="60" w:type="dxa"/>
              <w:right w:w="90" w:type="dxa"/>
            </w:tcMar>
          </w:tcPr>
          <w:p w14:paraId="2872BC82" w14:textId="77777777" w:rsidR="0080216C" w:rsidRDefault="004A4404">
            <w:r>
              <w:rPr>
                <w:sz w:val="19"/>
                <w:szCs w:val="19"/>
              </w:rPr>
              <w:lastRenderedPageBreak/>
              <w:t>Leskovar et al. (2001)</w:t>
            </w:r>
          </w:p>
        </w:tc>
      </w:tr>
    </w:tbl>
    <w:p w14:paraId="7CD24BE8" w14:textId="77777777" w:rsidR="0080216C" w:rsidRDefault="004A4404">
      <w:pPr>
        <w:spacing w:before="100" w:after="260"/>
        <w:jc w:val="both"/>
      </w:pPr>
      <w:r>
        <w:rPr>
          <w:sz w:val="18"/>
          <w:szCs w:val="18"/>
        </w:rPr>
        <w:t>Note. Assessed evidence strength refers to the confidence with which the finding can be applied to Nigerian smallholder vegetable production and reflects study design, environmental similarity and whether field yield was measured. It is a judgement made for this review and was not derived from a formal appraisal instrument.</w:t>
      </w:r>
    </w:p>
    <w:p w14:paraId="2AB7031C" w14:textId="77777777" w:rsidR="0080216C" w:rsidRDefault="004A4404">
      <w:pPr>
        <w:pStyle w:val="Heading1"/>
        <w:spacing w:before="320" w:after="160"/>
      </w:pPr>
      <w:r>
        <w:rPr>
          <w:b/>
          <w:bCs/>
          <w:color w:val="000000"/>
          <w:sz w:val="26"/>
          <w:szCs w:val="26"/>
        </w:rPr>
        <w:t>5. Phytosanitary Function: Protection and Dissemination</w:t>
      </w:r>
    </w:p>
    <w:p w14:paraId="49FF1E84" w14:textId="77777777" w:rsidR="0080216C" w:rsidRDefault="004A4404">
      <w:pPr>
        <w:pStyle w:val="Heading2"/>
        <w:spacing w:before="320" w:after="160"/>
      </w:pPr>
      <w:r>
        <w:rPr>
          <w:b/>
          <w:bCs/>
          <w:color w:val="000000"/>
          <w:sz w:val="24"/>
          <w:szCs w:val="24"/>
        </w:rPr>
        <w:t>5.1 Protected propagation structures and pest exclusion</w:t>
      </w:r>
    </w:p>
    <w:p w14:paraId="5B428385" w14:textId="59CAEB64" w:rsidR="0080216C" w:rsidRDefault="004A4404">
      <w:pPr>
        <w:spacing w:after="160" w:line="360" w:lineRule="auto"/>
        <w:jc w:val="both"/>
      </w:pPr>
      <w:r>
        <w:t>The strongest African evidence relating to nurseries concerns physical protection of the propagation environment. Eco-friendly netting used over tomato seedbeds in East Africa modified the microclimate and improved transplant quality relative to unprotected seedbeds, with the netting altering temperature and humidity as well as excluding insects (Gogo et al., 2012). Related work extended the assessment to cabbage seedling production and reached comparable conclusions regarding the sustainability of net-protected propagation (</w:t>
      </w:r>
      <w:proofErr w:type="spellStart"/>
      <w:r>
        <w:t>Muleke</w:t>
      </w:r>
      <w:proofErr w:type="spellEnd"/>
      <w:r>
        <w:t xml:space="preserve"> et al., 201</w:t>
      </w:r>
      <w:r w:rsidR="0052262B">
        <w:t>3</w:t>
      </w:r>
      <w:r>
        <w:t>). When netting and floating row covers were carried through to the field phase, pest infestation was reduced and tomato yields improved for smallholder farmers in Kenya (Gogo et al., 2014).</w:t>
      </w:r>
    </w:p>
    <w:p w14:paraId="21BC6FCB" w14:textId="77777777" w:rsidR="0080216C" w:rsidRDefault="004A4404">
      <w:pPr>
        <w:spacing w:after="160" w:line="360" w:lineRule="auto"/>
        <w:jc w:val="both"/>
      </w:pPr>
      <w:r>
        <w:t>These studies are directly relevant because they were conducted in tropical smallholder systems with crops and pests that occur in Nigeria. Their limitations should nonetheless be stated. They evaluate a technology rather than an enterprise, so they establish that protected propagation is beneficial without establishing that commercial provision is the efficient route to it. They were conducted in East African highland and mid-altitude environments whose thermal regimes differ from the Nigerian Guinea and Sudan savannah zones, where net-induced temperature elevation may impose a cost that the source studies did not encounter. The netting effect also combines exclusion with microclimate modification, and the two are not separated in a way that permits prediction under different ambient conditions.</w:t>
      </w:r>
    </w:p>
    <w:p w14:paraId="5519767E" w14:textId="77777777" w:rsidR="0080216C" w:rsidRDefault="004A4404">
      <w:pPr>
        <w:spacing w:after="160" w:line="360" w:lineRule="auto"/>
        <w:jc w:val="both"/>
      </w:pPr>
      <w:r>
        <w:t>The wider review of protected cultivation in sub-Saharan Africa reaches a compatible but more cautious position, noting that protective structures offer real agronomic benefits while their economic accessibility, durability and appropriateness for smallholders remain constrained (</w:t>
      </w:r>
      <w:proofErr w:type="spellStart"/>
      <w:r>
        <w:t>Nordey</w:t>
      </w:r>
      <w:proofErr w:type="spellEnd"/>
      <w:r>
        <w:t xml:space="preserve"> et al., 2017). This is an important corrective to the enthusiasm that surrounds protected propagation, and it applies with particular force to nursery structures, whose capital cost must be recovered over a product with a low unit value and a short shelf life.</w:t>
      </w:r>
    </w:p>
    <w:p w14:paraId="4CE39F02" w14:textId="77777777" w:rsidR="0080216C" w:rsidRDefault="004A4404">
      <w:pPr>
        <w:pStyle w:val="Heading2"/>
        <w:spacing w:before="320" w:after="160"/>
      </w:pPr>
      <w:r>
        <w:rPr>
          <w:b/>
          <w:bCs/>
          <w:color w:val="000000"/>
          <w:sz w:val="24"/>
          <w:szCs w:val="24"/>
        </w:rPr>
        <w:t>5.2 Grafting as a nursery-delivered technology</w:t>
      </w:r>
    </w:p>
    <w:p w14:paraId="5357E465" w14:textId="77777777" w:rsidR="0080216C" w:rsidRDefault="004A4404">
      <w:pPr>
        <w:spacing w:after="160" w:line="360" w:lineRule="auto"/>
        <w:jc w:val="both"/>
      </w:pPr>
      <w:r>
        <w:t xml:space="preserve">Grafting is the clearest case in which a commercial nursery can deliver something that on-farm propagation cannot practically replicate, since it requires skilled manipulation, a healing environment </w:t>
      </w:r>
      <w:r>
        <w:lastRenderedPageBreak/>
        <w:t>with controlled humidity, and the simultaneous production of rootstock and scion. Its global diffusion, the techniques employed and the progressive automation of the process have been documented in detail (Lee et al., 2010), and the North American experience illustrates how grafting moved from a specialised practice to a commercial nursery product (Kubota et al., 2008). The agronomic rationale is that resistant or vigorous rootstocks confer tolerance to soil-borne pathogens and to abiotic stresses that scion cultivars cannot resist, and grafting has accordingly been characterised as a means of stabilising yield across multiple stress conditions (</w:t>
      </w:r>
      <w:proofErr w:type="spellStart"/>
      <w:r>
        <w:t>Rouphael</w:t>
      </w:r>
      <w:proofErr w:type="spellEnd"/>
      <w:r>
        <w:t xml:space="preserve"> et al., 2018).</w:t>
      </w:r>
    </w:p>
    <w:p w14:paraId="6DE1DA45" w14:textId="77777777" w:rsidR="0080216C" w:rsidRDefault="004A4404">
      <w:pPr>
        <w:spacing w:after="160" w:line="360" w:lineRule="auto"/>
        <w:jc w:val="both"/>
      </w:pPr>
      <w:r>
        <w:t>Application to sub-Saharan Africa has been assessed specifically, with the conclusion that grafting holds substantial potential for the region while its deployment is constrained by rootstock availability, the cost of skilled propagation and the absence of supply infrastructure (</w:t>
      </w:r>
      <w:proofErr w:type="spellStart"/>
      <w:r>
        <w:t>Nordey</w:t>
      </w:r>
      <w:proofErr w:type="spellEnd"/>
      <w:r>
        <w:t xml:space="preserve"> et al., 2020). Experimental support for the mechanism under regional conditions is available: grafting of commercial tomato cultivars grown in soil infested with </w:t>
      </w:r>
      <w:r>
        <w:rPr>
          <w:i/>
          <w:iCs/>
        </w:rPr>
        <w:t>Ralstonia solanacearum</w:t>
      </w:r>
      <w:r>
        <w:t xml:space="preserve"> affected yield, indicating that the technology addresses a pathogen that is a recognised constraint in African tomato production (</w:t>
      </w:r>
      <w:proofErr w:type="spellStart"/>
      <w:r>
        <w:t>Kitundu</w:t>
      </w:r>
      <w:proofErr w:type="spellEnd"/>
      <w:r>
        <w:t xml:space="preserve"> et al., 2022). Bacterial wilt caused by this organism is recognised by tomato growers in south-western Nigeria as a production problem, and reported management practices indicate reliance on approaches of limited efficacy (</w:t>
      </w:r>
      <w:proofErr w:type="spellStart"/>
      <w:r>
        <w:t>Oloniluyi</w:t>
      </w:r>
      <w:proofErr w:type="spellEnd"/>
      <w:r>
        <w:t xml:space="preserve"> et al., 2026).</w:t>
      </w:r>
    </w:p>
    <w:p w14:paraId="0C7F7245" w14:textId="77777777" w:rsidR="0080216C" w:rsidRDefault="004A4404">
      <w:pPr>
        <w:spacing w:after="160" w:line="360" w:lineRule="auto"/>
        <w:jc w:val="both"/>
      </w:pPr>
      <w:r>
        <w:t xml:space="preserve">The alignment between problem and technology is therefore good, but three cautions apply. Rootstock evaluation under Nigerian soil, pathogen population and climatic conditions has not been reported in the sources reviewed, and rootstock performance is known to be genotype-by-environment dependent. Grafted plants carry a substantially higher unit cost, which must be recovered from a yield or price premium that Nigerian growers have not been shown to obtain. Grafting also concentrates value in the nursery, which raises the consequences of nursery failure: a batch of grafted plants that fails to heal, or that carries an undetected pathogen, imposes a larger loss than an equivalent batch of </w:t>
      </w:r>
      <w:proofErr w:type="spellStart"/>
      <w:r>
        <w:t>ungrafted</w:t>
      </w:r>
      <w:proofErr w:type="spellEnd"/>
      <w:r>
        <w:t xml:space="preserve"> seedlings.</w:t>
      </w:r>
    </w:p>
    <w:p w14:paraId="104F7572" w14:textId="77777777" w:rsidR="0080216C" w:rsidRDefault="004A4404">
      <w:pPr>
        <w:pStyle w:val="Heading2"/>
        <w:spacing w:before="320" w:after="160"/>
      </w:pPr>
      <w:r>
        <w:rPr>
          <w:b/>
          <w:bCs/>
          <w:color w:val="000000"/>
          <w:sz w:val="24"/>
          <w:szCs w:val="24"/>
        </w:rPr>
        <w:t>5.3 The dissemination risk that has not been studied</w:t>
      </w:r>
    </w:p>
    <w:p w14:paraId="5359489D" w14:textId="77777777" w:rsidR="0080216C" w:rsidRDefault="004A4404">
      <w:pPr>
        <w:spacing w:after="160" w:line="360" w:lineRule="auto"/>
        <w:jc w:val="both"/>
      </w:pPr>
      <w:r>
        <w:t>Every argument for centralised propagation as a phytosanitary filter carries a symmetrical argument for centralised propagation as a phytosanitary amplifier, and the literature reviewed addresses the first far more thoroughly than the second. A nursery aggregates thousands of plants of uniform genotype in a warm, humid, densely planted environment and then distributes them across a wide production area within a short period. The same features that permit control also permit propagation of an infection, and the distribution network provides a dispersal mechanism that on-farm propagation does not.</w:t>
      </w:r>
    </w:p>
    <w:p w14:paraId="2343A3B3" w14:textId="6D447EA1" w:rsidR="0080216C" w:rsidRDefault="004A4404">
      <w:pPr>
        <w:spacing w:after="160" w:line="360" w:lineRule="auto"/>
        <w:jc w:val="both"/>
      </w:pPr>
      <w:r>
        <w:lastRenderedPageBreak/>
        <w:t>Two Nigerian constraints illustrate the potential significance. Bacterial wilt is soil-borne and can be introduced through contaminated substrate, irrigation water or handling, and grower-reported management in south-western Nigeria suggests limited capacity to detect or contain it (</w:t>
      </w:r>
      <w:proofErr w:type="spellStart"/>
      <w:r>
        <w:t>Oloniluyi</w:t>
      </w:r>
      <w:proofErr w:type="spellEnd"/>
      <w:r>
        <w:t xml:space="preserve"> et al., 2026). </w:t>
      </w:r>
      <w:r>
        <w:rPr>
          <w:i/>
          <w:iCs/>
        </w:rPr>
        <w:t xml:space="preserve">Tuta </w:t>
      </w:r>
      <w:proofErr w:type="spellStart"/>
      <w:r>
        <w:rPr>
          <w:i/>
          <w:iCs/>
        </w:rPr>
        <w:t>absoluta</w:t>
      </w:r>
      <w:proofErr w:type="spellEnd"/>
      <w:r>
        <w:t xml:space="preserve"> established rapidly across Nigerian tomato production following its arrival, and the pest's history in Africa demonstrates how quickly a solanaceous pest can move through connected production systems (CABI, 2019). Current management guidance for this pest emphasises integrated approaches including exclusion, monitoring and biological control, and the nursery is a logical control point within such a strategy (</w:t>
      </w:r>
      <w:proofErr w:type="spellStart"/>
      <w:r>
        <w:t>Mawcha</w:t>
      </w:r>
      <w:proofErr w:type="spellEnd"/>
      <w:r>
        <w:t xml:space="preserve"> et al., 202</w:t>
      </w:r>
      <w:r w:rsidR="0052262B">
        <w:t>6</w:t>
      </w:r>
      <w:r>
        <w:t>). Whether Nigerian nurseries function as control points or as introduction points is an empirical question that has not been addressed.</w:t>
      </w:r>
    </w:p>
    <w:p w14:paraId="74EBDCBF" w14:textId="77777777" w:rsidR="0080216C" w:rsidRDefault="004A4404">
      <w:pPr>
        <w:spacing w:after="160" w:line="360" w:lineRule="auto"/>
        <w:jc w:val="both"/>
      </w:pPr>
      <w:r>
        <w:t>The absence of evidence here should not be read as evidence of absence of risk, nor as evidence that the risk is being realised. What can be stated is that no surveillance data on pathogen or pest prevalence in Nigerian commercial vegetable nurseries were located, that no study tracing infection from nursery to field in the Nigerian context was identified, and that consequently the net phytosanitary effect of nursery centralisation in Nigeria is undetermined. This is a substantial qualification to the sustainability claim, because the phytosanitary argument is one of the strongest components of the case for commercial nurseries.</w:t>
      </w:r>
    </w:p>
    <w:p w14:paraId="1780799C" w14:textId="77777777" w:rsidR="0080216C" w:rsidRDefault="004A4404">
      <w:pPr>
        <w:spacing w:after="160" w:line="360" w:lineRule="auto"/>
        <w:jc w:val="both"/>
      </w:pPr>
      <w:r>
        <w:t>Table 3 sets out the principal points at which the reviewed evidence conflicts or fails to converge, together with the most plausible explanations for the discrepancy. Presenting the disagreements in this form is intended to prevent the synthesis from manufacturing consensus where none exists. Several of the entries reflect genuine scientific disagreement about system boundaries or context, while others reflect an asymmetry of research attention rather than a contradiction in findings, and the distinction between these two situations carries different implications for how the evidence should be used.</w:t>
      </w:r>
    </w:p>
    <w:p w14:paraId="36C610A4" w14:textId="77777777" w:rsidR="0080216C" w:rsidRDefault="004A4404">
      <w:pPr>
        <w:keepNext/>
        <w:spacing w:before="200" w:after="100"/>
      </w:pPr>
      <w:r>
        <w:rPr>
          <w:b/>
          <w:bCs/>
          <w:sz w:val="19"/>
          <w:szCs w:val="19"/>
        </w:rPr>
        <w:t>Table 3. Points of conflict or non-convergence in the reviewed evidence and their most plausible explanations</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754"/>
        <w:gridCol w:w="2047"/>
        <w:gridCol w:w="2047"/>
        <w:gridCol w:w="2339"/>
        <w:gridCol w:w="1559"/>
      </w:tblGrid>
      <w:tr w:rsidR="0080216C" w14:paraId="0971DC68" w14:textId="77777777">
        <w:trPr>
          <w:tblHeader/>
        </w:trPr>
        <w:tc>
          <w:tcPr>
            <w:tcW w:w="1754" w:type="dxa"/>
            <w:shd w:val="clear" w:color="auto" w:fill="E8E8E8"/>
            <w:tcMar>
              <w:top w:w="60" w:type="dxa"/>
              <w:left w:w="90" w:type="dxa"/>
              <w:bottom w:w="60" w:type="dxa"/>
              <w:right w:w="90" w:type="dxa"/>
            </w:tcMar>
          </w:tcPr>
          <w:p w14:paraId="67793B8B" w14:textId="77777777" w:rsidR="0080216C" w:rsidRDefault="004A4404">
            <w:r>
              <w:rPr>
                <w:b/>
                <w:bCs/>
                <w:sz w:val="19"/>
                <w:szCs w:val="19"/>
              </w:rPr>
              <w:t>Point of contention</w:t>
            </w:r>
          </w:p>
        </w:tc>
        <w:tc>
          <w:tcPr>
            <w:tcW w:w="2047" w:type="dxa"/>
            <w:shd w:val="clear" w:color="auto" w:fill="E8E8E8"/>
            <w:tcMar>
              <w:top w:w="60" w:type="dxa"/>
              <w:left w:w="90" w:type="dxa"/>
              <w:bottom w:w="60" w:type="dxa"/>
              <w:right w:w="90" w:type="dxa"/>
            </w:tcMar>
          </w:tcPr>
          <w:p w14:paraId="30EE26C7" w14:textId="77777777" w:rsidR="0080216C" w:rsidRDefault="004A4404">
            <w:r>
              <w:rPr>
                <w:b/>
                <w:bCs/>
                <w:sz w:val="19"/>
                <w:szCs w:val="19"/>
              </w:rPr>
              <w:t>Position A</w:t>
            </w:r>
          </w:p>
        </w:tc>
        <w:tc>
          <w:tcPr>
            <w:tcW w:w="2047" w:type="dxa"/>
            <w:shd w:val="clear" w:color="auto" w:fill="E8E8E8"/>
            <w:tcMar>
              <w:top w:w="60" w:type="dxa"/>
              <w:left w:w="90" w:type="dxa"/>
              <w:bottom w:w="60" w:type="dxa"/>
              <w:right w:w="90" w:type="dxa"/>
            </w:tcMar>
          </w:tcPr>
          <w:p w14:paraId="3B526D9F" w14:textId="77777777" w:rsidR="0080216C" w:rsidRDefault="004A4404">
            <w:r>
              <w:rPr>
                <w:b/>
                <w:bCs/>
                <w:sz w:val="19"/>
                <w:szCs w:val="19"/>
              </w:rPr>
              <w:t>Position B</w:t>
            </w:r>
          </w:p>
        </w:tc>
        <w:tc>
          <w:tcPr>
            <w:tcW w:w="2339" w:type="dxa"/>
            <w:shd w:val="clear" w:color="auto" w:fill="E8E8E8"/>
            <w:tcMar>
              <w:top w:w="60" w:type="dxa"/>
              <w:left w:w="90" w:type="dxa"/>
              <w:bottom w:w="60" w:type="dxa"/>
              <w:right w:w="90" w:type="dxa"/>
            </w:tcMar>
          </w:tcPr>
          <w:p w14:paraId="6444319E" w14:textId="77777777" w:rsidR="0080216C" w:rsidRDefault="004A4404">
            <w:r>
              <w:rPr>
                <w:b/>
                <w:bCs/>
                <w:sz w:val="19"/>
                <w:szCs w:val="19"/>
              </w:rPr>
              <w:t>Most plausible explanation for the discrepancy</w:t>
            </w:r>
          </w:p>
        </w:tc>
        <w:tc>
          <w:tcPr>
            <w:tcW w:w="1559" w:type="dxa"/>
            <w:shd w:val="clear" w:color="auto" w:fill="E8E8E8"/>
            <w:tcMar>
              <w:top w:w="60" w:type="dxa"/>
              <w:left w:w="90" w:type="dxa"/>
              <w:bottom w:w="60" w:type="dxa"/>
              <w:right w:w="90" w:type="dxa"/>
            </w:tcMar>
          </w:tcPr>
          <w:p w14:paraId="273077D5" w14:textId="77777777" w:rsidR="0080216C" w:rsidRDefault="004A4404">
            <w:r>
              <w:rPr>
                <w:b/>
                <w:bCs/>
                <w:sz w:val="19"/>
                <w:szCs w:val="19"/>
              </w:rPr>
              <w:t>Supporting references</w:t>
            </w:r>
          </w:p>
        </w:tc>
      </w:tr>
      <w:tr w:rsidR="0080216C" w14:paraId="27C81417" w14:textId="77777777">
        <w:tc>
          <w:tcPr>
            <w:tcW w:w="1754" w:type="dxa"/>
            <w:tcMar>
              <w:top w:w="60" w:type="dxa"/>
              <w:left w:w="90" w:type="dxa"/>
              <w:bottom w:w="60" w:type="dxa"/>
              <w:right w:w="90" w:type="dxa"/>
            </w:tcMar>
          </w:tcPr>
          <w:p w14:paraId="702133D5" w14:textId="77777777" w:rsidR="0080216C" w:rsidRDefault="004A4404">
            <w:r>
              <w:rPr>
                <w:sz w:val="19"/>
                <w:szCs w:val="19"/>
              </w:rPr>
              <w:t>Environmental defensibility of peat-based propagation media</w:t>
            </w:r>
          </w:p>
        </w:tc>
        <w:tc>
          <w:tcPr>
            <w:tcW w:w="2047" w:type="dxa"/>
            <w:tcMar>
              <w:top w:w="60" w:type="dxa"/>
              <w:left w:w="90" w:type="dxa"/>
              <w:bottom w:w="60" w:type="dxa"/>
              <w:right w:w="90" w:type="dxa"/>
            </w:tcMar>
          </w:tcPr>
          <w:p w14:paraId="44CE591B" w14:textId="77777777" w:rsidR="0080216C" w:rsidRDefault="004A4404">
            <w:r>
              <w:rPr>
                <w:sz w:val="19"/>
                <w:szCs w:val="19"/>
              </w:rPr>
              <w:t>Peat extraction carries substantial environmental cost and substitution should be pursued</w:t>
            </w:r>
          </w:p>
        </w:tc>
        <w:tc>
          <w:tcPr>
            <w:tcW w:w="2047" w:type="dxa"/>
            <w:tcMar>
              <w:top w:w="60" w:type="dxa"/>
              <w:left w:w="90" w:type="dxa"/>
              <w:bottom w:w="60" w:type="dxa"/>
              <w:right w:w="90" w:type="dxa"/>
            </w:tcMar>
          </w:tcPr>
          <w:p w14:paraId="3B3D3BD9" w14:textId="77777777" w:rsidR="0080216C" w:rsidRDefault="004A4404">
            <w:r>
              <w:rPr>
                <w:sz w:val="19"/>
                <w:szCs w:val="19"/>
              </w:rPr>
              <w:t>Propagation volumes are small relative to other land uses and substitution may not be the priority</w:t>
            </w:r>
          </w:p>
        </w:tc>
        <w:tc>
          <w:tcPr>
            <w:tcW w:w="2339" w:type="dxa"/>
            <w:tcMar>
              <w:top w:w="60" w:type="dxa"/>
              <w:left w:w="90" w:type="dxa"/>
              <w:bottom w:w="60" w:type="dxa"/>
              <w:right w:w="90" w:type="dxa"/>
            </w:tcMar>
          </w:tcPr>
          <w:p w14:paraId="372DC1E8" w14:textId="77777777" w:rsidR="0080216C" w:rsidRDefault="004A4404">
            <w:r>
              <w:rPr>
                <w:sz w:val="19"/>
                <w:szCs w:val="19"/>
              </w:rPr>
              <w:t>Different system boundaries and functional units in the underlying accounting</w:t>
            </w:r>
          </w:p>
        </w:tc>
        <w:tc>
          <w:tcPr>
            <w:tcW w:w="1559" w:type="dxa"/>
            <w:tcMar>
              <w:top w:w="60" w:type="dxa"/>
              <w:left w:w="90" w:type="dxa"/>
              <w:bottom w:w="60" w:type="dxa"/>
              <w:right w:w="90" w:type="dxa"/>
            </w:tcMar>
          </w:tcPr>
          <w:p w14:paraId="7174C575" w14:textId="77777777" w:rsidR="0080216C" w:rsidRDefault="004A4404">
            <w:r>
              <w:rPr>
                <w:sz w:val="19"/>
                <w:szCs w:val="19"/>
              </w:rPr>
              <w:t>Altland and Bugbee (2026); Gruda (2019)</w:t>
            </w:r>
          </w:p>
        </w:tc>
      </w:tr>
      <w:tr w:rsidR="0080216C" w14:paraId="2B354F57" w14:textId="77777777">
        <w:tc>
          <w:tcPr>
            <w:tcW w:w="1754" w:type="dxa"/>
            <w:tcMar>
              <w:top w:w="60" w:type="dxa"/>
              <w:left w:w="90" w:type="dxa"/>
              <w:bottom w:w="60" w:type="dxa"/>
              <w:right w:w="90" w:type="dxa"/>
            </w:tcMar>
          </w:tcPr>
          <w:p w14:paraId="41B77020" w14:textId="77777777" w:rsidR="0080216C" w:rsidRDefault="004A4404">
            <w:r>
              <w:rPr>
                <w:sz w:val="19"/>
                <w:szCs w:val="19"/>
              </w:rPr>
              <w:t>Net covers over propagation beds</w:t>
            </w:r>
          </w:p>
        </w:tc>
        <w:tc>
          <w:tcPr>
            <w:tcW w:w="2047" w:type="dxa"/>
            <w:tcMar>
              <w:top w:w="60" w:type="dxa"/>
              <w:left w:w="90" w:type="dxa"/>
              <w:bottom w:w="60" w:type="dxa"/>
              <w:right w:w="90" w:type="dxa"/>
            </w:tcMar>
          </w:tcPr>
          <w:p w14:paraId="35555730" w14:textId="77777777" w:rsidR="0080216C" w:rsidRDefault="004A4404">
            <w:r>
              <w:rPr>
                <w:sz w:val="19"/>
                <w:szCs w:val="19"/>
              </w:rPr>
              <w:t>Netting improves transplant quality and reduces pest pressure</w:t>
            </w:r>
          </w:p>
        </w:tc>
        <w:tc>
          <w:tcPr>
            <w:tcW w:w="2047" w:type="dxa"/>
            <w:tcMar>
              <w:top w:w="60" w:type="dxa"/>
              <w:left w:w="90" w:type="dxa"/>
              <w:bottom w:w="60" w:type="dxa"/>
              <w:right w:w="90" w:type="dxa"/>
            </w:tcMar>
          </w:tcPr>
          <w:p w14:paraId="25FEA4EE" w14:textId="77777777" w:rsidR="0080216C" w:rsidRDefault="004A4404">
            <w:r>
              <w:rPr>
                <w:sz w:val="19"/>
                <w:szCs w:val="19"/>
              </w:rPr>
              <w:t>Protective structures face economic and durability constraints for smallholders</w:t>
            </w:r>
          </w:p>
        </w:tc>
        <w:tc>
          <w:tcPr>
            <w:tcW w:w="2339" w:type="dxa"/>
            <w:tcMar>
              <w:top w:w="60" w:type="dxa"/>
              <w:left w:w="90" w:type="dxa"/>
              <w:bottom w:w="60" w:type="dxa"/>
              <w:right w:w="90" w:type="dxa"/>
            </w:tcMar>
          </w:tcPr>
          <w:p w14:paraId="350A05CB" w14:textId="77777777" w:rsidR="0080216C" w:rsidRDefault="004A4404">
            <w:r>
              <w:rPr>
                <w:sz w:val="19"/>
                <w:szCs w:val="19"/>
              </w:rPr>
              <w:t>Technology efficacy and enterprise economics are distinct questions evaluated by different designs</w:t>
            </w:r>
          </w:p>
        </w:tc>
        <w:tc>
          <w:tcPr>
            <w:tcW w:w="1559" w:type="dxa"/>
            <w:tcMar>
              <w:top w:w="60" w:type="dxa"/>
              <w:left w:w="90" w:type="dxa"/>
              <w:bottom w:w="60" w:type="dxa"/>
              <w:right w:w="90" w:type="dxa"/>
            </w:tcMar>
          </w:tcPr>
          <w:p w14:paraId="5C8D1396" w14:textId="77777777" w:rsidR="0080216C" w:rsidRDefault="004A4404">
            <w:r>
              <w:rPr>
                <w:sz w:val="19"/>
                <w:szCs w:val="19"/>
              </w:rPr>
              <w:t xml:space="preserve">Gogo et al. (2012); Gogo et al. (2014); </w:t>
            </w:r>
            <w:proofErr w:type="spellStart"/>
            <w:r>
              <w:rPr>
                <w:sz w:val="19"/>
                <w:szCs w:val="19"/>
              </w:rPr>
              <w:t>Nordey</w:t>
            </w:r>
            <w:proofErr w:type="spellEnd"/>
            <w:r>
              <w:rPr>
                <w:sz w:val="19"/>
                <w:szCs w:val="19"/>
              </w:rPr>
              <w:t xml:space="preserve"> et al. (2017)</w:t>
            </w:r>
          </w:p>
        </w:tc>
      </w:tr>
      <w:tr w:rsidR="0080216C" w14:paraId="142F7C03" w14:textId="77777777">
        <w:tc>
          <w:tcPr>
            <w:tcW w:w="1754" w:type="dxa"/>
            <w:tcMar>
              <w:top w:w="60" w:type="dxa"/>
              <w:left w:w="90" w:type="dxa"/>
              <w:bottom w:w="60" w:type="dxa"/>
              <w:right w:w="90" w:type="dxa"/>
            </w:tcMar>
          </w:tcPr>
          <w:p w14:paraId="37317B06" w14:textId="77777777" w:rsidR="0080216C" w:rsidRDefault="004A4404">
            <w:r>
              <w:rPr>
                <w:sz w:val="19"/>
                <w:szCs w:val="19"/>
              </w:rPr>
              <w:t>Net phytosanitary effect of centralised propagation</w:t>
            </w:r>
          </w:p>
        </w:tc>
        <w:tc>
          <w:tcPr>
            <w:tcW w:w="2047" w:type="dxa"/>
            <w:tcMar>
              <w:top w:w="60" w:type="dxa"/>
              <w:left w:w="90" w:type="dxa"/>
              <w:bottom w:w="60" w:type="dxa"/>
              <w:right w:w="90" w:type="dxa"/>
            </w:tcMar>
          </w:tcPr>
          <w:p w14:paraId="0049546C" w14:textId="77777777" w:rsidR="0080216C" w:rsidRDefault="004A4404">
            <w:r>
              <w:rPr>
                <w:sz w:val="19"/>
                <w:szCs w:val="19"/>
              </w:rPr>
              <w:t>Centralisation permits substrate control, exclusion and grafting</w:t>
            </w:r>
          </w:p>
        </w:tc>
        <w:tc>
          <w:tcPr>
            <w:tcW w:w="2047" w:type="dxa"/>
            <w:tcMar>
              <w:top w:w="60" w:type="dxa"/>
              <w:left w:w="90" w:type="dxa"/>
              <w:bottom w:w="60" w:type="dxa"/>
              <w:right w:w="90" w:type="dxa"/>
            </w:tcMar>
          </w:tcPr>
          <w:p w14:paraId="18387267" w14:textId="77777777" w:rsidR="0080216C" w:rsidRDefault="004A4404">
            <w:r>
              <w:rPr>
                <w:sz w:val="19"/>
                <w:szCs w:val="19"/>
              </w:rPr>
              <w:t>Centralisation creates an amplification and dispersal pathway</w:t>
            </w:r>
          </w:p>
        </w:tc>
        <w:tc>
          <w:tcPr>
            <w:tcW w:w="2339" w:type="dxa"/>
            <w:tcMar>
              <w:top w:w="60" w:type="dxa"/>
              <w:left w:w="90" w:type="dxa"/>
              <w:bottom w:w="60" w:type="dxa"/>
              <w:right w:w="90" w:type="dxa"/>
            </w:tcMar>
          </w:tcPr>
          <w:p w14:paraId="4889919E" w14:textId="77777777" w:rsidR="0080216C" w:rsidRDefault="004A4404">
            <w:r>
              <w:rPr>
                <w:sz w:val="19"/>
                <w:szCs w:val="19"/>
              </w:rPr>
              <w:t>Asymmetric research attention rather than contradictory findings; the second position is largely untested</w:t>
            </w:r>
          </w:p>
        </w:tc>
        <w:tc>
          <w:tcPr>
            <w:tcW w:w="1559" w:type="dxa"/>
            <w:tcMar>
              <w:top w:w="60" w:type="dxa"/>
              <w:left w:w="90" w:type="dxa"/>
              <w:bottom w:w="60" w:type="dxa"/>
              <w:right w:w="90" w:type="dxa"/>
            </w:tcMar>
          </w:tcPr>
          <w:p w14:paraId="60A42515" w14:textId="55D26142" w:rsidR="0080216C" w:rsidRDefault="004A4404">
            <w:proofErr w:type="spellStart"/>
            <w:r>
              <w:rPr>
                <w:sz w:val="19"/>
                <w:szCs w:val="19"/>
              </w:rPr>
              <w:t>Kitundu</w:t>
            </w:r>
            <w:proofErr w:type="spellEnd"/>
            <w:r>
              <w:rPr>
                <w:sz w:val="19"/>
                <w:szCs w:val="19"/>
              </w:rPr>
              <w:t xml:space="preserve"> et al. (2022); </w:t>
            </w:r>
            <w:proofErr w:type="spellStart"/>
            <w:r>
              <w:rPr>
                <w:sz w:val="19"/>
                <w:szCs w:val="19"/>
              </w:rPr>
              <w:t>Mawcha</w:t>
            </w:r>
            <w:proofErr w:type="spellEnd"/>
            <w:r>
              <w:rPr>
                <w:sz w:val="19"/>
                <w:szCs w:val="19"/>
              </w:rPr>
              <w:t xml:space="preserve"> et al. (202</w:t>
            </w:r>
            <w:r w:rsidR="0052262B">
              <w:rPr>
                <w:sz w:val="19"/>
                <w:szCs w:val="19"/>
              </w:rPr>
              <w:t>6</w:t>
            </w:r>
            <w:r>
              <w:rPr>
                <w:sz w:val="19"/>
                <w:szCs w:val="19"/>
              </w:rPr>
              <w:t xml:space="preserve">); </w:t>
            </w:r>
            <w:proofErr w:type="spellStart"/>
            <w:r>
              <w:rPr>
                <w:sz w:val="19"/>
                <w:szCs w:val="19"/>
              </w:rPr>
              <w:t>Nordey</w:t>
            </w:r>
            <w:proofErr w:type="spellEnd"/>
            <w:r>
              <w:rPr>
                <w:sz w:val="19"/>
                <w:szCs w:val="19"/>
              </w:rPr>
              <w:t xml:space="preserve"> et al. (2020)</w:t>
            </w:r>
          </w:p>
        </w:tc>
      </w:tr>
      <w:tr w:rsidR="0080216C" w14:paraId="4BF66BF4" w14:textId="77777777">
        <w:tc>
          <w:tcPr>
            <w:tcW w:w="1754" w:type="dxa"/>
            <w:tcMar>
              <w:top w:w="60" w:type="dxa"/>
              <w:left w:w="90" w:type="dxa"/>
              <w:bottom w:w="60" w:type="dxa"/>
              <w:right w:w="90" w:type="dxa"/>
            </w:tcMar>
          </w:tcPr>
          <w:p w14:paraId="7CB52959" w14:textId="77777777" w:rsidR="0080216C" w:rsidRDefault="004A4404">
            <w:r>
              <w:rPr>
                <w:sz w:val="19"/>
                <w:szCs w:val="19"/>
              </w:rPr>
              <w:lastRenderedPageBreak/>
              <w:t>Magnitude of transplant quality benefits</w:t>
            </w:r>
          </w:p>
        </w:tc>
        <w:tc>
          <w:tcPr>
            <w:tcW w:w="2047" w:type="dxa"/>
            <w:tcMar>
              <w:top w:w="60" w:type="dxa"/>
              <w:left w:w="90" w:type="dxa"/>
              <w:bottom w:w="60" w:type="dxa"/>
              <w:right w:w="90" w:type="dxa"/>
            </w:tcMar>
          </w:tcPr>
          <w:p w14:paraId="4D002641" w14:textId="77777777" w:rsidR="0080216C" w:rsidRDefault="004A4404">
            <w:r>
              <w:rPr>
                <w:sz w:val="19"/>
                <w:szCs w:val="19"/>
              </w:rPr>
              <w:t>Nursery variables strongly determine field yield</w:t>
            </w:r>
          </w:p>
        </w:tc>
        <w:tc>
          <w:tcPr>
            <w:tcW w:w="2047" w:type="dxa"/>
            <w:tcMar>
              <w:top w:w="60" w:type="dxa"/>
              <w:left w:w="90" w:type="dxa"/>
              <w:bottom w:w="60" w:type="dxa"/>
              <w:right w:w="90" w:type="dxa"/>
            </w:tcMar>
          </w:tcPr>
          <w:p w14:paraId="19C86D3F" w14:textId="77777777" w:rsidR="0080216C" w:rsidRDefault="004A4404">
            <w:r>
              <w:rPr>
                <w:sz w:val="19"/>
                <w:szCs w:val="19"/>
              </w:rPr>
              <w:t>Reported magnitudes vary widely across crops and environments</w:t>
            </w:r>
          </w:p>
        </w:tc>
        <w:tc>
          <w:tcPr>
            <w:tcW w:w="2339" w:type="dxa"/>
            <w:tcMar>
              <w:top w:w="60" w:type="dxa"/>
              <w:left w:w="90" w:type="dxa"/>
              <w:bottom w:w="60" w:type="dxa"/>
              <w:right w:w="90" w:type="dxa"/>
            </w:tcMar>
          </w:tcPr>
          <w:p w14:paraId="3913D75D" w14:textId="77777777" w:rsidR="0080216C" w:rsidRDefault="004A4404">
            <w:r>
              <w:rPr>
                <w:sz w:val="19"/>
                <w:szCs w:val="19"/>
              </w:rPr>
              <w:t>Genotype-by-environment interaction and differing measurement endpoints</w:t>
            </w:r>
          </w:p>
        </w:tc>
        <w:tc>
          <w:tcPr>
            <w:tcW w:w="1559" w:type="dxa"/>
            <w:tcMar>
              <w:top w:w="60" w:type="dxa"/>
              <w:left w:w="90" w:type="dxa"/>
              <w:bottom w:w="60" w:type="dxa"/>
              <w:right w:w="90" w:type="dxa"/>
            </w:tcMar>
          </w:tcPr>
          <w:p w14:paraId="4939DD95" w14:textId="77777777" w:rsidR="0080216C" w:rsidRDefault="004A4404">
            <w:r>
              <w:rPr>
                <w:sz w:val="19"/>
                <w:szCs w:val="19"/>
              </w:rPr>
              <w:t>Balliu (2017); Leskovar and Vavrina (1999); Özer (2018)</w:t>
            </w:r>
          </w:p>
        </w:tc>
      </w:tr>
      <w:tr w:rsidR="0080216C" w14:paraId="197BCFC3" w14:textId="77777777">
        <w:tc>
          <w:tcPr>
            <w:tcW w:w="1754" w:type="dxa"/>
            <w:tcMar>
              <w:top w:w="60" w:type="dxa"/>
              <w:left w:w="90" w:type="dxa"/>
              <w:bottom w:w="60" w:type="dxa"/>
              <w:right w:w="90" w:type="dxa"/>
            </w:tcMar>
          </w:tcPr>
          <w:p w14:paraId="47984CC7" w14:textId="77777777" w:rsidR="0080216C" w:rsidRDefault="004A4404">
            <w:r>
              <w:rPr>
                <w:sz w:val="19"/>
                <w:szCs w:val="19"/>
              </w:rPr>
              <w:t xml:space="preserve">Value of nursery-applied biological and </w:t>
            </w:r>
            <w:proofErr w:type="spellStart"/>
            <w:r>
              <w:rPr>
                <w:sz w:val="19"/>
                <w:szCs w:val="19"/>
              </w:rPr>
              <w:t>biostimulant</w:t>
            </w:r>
            <w:proofErr w:type="spellEnd"/>
            <w:r>
              <w:rPr>
                <w:sz w:val="19"/>
                <w:szCs w:val="19"/>
              </w:rPr>
              <w:t xml:space="preserve"> treatments</w:t>
            </w:r>
          </w:p>
        </w:tc>
        <w:tc>
          <w:tcPr>
            <w:tcW w:w="2047" w:type="dxa"/>
            <w:tcMar>
              <w:top w:w="60" w:type="dxa"/>
              <w:left w:w="90" w:type="dxa"/>
              <w:bottom w:w="60" w:type="dxa"/>
              <w:right w:w="90" w:type="dxa"/>
            </w:tcMar>
          </w:tcPr>
          <w:p w14:paraId="38C63FAA" w14:textId="77777777" w:rsidR="0080216C" w:rsidRDefault="004A4404">
            <w:r>
              <w:rPr>
                <w:sz w:val="19"/>
                <w:szCs w:val="19"/>
              </w:rPr>
              <w:t>Carry-over effects on field performance are demonstrable</w:t>
            </w:r>
          </w:p>
        </w:tc>
        <w:tc>
          <w:tcPr>
            <w:tcW w:w="2047" w:type="dxa"/>
            <w:tcMar>
              <w:top w:w="60" w:type="dxa"/>
              <w:left w:w="90" w:type="dxa"/>
              <w:bottom w:w="60" w:type="dxa"/>
              <w:right w:w="90" w:type="dxa"/>
            </w:tcMar>
          </w:tcPr>
          <w:p w14:paraId="288540A4" w14:textId="77777777" w:rsidR="0080216C" w:rsidRDefault="004A4404">
            <w:r>
              <w:rPr>
                <w:sz w:val="19"/>
                <w:szCs w:val="19"/>
              </w:rPr>
              <w:t>Benefits are conditional on the occurrence of specific stresses</w:t>
            </w:r>
          </w:p>
        </w:tc>
        <w:tc>
          <w:tcPr>
            <w:tcW w:w="2339" w:type="dxa"/>
            <w:tcMar>
              <w:top w:w="60" w:type="dxa"/>
              <w:left w:w="90" w:type="dxa"/>
              <w:bottom w:w="60" w:type="dxa"/>
              <w:right w:w="90" w:type="dxa"/>
            </w:tcMar>
          </w:tcPr>
          <w:p w14:paraId="1B0D8BED" w14:textId="77777777" w:rsidR="0080216C" w:rsidRDefault="004A4404">
            <w:r>
              <w:rPr>
                <w:sz w:val="19"/>
                <w:szCs w:val="19"/>
              </w:rPr>
              <w:t>Stress-dependence of the mechanism; benefit is not expected under favourable conditions</w:t>
            </w:r>
          </w:p>
        </w:tc>
        <w:tc>
          <w:tcPr>
            <w:tcW w:w="1559" w:type="dxa"/>
            <w:tcMar>
              <w:top w:w="60" w:type="dxa"/>
              <w:left w:w="90" w:type="dxa"/>
              <w:bottom w:w="60" w:type="dxa"/>
              <w:right w:w="90" w:type="dxa"/>
            </w:tcMar>
          </w:tcPr>
          <w:p w14:paraId="71BDCD59" w14:textId="77777777" w:rsidR="0080216C" w:rsidRDefault="004A4404">
            <w:r>
              <w:rPr>
                <w:sz w:val="19"/>
                <w:szCs w:val="19"/>
              </w:rPr>
              <w:t>Al-Karaki (2006); Qin and Leskovar (2020)</w:t>
            </w:r>
          </w:p>
        </w:tc>
      </w:tr>
    </w:tbl>
    <w:p w14:paraId="3DDE2C34" w14:textId="77777777" w:rsidR="0080216C" w:rsidRDefault="004A4404">
      <w:pPr>
        <w:spacing w:before="100" w:after="260"/>
        <w:jc w:val="both"/>
      </w:pPr>
      <w:r>
        <w:rPr>
          <w:sz w:val="18"/>
          <w:szCs w:val="18"/>
        </w:rPr>
        <w:t>Note. Positions A and B summarise interpretations supported by the cited sources and are not attributed to individual authors as advocacy. Entries describing asymmetric research attention indicate that the two positions have not been tested with comparable rigour rather than that they have been tested and found to conflict.</w:t>
      </w:r>
    </w:p>
    <w:p w14:paraId="0F52A1DB" w14:textId="77777777" w:rsidR="0080216C" w:rsidRDefault="004A4404">
      <w:pPr>
        <w:pStyle w:val="Heading1"/>
        <w:spacing w:before="320" w:after="160"/>
      </w:pPr>
      <w:r>
        <w:rPr>
          <w:b/>
          <w:bCs/>
          <w:color w:val="000000"/>
          <w:sz w:val="26"/>
          <w:szCs w:val="26"/>
        </w:rPr>
        <w:t>6. Economic, Institutional and Regulatory Conditions</w:t>
      </w:r>
    </w:p>
    <w:p w14:paraId="701815AA" w14:textId="77777777" w:rsidR="0080216C" w:rsidRDefault="004A4404">
      <w:pPr>
        <w:pStyle w:val="Heading2"/>
        <w:spacing w:before="320" w:after="160"/>
      </w:pPr>
      <w:r>
        <w:rPr>
          <w:b/>
          <w:bCs/>
          <w:color w:val="000000"/>
          <w:sz w:val="24"/>
          <w:szCs w:val="24"/>
        </w:rPr>
        <w:t>6.1 Demand conditions and the seasonality problem</w:t>
      </w:r>
    </w:p>
    <w:p w14:paraId="6704030E" w14:textId="77777777" w:rsidR="0080216C" w:rsidRDefault="004A4404">
      <w:pPr>
        <w:spacing w:after="160" w:line="360" w:lineRule="auto"/>
        <w:jc w:val="both"/>
      </w:pPr>
      <w:r>
        <w:t>A nursery enterprise depends on a demand pattern that Nigerian vegetable production does not obviously provide. Transplant demand is concentrated into short planting windows determined by rainfall and irrigation availability, it collapses between those windows, and it cannot be met from stock because seedlings deteriorate rapidly once they exceed their transplanting window. The enterprise therefore faces a capacity utilisation problem that is structural rather than managerial.</w:t>
      </w:r>
    </w:p>
    <w:p w14:paraId="1FF62A4C" w14:textId="77777777" w:rsidR="0080216C" w:rsidRDefault="004A4404">
      <w:pPr>
        <w:spacing w:after="160" w:line="360" w:lineRule="auto"/>
        <w:jc w:val="both"/>
      </w:pPr>
      <w:r>
        <w:t>Nigerian evidence on the seasonality of vegetable production establishes the shape of this constraint. Profitability of vegetable farming in south-western Nigeria differed between rainy-season and dry-season production, indicating that the two seasons constitute economically distinct systems rather than a continuous production cycle (</w:t>
      </w:r>
      <w:proofErr w:type="spellStart"/>
      <w:r>
        <w:t>Bamire</w:t>
      </w:r>
      <w:proofErr w:type="spellEnd"/>
      <w:r>
        <w:t xml:space="preserve"> &amp; Oke, 2004). Dry-season irrigated production on the Jos Plateau expanded substantially over two decades, driven by irrigation access and market demand, which demonstrates that concentrated seasonal production systems can grow rapidly where water is available (Pasquini et al., 2004). Programme support for dry-season vegetable growers in Kwara State was associated with changes in grower outcomes, indicating that the dry-season segment is responsive to intervention (</w:t>
      </w:r>
      <w:proofErr w:type="spellStart"/>
      <w:r>
        <w:t>Matanmi</w:t>
      </w:r>
      <w:proofErr w:type="spellEnd"/>
      <w:r>
        <w:t xml:space="preserve"> et al., 2017). These studies collectively establish that the seasonal structure exists and matters, but none was designed to examine seedling demand, and the implication for nursery capacity utilisation is inferred rather than measured.</w:t>
      </w:r>
    </w:p>
    <w:p w14:paraId="41C162E7" w14:textId="77777777" w:rsidR="0080216C" w:rsidRDefault="004A4404">
      <w:pPr>
        <w:spacing w:after="160" w:line="360" w:lineRule="auto"/>
        <w:jc w:val="both"/>
      </w:pPr>
      <w:r>
        <w:t xml:space="preserve">The willingness of growers to purchase transplants is a further unknown. Buying seedlings converts an activity previously performed with family labour and farm materials into a cash outlay at the point in the season when liquidity is typically lowest. Whether growers will make that substitution depends on the perceived reliability of the alternative, on credit availability and on the visibility of the quality difference, none of which has been examined for Nigerian vegetable growers in the sources reviewed. Analogous work on the adoption of postharvest innovations in Nigerian tomato systems shows that adoption of a demonstrably beneficial practice is nonetheless conditioned by access, information and </w:t>
      </w:r>
      <w:r>
        <w:lastRenderedPageBreak/>
        <w:t>cost (Yami et al., 2025), and there is no reason to expect seedling purchase to be exempt from such conditioning.</w:t>
      </w:r>
    </w:p>
    <w:p w14:paraId="32FC01B9" w14:textId="77777777" w:rsidR="0080216C" w:rsidRDefault="004A4404">
      <w:pPr>
        <w:pStyle w:val="Heading2"/>
        <w:spacing w:before="320" w:after="160"/>
      </w:pPr>
      <w:r>
        <w:rPr>
          <w:b/>
          <w:bCs/>
          <w:color w:val="000000"/>
          <w:sz w:val="24"/>
          <w:szCs w:val="24"/>
        </w:rPr>
        <w:t>6.2 Enterprise viability and the structure of the business</w:t>
      </w:r>
    </w:p>
    <w:p w14:paraId="08DAECD4" w14:textId="77777777" w:rsidR="0080216C" w:rsidRDefault="004A4404">
      <w:pPr>
        <w:spacing w:after="160" w:line="360" w:lineRule="auto"/>
        <w:jc w:val="both"/>
      </w:pPr>
      <w:r>
        <w:t>The nursery business combines a short production cycle with a perishable product, which produces a distinctive risk profile. Revenue is realised quickly, which limits working capital requirements relative to field crops, but unsold output has no salvage value, since a seedling past its transplanting window cannot be stored or redirected. Production decisions must therefore be made in anticipation of demand that is neither contracted nor observable, and the resulting exposure is borne entirely by the operator.</w:t>
      </w:r>
    </w:p>
    <w:p w14:paraId="51BC3397" w14:textId="3ADC8342" w:rsidR="0080216C" w:rsidRDefault="004A4404">
      <w:pPr>
        <w:spacing w:after="160" w:line="360" w:lineRule="auto"/>
        <w:jc w:val="both"/>
      </w:pPr>
      <w:r>
        <w:t xml:space="preserve">Two features of the reviewed literature bear on this. First, the technology-focused African studies report the agronomic performance of protective structures without reporting the financial performance of the units that use them, so the recovery of capital cost over seedling sales remains unquantified (Gogo et al., 2012; </w:t>
      </w:r>
      <w:proofErr w:type="spellStart"/>
      <w:r>
        <w:t>Muleke</w:t>
      </w:r>
      <w:proofErr w:type="spellEnd"/>
      <w:r>
        <w:t xml:space="preserve"> et al., 201</w:t>
      </w:r>
      <w:r w:rsidR="0052262B">
        <w:t>3</w:t>
      </w:r>
      <w:r>
        <w:t>). Second, the review of protected cultivation in the region identifies cost and durability as the binding constraints on smallholder adoption of protective structures generally, which suggests that nursery structures face the same constraint in a more acute form because their output has lower unit value than a field crop (</w:t>
      </w:r>
      <w:proofErr w:type="spellStart"/>
      <w:r>
        <w:t>Nordey</w:t>
      </w:r>
      <w:proofErr w:type="spellEnd"/>
      <w:r>
        <w:t xml:space="preserve"> et al., 2017). No peer-reviewed enterprise-level analysis of Nigerian vegetable seedling nurseries was located, and this is the single largest gap in the economic evidence base.</w:t>
      </w:r>
    </w:p>
    <w:p w14:paraId="3C1418FF" w14:textId="77777777" w:rsidR="0080216C" w:rsidRDefault="004A4404">
      <w:pPr>
        <w:spacing w:after="160" w:line="360" w:lineRule="auto"/>
        <w:jc w:val="both"/>
      </w:pPr>
      <w:r>
        <w:t>The comparison with seed supply is instructive. Analysis of maize seed supply systems in south-western Nigeria showed that formal and informal channels coexist, that growers move between them, and that the development of the formal sector depends on institutional support as much as on product quality (Daniel &amp; Adetumbi, 2006). Seedlings differ from seed in that they cannot be stored, transported over long distances or held against future demand, which means the informal channel is harder to displace and the formal channel is more exposed to demand variability. Extrapolation from seed sector development to seedling sector development should therefore be made cautiously, and the assumption that the two will follow similar trajectories is not supported.</w:t>
      </w:r>
    </w:p>
    <w:p w14:paraId="6A0FD31D" w14:textId="77777777" w:rsidR="0080216C" w:rsidRDefault="004A4404">
      <w:pPr>
        <w:pStyle w:val="Heading2"/>
        <w:spacing w:before="320" w:after="160"/>
      </w:pPr>
      <w:r>
        <w:rPr>
          <w:b/>
          <w:bCs/>
          <w:color w:val="000000"/>
          <w:sz w:val="24"/>
          <w:szCs w:val="24"/>
        </w:rPr>
        <w:t>6.3 Regulation, certification and a statutory blind spot</w:t>
      </w:r>
    </w:p>
    <w:p w14:paraId="7C22EFA0" w14:textId="77777777" w:rsidR="0080216C" w:rsidRDefault="004A4404">
      <w:pPr>
        <w:spacing w:after="160" w:line="360" w:lineRule="auto"/>
        <w:jc w:val="both"/>
      </w:pPr>
      <w:r>
        <w:t>The regulatory position deserves close attention because it is both clear and consequential. The National Agricultural Seeds Council Act, 2019 defines agricultural seeds to include vegetable seed, horticultural seeds and seedlings, forestry seeds and seedlings, and such other planting materials as the Minister may designate, and it establishes an official quality control and certification service together with obligations on registration of seed operators, seed standards, labelling, inspection and post-certification control (National Agricultural Seeds Council Act, 2019). Seedlings are therefore within the statutory definition and are not excluded from the regulatory reach of the Council.</w:t>
      </w:r>
    </w:p>
    <w:p w14:paraId="634FC323" w14:textId="77777777" w:rsidR="0080216C" w:rsidRDefault="004A4404">
      <w:pPr>
        <w:spacing w:after="160" w:line="360" w:lineRule="auto"/>
        <w:jc w:val="both"/>
      </w:pPr>
      <w:r>
        <w:lastRenderedPageBreak/>
        <w:t xml:space="preserve">The operational apparatus, however, is organised around seed. Certification under the Act attaches to varieties listed in the National Seed Catalogue and to seed lots that can be sampled, analysed for analytical purity, moisture content, germination, health and varietal purity, packaged, labelled and stored under prescribed conditions (National Agricultural Seeds Council Act, 2019). These procedures presuppose a storable, </w:t>
      </w:r>
      <w:proofErr w:type="spellStart"/>
      <w:r>
        <w:t>samplable</w:t>
      </w:r>
      <w:proofErr w:type="spellEnd"/>
      <w:r>
        <w:t>, lot-based commodity. A vegetable seedling is none of these things: it is produced continuously, cannot be sampled destructively without loss, cannot be held for laboratory analysis without deterioration, and is consumed within days of sale. The consequence is that a commodity explicitly named in the statute is not readily reachable by the instruments the statute provides.</w:t>
      </w:r>
    </w:p>
    <w:p w14:paraId="05FDF2DB" w14:textId="77777777" w:rsidR="0080216C" w:rsidRDefault="004A4404">
      <w:pPr>
        <w:spacing w:after="160" w:line="360" w:lineRule="auto"/>
        <w:jc w:val="both"/>
      </w:pPr>
      <w:r>
        <w:t>This matters for the sustainability argument in a direct way. If the principal benefit of commercial nurseries is that they raise and standardise transplant quality, then the benefit depends on quality being verifiable by the purchaser. In the absence of an applicable certification mechanism, quality is unobservable at the point of sale, since a seedling that carries a latent infection or that was raised from uncertified seed is not visually distinguishable from one that was not. Such a market is structurally vulnerable to quality erosion, because operators who reduce cost by using cheaper seed or by omitting phytosanitary precautions cannot be distinguished from those who do not. The regulatory framework for vegetable seed in Africa has been identified as a determinant of seed sector performance more generally (</w:t>
      </w:r>
      <w:proofErr w:type="spellStart"/>
      <w:r>
        <w:t>Schreinemachers</w:t>
      </w:r>
      <w:proofErr w:type="spellEnd"/>
      <w:r>
        <w:t xml:space="preserve"> et al., 2021), and the seedling case represents a specific and unaddressed instance of that dependence.</w:t>
      </w:r>
    </w:p>
    <w:p w14:paraId="7A5A6690" w14:textId="77777777" w:rsidR="0080216C" w:rsidRDefault="004A4404">
      <w:pPr>
        <w:spacing w:after="160" w:line="360" w:lineRule="auto"/>
        <w:jc w:val="both"/>
      </w:pPr>
      <w:r>
        <w:t>A defensible response would not require new primary legislation, since the enabling power already exists. Process-based accreditation of nursery premises, covering substrate handling, water source, sanitation, seed provenance documentation and record keeping, would fit the Act's provisions on registration of operators and on inspection more readily than product-based certification of individual seedlings. Whether such an approach would be administratively feasible in Nigeria, and whether growers would pay a premium for accredited seedlings, are empirical questions that have not been investigated.</w:t>
      </w:r>
    </w:p>
    <w:p w14:paraId="791DAC8D" w14:textId="77777777" w:rsidR="0080216C" w:rsidRDefault="004A4404">
      <w:pPr>
        <w:pStyle w:val="Heading2"/>
        <w:spacing w:before="320" w:after="160"/>
      </w:pPr>
      <w:r>
        <w:rPr>
          <w:b/>
          <w:bCs/>
          <w:color w:val="000000"/>
          <w:sz w:val="24"/>
          <w:szCs w:val="24"/>
        </w:rPr>
        <w:t>6.4 Labour, gender and distributional consequences</w:t>
      </w:r>
    </w:p>
    <w:p w14:paraId="0271A260" w14:textId="77777777" w:rsidR="0080216C" w:rsidRDefault="004A4404">
      <w:pPr>
        <w:spacing w:after="160" w:line="360" w:lineRule="auto"/>
        <w:jc w:val="both"/>
      </w:pPr>
      <w:r>
        <w:t>A shift of propagation from the farm to a specialised enterprise relocates labour, and the relocation is not distributionally neutral. Seedling raising is frequently performed by women within Nigerian and wider African vegetable households, and its transfer to a commercial unit converts an unpaid household activity into either purchased employment or purchased product. Whether this represents a gain or a loss depends on who controls the resulting cash flow and on whether the displaced labour finds alternative employment.</w:t>
      </w:r>
    </w:p>
    <w:p w14:paraId="5C6EE7CF" w14:textId="6ACBB8CD" w:rsidR="0080216C" w:rsidRDefault="004A4404">
      <w:pPr>
        <w:spacing w:after="160" w:line="360" w:lineRule="auto"/>
        <w:jc w:val="both"/>
      </w:pPr>
      <w:r>
        <w:lastRenderedPageBreak/>
        <w:t>The evidence base for this question in Nigeria is limited but not absent. Adoption of improved vegetable production practices among women farmers in Anambra State was influenced by a range of socio-economic factors, indicating that access to improved practices is unevenly distributed within farming communities (</w:t>
      </w:r>
      <w:proofErr w:type="spellStart"/>
      <w:r>
        <w:t>Odoemlam</w:t>
      </w:r>
      <w:proofErr w:type="spellEnd"/>
      <w:r>
        <w:t xml:space="preserve"> &amp; Nzeakor, 2021). Regional evidence from Tanzania demonstrates that income distribution and resource access within vegetable value chains are strongly gendered, and that interventions altering the structure of the chain also alter the distribution of returns within it (Fischer et al., 201</w:t>
      </w:r>
      <w:r w:rsidR="0052262B">
        <w:t>7</w:t>
      </w:r>
      <w:r>
        <w:t>). Work on the improvement of traditional African vegetables has explicitly recognised the position of women in these systems and has framed development strategies accordingly (</w:t>
      </w:r>
      <w:proofErr w:type="spellStart"/>
      <w:r>
        <w:t>Dinssa</w:t>
      </w:r>
      <w:proofErr w:type="spellEnd"/>
      <w:r>
        <w:t xml:space="preserve"> et al., 2016).</w:t>
      </w:r>
    </w:p>
    <w:p w14:paraId="25BFCD1D" w14:textId="77777777" w:rsidR="0080216C" w:rsidRDefault="004A4404">
      <w:pPr>
        <w:spacing w:after="160" w:line="360" w:lineRule="auto"/>
        <w:jc w:val="both"/>
      </w:pPr>
      <w:r>
        <w:t>Applying this to Nigerian nurseries yields a hypothesis rather than a finding. Commercial propagation may create employment in nursery operations while reducing the productive role of household members in propagation, and the net effect on women's income and decision-making authority is indeterminate on current evidence. No Nigerian study examining the labour or gender consequences of transplant purchase was identified. Given that this dimension is central to most working definitions of sustainability, its absence from the evidence base is a material omission rather than a peripheral one.</w:t>
      </w:r>
    </w:p>
    <w:p w14:paraId="4A2CA501" w14:textId="77777777" w:rsidR="0080216C" w:rsidRDefault="004A4404">
      <w:pPr>
        <w:spacing w:after="160" w:line="360" w:lineRule="auto"/>
        <w:jc w:val="both"/>
      </w:pPr>
      <w:r>
        <w:t>Table 4 consolidates the methodological weaknesses that recur across the evidence base, distinguishing between problems affecting the agronomic literature and those affecting the economic and institutional literature. The pattern that emerges is that the agronomic evidence is internally rigorous but externally limited, whereas the economic evidence is externally relevant but internally weak, and that no body of work combines both properties for the Nigerian case. Recognising this pattern is necessary before the research priorities set out below can be justified, since it identifies which weaknesses are remediable by better design and which require new data collection.</w:t>
      </w:r>
    </w:p>
    <w:p w14:paraId="2DC2FE8A" w14:textId="77777777" w:rsidR="0080216C" w:rsidRDefault="004A4404">
      <w:pPr>
        <w:keepNext/>
        <w:spacing w:before="200" w:after="100"/>
      </w:pPr>
      <w:r>
        <w:rPr>
          <w:b/>
          <w:bCs/>
          <w:sz w:val="19"/>
          <w:szCs w:val="19"/>
        </w:rPr>
        <w:t>Table 4. Recurring methodological limitations across the reviewed evidence base and their consequences for inference</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754"/>
        <w:gridCol w:w="2047"/>
        <w:gridCol w:w="2047"/>
        <w:gridCol w:w="2339"/>
        <w:gridCol w:w="1559"/>
      </w:tblGrid>
      <w:tr w:rsidR="0080216C" w14:paraId="5C4871D1" w14:textId="77777777">
        <w:trPr>
          <w:tblHeader/>
        </w:trPr>
        <w:tc>
          <w:tcPr>
            <w:tcW w:w="1754" w:type="dxa"/>
            <w:shd w:val="clear" w:color="auto" w:fill="E8E8E8"/>
            <w:tcMar>
              <w:top w:w="60" w:type="dxa"/>
              <w:left w:w="90" w:type="dxa"/>
              <w:bottom w:w="60" w:type="dxa"/>
              <w:right w:w="90" w:type="dxa"/>
            </w:tcMar>
          </w:tcPr>
          <w:p w14:paraId="2CABD28B" w14:textId="77777777" w:rsidR="0080216C" w:rsidRDefault="004A4404">
            <w:r>
              <w:rPr>
                <w:b/>
                <w:bCs/>
                <w:sz w:val="19"/>
                <w:szCs w:val="19"/>
              </w:rPr>
              <w:t>Limitation</w:t>
            </w:r>
          </w:p>
        </w:tc>
        <w:tc>
          <w:tcPr>
            <w:tcW w:w="2047" w:type="dxa"/>
            <w:shd w:val="clear" w:color="auto" w:fill="E8E8E8"/>
            <w:tcMar>
              <w:top w:w="60" w:type="dxa"/>
              <w:left w:w="90" w:type="dxa"/>
              <w:bottom w:w="60" w:type="dxa"/>
              <w:right w:w="90" w:type="dxa"/>
            </w:tcMar>
          </w:tcPr>
          <w:p w14:paraId="56B8F33D" w14:textId="77777777" w:rsidR="0080216C" w:rsidRDefault="004A4404">
            <w:r>
              <w:rPr>
                <w:b/>
                <w:bCs/>
                <w:sz w:val="19"/>
                <w:szCs w:val="19"/>
              </w:rPr>
              <w:t>Domain principally affected</w:t>
            </w:r>
          </w:p>
        </w:tc>
        <w:tc>
          <w:tcPr>
            <w:tcW w:w="2047" w:type="dxa"/>
            <w:shd w:val="clear" w:color="auto" w:fill="E8E8E8"/>
            <w:tcMar>
              <w:top w:w="60" w:type="dxa"/>
              <w:left w:w="90" w:type="dxa"/>
              <w:bottom w:w="60" w:type="dxa"/>
              <w:right w:w="90" w:type="dxa"/>
            </w:tcMar>
          </w:tcPr>
          <w:p w14:paraId="105855B6" w14:textId="77777777" w:rsidR="0080216C" w:rsidRDefault="004A4404">
            <w:r>
              <w:rPr>
                <w:b/>
                <w:bCs/>
                <w:sz w:val="19"/>
                <w:szCs w:val="19"/>
              </w:rPr>
              <w:t>Nature of the problem</w:t>
            </w:r>
          </w:p>
        </w:tc>
        <w:tc>
          <w:tcPr>
            <w:tcW w:w="2339" w:type="dxa"/>
            <w:shd w:val="clear" w:color="auto" w:fill="E8E8E8"/>
            <w:tcMar>
              <w:top w:w="60" w:type="dxa"/>
              <w:left w:w="90" w:type="dxa"/>
              <w:bottom w:w="60" w:type="dxa"/>
              <w:right w:w="90" w:type="dxa"/>
            </w:tcMar>
          </w:tcPr>
          <w:p w14:paraId="27DCE5D5" w14:textId="77777777" w:rsidR="0080216C" w:rsidRDefault="004A4404">
            <w:r>
              <w:rPr>
                <w:b/>
                <w:bCs/>
                <w:sz w:val="19"/>
                <w:szCs w:val="19"/>
              </w:rPr>
              <w:t>Consequence for inference about Nigerian nurseries</w:t>
            </w:r>
          </w:p>
        </w:tc>
        <w:tc>
          <w:tcPr>
            <w:tcW w:w="1559" w:type="dxa"/>
            <w:shd w:val="clear" w:color="auto" w:fill="E8E8E8"/>
            <w:tcMar>
              <w:top w:w="60" w:type="dxa"/>
              <w:left w:w="90" w:type="dxa"/>
              <w:bottom w:w="60" w:type="dxa"/>
              <w:right w:w="90" w:type="dxa"/>
            </w:tcMar>
          </w:tcPr>
          <w:p w14:paraId="6069F77D" w14:textId="77777777" w:rsidR="0080216C" w:rsidRDefault="004A4404">
            <w:r>
              <w:rPr>
                <w:b/>
                <w:bCs/>
                <w:sz w:val="19"/>
                <w:szCs w:val="19"/>
              </w:rPr>
              <w:t>Supporting references</w:t>
            </w:r>
          </w:p>
        </w:tc>
      </w:tr>
      <w:tr w:rsidR="0080216C" w14:paraId="05A723B2" w14:textId="77777777">
        <w:tc>
          <w:tcPr>
            <w:tcW w:w="1754" w:type="dxa"/>
            <w:tcMar>
              <w:top w:w="60" w:type="dxa"/>
              <w:left w:w="90" w:type="dxa"/>
              <w:bottom w:w="60" w:type="dxa"/>
              <w:right w:w="90" w:type="dxa"/>
            </w:tcMar>
          </w:tcPr>
          <w:p w14:paraId="62433EFB" w14:textId="77777777" w:rsidR="0080216C" w:rsidRDefault="004A4404">
            <w:r>
              <w:rPr>
                <w:sz w:val="19"/>
                <w:szCs w:val="19"/>
              </w:rPr>
              <w:t>Geographical concentration of controlled evidence</w:t>
            </w:r>
          </w:p>
        </w:tc>
        <w:tc>
          <w:tcPr>
            <w:tcW w:w="2047" w:type="dxa"/>
            <w:tcMar>
              <w:top w:w="60" w:type="dxa"/>
              <w:left w:w="90" w:type="dxa"/>
              <w:bottom w:w="60" w:type="dxa"/>
              <w:right w:w="90" w:type="dxa"/>
            </w:tcMar>
          </w:tcPr>
          <w:p w14:paraId="48D41E24" w14:textId="77777777" w:rsidR="0080216C" w:rsidRDefault="004A4404">
            <w:r>
              <w:rPr>
                <w:sz w:val="19"/>
                <w:szCs w:val="19"/>
              </w:rPr>
              <w:t>Transplant physiology and substrate science</w:t>
            </w:r>
          </w:p>
        </w:tc>
        <w:tc>
          <w:tcPr>
            <w:tcW w:w="2047" w:type="dxa"/>
            <w:tcMar>
              <w:top w:w="60" w:type="dxa"/>
              <w:left w:w="90" w:type="dxa"/>
              <w:bottom w:w="60" w:type="dxa"/>
              <w:right w:w="90" w:type="dxa"/>
            </w:tcMar>
          </w:tcPr>
          <w:p w14:paraId="0C9527B1" w14:textId="77777777" w:rsidR="0080216C" w:rsidRDefault="004A4404">
            <w:r>
              <w:rPr>
                <w:sz w:val="19"/>
                <w:szCs w:val="19"/>
              </w:rPr>
              <w:t>Evidence generated predominantly in temperate and Mediterranean systems</w:t>
            </w:r>
          </w:p>
        </w:tc>
        <w:tc>
          <w:tcPr>
            <w:tcW w:w="2339" w:type="dxa"/>
            <w:tcMar>
              <w:top w:w="60" w:type="dxa"/>
              <w:left w:w="90" w:type="dxa"/>
              <w:bottom w:w="60" w:type="dxa"/>
              <w:right w:w="90" w:type="dxa"/>
            </w:tcMar>
          </w:tcPr>
          <w:p w14:paraId="51207842" w14:textId="77777777" w:rsidR="0080216C" w:rsidRDefault="004A4404">
            <w:r>
              <w:rPr>
                <w:sz w:val="19"/>
                <w:szCs w:val="19"/>
              </w:rPr>
              <w:t>Mechanisms transferable; magnitudes and optimal specifications not transferable</w:t>
            </w:r>
          </w:p>
        </w:tc>
        <w:tc>
          <w:tcPr>
            <w:tcW w:w="1559" w:type="dxa"/>
            <w:tcMar>
              <w:top w:w="60" w:type="dxa"/>
              <w:left w:w="90" w:type="dxa"/>
              <w:bottom w:w="60" w:type="dxa"/>
              <w:right w:w="90" w:type="dxa"/>
            </w:tcMar>
          </w:tcPr>
          <w:p w14:paraId="65B25657" w14:textId="77777777" w:rsidR="0080216C" w:rsidRDefault="004A4404">
            <w:r>
              <w:rPr>
                <w:sz w:val="19"/>
                <w:szCs w:val="19"/>
              </w:rPr>
              <w:t>Balliu (2017); Leskovar and Vavrina (1999); Özer (2018); Weston (1988)</w:t>
            </w:r>
          </w:p>
        </w:tc>
      </w:tr>
      <w:tr w:rsidR="0080216C" w14:paraId="2C46C137" w14:textId="77777777">
        <w:tc>
          <w:tcPr>
            <w:tcW w:w="1754" w:type="dxa"/>
            <w:tcMar>
              <w:top w:w="60" w:type="dxa"/>
              <w:left w:w="90" w:type="dxa"/>
              <w:bottom w:w="60" w:type="dxa"/>
              <w:right w:w="90" w:type="dxa"/>
            </w:tcMar>
          </w:tcPr>
          <w:p w14:paraId="78112034" w14:textId="77777777" w:rsidR="0080216C" w:rsidRDefault="004A4404">
            <w:r>
              <w:rPr>
                <w:sz w:val="19"/>
                <w:szCs w:val="19"/>
              </w:rPr>
              <w:t>Measurement terminating at the seedling stage</w:t>
            </w:r>
          </w:p>
        </w:tc>
        <w:tc>
          <w:tcPr>
            <w:tcW w:w="2047" w:type="dxa"/>
            <w:tcMar>
              <w:top w:w="60" w:type="dxa"/>
              <w:left w:w="90" w:type="dxa"/>
              <w:bottom w:w="60" w:type="dxa"/>
              <w:right w:w="90" w:type="dxa"/>
            </w:tcMar>
          </w:tcPr>
          <w:p w14:paraId="440D621A" w14:textId="77777777" w:rsidR="0080216C" w:rsidRDefault="004A4404">
            <w:r>
              <w:rPr>
                <w:sz w:val="19"/>
                <w:szCs w:val="19"/>
              </w:rPr>
              <w:t>Nursery agronomy</w:t>
            </w:r>
          </w:p>
        </w:tc>
        <w:tc>
          <w:tcPr>
            <w:tcW w:w="2047" w:type="dxa"/>
            <w:tcMar>
              <w:top w:w="60" w:type="dxa"/>
              <w:left w:w="90" w:type="dxa"/>
              <w:bottom w:w="60" w:type="dxa"/>
              <w:right w:w="90" w:type="dxa"/>
            </w:tcMar>
          </w:tcPr>
          <w:p w14:paraId="507958FC" w14:textId="77777777" w:rsidR="0080216C" w:rsidRDefault="004A4404">
            <w:r>
              <w:rPr>
                <w:sz w:val="19"/>
                <w:szCs w:val="19"/>
              </w:rPr>
              <w:t>Seedling attributes reported without field yield follow-through</w:t>
            </w:r>
          </w:p>
        </w:tc>
        <w:tc>
          <w:tcPr>
            <w:tcW w:w="2339" w:type="dxa"/>
            <w:tcMar>
              <w:top w:w="60" w:type="dxa"/>
              <w:left w:w="90" w:type="dxa"/>
              <w:bottom w:w="60" w:type="dxa"/>
              <w:right w:w="90" w:type="dxa"/>
            </w:tcMar>
          </w:tcPr>
          <w:p w14:paraId="5A5797B5" w14:textId="77777777" w:rsidR="0080216C" w:rsidRDefault="004A4404">
            <w:r>
              <w:rPr>
                <w:sz w:val="19"/>
                <w:szCs w:val="19"/>
              </w:rPr>
              <w:t>Yield claims derived from such studies are unsupported</w:t>
            </w:r>
          </w:p>
        </w:tc>
        <w:tc>
          <w:tcPr>
            <w:tcW w:w="1559" w:type="dxa"/>
            <w:tcMar>
              <w:top w:w="60" w:type="dxa"/>
              <w:left w:w="90" w:type="dxa"/>
              <w:bottom w:w="60" w:type="dxa"/>
              <w:right w:w="90" w:type="dxa"/>
            </w:tcMar>
          </w:tcPr>
          <w:p w14:paraId="6D63E4A0" w14:textId="77777777" w:rsidR="0080216C" w:rsidRDefault="004A4404">
            <w:r>
              <w:rPr>
                <w:sz w:val="19"/>
                <w:szCs w:val="19"/>
              </w:rPr>
              <w:t>Özer (2018)</w:t>
            </w:r>
          </w:p>
        </w:tc>
      </w:tr>
      <w:tr w:rsidR="0080216C" w14:paraId="04D6136C" w14:textId="77777777">
        <w:tc>
          <w:tcPr>
            <w:tcW w:w="1754" w:type="dxa"/>
            <w:tcMar>
              <w:top w:w="60" w:type="dxa"/>
              <w:left w:w="90" w:type="dxa"/>
              <w:bottom w:w="60" w:type="dxa"/>
              <w:right w:w="90" w:type="dxa"/>
            </w:tcMar>
          </w:tcPr>
          <w:p w14:paraId="316F34D2" w14:textId="77777777" w:rsidR="0080216C" w:rsidRDefault="004A4404">
            <w:r>
              <w:rPr>
                <w:sz w:val="19"/>
                <w:szCs w:val="19"/>
              </w:rPr>
              <w:t>Technology evaluated in isolation from enterprise economics</w:t>
            </w:r>
          </w:p>
        </w:tc>
        <w:tc>
          <w:tcPr>
            <w:tcW w:w="2047" w:type="dxa"/>
            <w:tcMar>
              <w:top w:w="60" w:type="dxa"/>
              <w:left w:w="90" w:type="dxa"/>
              <w:bottom w:w="60" w:type="dxa"/>
              <w:right w:w="90" w:type="dxa"/>
            </w:tcMar>
          </w:tcPr>
          <w:p w14:paraId="124A2DF7" w14:textId="77777777" w:rsidR="0080216C" w:rsidRDefault="004A4404">
            <w:r>
              <w:rPr>
                <w:sz w:val="19"/>
                <w:szCs w:val="19"/>
              </w:rPr>
              <w:t>Protected propagation</w:t>
            </w:r>
          </w:p>
        </w:tc>
        <w:tc>
          <w:tcPr>
            <w:tcW w:w="2047" w:type="dxa"/>
            <w:tcMar>
              <w:top w:w="60" w:type="dxa"/>
              <w:left w:w="90" w:type="dxa"/>
              <w:bottom w:w="60" w:type="dxa"/>
              <w:right w:w="90" w:type="dxa"/>
            </w:tcMar>
          </w:tcPr>
          <w:p w14:paraId="42D20FC2" w14:textId="77777777" w:rsidR="0080216C" w:rsidRDefault="004A4404">
            <w:r>
              <w:rPr>
                <w:sz w:val="19"/>
                <w:szCs w:val="19"/>
              </w:rPr>
              <w:t>Agronomic performance measured without cost recovery analysis</w:t>
            </w:r>
          </w:p>
        </w:tc>
        <w:tc>
          <w:tcPr>
            <w:tcW w:w="2339" w:type="dxa"/>
            <w:tcMar>
              <w:top w:w="60" w:type="dxa"/>
              <w:left w:w="90" w:type="dxa"/>
              <w:bottom w:w="60" w:type="dxa"/>
              <w:right w:w="90" w:type="dxa"/>
            </w:tcMar>
          </w:tcPr>
          <w:p w14:paraId="0FB353B4" w14:textId="77777777" w:rsidR="0080216C" w:rsidRDefault="004A4404">
            <w:r>
              <w:rPr>
                <w:sz w:val="19"/>
                <w:szCs w:val="19"/>
              </w:rPr>
              <w:t>Viability of commercial provision cannot be assessed</w:t>
            </w:r>
          </w:p>
        </w:tc>
        <w:tc>
          <w:tcPr>
            <w:tcW w:w="1559" w:type="dxa"/>
            <w:tcMar>
              <w:top w:w="60" w:type="dxa"/>
              <w:left w:w="90" w:type="dxa"/>
              <w:bottom w:w="60" w:type="dxa"/>
              <w:right w:w="90" w:type="dxa"/>
            </w:tcMar>
          </w:tcPr>
          <w:p w14:paraId="6D9EEC24" w14:textId="14145F11" w:rsidR="0080216C" w:rsidRDefault="004A4404">
            <w:r>
              <w:rPr>
                <w:sz w:val="19"/>
                <w:szCs w:val="19"/>
              </w:rPr>
              <w:t xml:space="preserve">Gogo et al. (2012); Gogo et al. (2014); </w:t>
            </w:r>
            <w:proofErr w:type="spellStart"/>
            <w:r>
              <w:rPr>
                <w:sz w:val="19"/>
                <w:szCs w:val="19"/>
              </w:rPr>
              <w:t>Muleke</w:t>
            </w:r>
            <w:proofErr w:type="spellEnd"/>
            <w:r>
              <w:rPr>
                <w:sz w:val="19"/>
                <w:szCs w:val="19"/>
              </w:rPr>
              <w:t xml:space="preserve"> et al. (201</w:t>
            </w:r>
            <w:r w:rsidR="0052262B">
              <w:rPr>
                <w:sz w:val="19"/>
                <w:szCs w:val="19"/>
              </w:rPr>
              <w:t>3</w:t>
            </w:r>
            <w:r>
              <w:rPr>
                <w:sz w:val="19"/>
                <w:szCs w:val="19"/>
              </w:rPr>
              <w:t>)</w:t>
            </w:r>
          </w:p>
        </w:tc>
      </w:tr>
      <w:tr w:rsidR="0080216C" w14:paraId="68FC7D03" w14:textId="77777777">
        <w:tc>
          <w:tcPr>
            <w:tcW w:w="1754" w:type="dxa"/>
            <w:tcMar>
              <w:top w:w="60" w:type="dxa"/>
              <w:left w:w="90" w:type="dxa"/>
              <w:bottom w:w="60" w:type="dxa"/>
              <w:right w:w="90" w:type="dxa"/>
            </w:tcMar>
          </w:tcPr>
          <w:p w14:paraId="23B3D0E8" w14:textId="77777777" w:rsidR="0080216C" w:rsidRDefault="004A4404">
            <w:r>
              <w:rPr>
                <w:sz w:val="19"/>
                <w:szCs w:val="19"/>
              </w:rPr>
              <w:t xml:space="preserve">Absence of counterfactual </w:t>
            </w:r>
            <w:r>
              <w:rPr>
                <w:sz w:val="19"/>
                <w:szCs w:val="19"/>
              </w:rPr>
              <w:lastRenderedPageBreak/>
              <w:t>comparison of seedling source</w:t>
            </w:r>
          </w:p>
        </w:tc>
        <w:tc>
          <w:tcPr>
            <w:tcW w:w="2047" w:type="dxa"/>
            <w:tcMar>
              <w:top w:w="60" w:type="dxa"/>
              <w:left w:w="90" w:type="dxa"/>
              <w:bottom w:w="60" w:type="dxa"/>
              <w:right w:w="90" w:type="dxa"/>
            </w:tcMar>
          </w:tcPr>
          <w:p w14:paraId="44621060" w14:textId="77777777" w:rsidR="0080216C" w:rsidRDefault="004A4404">
            <w:r>
              <w:rPr>
                <w:sz w:val="19"/>
                <w:szCs w:val="19"/>
              </w:rPr>
              <w:lastRenderedPageBreak/>
              <w:t>Economics of vegetable production in Nigeria</w:t>
            </w:r>
          </w:p>
        </w:tc>
        <w:tc>
          <w:tcPr>
            <w:tcW w:w="2047" w:type="dxa"/>
            <w:tcMar>
              <w:top w:w="60" w:type="dxa"/>
              <w:left w:w="90" w:type="dxa"/>
              <w:bottom w:w="60" w:type="dxa"/>
              <w:right w:w="90" w:type="dxa"/>
            </w:tcMar>
          </w:tcPr>
          <w:p w14:paraId="011B0048" w14:textId="77777777" w:rsidR="0080216C" w:rsidRDefault="004A4404">
            <w:r>
              <w:rPr>
                <w:sz w:val="19"/>
                <w:szCs w:val="19"/>
              </w:rPr>
              <w:t xml:space="preserve">Cross-sectional description without </w:t>
            </w:r>
            <w:r>
              <w:rPr>
                <w:sz w:val="19"/>
                <w:szCs w:val="19"/>
              </w:rPr>
              <w:lastRenderedPageBreak/>
              <w:t>comparison groups or selection controls</w:t>
            </w:r>
          </w:p>
        </w:tc>
        <w:tc>
          <w:tcPr>
            <w:tcW w:w="2339" w:type="dxa"/>
            <w:tcMar>
              <w:top w:w="60" w:type="dxa"/>
              <w:left w:w="90" w:type="dxa"/>
              <w:bottom w:w="60" w:type="dxa"/>
              <w:right w:w="90" w:type="dxa"/>
            </w:tcMar>
          </w:tcPr>
          <w:p w14:paraId="03E66FA0" w14:textId="77777777" w:rsidR="0080216C" w:rsidRDefault="004A4404">
            <w:r>
              <w:rPr>
                <w:sz w:val="19"/>
                <w:szCs w:val="19"/>
              </w:rPr>
              <w:lastRenderedPageBreak/>
              <w:t>Causal attribution of outcomes to transplant purchase is not possible</w:t>
            </w:r>
          </w:p>
        </w:tc>
        <w:tc>
          <w:tcPr>
            <w:tcW w:w="1559" w:type="dxa"/>
            <w:tcMar>
              <w:top w:w="60" w:type="dxa"/>
              <w:left w:w="90" w:type="dxa"/>
              <w:bottom w:w="60" w:type="dxa"/>
              <w:right w:w="90" w:type="dxa"/>
            </w:tcMar>
          </w:tcPr>
          <w:p w14:paraId="3A54F9B6" w14:textId="77777777" w:rsidR="0080216C" w:rsidRDefault="004A4404">
            <w:proofErr w:type="spellStart"/>
            <w:r>
              <w:rPr>
                <w:sz w:val="19"/>
                <w:szCs w:val="19"/>
              </w:rPr>
              <w:t>Bamire</w:t>
            </w:r>
            <w:proofErr w:type="spellEnd"/>
            <w:r>
              <w:rPr>
                <w:sz w:val="19"/>
                <w:szCs w:val="19"/>
              </w:rPr>
              <w:t xml:space="preserve"> and Oke (2004); </w:t>
            </w:r>
            <w:proofErr w:type="spellStart"/>
            <w:r>
              <w:rPr>
                <w:sz w:val="19"/>
                <w:szCs w:val="19"/>
              </w:rPr>
              <w:t>Matanmi</w:t>
            </w:r>
            <w:proofErr w:type="spellEnd"/>
            <w:r>
              <w:rPr>
                <w:sz w:val="19"/>
                <w:szCs w:val="19"/>
              </w:rPr>
              <w:t xml:space="preserve"> et al. (2017); </w:t>
            </w:r>
            <w:proofErr w:type="spellStart"/>
            <w:r>
              <w:rPr>
                <w:sz w:val="19"/>
                <w:szCs w:val="19"/>
              </w:rPr>
              <w:lastRenderedPageBreak/>
              <w:t>Odoemlam</w:t>
            </w:r>
            <w:proofErr w:type="spellEnd"/>
            <w:r>
              <w:rPr>
                <w:sz w:val="19"/>
                <w:szCs w:val="19"/>
              </w:rPr>
              <w:t xml:space="preserve"> and </w:t>
            </w:r>
            <w:proofErr w:type="spellStart"/>
            <w:r>
              <w:rPr>
                <w:sz w:val="19"/>
                <w:szCs w:val="19"/>
              </w:rPr>
              <w:t>Nzeakor</w:t>
            </w:r>
            <w:proofErr w:type="spellEnd"/>
            <w:r>
              <w:rPr>
                <w:sz w:val="19"/>
                <w:szCs w:val="19"/>
              </w:rPr>
              <w:t xml:space="preserve"> (2021)</w:t>
            </w:r>
          </w:p>
        </w:tc>
      </w:tr>
      <w:tr w:rsidR="0080216C" w14:paraId="2AC8F405" w14:textId="77777777">
        <w:tc>
          <w:tcPr>
            <w:tcW w:w="1754" w:type="dxa"/>
            <w:tcMar>
              <w:top w:w="60" w:type="dxa"/>
              <w:left w:w="90" w:type="dxa"/>
              <w:bottom w:w="60" w:type="dxa"/>
              <w:right w:w="90" w:type="dxa"/>
            </w:tcMar>
          </w:tcPr>
          <w:p w14:paraId="3954B807" w14:textId="77777777" w:rsidR="0080216C" w:rsidRDefault="004A4404">
            <w:r>
              <w:rPr>
                <w:sz w:val="19"/>
                <w:szCs w:val="19"/>
              </w:rPr>
              <w:lastRenderedPageBreak/>
              <w:t>Absence of phytosanitary surveillance in propagation units</w:t>
            </w:r>
          </w:p>
        </w:tc>
        <w:tc>
          <w:tcPr>
            <w:tcW w:w="2047" w:type="dxa"/>
            <w:tcMar>
              <w:top w:w="60" w:type="dxa"/>
              <w:left w:w="90" w:type="dxa"/>
              <w:bottom w:w="60" w:type="dxa"/>
              <w:right w:w="90" w:type="dxa"/>
            </w:tcMar>
          </w:tcPr>
          <w:p w14:paraId="0224B984" w14:textId="77777777" w:rsidR="0080216C" w:rsidRDefault="004A4404">
            <w:r>
              <w:rPr>
                <w:sz w:val="19"/>
                <w:szCs w:val="19"/>
              </w:rPr>
              <w:t>Plant health</w:t>
            </w:r>
          </w:p>
        </w:tc>
        <w:tc>
          <w:tcPr>
            <w:tcW w:w="2047" w:type="dxa"/>
            <w:tcMar>
              <w:top w:w="60" w:type="dxa"/>
              <w:left w:w="90" w:type="dxa"/>
              <w:bottom w:w="60" w:type="dxa"/>
              <w:right w:w="90" w:type="dxa"/>
            </w:tcMar>
          </w:tcPr>
          <w:p w14:paraId="55EDAFAE" w14:textId="77777777" w:rsidR="0080216C" w:rsidRDefault="004A4404">
            <w:r>
              <w:rPr>
                <w:sz w:val="19"/>
                <w:szCs w:val="19"/>
              </w:rPr>
              <w:t>No prevalence or transmission data for Nigerian vegetable nurseries</w:t>
            </w:r>
          </w:p>
        </w:tc>
        <w:tc>
          <w:tcPr>
            <w:tcW w:w="2339" w:type="dxa"/>
            <w:tcMar>
              <w:top w:w="60" w:type="dxa"/>
              <w:left w:w="90" w:type="dxa"/>
              <w:bottom w:w="60" w:type="dxa"/>
              <w:right w:w="90" w:type="dxa"/>
            </w:tcMar>
          </w:tcPr>
          <w:p w14:paraId="1A797EEE" w14:textId="77777777" w:rsidR="0080216C" w:rsidRDefault="004A4404">
            <w:r>
              <w:rPr>
                <w:sz w:val="19"/>
                <w:szCs w:val="19"/>
              </w:rPr>
              <w:t>Net phytosanitary effect of centralisation undetermined</w:t>
            </w:r>
          </w:p>
        </w:tc>
        <w:tc>
          <w:tcPr>
            <w:tcW w:w="1559" w:type="dxa"/>
            <w:tcMar>
              <w:top w:w="60" w:type="dxa"/>
              <w:left w:w="90" w:type="dxa"/>
              <w:bottom w:w="60" w:type="dxa"/>
              <w:right w:w="90" w:type="dxa"/>
            </w:tcMar>
          </w:tcPr>
          <w:p w14:paraId="42073D56" w14:textId="77777777" w:rsidR="0080216C" w:rsidRDefault="004A4404">
            <w:r>
              <w:rPr>
                <w:sz w:val="19"/>
                <w:szCs w:val="19"/>
              </w:rPr>
              <w:t xml:space="preserve">CABI (2019); </w:t>
            </w:r>
            <w:proofErr w:type="spellStart"/>
            <w:r>
              <w:rPr>
                <w:sz w:val="19"/>
                <w:szCs w:val="19"/>
              </w:rPr>
              <w:t>Oloniluyi</w:t>
            </w:r>
            <w:proofErr w:type="spellEnd"/>
            <w:r>
              <w:rPr>
                <w:sz w:val="19"/>
                <w:szCs w:val="19"/>
              </w:rPr>
              <w:t xml:space="preserve"> et al. (2026)</w:t>
            </w:r>
          </w:p>
        </w:tc>
      </w:tr>
      <w:tr w:rsidR="0080216C" w14:paraId="37F1E745" w14:textId="77777777">
        <w:tc>
          <w:tcPr>
            <w:tcW w:w="1754" w:type="dxa"/>
            <w:tcMar>
              <w:top w:w="60" w:type="dxa"/>
              <w:left w:w="90" w:type="dxa"/>
              <w:bottom w:w="60" w:type="dxa"/>
              <w:right w:w="90" w:type="dxa"/>
            </w:tcMar>
          </w:tcPr>
          <w:p w14:paraId="7A462D3E" w14:textId="77777777" w:rsidR="0080216C" w:rsidRDefault="004A4404">
            <w:r>
              <w:rPr>
                <w:sz w:val="19"/>
                <w:szCs w:val="19"/>
              </w:rPr>
              <w:t>Absence of life-cycle or resource accounting</w:t>
            </w:r>
          </w:p>
        </w:tc>
        <w:tc>
          <w:tcPr>
            <w:tcW w:w="2047" w:type="dxa"/>
            <w:tcMar>
              <w:top w:w="60" w:type="dxa"/>
              <w:left w:w="90" w:type="dxa"/>
              <w:bottom w:w="60" w:type="dxa"/>
              <w:right w:w="90" w:type="dxa"/>
            </w:tcMar>
          </w:tcPr>
          <w:p w14:paraId="7142A406" w14:textId="77777777" w:rsidR="0080216C" w:rsidRDefault="004A4404">
            <w:r>
              <w:rPr>
                <w:sz w:val="19"/>
                <w:szCs w:val="19"/>
              </w:rPr>
              <w:t>Sustainability assessment</w:t>
            </w:r>
          </w:p>
        </w:tc>
        <w:tc>
          <w:tcPr>
            <w:tcW w:w="2047" w:type="dxa"/>
            <w:tcMar>
              <w:top w:w="60" w:type="dxa"/>
              <w:left w:w="90" w:type="dxa"/>
              <w:bottom w:w="60" w:type="dxa"/>
              <w:right w:w="90" w:type="dxa"/>
            </w:tcMar>
          </w:tcPr>
          <w:p w14:paraId="249B67CD" w14:textId="77777777" w:rsidR="0080216C" w:rsidRDefault="004A4404">
            <w:r>
              <w:rPr>
                <w:sz w:val="19"/>
                <w:szCs w:val="19"/>
              </w:rPr>
              <w:t>Environmental burden of substrates, structures and transport unquantified for the region</w:t>
            </w:r>
          </w:p>
        </w:tc>
        <w:tc>
          <w:tcPr>
            <w:tcW w:w="2339" w:type="dxa"/>
            <w:tcMar>
              <w:top w:w="60" w:type="dxa"/>
              <w:left w:w="90" w:type="dxa"/>
              <w:bottom w:w="60" w:type="dxa"/>
              <w:right w:w="90" w:type="dxa"/>
            </w:tcMar>
          </w:tcPr>
          <w:p w14:paraId="78E9F36B" w14:textId="77777777" w:rsidR="0080216C" w:rsidRDefault="004A4404">
            <w:r>
              <w:rPr>
                <w:sz w:val="19"/>
                <w:szCs w:val="19"/>
              </w:rPr>
              <w:t>Environmental claims cannot be substantiated in either direction</w:t>
            </w:r>
          </w:p>
        </w:tc>
        <w:tc>
          <w:tcPr>
            <w:tcW w:w="1559" w:type="dxa"/>
            <w:tcMar>
              <w:top w:w="60" w:type="dxa"/>
              <w:left w:w="90" w:type="dxa"/>
              <w:bottom w:w="60" w:type="dxa"/>
              <w:right w:w="90" w:type="dxa"/>
            </w:tcMar>
          </w:tcPr>
          <w:p w14:paraId="422C48CE" w14:textId="77777777" w:rsidR="0080216C" w:rsidRDefault="004A4404">
            <w:r>
              <w:rPr>
                <w:sz w:val="19"/>
                <w:szCs w:val="19"/>
              </w:rPr>
              <w:t>Altland and Bugbee (2026); Gruda (2019)</w:t>
            </w:r>
          </w:p>
        </w:tc>
      </w:tr>
      <w:tr w:rsidR="0080216C" w14:paraId="0E0196BC" w14:textId="77777777">
        <w:tc>
          <w:tcPr>
            <w:tcW w:w="1754" w:type="dxa"/>
            <w:tcMar>
              <w:top w:w="60" w:type="dxa"/>
              <w:left w:w="90" w:type="dxa"/>
              <w:bottom w:w="60" w:type="dxa"/>
              <w:right w:w="90" w:type="dxa"/>
            </w:tcMar>
          </w:tcPr>
          <w:p w14:paraId="56421323" w14:textId="77777777" w:rsidR="0080216C" w:rsidRDefault="004A4404">
            <w:r>
              <w:rPr>
                <w:sz w:val="19"/>
                <w:szCs w:val="19"/>
              </w:rPr>
              <w:t>Reliance on programme reporting for institutional questions</w:t>
            </w:r>
          </w:p>
        </w:tc>
        <w:tc>
          <w:tcPr>
            <w:tcW w:w="2047" w:type="dxa"/>
            <w:tcMar>
              <w:top w:w="60" w:type="dxa"/>
              <w:left w:w="90" w:type="dxa"/>
              <w:bottom w:w="60" w:type="dxa"/>
              <w:right w:w="90" w:type="dxa"/>
            </w:tcMar>
          </w:tcPr>
          <w:p w14:paraId="3FE51416" w14:textId="77777777" w:rsidR="0080216C" w:rsidRDefault="004A4404">
            <w:r>
              <w:rPr>
                <w:sz w:val="19"/>
                <w:szCs w:val="19"/>
              </w:rPr>
              <w:t>Regulation and service delivery</w:t>
            </w:r>
          </w:p>
        </w:tc>
        <w:tc>
          <w:tcPr>
            <w:tcW w:w="2047" w:type="dxa"/>
            <w:tcMar>
              <w:top w:w="60" w:type="dxa"/>
              <w:left w:w="90" w:type="dxa"/>
              <w:bottom w:w="60" w:type="dxa"/>
              <w:right w:w="90" w:type="dxa"/>
            </w:tcMar>
          </w:tcPr>
          <w:p w14:paraId="524058D2" w14:textId="77777777" w:rsidR="0080216C" w:rsidRDefault="004A4404">
            <w:r>
              <w:rPr>
                <w:sz w:val="19"/>
                <w:szCs w:val="19"/>
              </w:rPr>
              <w:t>Independent evaluation of nursery-linked programmes not available in peer-reviewed form</w:t>
            </w:r>
          </w:p>
        </w:tc>
        <w:tc>
          <w:tcPr>
            <w:tcW w:w="2339" w:type="dxa"/>
            <w:tcMar>
              <w:top w:w="60" w:type="dxa"/>
              <w:left w:w="90" w:type="dxa"/>
              <w:bottom w:w="60" w:type="dxa"/>
              <w:right w:w="90" w:type="dxa"/>
            </w:tcMar>
          </w:tcPr>
          <w:p w14:paraId="099C5F69" w14:textId="77777777" w:rsidR="0080216C" w:rsidRDefault="004A4404">
            <w:r>
              <w:rPr>
                <w:sz w:val="19"/>
                <w:szCs w:val="19"/>
              </w:rPr>
              <w:t>Institutional performance claims rest on reporting by implementing parties</w:t>
            </w:r>
          </w:p>
        </w:tc>
        <w:tc>
          <w:tcPr>
            <w:tcW w:w="1559" w:type="dxa"/>
            <w:tcMar>
              <w:top w:w="60" w:type="dxa"/>
              <w:left w:w="90" w:type="dxa"/>
              <w:bottom w:w="60" w:type="dxa"/>
              <w:right w:w="90" w:type="dxa"/>
            </w:tcMar>
          </w:tcPr>
          <w:p w14:paraId="4F0500EE" w14:textId="77777777" w:rsidR="0080216C" w:rsidRDefault="004A4404">
            <w:proofErr w:type="spellStart"/>
            <w:r>
              <w:rPr>
                <w:sz w:val="19"/>
                <w:szCs w:val="19"/>
              </w:rPr>
              <w:t>Matanmi</w:t>
            </w:r>
            <w:proofErr w:type="spellEnd"/>
            <w:r>
              <w:rPr>
                <w:sz w:val="19"/>
                <w:szCs w:val="19"/>
              </w:rPr>
              <w:t xml:space="preserve"> et al. (2017)</w:t>
            </w:r>
          </w:p>
        </w:tc>
      </w:tr>
    </w:tbl>
    <w:p w14:paraId="6E006FD4" w14:textId="77777777" w:rsidR="0080216C" w:rsidRDefault="004A4404">
      <w:pPr>
        <w:spacing w:before="100" w:after="260"/>
        <w:jc w:val="both"/>
      </w:pPr>
      <w:r>
        <w:rPr>
          <w:sz w:val="18"/>
          <w:szCs w:val="18"/>
        </w:rPr>
        <w:t>Note. The domains listed indicate where each limitation is most consequential rather than where it exclusively occurs. Several limitations affect more than one domain and are listed once against the domain in which they most constrain inference.</w:t>
      </w:r>
    </w:p>
    <w:p w14:paraId="21CF0770" w14:textId="77777777" w:rsidR="0080216C" w:rsidRDefault="004A4404">
      <w:pPr>
        <w:pStyle w:val="Heading1"/>
        <w:spacing w:before="320" w:after="160"/>
      </w:pPr>
      <w:r>
        <w:rPr>
          <w:b/>
          <w:bCs/>
          <w:color w:val="000000"/>
          <w:sz w:val="26"/>
          <w:szCs w:val="26"/>
        </w:rPr>
        <w:t>7. Assessing the Sustainability Claim Against Available Evidence</w:t>
      </w:r>
    </w:p>
    <w:p w14:paraId="1E5D0B10" w14:textId="77777777" w:rsidR="0080216C" w:rsidRDefault="004A4404">
      <w:pPr>
        <w:pStyle w:val="Heading2"/>
        <w:spacing w:before="320" w:after="160"/>
      </w:pPr>
      <w:r>
        <w:rPr>
          <w:b/>
          <w:bCs/>
          <w:color w:val="000000"/>
          <w:sz w:val="24"/>
          <w:szCs w:val="24"/>
        </w:rPr>
        <w:t>7.1 Resource use and input efficiency</w:t>
      </w:r>
    </w:p>
    <w:p w14:paraId="727E2134" w14:textId="77777777" w:rsidR="0080216C" w:rsidRDefault="004A4404">
      <w:pPr>
        <w:spacing w:after="160" w:line="360" w:lineRule="auto"/>
        <w:jc w:val="both"/>
      </w:pPr>
      <w:r>
        <w:t>The resource-efficiency argument holds that concentrating the vulnerable early phase into a small, intensively managed area reduces the total resources required per unit of output. At the level of the seed itself the logic is sound, since precision sowing into cells uses far fewer seeds than broadcasting onto a seedbed, and hybrid vegetable seed represents a substantial cost. At the level of water and protection, the argument depends on comparing what is saved in the field against what is consumed in the nursery, and this comparison has not been made for tropical smallholder systems.</w:t>
      </w:r>
    </w:p>
    <w:p w14:paraId="6BCCB12A" w14:textId="77777777" w:rsidR="0080216C" w:rsidRDefault="004A4404">
      <w:pPr>
        <w:spacing w:after="160" w:line="360" w:lineRule="auto"/>
        <w:jc w:val="both"/>
      </w:pPr>
      <w:r>
        <w:t>Comparative work on transplanting relative to direct seeding provides the closest available evidence, showing that establishment method affects both yield and water use efficiency and that the effect depends on the irrigation regime imposed (Leskovar et al., 2001). This finding is useful because it establishes that the relationship is real and conditional. It cannot be used to estimate savings in Nigeria, since the crop, climate and irrigation technology differ. The intuition that nurseries save water is therefore plausible but unquantified, and the counter-consideration that nursery irrigation is frequently applied from treated or pumped sources at high frequency has not been incorporated into any published assessment.</w:t>
      </w:r>
    </w:p>
    <w:p w14:paraId="26B57A0B" w14:textId="77777777" w:rsidR="0080216C" w:rsidRDefault="004A4404">
      <w:pPr>
        <w:spacing w:after="160" w:line="360" w:lineRule="auto"/>
        <w:jc w:val="both"/>
      </w:pPr>
      <w:r>
        <w:t xml:space="preserve">The substrate question compounds this uncertainty. Imported coir or peat carries embedded transport emissions and a foreign exchange cost, and its use displaces locally available organic residues whose disposal otherwise represents a waste management burden. Whether the net environmental balance favours the imported or the local option depends on the accounting boundaries adopted, and the horticultural literature does not agree on where those boundaries should lie (Altland &amp; Bugbee, 2026; </w:t>
      </w:r>
      <w:r>
        <w:lastRenderedPageBreak/>
        <w:t>Gruda, 2019). No life-cycle assessment of vegetable transplant production under West African conditions was identified.</w:t>
      </w:r>
    </w:p>
    <w:p w14:paraId="1B17AD1F" w14:textId="77777777" w:rsidR="0080216C" w:rsidRDefault="004A4404">
      <w:pPr>
        <w:pStyle w:val="Heading2"/>
        <w:spacing w:before="320" w:after="160"/>
      </w:pPr>
      <w:r>
        <w:rPr>
          <w:b/>
          <w:bCs/>
          <w:color w:val="000000"/>
          <w:sz w:val="24"/>
          <w:szCs w:val="24"/>
        </w:rPr>
        <w:t>7.2 Pesticide load and food safety</w:t>
      </w:r>
    </w:p>
    <w:p w14:paraId="76594FC8" w14:textId="77777777" w:rsidR="0080216C" w:rsidRDefault="004A4404">
      <w:pPr>
        <w:spacing w:after="160" w:line="360" w:lineRule="auto"/>
        <w:jc w:val="both"/>
      </w:pPr>
      <w:r>
        <w:t>The pesticide argument is the most consequential component of the sustainability claim, given the documented state of pesticide management in Nigerian vegetable production. Awareness of safety measures among vegetable farmers in Borno State was found to vary with socio-economic characteristics, indicating uneven protective practice within the grower population (Tijjani et al., 2018). Analysis of fruits and vegetables from Lagos markets detected pesticide residues in the sampled produce, establishing that residue occurrence is a measurable feature of the Nigerian vegetable supply rather than a theoretical concern (</w:t>
      </w:r>
      <w:proofErr w:type="spellStart"/>
      <w:r>
        <w:t>Oluwoyo</w:t>
      </w:r>
      <w:proofErr w:type="spellEnd"/>
      <w:r>
        <w:t xml:space="preserve"> et al., 2024). Any intervention capable of reducing reliance on chemical control therefore has clear public value.</w:t>
      </w:r>
    </w:p>
    <w:p w14:paraId="5B569D79" w14:textId="77777777" w:rsidR="0080216C" w:rsidRDefault="004A4404">
      <w:pPr>
        <w:spacing w:after="160" w:line="360" w:lineRule="auto"/>
        <w:jc w:val="both"/>
      </w:pPr>
      <w:r>
        <w:t>The nursery mechanism for achieving this reduction operates through pest exclusion at the seedling stage, and the East African evidence supports it: net-protected propagation reduced pest pressure, and continued protection into the field reduced infestation and improved yields (Gogo et al., 2012; Gogo et al., 2014). Evidence from a different setting demonstrates that training interventions in vegetable production can simultaneously raise income and reduce pesticide use, showing that the two objectives are not necessarily in conflict (</w:t>
      </w:r>
      <w:proofErr w:type="spellStart"/>
      <w:r>
        <w:t>Schreinemachers</w:t>
      </w:r>
      <w:proofErr w:type="spellEnd"/>
      <w:r>
        <w:t xml:space="preserve"> et al., 2016).</w:t>
      </w:r>
    </w:p>
    <w:p w14:paraId="24E40180" w14:textId="690DCA24" w:rsidR="0080216C" w:rsidRDefault="004A4404">
      <w:pPr>
        <w:spacing w:after="160" w:line="360" w:lineRule="auto"/>
        <w:jc w:val="both"/>
      </w:pPr>
      <w:r>
        <w:t xml:space="preserve">The inferential difficulty is that the nursery phase occupies a small fraction of the crop cycle, and the pests that drive most insecticide use in Nigerian tomato production attack the fruiting crop. Excluding pests from the nursery reduces the initial inoculum carried into the field, which is valuable, but it does not by itself reduce season-long spraying unless it is combined with field-level protection or with resistant material. Integrated management guidance for </w:t>
      </w:r>
      <w:r>
        <w:rPr>
          <w:i/>
          <w:iCs/>
        </w:rPr>
        <w:t xml:space="preserve">Tuta </w:t>
      </w:r>
      <w:proofErr w:type="spellStart"/>
      <w:r>
        <w:rPr>
          <w:i/>
          <w:iCs/>
        </w:rPr>
        <w:t>absoluta</w:t>
      </w:r>
      <w:proofErr w:type="spellEnd"/>
      <w:r>
        <w:t xml:space="preserve"> treats exclusion as one element of a strategy rather than as a sufficient measure (</w:t>
      </w:r>
      <w:proofErr w:type="spellStart"/>
      <w:r>
        <w:t>Mawcha</w:t>
      </w:r>
      <w:proofErr w:type="spellEnd"/>
      <w:r>
        <w:t xml:space="preserve"> et al., 202</w:t>
      </w:r>
      <w:r w:rsidR="0052262B">
        <w:t>6</w:t>
      </w:r>
      <w:r>
        <w:t>). The claim that commercial nurseries reduce pesticide use is therefore defensible only in the qualified form that they can reduce nursery-stage applications and initial infestation, and any stronger claim requires field data that have not been generated in Nigeria.</w:t>
      </w:r>
    </w:p>
    <w:p w14:paraId="5A1A5D78" w14:textId="77777777" w:rsidR="0080216C" w:rsidRDefault="004A4404">
      <w:pPr>
        <w:pStyle w:val="Heading2"/>
        <w:spacing w:before="320" w:after="160"/>
      </w:pPr>
      <w:r>
        <w:rPr>
          <w:b/>
          <w:bCs/>
          <w:color w:val="000000"/>
          <w:sz w:val="24"/>
          <w:szCs w:val="24"/>
        </w:rPr>
        <w:t>7.3 Climate adaptation and production stability</w:t>
      </w:r>
    </w:p>
    <w:p w14:paraId="4080B9DB" w14:textId="77777777" w:rsidR="0080216C" w:rsidRDefault="004A4404">
      <w:pPr>
        <w:spacing w:after="160" w:line="360" w:lineRule="auto"/>
        <w:jc w:val="both"/>
      </w:pPr>
      <w:r>
        <w:t xml:space="preserve">Climate variability provides an additional rationale for controlled propagation, since heat, erratic rainfall and altered pest phenology all bear most heavily on the establishment phase. Reviews of climate change impacts on vegetable production identify temperature stress, water availability and shifting pest pressure as principal mechanisms of yield loss, and identify protected and controlled-environment production as an adaptation response (Paul &amp; </w:t>
      </w:r>
      <w:proofErr w:type="spellStart"/>
      <w:r>
        <w:t>Machavaram</w:t>
      </w:r>
      <w:proofErr w:type="spellEnd"/>
      <w:r>
        <w:t xml:space="preserve">, 2026). Controlled </w:t>
      </w:r>
      <w:r>
        <w:lastRenderedPageBreak/>
        <w:t>propagation permits sowing to proceed when field conditions would not support direct establishment, which can extend the production window and stabilise supply.</w:t>
      </w:r>
    </w:p>
    <w:p w14:paraId="2566EAAA" w14:textId="77777777" w:rsidR="0080216C" w:rsidRDefault="004A4404">
      <w:pPr>
        <w:spacing w:after="160" w:line="360" w:lineRule="auto"/>
        <w:jc w:val="both"/>
      </w:pPr>
      <w:r>
        <w:t>Two qualifications constrain the strength of this argument. Protective structures can raise rather than lower temperature within the propagation environment, and in hot Nigerian production zones the benefit of exclusion may be offset by thermal stress, a trade-off noted in the assessment of protected cultivation for the region (</w:t>
      </w:r>
      <w:proofErr w:type="spellStart"/>
      <w:r>
        <w:t>Nordey</w:t>
      </w:r>
      <w:proofErr w:type="spellEnd"/>
      <w:r>
        <w:t xml:space="preserve"> et al., 2017). Additionally, the adaptation benefit accrues to the grower only if seedlings remain available during the disruptions against which they are supposed to protect, and a nursery is itself exposed to heat, flooding and power interruption. Concentration of propagation therefore creates a single point of failure at the same time as it creates a controlled environment, and the net effect on system resilience has not been examined.</w:t>
      </w:r>
    </w:p>
    <w:p w14:paraId="78454901" w14:textId="77777777" w:rsidR="0080216C" w:rsidRDefault="004A4404">
      <w:pPr>
        <w:pStyle w:val="Heading2"/>
        <w:spacing w:before="320" w:after="160"/>
      </w:pPr>
      <w:r>
        <w:rPr>
          <w:b/>
          <w:bCs/>
          <w:color w:val="000000"/>
          <w:sz w:val="24"/>
          <w:szCs w:val="24"/>
        </w:rPr>
        <w:t>7.4 What has not been measured</w:t>
      </w:r>
    </w:p>
    <w:p w14:paraId="150EB5FC" w14:textId="77777777" w:rsidR="0080216C" w:rsidRDefault="004A4404">
      <w:pPr>
        <w:spacing w:after="160" w:line="360" w:lineRule="auto"/>
        <w:jc w:val="both"/>
      </w:pPr>
      <w:r>
        <w:t>Reviewing the four assertions identified earlier against the evidence assembled here produces a consistent verdict. The productivity assertion is supported at the level of mechanism and unsupported at the level of comparison between seedling sources. The input-substitution assertion is supported for nursery-stage pesticide use and unsupported for season-long input use, water accounting or substrate footprint. The resilience assertion is largely untested and is complicated by the concentration of risk within the nursery. The enterprise assertion has not been examined in Nigeria in peer-reviewed form.</w:t>
      </w:r>
    </w:p>
    <w:p w14:paraId="70683985" w14:textId="77777777" w:rsidR="0080216C" w:rsidRDefault="004A4404">
      <w:pPr>
        <w:spacing w:after="160" w:line="360" w:lineRule="auto"/>
        <w:jc w:val="both"/>
      </w:pPr>
      <w:r>
        <w:t>This does not mean that commercial nurseries are ineffective, and nothing in the reviewed evidence suggests that they are harmful. It means that their promotion currently rests on mechanistic plausibility and on evidence generated in other settings, and that the specific Nigerian claims being made cannot be substantiated from the literature. Distinguishing between a technology that is probably beneficial and a technology that has been shown to be beneficial is not a pedantic exercise, since the difference determines how much confidence should be placed in the scale of investment being directed towards it.</w:t>
      </w:r>
    </w:p>
    <w:p w14:paraId="69738D43" w14:textId="77777777" w:rsidR="0080216C" w:rsidRDefault="004A4404">
      <w:pPr>
        <w:spacing w:after="160" w:line="360" w:lineRule="auto"/>
        <w:jc w:val="both"/>
      </w:pPr>
      <w:r>
        <w:t>Table 5 translates this assessment into a prioritised research agenda, identifying for each gap the specific unresolved question, the study design capable of resolving it, and the outcome measures that would need to be reported. The priorities are ordered by the extent to which resolving them would change what can be defensibly claimed, rather than by ease of execution. The first two entries concern questions on which policy positions are currently being taken without evidence, and are accordingly treated as immediate priorities; the remainder address longer-term requirements for evaluating the sustainability of nursery-based propagation as a system.</w:t>
      </w:r>
    </w:p>
    <w:p w14:paraId="10FF3D8D" w14:textId="77777777" w:rsidR="0080216C" w:rsidRDefault="004A4404">
      <w:pPr>
        <w:keepNext/>
        <w:spacing w:before="200" w:after="100"/>
      </w:pPr>
      <w:r>
        <w:rPr>
          <w:b/>
          <w:bCs/>
          <w:sz w:val="19"/>
          <w:szCs w:val="19"/>
        </w:rPr>
        <w:lastRenderedPageBreak/>
        <w:t>Table 5. Research gaps, proposed designs and required outcome measures, ordered by consequence for defensible claims</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623"/>
        <w:gridCol w:w="1884"/>
        <w:gridCol w:w="1383"/>
        <w:gridCol w:w="1888"/>
        <w:gridCol w:w="1328"/>
        <w:gridCol w:w="1640"/>
      </w:tblGrid>
      <w:tr w:rsidR="0080216C" w14:paraId="185292F6" w14:textId="77777777">
        <w:trPr>
          <w:tblHeader/>
        </w:trPr>
        <w:tc>
          <w:tcPr>
            <w:tcW w:w="1657" w:type="dxa"/>
            <w:shd w:val="clear" w:color="auto" w:fill="E8E8E8"/>
            <w:tcMar>
              <w:top w:w="60" w:type="dxa"/>
              <w:left w:w="90" w:type="dxa"/>
              <w:bottom w:w="60" w:type="dxa"/>
              <w:right w:w="90" w:type="dxa"/>
            </w:tcMar>
          </w:tcPr>
          <w:p w14:paraId="2AE90784" w14:textId="77777777" w:rsidR="0080216C" w:rsidRDefault="004A4404">
            <w:r>
              <w:rPr>
                <w:b/>
                <w:bCs/>
                <w:sz w:val="19"/>
                <w:szCs w:val="19"/>
              </w:rPr>
              <w:t>Research gap</w:t>
            </w:r>
          </w:p>
        </w:tc>
        <w:tc>
          <w:tcPr>
            <w:tcW w:w="1949" w:type="dxa"/>
            <w:shd w:val="clear" w:color="auto" w:fill="E8E8E8"/>
            <w:tcMar>
              <w:top w:w="60" w:type="dxa"/>
              <w:left w:w="90" w:type="dxa"/>
              <w:bottom w:w="60" w:type="dxa"/>
              <w:right w:w="90" w:type="dxa"/>
            </w:tcMar>
          </w:tcPr>
          <w:p w14:paraId="48D21CC2" w14:textId="77777777" w:rsidR="0080216C" w:rsidRDefault="004A4404">
            <w:r>
              <w:rPr>
                <w:b/>
                <w:bCs/>
                <w:sz w:val="19"/>
                <w:szCs w:val="19"/>
              </w:rPr>
              <w:t>Unresolved question</w:t>
            </w:r>
          </w:p>
        </w:tc>
        <w:tc>
          <w:tcPr>
            <w:tcW w:w="1170" w:type="dxa"/>
            <w:shd w:val="clear" w:color="auto" w:fill="E8E8E8"/>
            <w:tcMar>
              <w:top w:w="60" w:type="dxa"/>
              <w:left w:w="90" w:type="dxa"/>
              <w:bottom w:w="60" w:type="dxa"/>
              <w:right w:w="90" w:type="dxa"/>
            </w:tcMar>
          </w:tcPr>
          <w:p w14:paraId="3FA61518" w14:textId="77777777" w:rsidR="0080216C" w:rsidRDefault="004A4404">
            <w:r>
              <w:rPr>
                <w:b/>
                <w:bCs/>
                <w:sz w:val="19"/>
                <w:szCs w:val="19"/>
              </w:rPr>
              <w:t>Appropriate design</w:t>
            </w:r>
          </w:p>
        </w:tc>
        <w:tc>
          <w:tcPr>
            <w:tcW w:w="1949" w:type="dxa"/>
            <w:shd w:val="clear" w:color="auto" w:fill="E8E8E8"/>
            <w:tcMar>
              <w:top w:w="60" w:type="dxa"/>
              <w:left w:w="90" w:type="dxa"/>
              <w:bottom w:w="60" w:type="dxa"/>
              <w:right w:w="90" w:type="dxa"/>
            </w:tcMar>
          </w:tcPr>
          <w:p w14:paraId="618412A8" w14:textId="77777777" w:rsidR="0080216C" w:rsidRDefault="004A4404">
            <w:r>
              <w:rPr>
                <w:b/>
                <w:bCs/>
                <w:sz w:val="19"/>
                <w:szCs w:val="19"/>
              </w:rPr>
              <w:t>Required outcome measures</w:t>
            </w:r>
          </w:p>
        </w:tc>
        <w:tc>
          <w:tcPr>
            <w:tcW w:w="1364" w:type="dxa"/>
            <w:shd w:val="clear" w:color="auto" w:fill="E8E8E8"/>
            <w:tcMar>
              <w:top w:w="60" w:type="dxa"/>
              <w:left w:w="90" w:type="dxa"/>
              <w:bottom w:w="60" w:type="dxa"/>
              <w:right w:w="90" w:type="dxa"/>
            </w:tcMar>
          </w:tcPr>
          <w:p w14:paraId="22CCA82D" w14:textId="77777777" w:rsidR="0080216C" w:rsidRDefault="004A4404">
            <w:r>
              <w:rPr>
                <w:b/>
                <w:bCs/>
                <w:sz w:val="19"/>
                <w:szCs w:val="19"/>
              </w:rPr>
              <w:t>Priority horizon</w:t>
            </w:r>
          </w:p>
        </w:tc>
        <w:tc>
          <w:tcPr>
            <w:tcW w:w="1657" w:type="dxa"/>
            <w:shd w:val="clear" w:color="auto" w:fill="E8E8E8"/>
            <w:tcMar>
              <w:top w:w="60" w:type="dxa"/>
              <w:left w:w="90" w:type="dxa"/>
              <w:bottom w:w="60" w:type="dxa"/>
              <w:right w:w="90" w:type="dxa"/>
            </w:tcMar>
          </w:tcPr>
          <w:p w14:paraId="205C8477" w14:textId="77777777" w:rsidR="0080216C" w:rsidRDefault="004A4404">
            <w:r>
              <w:rPr>
                <w:b/>
                <w:bCs/>
                <w:sz w:val="19"/>
                <w:szCs w:val="19"/>
              </w:rPr>
              <w:t>Supporting references</w:t>
            </w:r>
          </w:p>
        </w:tc>
      </w:tr>
      <w:tr w:rsidR="0080216C" w14:paraId="39DFE16A" w14:textId="77777777">
        <w:tc>
          <w:tcPr>
            <w:tcW w:w="1657" w:type="dxa"/>
            <w:tcMar>
              <w:top w:w="60" w:type="dxa"/>
              <w:left w:w="90" w:type="dxa"/>
              <w:bottom w:w="60" w:type="dxa"/>
              <w:right w:w="90" w:type="dxa"/>
            </w:tcMar>
          </w:tcPr>
          <w:p w14:paraId="32DCB704" w14:textId="77777777" w:rsidR="0080216C" w:rsidRDefault="004A4404">
            <w:r>
              <w:rPr>
                <w:sz w:val="19"/>
                <w:szCs w:val="19"/>
              </w:rPr>
              <w:t>Counterfactual effect of transplant purchase</w:t>
            </w:r>
          </w:p>
        </w:tc>
        <w:tc>
          <w:tcPr>
            <w:tcW w:w="1949" w:type="dxa"/>
            <w:tcMar>
              <w:top w:w="60" w:type="dxa"/>
              <w:left w:w="90" w:type="dxa"/>
              <w:bottom w:w="60" w:type="dxa"/>
              <w:right w:w="90" w:type="dxa"/>
            </w:tcMar>
          </w:tcPr>
          <w:p w14:paraId="5865F183" w14:textId="77777777" w:rsidR="0080216C" w:rsidRDefault="004A4404">
            <w:r>
              <w:rPr>
                <w:sz w:val="19"/>
                <w:szCs w:val="19"/>
              </w:rPr>
              <w:t>Do growers using purchased transplants achieve different yields, input use and profits than comparable growers raising their own</w:t>
            </w:r>
          </w:p>
        </w:tc>
        <w:tc>
          <w:tcPr>
            <w:tcW w:w="1170" w:type="dxa"/>
            <w:tcMar>
              <w:top w:w="60" w:type="dxa"/>
              <w:left w:w="90" w:type="dxa"/>
              <w:bottom w:w="60" w:type="dxa"/>
              <w:right w:w="90" w:type="dxa"/>
            </w:tcMar>
          </w:tcPr>
          <w:p w14:paraId="59EF1F5B" w14:textId="77777777" w:rsidR="0080216C" w:rsidRDefault="004A4404">
            <w:r>
              <w:rPr>
                <w:sz w:val="19"/>
                <w:szCs w:val="19"/>
              </w:rPr>
              <w:t>Multi-site paired or randomised comparison with attention to self-selection, repeated across seasons</w:t>
            </w:r>
          </w:p>
        </w:tc>
        <w:tc>
          <w:tcPr>
            <w:tcW w:w="1949" w:type="dxa"/>
            <w:tcMar>
              <w:top w:w="60" w:type="dxa"/>
              <w:left w:w="90" w:type="dxa"/>
              <w:bottom w:w="60" w:type="dxa"/>
              <w:right w:w="90" w:type="dxa"/>
            </w:tcMar>
          </w:tcPr>
          <w:p w14:paraId="4592CE0F" w14:textId="77777777" w:rsidR="0080216C" w:rsidRDefault="004A4404">
            <w:r>
              <w:rPr>
                <w:sz w:val="19"/>
                <w:szCs w:val="19"/>
              </w:rPr>
              <w:t>Marketable yield; establishment success; pesticide applications; labour hours; gross margin</w:t>
            </w:r>
          </w:p>
        </w:tc>
        <w:tc>
          <w:tcPr>
            <w:tcW w:w="1364" w:type="dxa"/>
            <w:tcMar>
              <w:top w:w="60" w:type="dxa"/>
              <w:left w:w="90" w:type="dxa"/>
              <w:bottom w:w="60" w:type="dxa"/>
              <w:right w:w="90" w:type="dxa"/>
            </w:tcMar>
          </w:tcPr>
          <w:p w14:paraId="2BF7F3C9" w14:textId="77777777" w:rsidR="0080216C" w:rsidRDefault="004A4404">
            <w:r>
              <w:rPr>
                <w:sz w:val="19"/>
                <w:szCs w:val="19"/>
              </w:rPr>
              <w:t>Immediate</w:t>
            </w:r>
          </w:p>
        </w:tc>
        <w:tc>
          <w:tcPr>
            <w:tcW w:w="1657" w:type="dxa"/>
            <w:tcMar>
              <w:top w:w="60" w:type="dxa"/>
              <w:left w:w="90" w:type="dxa"/>
              <w:bottom w:w="60" w:type="dxa"/>
              <w:right w:w="90" w:type="dxa"/>
            </w:tcMar>
          </w:tcPr>
          <w:p w14:paraId="625033CB" w14:textId="77777777" w:rsidR="0080216C" w:rsidRDefault="004A4404">
            <w:proofErr w:type="spellStart"/>
            <w:r>
              <w:rPr>
                <w:sz w:val="19"/>
                <w:szCs w:val="19"/>
              </w:rPr>
              <w:t>Bamire</w:t>
            </w:r>
            <w:proofErr w:type="spellEnd"/>
            <w:r>
              <w:rPr>
                <w:sz w:val="19"/>
                <w:szCs w:val="19"/>
              </w:rPr>
              <w:t xml:space="preserve"> and Oke (2004); Yami et al. (2025)</w:t>
            </w:r>
          </w:p>
        </w:tc>
      </w:tr>
      <w:tr w:rsidR="0080216C" w14:paraId="7D740854" w14:textId="77777777">
        <w:tc>
          <w:tcPr>
            <w:tcW w:w="1657" w:type="dxa"/>
            <w:tcMar>
              <w:top w:w="60" w:type="dxa"/>
              <w:left w:w="90" w:type="dxa"/>
              <w:bottom w:w="60" w:type="dxa"/>
              <w:right w:w="90" w:type="dxa"/>
            </w:tcMar>
          </w:tcPr>
          <w:p w14:paraId="5CD78436" w14:textId="77777777" w:rsidR="0080216C" w:rsidRDefault="004A4404">
            <w:r>
              <w:rPr>
                <w:sz w:val="19"/>
                <w:szCs w:val="19"/>
              </w:rPr>
              <w:t>Phytosanitary status of commercial nurseries</w:t>
            </w:r>
          </w:p>
        </w:tc>
        <w:tc>
          <w:tcPr>
            <w:tcW w:w="1949" w:type="dxa"/>
            <w:tcMar>
              <w:top w:w="60" w:type="dxa"/>
              <w:left w:w="90" w:type="dxa"/>
              <w:bottom w:w="60" w:type="dxa"/>
              <w:right w:w="90" w:type="dxa"/>
            </w:tcMar>
          </w:tcPr>
          <w:p w14:paraId="52F7EA40" w14:textId="77777777" w:rsidR="0080216C" w:rsidRDefault="004A4404">
            <w:r>
              <w:rPr>
                <w:sz w:val="19"/>
                <w:szCs w:val="19"/>
              </w:rPr>
              <w:t>What is the prevalence of soil-borne, seed-borne and insect pests in Nigerian vegetable nurseries and is transmission to purchasers detectable</w:t>
            </w:r>
          </w:p>
        </w:tc>
        <w:tc>
          <w:tcPr>
            <w:tcW w:w="1170" w:type="dxa"/>
            <w:tcMar>
              <w:top w:w="60" w:type="dxa"/>
              <w:left w:w="90" w:type="dxa"/>
              <w:bottom w:w="60" w:type="dxa"/>
              <w:right w:w="90" w:type="dxa"/>
            </w:tcMar>
          </w:tcPr>
          <w:p w14:paraId="0BE282E7" w14:textId="77777777" w:rsidR="0080216C" w:rsidRDefault="004A4404">
            <w:r>
              <w:rPr>
                <w:sz w:val="19"/>
                <w:szCs w:val="19"/>
              </w:rPr>
              <w:t>Cross-sectional surveillance of nursery premises with follow-up sampling of purchaser fields</w:t>
            </w:r>
          </w:p>
        </w:tc>
        <w:tc>
          <w:tcPr>
            <w:tcW w:w="1949" w:type="dxa"/>
            <w:tcMar>
              <w:top w:w="60" w:type="dxa"/>
              <w:left w:w="90" w:type="dxa"/>
              <w:bottom w:w="60" w:type="dxa"/>
              <w:right w:w="90" w:type="dxa"/>
            </w:tcMar>
          </w:tcPr>
          <w:p w14:paraId="0BC48FBE" w14:textId="77777777" w:rsidR="0080216C" w:rsidRDefault="004A4404">
            <w:r>
              <w:rPr>
                <w:sz w:val="19"/>
                <w:szCs w:val="19"/>
              </w:rPr>
              <w:t>Pathogen and pest prevalence; genotype matching between nursery and field isolates; incidence in purchaser fields</w:t>
            </w:r>
          </w:p>
        </w:tc>
        <w:tc>
          <w:tcPr>
            <w:tcW w:w="1364" w:type="dxa"/>
            <w:tcMar>
              <w:top w:w="60" w:type="dxa"/>
              <w:left w:w="90" w:type="dxa"/>
              <w:bottom w:w="60" w:type="dxa"/>
              <w:right w:w="90" w:type="dxa"/>
            </w:tcMar>
          </w:tcPr>
          <w:p w14:paraId="0ECB2BDE" w14:textId="77777777" w:rsidR="0080216C" w:rsidRDefault="004A4404">
            <w:r>
              <w:rPr>
                <w:sz w:val="19"/>
                <w:szCs w:val="19"/>
              </w:rPr>
              <w:t>Immediate</w:t>
            </w:r>
          </w:p>
        </w:tc>
        <w:tc>
          <w:tcPr>
            <w:tcW w:w="1657" w:type="dxa"/>
            <w:tcMar>
              <w:top w:w="60" w:type="dxa"/>
              <w:left w:w="90" w:type="dxa"/>
              <w:bottom w:w="60" w:type="dxa"/>
              <w:right w:w="90" w:type="dxa"/>
            </w:tcMar>
          </w:tcPr>
          <w:p w14:paraId="235E8DD6" w14:textId="77777777" w:rsidR="0080216C" w:rsidRDefault="004A4404">
            <w:r>
              <w:rPr>
                <w:sz w:val="19"/>
                <w:szCs w:val="19"/>
              </w:rPr>
              <w:t xml:space="preserve">CABI (2019); </w:t>
            </w:r>
            <w:proofErr w:type="spellStart"/>
            <w:r>
              <w:rPr>
                <w:sz w:val="19"/>
                <w:szCs w:val="19"/>
              </w:rPr>
              <w:t>Oloniluyi</w:t>
            </w:r>
            <w:proofErr w:type="spellEnd"/>
            <w:r>
              <w:rPr>
                <w:sz w:val="19"/>
                <w:szCs w:val="19"/>
              </w:rPr>
              <w:t xml:space="preserve"> et al. (2026)</w:t>
            </w:r>
          </w:p>
        </w:tc>
      </w:tr>
      <w:tr w:rsidR="0080216C" w14:paraId="6191C386" w14:textId="77777777">
        <w:tc>
          <w:tcPr>
            <w:tcW w:w="1657" w:type="dxa"/>
            <w:tcMar>
              <w:top w:w="60" w:type="dxa"/>
              <w:left w:w="90" w:type="dxa"/>
              <w:bottom w:w="60" w:type="dxa"/>
              <w:right w:w="90" w:type="dxa"/>
            </w:tcMar>
          </w:tcPr>
          <w:p w14:paraId="67708A8E" w14:textId="77777777" w:rsidR="0080216C" w:rsidRDefault="004A4404">
            <w:r>
              <w:rPr>
                <w:sz w:val="19"/>
                <w:szCs w:val="19"/>
              </w:rPr>
              <w:t>Local calibration of nursery specifications</w:t>
            </w:r>
          </w:p>
        </w:tc>
        <w:tc>
          <w:tcPr>
            <w:tcW w:w="1949" w:type="dxa"/>
            <w:tcMar>
              <w:top w:w="60" w:type="dxa"/>
              <w:left w:w="90" w:type="dxa"/>
              <w:bottom w:w="60" w:type="dxa"/>
              <w:right w:w="90" w:type="dxa"/>
            </w:tcMar>
          </w:tcPr>
          <w:p w14:paraId="63805628" w14:textId="77777777" w:rsidR="0080216C" w:rsidRDefault="004A4404">
            <w:r>
              <w:rPr>
                <w:sz w:val="19"/>
                <w:szCs w:val="19"/>
              </w:rPr>
              <w:t xml:space="preserve">What container volumes, seedling ages and substrate formulations optimise performance under Nigerian </w:t>
            </w:r>
            <w:proofErr w:type="spellStart"/>
            <w:r>
              <w:rPr>
                <w:sz w:val="19"/>
                <w:szCs w:val="19"/>
              </w:rPr>
              <w:t>agro</w:t>
            </w:r>
            <w:proofErr w:type="spellEnd"/>
            <w:r>
              <w:rPr>
                <w:sz w:val="19"/>
                <w:szCs w:val="19"/>
              </w:rPr>
              <w:t>-ecological conditions</w:t>
            </w:r>
          </w:p>
        </w:tc>
        <w:tc>
          <w:tcPr>
            <w:tcW w:w="1170" w:type="dxa"/>
            <w:tcMar>
              <w:top w:w="60" w:type="dxa"/>
              <w:left w:w="90" w:type="dxa"/>
              <w:bottom w:w="60" w:type="dxa"/>
              <w:right w:w="90" w:type="dxa"/>
            </w:tcMar>
          </w:tcPr>
          <w:p w14:paraId="4D761DF0" w14:textId="77777777" w:rsidR="0080216C" w:rsidRDefault="004A4404">
            <w:r>
              <w:rPr>
                <w:sz w:val="19"/>
                <w:szCs w:val="19"/>
              </w:rPr>
              <w:t xml:space="preserve">Factorial trials across </w:t>
            </w:r>
            <w:proofErr w:type="spellStart"/>
            <w:r>
              <w:rPr>
                <w:sz w:val="19"/>
                <w:szCs w:val="19"/>
              </w:rPr>
              <w:t>agro</w:t>
            </w:r>
            <w:proofErr w:type="spellEnd"/>
            <w:r>
              <w:rPr>
                <w:sz w:val="19"/>
                <w:szCs w:val="19"/>
              </w:rPr>
              <w:t>-ecological zones and seasons, followed through to field yield</w:t>
            </w:r>
          </w:p>
        </w:tc>
        <w:tc>
          <w:tcPr>
            <w:tcW w:w="1949" w:type="dxa"/>
            <w:tcMar>
              <w:top w:w="60" w:type="dxa"/>
              <w:left w:w="90" w:type="dxa"/>
              <w:bottom w:w="60" w:type="dxa"/>
              <w:right w:w="90" w:type="dxa"/>
            </w:tcMar>
          </w:tcPr>
          <w:p w14:paraId="47675F1F" w14:textId="77777777" w:rsidR="0080216C" w:rsidRDefault="004A4404">
            <w:r>
              <w:rPr>
                <w:sz w:val="19"/>
                <w:szCs w:val="19"/>
              </w:rPr>
              <w:t>Seedling quality indices; establishment rate; field yield; water applied per seedling</w:t>
            </w:r>
          </w:p>
        </w:tc>
        <w:tc>
          <w:tcPr>
            <w:tcW w:w="1364" w:type="dxa"/>
            <w:tcMar>
              <w:top w:w="60" w:type="dxa"/>
              <w:left w:w="90" w:type="dxa"/>
              <w:bottom w:w="60" w:type="dxa"/>
              <w:right w:w="90" w:type="dxa"/>
            </w:tcMar>
          </w:tcPr>
          <w:p w14:paraId="63B9076B" w14:textId="77777777" w:rsidR="0080216C" w:rsidRDefault="004A4404">
            <w:r>
              <w:rPr>
                <w:sz w:val="19"/>
                <w:szCs w:val="19"/>
              </w:rPr>
              <w:t>Immediate to medium</w:t>
            </w:r>
          </w:p>
        </w:tc>
        <w:tc>
          <w:tcPr>
            <w:tcW w:w="1657" w:type="dxa"/>
            <w:tcMar>
              <w:top w:w="60" w:type="dxa"/>
              <w:left w:w="90" w:type="dxa"/>
              <w:bottom w:w="60" w:type="dxa"/>
              <w:right w:w="90" w:type="dxa"/>
            </w:tcMar>
          </w:tcPr>
          <w:p w14:paraId="4C5E87EF" w14:textId="77777777" w:rsidR="0080216C" w:rsidRDefault="004A4404">
            <w:r>
              <w:rPr>
                <w:sz w:val="19"/>
                <w:szCs w:val="19"/>
              </w:rPr>
              <w:t>Balliu (2017); Leskovar and Vavrina (1999); Weston (1988)</w:t>
            </w:r>
          </w:p>
        </w:tc>
      </w:tr>
      <w:tr w:rsidR="0080216C" w14:paraId="1F478121" w14:textId="77777777">
        <w:tc>
          <w:tcPr>
            <w:tcW w:w="1657" w:type="dxa"/>
            <w:tcMar>
              <w:top w:w="60" w:type="dxa"/>
              <w:left w:w="90" w:type="dxa"/>
              <w:bottom w:w="60" w:type="dxa"/>
              <w:right w:w="90" w:type="dxa"/>
            </w:tcMar>
          </w:tcPr>
          <w:p w14:paraId="3006D481" w14:textId="77777777" w:rsidR="0080216C" w:rsidRDefault="004A4404">
            <w:r>
              <w:rPr>
                <w:sz w:val="19"/>
                <w:szCs w:val="19"/>
              </w:rPr>
              <w:t>Enterprise economics of nursery operations</w:t>
            </w:r>
          </w:p>
        </w:tc>
        <w:tc>
          <w:tcPr>
            <w:tcW w:w="1949" w:type="dxa"/>
            <w:tcMar>
              <w:top w:w="60" w:type="dxa"/>
              <w:left w:w="90" w:type="dxa"/>
              <w:bottom w:w="60" w:type="dxa"/>
              <w:right w:w="90" w:type="dxa"/>
            </w:tcMar>
          </w:tcPr>
          <w:p w14:paraId="11133720" w14:textId="77777777" w:rsidR="0080216C" w:rsidRDefault="004A4404">
            <w:r>
              <w:rPr>
                <w:sz w:val="19"/>
                <w:szCs w:val="19"/>
              </w:rPr>
              <w:t>Under what demand, scale and capacity utilisation conditions are Nigerian vegetable nurseries financially viable</w:t>
            </w:r>
          </w:p>
        </w:tc>
        <w:tc>
          <w:tcPr>
            <w:tcW w:w="1170" w:type="dxa"/>
            <w:tcMar>
              <w:top w:w="60" w:type="dxa"/>
              <w:left w:w="90" w:type="dxa"/>
              <w:bottom w:w="60" w:type="dxa"/>
              <w:right w:w="90" w:type="dxa"/>
            </w:tcMar>
          </w:tcPr>
          <w:p w14:paraId="29368D6F" w14:textId="77777777" w:rsidR="0080216C" w:rsidRDefault="004A4404">
            <w:r>
              <w:rPr>
                <w:sz w:val="19"/>
                <w:szCs w:val="19"/>
              </w:rPr>
              <w:t>Enterprise-level panel survey with cost accounting across production cycles and seasons</w:t>
            </w:r>
          </w:p>
        </w:tc>
        <w:tc>
          <w:tcPr>
            <w:tcW w:w="1949" w:type="dxa"/>
            <w:tcMar>
              <w:top w:w="60" w:type="dxa"/>
              <w:left w:w="90" w:type="dxa"/>
              <w:bottom w:w="60" w:type="dxa"/>
              <w:right w:w="90" w:type="dxa"/>
            </w:tcMar>
          </w:tcPr>
          <w:p w14:paraId="2CDCA7C1" w14:textId="77777777" w:rsidR="0080216C" w:rsidRDefault="004A4404">
            <w:r>
              <w:rPr>
                <w:sz w:val="19"/>
                <w:szCs w:val="19"/>
              </w:rPr>
              <w:t>Capacity utilisation; unit cost; unsold proportion; return on capital; failure rate</w:t>
            </w:r>
          </w:p>
        </w:tc>
        <w:tc>
          <w:tcPr>
            <w:tcW w:w="1364" w:type="dxa"/>
            <w:tcMar>
              <w:top w:w="60" w:type="dxa"/>
              <w:left w:w="90" w:type="dxa"/>
              <w:bottom w:w="60" w:type="dxa"/>
              <w:right w:w="90" w:type="dxa"/>
            </w:tcMar>
          </w:tcPr>
          <w:p w14:paraId="281C5515" w14:textId="77777777" w:rsidR="0080216C" w:rsidRDefault="004A4404">
            <w:r>
              <w:rPr>
                <w:sz w:val="19"/>
                <w:szCs w:val="19"/>
              </w:rPr>
              <w:t>Medium</w:t>
            </w:r>
          </w:p>
        </w:tc>
        <w:tc>
          <w:tcPr>
            <w:tcW w:w="1657" w:type="dxa"/>
            <w:tcMar>
              <w:top w:w="60" w:type="dxa"/>
              <w:left w:w="90" w:type="dxa"/>
              <w:bottom w:w="60" w:type="dxa"/>
              <w:right w:w="90" w:type="dxa"/>
            </w:tcMar>
          </w:tcPr>
          <w:p w14:paraId="61F8C26C" w14:textId="77777777" w:rsidR="0080216C" w:rsidRDefault="004A4404">
            <w:proofErr w:type="spellStart"/>
            <w:r>
              <w:rPr>
                <w:sz w:val="19"/>
                <w:szCs w:val="19"/>
              </w:rPr>
              <w:t>Nordey</w:t>
            </w:r>
            <w:proofErr w:type="spellEnd"/>
            <w:r>
              <w:rPr>
                <w:sz w:val="19"/>
                <w:szCs w:val="19"/>
              </w:rPr>
              <w:t xml:space="preserve"> et al. (2017)</w:t>
            </w:r>
          </w:p>
        </w:tc>
      </w:tr>
      <w:tr w:rsidR="0080216C" w14:paraId="71293AF6" w14:textId="77777777">
        <w:tc>
          <w:tcPr>
            <w:tcW w:w="1657" w:type="dxa"/>
            <w:tcMar>
              <w:top w:w="60" w:type="dxa"/>
              <w:left w:w="90" w:type="dxa"/>
              <w:bottom w:w="60" w:type="dxa"/>
              <w:right w:w="90" w:type="dxa"/>
            </w:tcMar>
          </w:tcPr>
          <w:p w14:paraId="153184F1" w14:textId="77777777" w:rsidR="0080216C" w:rsidRDefault="004A4404">
            <w:r>
              <w:rPr>
                <w:sz w:val="19"/>
                <w:szCs w:val="19"/>
              </w:rPr>
              <w:t>Locally formulated propagation media</w:t>
            </w:r>
          </w:p>
        </w:tc>
        <w:tc>
          <w:tcPr>
            <w:tcW w:w="1949" w:type="dxa"/>
            <w:tcMar>
              <w:top w:w="60" w:type="dxa"/>
              <w:left w:w="90" w:type="dxa"/>
              <w:bottom w:w="60" w:type="dxa"/>
              <w:right w:w="90" w:type="dxa"/>
            </w:tcMar>
          </w:tcPr>
          <w:p w14:paraId="27C5BCA3" w14:textId="77777777" w:rsidR="0080216C" w:rsidRDefault="004A4404">
            <w:r>
              <w:rPr>
                <w:sz w:val="19"/>
                <w:szCs w:val="19"/>
              </w:rPr>
              <w:t>Can consistent media be produced from Nigerian agricultural residues at commercial scale</w:t>
            </w:r>
          </w:p>
        </w:tc>
        <w:tc>
          <w:tcPr>
            <w:tcW w:w="1170" w:type="dxa"/>
            <w:tcMar>
              <w:top w:w="60" w:type="dxa"/>
              <w:left w:w="90" w:type="dxa"/>
              <w:bottom w:w="60" w:type="dxa"/>
              <w:right w:w="90" w:type="dxa"/>
            </w:tcMar>
          </w:tcPr>
          <w:p w14:paraId="67E27DB2" w14:textId="77777777" w:rsidR="0080216C" w:rsidRDefault="004A4404">
            <w:r>
              <w:rPr>
                <w:sz w:val="19"/>
                <w:szCs w:val="19"/>
              </w:rPr>
              <w:t>Formulation trials with feedstock variability deliberately incorporated, followed by commercial-scale verification</w:t>
            </w:r>
          </w:p>
        </w:tc>
        <w:tc>
          <w:tcPr>
            <w:tcW w:w="1949" w:type="dxa"/>
            <w:tcMar>
              <w:top w:w="60" w:type="dxa"/>
              <w:left w:w="90" w:type="dxa"/>
              <w:bottom w:w="60" w:type="dxa"/>
              <w:right w:w="90" w:type="dxa"/>
            </w:tcMar>
          </w:tcPr>
          <w:p w14:paraId="76FD169D" w14:textId="77777777" w:rsidR="0080216C" w:rsidRDefault="004A4404">
            <w:r>
              <w:rPr>
                <w:sz w:val="19"/>
                <w:szCs w:val="19"/>
              </w:rPr>
              <w:t>Physical and chemical stability; batch variability; seedling performance; unit cost</w:t>
            </w:r>
          </w:p>
        </w:tc>
        <w:tc>
          <w:tcPr>
            <w:tcW w:w="1364" w:type="dxa"/>
            <w:tcMar>
              <w:top w:w="60" w:type="dxa"/>
              <w:left w:w="90" w:type="dxa"/>
              <w:bottom w:w="60" w:type="dxa"/>
              <w:right w:w="90" w:type="dxa"/>
            </w:tcMar>
          </w:tcPr>
          <w:p w14:paraId="66597606" w14:textId="77777777" w:rsidR="0080216C" w:rsidRDefault="004A4404">
            <w:r>
              <w:rPr>
                <w:sz w:val="19"/>
                <w:szCs w:val="19"/>
              </w:rPr>
              <w:t>Medium</w:t>
            </w:r>
          </w:p>
        </w:tc>
        <w:tc>
          <w:tcPr>
            <w:tcW w:w="1657" w:type="dxa"/>
            <w:tcMar>
              <w:top w:w="60" w:type="dxa"/>
              <w:left w:w="90" w:type="dxa"/>
              <w:bottom w:w="60" w:type="dxa"/>
              <w:right w:w="90" w:type="dxa"/>
            </w:tcMar>
          </w:tcPr>
          <w:p w14:paraId="1111C117" w14:textId="77777777" w:rsidR="0080216C" w:rsidRDefault="004A4404">
            <w:proofErr w:type="spellStart"/>
            <w:r>
              <w:rPr>
                <w:sz w:val="19"/>
                <w:szCs w:val="19"/>
              </w:rPr>
              <w:t>Fesendouz</w:t>
            </w:r>
            <w:proofErr w:type="spellEnd"/>
            <w:r>
              <w:rPr>
                <w:sz w:val="19"/>
                <w:szCs w:val="19"/>
              </w:rPr>
              <w:t xml:space="preserve"> et al. (2025); </w:t>
            </w:r>
            <w:proofErr w:type="spellStart"/>
            <w:r>
              <w:rPr>
                <w:sz w:val="19"/>
                <w:szCs w:val="19"/>
              </w:rPr>
              <w:t>Papamichalaki</w:t>
            </w:r>
            <w:proofErr w:type="spellEnd"/>
            <w:r>
              <w:rPr>
                <w:sz w:val="19"/>
                <w:szCs w:val="19"/>
              </w:rPr>
              <w:t xml:space="preserve"> et al. (2014)</w:t>
            </w:r>
          </w:p>
        </w:tc>
      </w:tr>
      <w:tr w:rsidR="0080216C" w14:paraId="52B123C0" w14:textId="77777777">
        <w:tc>
          <w:tcPr>
            <w:tcW w:w="1657" w:type="dxa"/>
            <w:tcMar>
              <w:top w:w="60" w:type="dxa"/>
              <w:left w:w="90" w:type="dxa"/>
              <w:bottom w:w="60" w:type="dxa"/>
              <w:right w:w="90" w:type="dxa"/>
            </w:tcMar>
          </w:tcPr>
          <w:p w14:paraId="55C7E4A1" w14:textId="77777777" w:rsidR="0080216C" w:rsidRDefault="004A4404">
            <w:r>
              <w:rPr>
                <w:sz w:val="19"/>
                <w:szCs w:val="19"/>
              </w:rPr>
              <w:t>Environmental accounting of propagation</w:t>
            </w:r>
          </w:p>
        </w:tc>
        <w:tc>
          <w:tcPr>
            <w:tcW w:w="1949" w:type="dxa"/>
            <w:tcMar>
              <w:top w:w="60" w:type="dxa"/>
              <w:left w:w="90" w:type="dxa"/>
              <w:bottom w:w="60" w:type="dxa"/>
              <w:right w:w="90" w:type="dxa"/>
            </w:tcMar>
          </w:tcPr>
          <w:p w14:paraId="709AD8AA" w14:textId="77777777" w:rsidR="0080216C" w:rsidRDefault="004A4404">
            <w:r>
              <w:rPr>
                <w:sz w:val="19"/>
                <w:szCs w:val="19"/>
              </w:rPr>
              <w:t>What is the environmental burden of nursery-based propagation relative to on-farm seedbeds under Nigerian conditions</w:t>
            </w:r>
          </w:p>
        </w:tc>
        <w:tc>
          <w:tcPr>
            <w:tcW w:w="1170" w:type="dxa"/>
            <w:tcMar>
              <w:top w:w="60" w:type="dxa"/>
              <w:left w:w="90" w:type="dxa"/>
              <w:bottom w:w="60" w:type="dxa"/>
              <w:right w:w="90" w:type="dxa"/>
            </w:tcMar>
          </w:tcPr>
          <w:p w14:paraId="7F76EC56" w14:textId="77777777" w:rsidR="0080216C" w:rsidRDefault="004A4404">
            <w:r>
              <w:rPr>
                <w:sz w:val="19"/>
                <w:szCs w:val="19"/>
              </w:rPr>
              <w:t>Life-cycle assessment with locally defined system boundaries and sensitivity analysis</w:t>
            </w:r>
          </w:p>
        </w:tc>
        <w:tc>
          <w:tcPr>
            <w:tcW w:w="1949" w:type="dxa"/>
            <w:tcMar>
              <w:top w:w="60" w:type="dxa"/>
              <w:left w:w="90" w:type="dxa"/>
              <w:bottom w:w="60" w:type="dxa"/>
              <w:right w:w="90" w:type="dxa"/>
            </w:tcMar>
          </w:tcPr>
          <w:p w14:paraId="1055A5BE" w14:textId="77777777" w:rsidR="0080216C" w:rsidRDefault="004A4404">
            <w:r>
              <w:rPr>
                <w:sz w:val="19"/>
                <w:szCs w:val="19"/>
              </w:rPr>
              <w:t>Global warming potential; water consumption; land occupation per thousand transplants</w:t>
            </w:r>
          </w:p>
        </w:tc>
        <w:tc>
          <w:tcPr>
            <w:tcW w:w="1364" w:type="dxa"/>
            <w:tcMar>
              <w:top w:w="60" w:type="dxa"/>
              <w:left w:w="90" w:type="dxa"/>
              <w:bottom w:w="60" w:type="dxa"/>
              <w:right w:w="90" w:type="dxa"/>
            </w:tcMar>
          </w:tcPr>
          <w:p w14:paraId="40C41F4C" w14:textId="77777777" w:rsidR="0080216C" w:rsidRDefault="004A4404">
            <w:r>
              <w:rPr>
                <w:sz w:val="19"/>
                <w:szCs w:val="19"/>
              </w:rPr>
              <w:t>Medium to long</w:t>
            </w:r>
          </w:p>
        </w:tc>
        <w:tc>
          <w:tcPr>
            <w:tcW w:w="1657" w:type="dxa"/>
            <w:tcMar>
              <w:top w:w="60" w:type="dxa"/>
              <w:left w:w="90" w:type="dxa"/>
              <w:bottom w:w="60" w:type="dxa"/>
              <w:right w:w="90" w:type="dxa"/>
            </w:tcMar>
          </w:tcPr>
          <w:p w14:paraId="3EF18612" w14:textId="77777777" w:rsidR="0080216C" w:rsidRDefault="004A4404">
            <w:r>
              <w:rPr>
                <w:sz w:val="19"/>
                <w:szCs w:val="19"/>
              </w:rPr>
              <w:t>Altland and Bugbee (2026); Gruda (2019)</w:t>
            </w:r>
          </w:p>
        </w:tc>
      </w:tr>
      <w:tr w:rsidR="0080216C" w14:paraId="0A6D0F29" w14:textId="77777777">
        <w:tc>
          <w:tcPr>
            <w:tcW w:w="1657" w:type="dxa"/>
            <w:tcMar>
              <w:top w:w="60" w:type="dxa"/>
              <w:left w:w="90" w:type="dxa"/>
              <w:bottom w:w="60" w:type="dxa"/>
              <w:right w:w="90" w:type="dxa"/>
            </w:tcMar>
          </w:tcPr>
          <w:p w14:paraId="70B553F7" w14:textId="77777777" w:rsidR="0080216C" w:rsidRDefault="004A4404">
            <w:r>
              <w:rPr>
                <w:sz w:val="19"/>
                <w:szCs w:val="19"/>
              </w:rPr>
              <w:t>Rootstock adaptation for grafted transplants</w:t>
            </w:r>
          </w:p>
        </w:tc>
        <w:tc>
          <w:tcPr>
            <w:tcW w:w="1949" w:type="dxa"/>
            <w:tcMar>
              <w:top w:w="60" w:type="dxa"/>
              <w:left w:w="90" w:type="dxa"/>
              <w:bottom w:w="60" w:type="dxa"/>
              <w:right w:w="90" w:type="dxa"/>
            </w:tcMar>
          </w:tcPr>
          <w:p w14:paraId="7763150D" w14:textId="77777777" w:rsidR="0080216C" w:rsidRDefault="004A4404">
            <w:r>
              <w:rPr>
                <w:sz w:val="19"/>
                <w:szCs w:val="19"/>
              </w:rPr>
              <w:t>Which rootstock and scion combinations perform under Nigerian pathogen populations and soil conditions</w:t>
            </w:r>
          </w:p>
        </w:tc>
        <w:tc>
          <w:tcPr>
            <w:tcW w:w="1170" w:type="dxa"/>
            <w:tcMar>
              <w:top w:w="60" w:type="dxa"/>
              <w:left w:w="90" w:type="dxa"/>
              <w:bottom w:w="60" w:type="dxa"/>
              <w:right w:w="90" w:type="dxa"/>
            </w:tcMar>
          </w:tcPr>
          <w:p w14:paraId="2F2B8A56" w14:textId="77777777" w:rsidR="0080216C" w:rsidRDefault="004A4404">
            <w:r>
              <w:rPr>
                <w:sz w:val="19"/>
                <w:szCs w:val="19"/>
              </w:rPr>
              <w:t>Multi-location rootstock evaluation in naturally infested soils with pathogen characterisation</w:t>
            </w:r>
          </w:p>
        </w:tc>
        <w:tc>
          <w:tcPr>
            <w:tcW w:w="1949" w:type="dxa"/>
            <w:tcMar>
              <w:top w:w="60" w:type="dxa"/>
              <w:left w:w="90" w:type="dxa"/>
              <w:bottom w:w="60" w:type="dxa"/>
              <w:right w:w="90" w:type="dxa"/>
            </w:tcMar>
          </w:tcPr>
          <w:p w14:paraId="3466CD66" w14:textId="77777777" w:rsidR="0080216C" w:rsidRDefault="004A4404">
            <w:r>
              <w:rPr>
                <w:sz w:val="19"/>
                <w:szCs w:val="19"/>
              </w:rPr>
              <w:t>Wilt incidence; marketable yield; graft survival; cost premium recovered</w:t>
            </w:r>
          </w:p>
        </w:tc>
        <w:tc>
          <w:tcPr>
            <w:tcW w:w="1364" w:type="dxa"/>
            <w:tcMar>
              <w:top w:w="60" w:type="dxa"/>
              <w:left w:w="90" w:type="dxa"/>
              <w:bottom w:w="60" w:type="dxa"/>
              <w:right w:w="90" w:type="dxa"/>
            </w:tcMar>
          </w:tcPr>
          <w:p w14:paraId="66E298D2" w14:textId="77777777" w:rsidR="0080216C" w:rsidRDefault="004A4404">
            <w:r>
              <w:rPr>
                <w:sz w:val="19"/>
                <w:szCs w:val="19"/>
              </w:rPr>
              <w:t>Medium to long</w:t>
            </w:r>
          </w:p>
        </w:tc>
        <w:tc>
          <w:tcPr>
            <w:tcW w:w="1657" w:type="dxa"/>
            <w:tcMar>
              <w:top w:w="60" w:type="dxa"/>
              <w:left w:w="90" w:type="dxa"/>
              <w:bottom w:w="60" w:type="dxa"/>
              <w:right w:w="90" w:type="dxa"/>
            </w:tcMar>
          </w:tcPr>
          <w:p w14:paraId="1E0D972B" w14:textId="77777777" w:rsidR="0080216C" w:rsidRDefault="004A4404">
            <w:proofErr w:type="spellStart"/>
            <w:r>
              <w:rPr>
                <w:sz w:val="19"/>
                <w:szCs w:val="19"/>
              </w:rPr>
              <w:t>Kitundu</w:t>
            </w:r>
            <w:proofErr w:type="spellEnd"/>
            <w:r>
              <w:rPr>
                <w:sz w:val="19"/>
                <w:szCs w:val="19"/>
              </w:rPr>
              <w:t xml:space="preserve"> et al. (2022); </w:t>
            </w:r>
            <w:proofErr w:type="spellStart"/>
            <w:r>
              <w:rPr>
                <w:sz w:val="19"/>
                <w:szCs w:val="19"/>
              </w:rPr>
              <w:t>Nordey</w:t>
            </w:r>
            <w:proofErr w:type="spellEnd"/>
            <w:r>
              <w:rPr>
                <w:sz w:val="19"/>
                <w:szCs w:val="19"/>
              </w:rPr>
              <w:t xml:space="preserve"> et al. (2020)</w:t>
            </w:r>
          </w:p>
        </w:tc>
      </w:tr>
      <w:tr w:rsidR="0080216C" w14:paraId="54B7AC00" w14:textId="77777777">
        <w:tc>
          <w:tcPr>
            <w:tcW w:w="1657" w:type="dxa"/>
            <w:tcMar>
              <w:top w:w="60" w:type="dxa"/>
              <w:left w:w="90" w:type="dxa"/>
              <w:bottom w:w="60" w:type="dxa"/>
              <w:right w:w="90" w:type="dxa"/>
            </w:tcMar>
          </w:tcPr>
          <w:p w14:paraId="14EB56C3" w14:textId="77777777" w:rsidR="0080216C" w:rsidRDefault="004A4404">
            <w:r>
              <w:rPr>
                <w:sz w:val="19"/>
                <w:szCs w:val="19"/>
              </w:rPr>
              <w:lastRenderedPageBreak/>
              <w:t>Regulatory instrument design</w:t>
            </w:r>
          </w:p>
        </w:tc>
        <w:tc>
          <w:tcPr>
            <w:tcW w:w="1949" w:type="dxa"/>
            <w:tcMar>
              <w:top w:w="60" w:type="dxa"/>
              <w:left w:w="90" w:type="dxa"/>
              <w:bottom w:w="60" w:type="dxa"/>
              <w:right w:w="90" w:type="dxa"/>
            </w:tcMar>
          </w:tcPr>
          <w:p w14:paraId="236C3987" w14:textId="77777777" w:rsidR="0080216C" w:rsidRDefault="004A4404">
            <w:r>
              <w:rPr>
                <w:sz w:val="19"/>
                <w:szCs w:val="19"/>
              </w:rPr>
              <w:t>Would process-based accreditation of nursery premises be feasible and would growers pay for accredited seedlings</w:t>
            </w:r>
          </w:p>
        </w:tc>
        <w:tc>
          <w:tcPr>
            <w:tcW w:w="1170" w:type="dxa"/>
            <w:tcMar>
              <w:top w:w="60" w:type="dxa"/>
              <w:left w:w="90" w:type="dxa"/>
              <w:bottom w:w="60" w:type="dxa"/>
              <w:right w:w="90" w:type="dxa"/>
            </w:tcMar>
          </w:tcPr>
          <w:p w14:paraId="09E7BCD9" w14:textId="77777777" w:rsidR="0080216C" w:rsidRDefault="004A4404">
            <w:r>
              <w:rPr>
                <w:sz w:val="19"/>
                <w:szCs w:val="19"/>
              </w:rPr>
              <w:t>Regulatory feasibility analysis combined with discrete choice experiments among growers</w:t>
            </w:r>
          </w:p>
        </w:tc>
        <w:tc>
          <w:tcPr>
            <w:tcW w:w="1949" w:type="dxa"/>
            <w:tcMar>
              <w:top w:w="60" w:type="dxa"/>
              <w:left w:w="90" w:type="dxa"/>
              <w:bottom w:w="60" w:type="dxa"/>
              <w:right w:w="90" w:type="dxa"/>
            </w:tcMar>
          </w:tcPr>
          <w:p w14:paraId="1A448B47" w14:textId="77777777" w:rsidR="0080216C" w:rsidRDefault="004A4404">
            <w:r>
              <w:rPr>
                <w:sz w:val="19"/>
                <w:szCs w:val="19"/>
              </w:rPr>
              <w:t>Administrative cost; compliance rate; willingness to pay for accreditation</w:t>
            </w:r>
          </w:p>
        </w:tc>
        <w:tc>
          <w:tcPr>
            <w:tcW w:w="1364" w:type="dxa"/>
            <w:tcMar>
              <w:top w:w="60" w:type="dxa"/>
              <w:left w:w="90" w:type="dxa"/>
              <w:bottom w:w="60" w:type="dxa"/>
              <w:right w:w="90" w:type="dxa"/>
            </w:tcMar>
          </w:tcPr>
          <w:p w14:paraId="529FF058" w14:textId="77777777" w:rsidR="0080216C" w:rsidRDefault="004A4404">
            <w:r>
              <w:rPr>
                <w:sz w:val="19"/>
                <w:szCs w:val="19"/>
              </w:rPr>
              <w:t>Medium to long</w:t>
            </w:r>
          </w:p>
        </w:tc>
        <w:tc>
          <w:tcPr>
            <w:tcW w:w="1657" w:type="dxa"/>
            <w:tcMar>
              <w:top w:w="60" w:type="dxa"/>
              <w:left w:w="90" w:type="dxa"/>
              <w:bottom w:w="60" w:type="dxa"/>
              <w:right w:w="90" w:type="dxa"/>
            </w:tcMar>
          </w:tcPr>
          <w:p w14:paraId="5CD439BB" w14:textId="77777777" w:rsidR="0080216C" w:rsidRDefault="004A4404">
            <w:r>
              <w:rPr>
                <w:sz w:val="19"/>
                <w:szCs w:val="19"/>
              </w:rPr>
              <w:t xml:space="preserve">National Agricultural Seeds Council Act (2019); </w:t>
            </w:r>
            <w:proofErr w:type="spellStart"/>
            <w:r>
              <w:rPr>
                <w:sz w:val="19"/>
                <w:szCs w:val="19"/>
              </w:rPr>
              <w:t>Schreinemachers</w:t>
            </w:r>
            <w:proofErr w:type="spellEnd"/>
            <w:r>
              <w:rPr>
                <w:sz w:val="19"/>
                <w:szCs w:val="19"/>
              </w:rPr>
              <w:t xml:space="preserve"> et al. (2021)</w:t>
            </w:r>
          </w:p>
        </w:tc>
      </w:tr>
    </w:tbl>
    <w:p w14:paraId="254E5983" w14:textId="77777777" w:rsidR="0080216C" w:rsidRDefault="004A4404">
      <w:pPr>
        <w:spacing w:before="100" w:after="260"/>
        <w:jc w:val="both"/>
      </w:pPr>
      <w:r>
        <w:rPr>
          <w:sz w:val="18"/>
          <w:szCs w:val="18"/>
        </w:rPr>
        <w:t>Note. Priority horizon reflects the extent to which resolving the gap would alter defensible claims about commercial nurseries, together with the time required for the proposed design, and does not indicate relative scientific importance. Outcome measures are those minimally required for the design to answer the stated question.</w:t>
      </w:r>
    </w:p>
    <w:p w14:paraId="49CCC471" w14:textId="77777777" w:rsidR="0080216C" w:rsidRDefault="004A4404">
      <w:pPr>
        <w:pStyle w:val="Heading1"/>
        <w:spacing w:before="320" w:after="160"/>
      </w:pPr>
      <w:r>
        <w:rPr>
          <w:b/>
          <w:bCs/>
          <w:color w:val="000000"/>
          <w:sz w:val="26"/>
          <w:szCs w:val="26"/>
        </w:rPr>
        <w:t>8. Future Directions</w:t>
      </w:r>
    </w:p>
    <w:p w14:paraId="4F98F253" w14:textId="77777777" w:rsidR="0080216C" w:rsidRDefault="004A4404">
      <w:pPr>
        <w:spacing w:after="160" w:line="360" w:lineRule="auto"/>
        <w:jc w:val="both"/>
      </w:pPr>
      <w:r>
        <w:t>The research agenda that follows from this synthesis is shaped by a single structural feature of the evidence: the questions that matter most for Nigerian policy are the ones on which no Nigerian data exist. Priorities should therefore be ordered by what would change the defensibility of current claims rather than by what would extend existing lines of enquiry.</w:t>
      </w:r>
    </w:p>
    <w:p w14:paraId="39953ABC" w14:textId="77777777" w:rsidR="0080216C" w:rsidRDefault="004A4404">
      <w:pPr>
        <w:spacing w:after="160" w:line="360" w:lineRule="auto"/>
        <w:jc w:val="both"/>
      </w:pPr>
      <w:r>
        <w:t>The most consequential unresolved problem is the absence of any counterfactual comparison between growers who purchase transplants and growers who raise their own. Current evidence establishes that nursery variables affect field performance and that commercial nurseries control those variables, but it does not establish that the transition from on-farm to purchased transplants produces a net benefit, because the comparison has never been made. Cross-sectional comparison would be inadequate, since growers who purchase transplants are likely to differ systematically in capital, market orientation and access to advice. A paired or randomised design implemented across multiple sites and repeated over at least two production cycles would be required, with outcomes measured as marketable yield, establishment success, number of pesticide applications, labour hours and gross margin. Without such evidence, investment in nursery promotion proceeds on the assumption that the observed correlation between commercial transplant use and higher output reflects causation, which the evidence reviewed here cannot support.</w:t>
      </w:r>
    </w:p>
    <w:p w14:paraId="2CFB1D4F" w14:textId="77777777" w:rsidR="0080216C" w:rsidRDefault="004A4404">
      <w:pPr>
        <w:spacing w:after="160" w:line="360" w:lineRule="auto"/>
        <w:jc w:val="both"/>
      </w:pPr>
      <w:r>
        <w:t>The second immediate priority is phytosanitary surveillance of propagation units. The reasoning developed in Section 5 shows that centralisation is capable of amplifying as well as filtering, and that only the filtering function has been examined. A cross-sectional survey of nursery premises measuring the prevalence of soil-borne and seed-borne pathogens and of insect pests, combined with follow-up sampling of the fields of purchasers, would establish whether transmission is occurring. Genotype matching between nursery and field isolates would provide stronger evidence of transmission than incidence data alone. This work is technically straightforward, requires no new methods and would resolve a question on which the phytosanitary component of the sustainability argument entirely depends.</w:t>
      </w:r>
    </w:p>
    <w:p w14:paraId="38A01F77" w14:textId="77777777" w:rsidR="0080216C" w:rsidRDefault="004A4404">
      <w:pPr>
        <w:spacing w:after="160" w:line="360" w:lineRule="auto"/>
        <w:jc w:val="both"/>
      </w:pPr>
      <w:r>
        <w:lastRenderedPageBreak/>
        <w:t xml:space="preserve">A third priority, sitting between immediate and medium term, is local calibration of nursery specifications. Container volume, seedling age and substrate formulation interact with evaporative demand and irrigation regime, and Nigerian conditions differ from those in which the governing relationships were established. Factorial trials conducted across the Guinea savannah, Sudan savannah and humid forest zones and across both wet and dry seasons, with measurement carried through to field yield rather than terminating at seedling attributes, would supply the specifications that nursery operators currently import without adaptation. The requirement that </w:t>
      </w:r>
      <w:proofErr w:type="gramStart"/>
      <w:r>
        <w:t>yield</w:t>
      </w:r>
      <w:proofErr w:type="gramEnd"/>
      <w:r>
        <w:t xml:space="preserve"> be measured is not incidental, since it is the endpoint most frequently omitted in the existing literature.</w:t>
      </w:r>
    </w:p>
    <w:p w14:paraId="71E3E1CF" w14:textId="77777777" w:rsidR="0080216C" w:rsidRDefault="004A4404">
      <w:pPr>
        <w:spacing w:after="160" w:line="360" w:lineRule="auto"/>
        <w:jc w:val="both"/>
      </w:pPr>
      <w:r>
        <w:t>Medium-term priorities concern the nursery as an enterprise rather than as a growing environment. Enterprise-level panel data covering capacity utilisation, unit cost, the proportion of production unsold, return on capital and failure rate would establish under what conditions nursery businesses are viable, and would test the implicit assumption that they represent a stable component of the value chain. Parallel work on locally formulated propagation media should deliberately incorporate feedstock variability rather than controlling it out, since variability is the principal obstacle to commercial application and studies that eliminate it answer a different question from the one that operators face.</w:t>
      </w:r>
    </w:p>
    <w:p w14:paraId="4E5AAA46" w14:textId="77777777" w:rsidR="0080216C" w:rsidRDefault="004A4404">
      <w:pPr>
        <w:spacing w:after="160" w:line="360" w:lineRule="auto"/>
        <w:jc w:val="both"/>
      </w:pPr>
      <w:r>
        <w:t>Longer-term requirements include life-cycle assessment of propagation systems using system boundaries defined for West African conditions, multi-location rootstock evaluation in naturally infested Nigerian soils, and analysis of regulatory instruments capable of making seedling quality verifiable. The regulatory work is distinctive in that it requires legal and administrative analysis alongside empirical measurement: the enabling powers exist under the National Agricultural Seeds Council Act, 2019, so the question is one of instrument design and administrative feasibility rather than of legislative reform. Discrete choice experiments among growers would establish whether accreditation would command a price premium sufficient to sustain compliance.</w:t>
      </w:r>
    </w:p>
    <w:p w14:paraId="074324D0" w14:textId="77777777" w:rsidR="0080216C" w:rsidRDefault="004A4404">
      <w:pPr>
        <w:spacing w:after="160" w:line="360" w:lineRule="auto"/>
        <w:jc w:val="both"/>
      </w:pPr>
      <w:r>
        <w:t>Two cross-cutting requirements apply across this agenda. Studies should disaggregate by the typology set out in Section 3, since aggregating commercial nurseries with informal seedling sellers would obscure the distinctions that determine which mechanisms operate. Studies should also report distributional outcomes, including the labour and income consequences for household members previously responsible for propagation, because a sustainability assessment that omits distribution is incomplete regardless of its technical quality.</w:t>
      </w:r>
    </w:p>
    <w:p w14:paraId="35E7E9D3" w14:textId="77777777" w:rsidR="0080216C" w:rsidRDefault="004A4404">
      <w:pPr>
        <w:pStyle w:val="Heading1"/>
        <w:spacing w:before="320" w:after="160"/>
      </w:pPr>
      <w:r>
        <w:rPr>
          <w:b/>
          <w:bCs/>
          <w:color w:val="000000"/>
          <w:sz w:val="26"/>
          <w:szCs w:val="26"/>
        </w:rPr>
        <w:t>9. Conclusions</w:t>
      </w:r>
    </w:p>
    <w:p w14:paraId="1D020837" w14:textId="77777777" w:rsidR="0080216C" w:rsidRDefault="004A4404">
      <w:pPr>
        <w:spacing w:after="160" w:line="360" w:lineRule="auto"/>
        <w:jc w:val="both"/>
      </w:pPr>
      <w:r>
        <w:t xml:space="preserve">Commercial nursery systems in Nigeria occupy a position that is intuitively persuasive and evidentially underdetermined. This review set out to establish what can be defended about their contribution to </w:t>
      </w:r>
      <w:r>
        <w:lastRenderedPageBreak/>
        <w:t>sustainable vegetable production, and the answer differs substantially across the four claims that are usually advanced together.</w:t>
      </w:r>
    </w:p>
    <w:p w14:paraId="7201E12C" w14:textId="77777777" w:rsidR="0080216C" w:rsidRDefault="004A4404">
      <w:pPr>
        <w:spacing w:after="160" w:line="360" w:lineRule="auto"/>
        <w:jc w:val="both"/>
      </w:pPr>
      <w:r>
        <w:t>The agronomic foundation is sound at the level of mechanism. Container volume, seedling age, substrate quality, nursery nutrition and biological treatment demonstrably influence transplant quality and, in several well-designed studies, subsequent field yield. These are precisely the variables that specialised nurseries control and that on-farm seedbed propagation does not. The strength of this conclusion should not be overstated, because the controlled evidence originates almost entirely from outside sub-Saharan Africa, the optimal specifications are environment-dependent, and several frequently cited studies terminate at the seedling stage without following through to yield. What is established is direction, not magnitude, and the difference matters when quantitative benefits are claimed.</w:t>
      </w:r>
    </w:p>
    <w:p w14:paraId="4D2841DB" w14:textId="77777777" w:rsidR="0080216C" w:rsidRDefault="004A4404">
      <w:pPr>
        <w:spacing w:after="160" w:line="360" w:lineRule="auto"/>
        <w:jc w:val="both"/>
      </w:pPr>
      <w:r>
        <w:t>The phytosanitary conclusion is genuinely two-sided, and this is the review's most substantial analytical finding. Evidence from East Africa demonstrates that protected propagation improves transplant quality and reduces pest pressure under tropical smallholder conditions, and grafting delivered through nurseries addresses soil-borne constraints that Nigerian growers recognise and manage poorly. The corresponding risk that centralised propagation amplifies infection and distributes it across a wide production area has attracted almost no research attention in the region, and no Nigerian surveillance data were located. The net phytosanitary effect of nursery centralisation in Nigeria is therefore undetermined rather than favourable, and treating it as favourable is an inference from the studied half of a two-sided mechanism.</w:t>
      </w:r>
    </w:p>
    <w:p w14:paraId="1C73458E" w14:textId="77777777" w:rsidR="0080216C" w:rsidRDefault="004A4404">
      <w:pPr>
        <w:spacing w:after="160" w:line="360" w:lineRule="auto"/>
        <w:jc w:val="both"/>
      </w:pPr>
      <w:r>
        <w:t xml:space="preserve">The economic and institutional conclusions are the weakest. No counterfactual evaluation of transplant purchase in Nigeria was identified, no enterprise-level analysis of nursery viability was located, and the labour and gender consequences of relocating propagation out of the household have not been examined. The regulatory position is clearer and more tractable: seedlings fall within the statutory definition of agricultural seeds under Nigerian law, but the certification apparatus is constructed around storable, </w:t>
      </w:r>
      <w:proofErr w:type="spellStart"/>
      <w:r>
        <w:t>samplable</w:t>
      </w:r>
      <w:proofErr w:type="spellEnd"/>
      <w:r>
        <w:t xml:space="preserve"> seed lots and does not readily reach a perishable product consumed within days of sale. The result is a market in which the quality attribute that justifies the price cannot be verified by the purchaser, which is a structural vulnerability rather than an implementation shortcoming.</w:t>
      </w:r>
    </w:p>
    <w:p w14:paraId="0D4007A5" w14:textId="77777777" w:rsidR="0080216C" w:rsidRDefault="004A4404">
      <w:pPr>
        <w:spacing w:after="160" w:line="360" w:lineRule="auto"/>
        <w:jc w:val="both"/>
      </w:pPr>
      <w:r>
        <w:t xml:space="preserve">Taken together, these findings support a measured position. Commercial nurseries plausibly improve vegetable production in Nigeria and may contribute to several dimensions of sustainability, but the specific and quantitative claims currently attached to them exceed the available evidence, and the phytosanitary and institutional risks that accompany centralisation have not been assessed. The broader significance of this conclusion extends beyond nurseries: it illustrates how an intervention can acquire </w:t>
      </w:r>
      <w:r>
        <w:lastRenderedPageBreak/>
        <w:t>the status of established good practice through the accumulation of mechanistically plausible arguments, each defensible in isolation, without the integrating evidence that would justify the confidence placed in it. Resolving that condition requires comparative field evidence and phytosanitary surveillance in Nigeria itself, and until such evidence exists the case for commercial nurseries should be presented as promising rather than demonstrated.</w:t>
      </w:r>
    </w:p>
    <w:p w14:paraId="6C71FB1D" w14:textId="77777777" w:rsidR="0080216C" w:rsidRDefault="004A4404">
      <w:pPr>
        <w:pStyle w:val="Heading1"/>
        <w:spacing w:before="320" w:after="160"/>
      </w:pPr>
      <w:r>
        <w:rPr>
          <w:b/>
          <w:bCs/>
          <w:color w:val="000000"/>
          <w:sz w:val="26"/>
          <w:szCs w:val="26"/>
        </w:rPr>
        <w:t>10. Limitations</w:t>
      </w:r>
    </w:p>
    <w:p w14:paraId="6BBB6DE3" w14:textId="77777777" w:rsidR="0080216C" w:rsidRDefault="004A4404">
      <w:pPr>
        <w:spacing w:after="160" w:line="360" w:lineRule="auto"/>
        <w:jc w:val="both"/>
      </w:pPr>
      <w:r>
        <w:t>The limitations of this review begin with its form. A critical narrative review selects and interprets evidence without the protocol-driven, reproducible procedures of a systematic review, and selection and interpretive bias cannot be excluded despite a transparent search strategy and explicit appraisal criteria. A different reviewer applying the same search terms would probably assemble an overlapping but not identical evidence base, and might weight the constituent literatures differently, particularly in balancing mechanistic plant-science evidence against contextual social-science evidence.</w:t>
      </w:r>
    </w:p>
    <w:p w14:paraId="10737C1A" w14:textId="77777777" w:rsidR="0080216C" w:rsidRDefault="004A4404">
      <w:pPr>
        <w:spacing w:after="160" w:line="360" w:lineRule="auto"/>
        <w:jc w:val="both"/>
      </w:pPr>
      <w:r>
        <w:t xml:space="preserve">Access to subscription bibliographic databases was not available, so the search relied on open metadata registries, biomedical and life-science indexing, and general web searching of publisher and institutional sources. This is likely to have reduced retrieval of regionally published African agricultural journals, which are unevenly represented in open registries, and the Nigerian evidence base described here may therefore be thinner than the literature that actually exists. Restriction to English-language sources compounds this, excluding francophone horticultural research from neighbouring West African countries that share </w:t>
      </w:r>
      <w:proofErr w:type="spellStart"/>
      <w:r>
        <w:t>agro</w:t>
      </w:r>
      <w:proofErr w:type="spellEnd"/>
      <w:r>
        <w:t>-ecological conditions with parts of Nigeria.</w:t>
      </w:r>
    </w:p>
    <w:p w14:paraId="396CB4CE" w14:textId="77777777" w:rsidR="0080216C" w:rsidRDefault="004A4404">
      <w:pPr>
        <w:spacing w:after="160" w:line="360" w:lineRule="auto"/>
        <w:jc w:val="both"/>
      </w:pPr>
      <w:r>
        <w:t>The evidence itself imposes further constraints. Study designs ranged from replicated factorial nursery experiments to cross-sectional household surveys, and outcomes ranged from seedling morphological attributes to household income, which precluded any quantitative synthesis and made comparison across studies necessarily qualitative. Much of the controlled agronomic evidence originated outside sub-Saharan Africa, so conclusions about magnitude rest on assumed rather than demonstrated transferability. Several important questions were addressed only by observational studies without comparison groups, which prevents causal attribution. Geographical representation within the African evidence is uneven, with East African studies substantially outnumbering West African ones, and long-term evidence is scarce, since almost all nursery studies covered a single or at most two production cycles.</w:t>
      </w:r>
    </w:p>
    <w:p w14:paraId="1A6127FE" w14:textId="77777777" w:rsidR="0080216C" w:rsidRDefault="004A4404">
      <w:pPr>
        <w:spacing w:after="160" w:line="360" w:lineRule="auto"/>
        <w:jc w:val="both"/>
      </w:pPr>
      <w:r>
        <w:t xml:space="preserve">Two further limitations should be recorded. Publication bias is likely to affect the technology-evaluation literature, in which trials reporting benefits of protective structures and improved substrates are more likely to appear than trials reporting no effect, and the direction of this bias would tend to overstate the case examined here. The field is also developing rapidly, particularly in relation to </w:t>
      </w:r>
      <w:r>
        <w:lastRenderedPageBreak/>
        <w:t>substrate alternatives and pest management, so conclusions drawn from the period covered may require revision. Finally, no attempt was made to estimate the number, distribution or output of commercial nurseries in Nigeria, because verifiable data of that kind were not available, and any figures presented would have been conjecture.</w:t>
      </w:r>
    </w:p>
    <w:p w14:paraId="531CC136" w14:textId="77777777" w:rsidR="00BF2A6F" w:rsidRPr="00BF2A6F" w:rsidRDefault="00BF2A6F" w:rsidP="00BF2A6F">
      <w:pPr>
        <w:spacing w:after="160" w:line="278" w:lineRule="auto"/>
        <w:rPr>
          <w:rFonts w:ascii="Calibri" w:eastAsia="Calibri" w:hAnsi="Calibri"/>
          <w:b/>
          <w:bCs/>
          <w:kern w:val="2"/>
          <w:highlight w:val="yellow"/>
          <w:lang w:val="en-US" w:eastAsia="en-US"/>
          <w14:ligatures w14:val="standardContextual"/>
        </w:rPr>
      </w:pPr>
      <w:r w:rsidRPr="00BF2A6F">
        <w:rPr>
          <w:rFonts w:ascii="Calibri" w:eastAsia="Calibri" w:hAnsi="Calibri"/>
          <w:b/>
          <w:bCs/>
          <w:kern w:val="2"/>
          <w:highlight w:val="yellow"/>
          <w:lang w:val="en-US" w:eastAsia="en-US"/>
          <w14:ligatures w14:val="standardContextual"/>
        </w:rPr>
        <w:t>Declaration of AI Use</w:t>
      </w:r>
    </w:p>
    <w:p w14:paraId="112D1F18" w14:textId="77777777" w:rsidR="00BF2A6F" w:rsidRPr="00BF2A6F" w:rsidRDefault="00BF2A6F" w:rsidP="00BF2A6F">
      <w:pPr>
        <w:spacing w:after="200" w:line="276" w:lineRule="auto"/>
        <w:jc w:val="both"/>
        <w:rPr>
          <w:rFonts w:ascii="Calibri" w:eastAsia="Calibri" w:hAnsi="Calibri"/>
          <w:kern w:val="2"/>
          <w:sz w:val="22"/>
          <w:szCs w:val="22"/>
          <w:lang w:val="en-US" w:eastAsia="en-US"/>
          <w14:ligatures w14:val="standardContextual"/>
        </w:rPr>
      </w:pPr>
      <w:r w:rsidRPr="00BF2A6F">
        <w:rPr>
          <w:rFonts w:ascii="Calibri" w:eastAsia="Calibri" w:hAnsi="Calibri"/>
          <w:kern w:val="2"/>
          <w:sz w:val="22"/>
          <w:szCs w:val="22"/>
          <w:highlight w:val="yellow"/>
          <w:lang w:val="en-US" w:eastAsia="en-US"/>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9255BA7" w14:textId="17E0C16D" w:rsidR="004A4404" w:rsidRDefault="004A4404">
      <w:pPr>
        <w:spacing w:after="160" w:line="360" w:lineRule="auto"/>
        <w:jc w:val="both"/>
      </w:pPr>
    </w:p>
    <w:p w14:paraId="393A040A" w14:textId="77777777" w:rsidR="0080216C" w:rsidRDefault="004A4404">
      <w:pPr>
        <w:pStyle w:val="Heading1"/>
        <w:spacing w:before="320" w:after="160"/>
        <w:rPr>
          <w:b/>
          <w:bCs/>
          <w:color w:val="000000"/>
          <w:sz w:val="26"/>
          <w:szCs w:val="26"/>
        </w:rPr>
      </w:pPr>
      <w:r>
        <w:rPr>
          <w:b/>
          <w:bCs/>
          <w:color w:val="000000"/>
          <w:sz w:val="26"/>
          <w:szCs w:val="26"/>
        </w:rPr>
        <w:t>References</w:t>
      </w:r>
    </w:p>
    <w:p w14:paraId="6774A7C5"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Al-Karaki, G. N. (2006). Nursery inoculation of tomato with arbuscular mycorrhizal fungi and subsequent performance under irrigation with saline water. </w:t>
      </w:r>
      <w:r w:rsidRPr="0052262B">
        <w:rPr>
          <w:i/>
          <w:iCs/>
          <w:lang w:val="en-US" w:eastAsia="en-US"/>
        </w:rPr>
        <w:t xml:space="preserve">Scientia </w:t>
      </w:r>
      <w:proofErr w:type="spellStart"/>
      <w:r w:rsidRPr="0052262B">
        <w:rPr>
          <w:i/>
          <w:iCs/>
          <w:lang w:val="en-US" w:eastAsia="en-US"/>
        </w:rPr>
        <w:t>Horticulturae</w:t>
      </w:r>
      <w:proofErr w:type="spellEnd"/>
      <w:r w:rsidRPr="0052262B">
        <w:rPr>
          <w:i/>
          <w:iCs/>
          <w:lang w:val="en-US" w:eastAsia="en-US"/>
        </w:rPr>
        <w:t>, 109</w:t>
      </w:r>
      <w:r w:rsidRPr="0052262B">
        <w:rPr>
          <w:lang w:val="en-US" w:eastAsia="en-US"/>
        </w:rPr>
        <w:t>(1), 1–7. https://doi.org/10.1016/j.scienta.2006.02.019</w:t>
      </w:r>
    </w:p>
    <w:p w14:paraId="01552E60"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Altland, J., &amp; Bugbee, B. (2026). The limits of sustainability of peat as a soilless media for agriculture. </w:t>
      </w:r>
      <w:r w:rsidRPr="0052262B">
        <w:rPr>
          <w:i/>
          <w:iCs/>
          <w:lang w:val="en-US" w:eastAsia="en-US"/>
        </w:rPr>
        <w:t>Frontiers in Plant Science, 17</w:t>
      </w:r>
      <w:r w:rsidRPr="0052262B">
        <w:rPr>
          <w:lang w:val="en-US" w:eastAsia="en-US"/>
        </w:rPr>
        <w:t>, Article 1856037. https://doi.org/10.3389/fpls.2026.1856037</w:t>
      </w:r>
    </w:p>
    <w:p w14:paraId="3BE0CB61"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Baethge</w:t>
      </w:r>
      <w:proofErr w:type="spellEnd"/>
      <w:r w:rsidRPr="0052262B">
        <w:rPr>
          <w:lang w:val="en-US" w:eastAsia="en-US"/>
        </w:rPr>
        <w:t xml:space="preserve">, C., Goldbeck-Wood, S., &amp; Mertens, S. (2019). SANRA—a scale for the quality assessment of narrative review articles. </w:t>
      </w:r>
      <w:r w:rsidRPr="0052262B">
        <w:rPr>
          <w:i/>
          <w:iCs/>
          <w:lang w:val="en-US" w:eastAsia="en-US"/>
        </w:rPr>
        <w:t>Research Integrity and Peer Review, 4</w:t>
      </w:r>
      <w:r w:rsidRPr="0052262B">
        <w:rPr>
          <w:lang w:val="en-US" w:eastAsia="en-US"/>
        </w:rPr>
        <w:t xml:space="preserve">, Article 5. </w:t>
      </w:r>
      <w:hyperlink r:id="rId7" w:tgtFrame="_new" w:history="1">
        <w:r w:rsidRPr="0052262B">
          <w:rPr>
            <w:color w:val="0000FF"/>
            <w:u w:val="single"/>
            <w:lang w:val="en-US" w:eastAsia="en-US"/>
          </w:rPr>
          <w:t>https://doi.org/10.1186/s41073-019-0064-8</w:t>
        </w:r>
      </w:hyperlink>
    </w:p>
    <w:p w14:paraId="39E70C0D"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Balliu, A. (2017). Nursery management practices influence the quality of vegetable seedlings. </w:t>
      </w:r>
      <w:r w:rsidRPr="0052262B">
        <w:rPr>
          <w:i/>
          <w:iCs/>
          <w:lang w:val="en-US" w:eastAsia="en-US"/>
        </w:rPr>
        <w:t>Italus Hortus, 24</w:t>
      </w:r>
      <w:r w:rsidRPr="0052262B">
        <w:rPr>
          <w:lang w:val="en-US" w:eastAsia="en-US"/>
        </w:rPr>
        <w:t>, 39–52. https://doi.org/10.26353/j.itahort/2017.3.3952</w:t>
      </w:r>
    </w:p>
    <w:p w14:paraId="6FC61C6C"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Bamire</w:t>
      </w:r>
      <w:proofErr w:type="spellEnd"/>
      <w:r w:rsidRPr="0052262B">
        <w:rPr>
          <w:lang w:val="en-US" w:eastAsia="en-US"/>
        </w:rPr>
        <w:t xml:space="preserve">, A. S., &amp; Oke, J. T. O. (2004). Profitability of vegetable farming under rainy- and dry-season production in southwestern Nigeria. </w:t>
      </w:r>
      <w:r w:rsidRPr="0052262B">
        <w:rPr>
          <w:i/>
          <w:iCs/>
          <w:lang w:val="en-US" w:eastAsia="en-US"/>
        </w:rPr>
        <w:t>Journal of Vegetable Crop Production, 9</w:t>
      </w:r>
      <w:r w:rsidRPr="0052262B">
        <w:rPr>
          <w:lang w:val="en-US" w:eastAsia="en-US"/>
        </w:rPr>
        <w:t>(2), 11–18. https://doi.org/10.1300/J068v09n02_03</w:t>
      </w:r>
    </w:p>
    <w:p w14:paraId="1E3D42F0"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CABI. (2019). </w:t>
      </w:r>
      <w:r w:rsidRPr="0052262B">
        <w:rPr>
          <w:i/>
          <w:iCs/>
          <w:lang w:val="en-US" w:eastAsia="en-US"/>
        </w:rPr>
        <w:t xml:space="preserve">Tomato </w:t>
      </w:r>
      <w:proofErr w:type="spellStart"/>
      <w:r w:rsidRPr="0052262B">
        <w:rPr>
          <w:i/>
          <w:iCs/>
          <w:lang w:val="en-US" w:eastAsia="en-US"/>
        </w:rPr>
        <w:t>leafminer</w:t>
      </w:r>
      <w:proofErr w:type="spellEnd"/>
      <w:r w:rsidRPr="0052262B">
        <w:rPr>
          <w:i/>
          <w:iCs/>
          <w:lang w:val="en-US" w:eastAsia="en-US"/>
        </w:rPr>
        <w:t xml:space="preserve"> (Tuta </w:t>
      </w:r>
      <w:proofErr w:type="spellStart"/>
      <w:r w:rsidRPr="0052262B">
        <w:rPr>
          <w:i/>
          <w:iCs/>
          <w:lang w:val="en-US" w:eastAsia="en-US"/>
        </w:rPr>
        <w:t>absoluta</w:t>
      </w:r>
      <w:proofErr w:type="spellEnd"/>
      <w:r w:rsidRPr="0052262B">
        <w:rPr>
          <w:i/>
          <w:iCs/>
          <w:lang w:val="en-US" w:eastAsia="en-US"/>
        </w:rPr>
        <w:t>): Impacts and coping strategies for Africa</w:t>
      </w:r>
      <w:r w:rsidRPr="0052262B">
        <w:rPr>
          <w:lang w:val="en-US" w:eastAsia="en-US"/>
        </w:rPr>
        <w:t xml:space="preserve"> (Evidence Note). https://doi.org/10.1079/cabicomm-62-8100</w:t>
      </w:r>
    </w:p>
    <w:p w14:paraId="2F3DB3A6"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Daniel, I. O., &amp; </w:t>
      </w:r>
      <w:proofErr w:type="spellStart"/>
      <w:r w:rsidRPr="0052262B">
        <w:rPr>
          <w:lang w:val="en-US" w:eastAsia="en-US"/>
        </w:rPr>
        <w:t>Adetumbi</w:t>
      </w:r>
      <w:proofErr w:type="spellEnd"/>
      <w:r w:rsidRPr="0052262B">
        <w:rPr>
          <w:lang w:val="en-US" w:eastAsia="en-US"/>
        </w:rPr>
        <w:t xml:space="preserve">, J. A. (2006). Maize seed supply systems and implications for seed sector development in southwestern Nigeria. </w:t>
      </w:r>
      <w:r w:rsidRPr="0052262B">
        <w:rPr>
          <w:i/>
          <w:iCs/>
          <w:lang w:val="en-US" w:eastAsia="en-US"/>
        </w:rPr>
        <w:t>Journal of Sustainable Agriculture, 28</w:t>
      </w:r>
      <w:r w:rsidRPr="0052262B">
        <w:rPr>
          <w:lang w:val="en-US" w:eastAsia="en-US"/>
        </w:rPr>
        <w:t>(2), 25–40. https://doi.org/10.1300/J064v28n02_04</w:t>
      </w:r>
    </w:p>
    <w:p w14:paraId="6D21C590"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Dickson, A., Leaf, A. L., &amp; Hosner, J. F. (1960). Quality appraisal of white spruce and white pine seedling stock in nurseries. </w:t>
      </w:r>
      <w:r w:rsidRPr="0052262B">
        <w:rPr>
          <w:i/>
          <w:iCs/>
          <w:lang w:val="en-US" w:eastAsia="en-US"/>
        </w:rPr>
        <w:t>The Forestry Chronicle, 36</w:t>
      </w:r>
      <w:r w:rsidRPr="0052262B">
        <w:rPr>
          <w:lang w:val="en-US" w:eastAsia="en-US"/>
        </w:rPr>
        <w:t xml:space="preserve">(1), 10–13. </w:t>
      </w:r>
      <w:hyperlink r:id="rId8" w:tgtFrame="_new" w:history="1">
        <w:r w:rsidRPr="0052262B">
          <w:rPr>
            <w:color w:val="0000FF"/>
            <w:u w:val="single"/>
            <w:lang w:val="en-US" w:eastAsia="en-US"/>
          </w:rPr>
          <w:t>https://doi.org/10.5558/tfc36010-1</w:t>
        </w:r>
      </w:hyperlink>
    </w:p>
    <w:p w14:paraId="43A5127C"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Dinssa, F. F., Hanson, P., Dubois, T., </w:t>
      </w:r>
      <w:proofErr w:type="spellStart"/>
      <w:r w:rsidRPr="0052262B">
        <w:rPr>
          <w:lang w:val="en-US" w:eastAsia="en-US"/>
        </w:rPr>
        <w:t>Tenkouano</w:t>
      </w:r>
      <w:proofErr w:type="spellEnd"/>
      <w:r w:rsidRPr="0052262B">
        <w:rPr>
          <w:lang w:val="en-US" w:eastAsia="en-US"/>
        </w:rPr>
        <w:t xml:space="preserve">, A., </w:t>
      </w:r>
      <w:proofErr w:type="spellStart"/>
      <w:r w:rsidRPr="0052262B">
        <w:rPr>
          <w:lang w:val="en-US" w:eastAsia="en-US"/>
        </w:rPr>
        <w:t>Stoilova</w:t>
      </w:r>
      <w:proofErr w:type="spellEnd"/>
      <w:r w:rsidRPr="0052262B">
        <w:rPr>
          <w:lang w:val="en-US" w:eastAsia="en-US"/>
        </w:rPr>
        <w:t xml:space="preserve">, T., Hughes, J. </w:t>
      </w:r>
      <w:proofErr w:type="spellStart"/>
      <w:r w:rsidRPr="0052262B">
        <w:rPr>
          <w:lang w:val="en-US" w:eastAsia="en-US"/>
        </w:rPr>
        <w:t>d’A</w:t>
      </w:r>
      <w:proofErr w:type="spellEnd"/>
      <w:r w:rsidRPr="0052262B">
        <w:rPr>
          <w:lang w:val="en-US" w:eastAsia="en-US"/>
        </w:rPr>
        <w:t xml:space="preserve">., &amp; Keatinge, J. D. H. (2016). AVRDC–The World Vegetable Center’s women-oriented improvement and development strategy for traditional African vegetables in sub-Saharan Africa. </w:t>
      </w:r>
      <w:r w:rsidRPr="0052262B">
        <w:rPr>
          <w:i/>
          <w:iCs/>
          <w:lang w:val="en-US" w:eastAsia="en-US"/>
        </w:rPr>
        <w:t>European Journal of Horticultural Science, 81</w:t>
      </w:r>
      <w:r w:rsidRPr="0052262B">
        <w:rPr>
          <w:lang w:val="en-US" w:eastAsia="en-US"/>
        </w:rPr>
        <w:t>(2), 91–105. https://doi.org/10.17660/eJHS.2016/81.2.3</w:t>
      </w:r>
    </w:p>
    <w:p w14:paraId="2EC2EB8D" w14:textId="77777777" w:rsidR="0052262B" w:rsidRPr="0052262B" w:rsidRDefault="0052262B" w:rsidP="0052262B">
      <w:pPr>
        <w:spacing w:before="100" w:beforeAutospacing="1" w:after="100" w:afterAutospacing="1"/>
        <w:rPr>
          <w:lang w:val="en-US" w:eastAsia="en-US"/>
        </w:rPr>
      </w:pPr>
      <w:r w:rsidRPr="0052262B">
        <w:rPr>
          <w:lang w:val="en-US" w:eastAsia="en-US"/>
        </w:rPr>
        <w:lastRenderedPageBreak/>
        <w:t xml:space="preserve">Ferrari, R. (2015). Writing narrative style literature reviews. </w:t>
      </w:r>
      <w:r w:rsidRPr="0052262B">
        <w:rPr>
          <w:i/>
          <w:iCs/>
          <w:lang w:val="en-US" w:eastAsia="en-US"/>
        </w:rPr>
        <w:t>Medical Writing, 24</w:t>
      </w:r>
      <w:r w:rsidRPr="0052262B">
        <w:rPr>
          <w:lang w:val="en-US" w:eastAsia="en-US"/>
        </w:rPr>
        <w:t>(4), 230–235. https://doi.org/10.1179/2047480615Z.000000000329</w:t>
      </w:r>
    </w:p>
    <w:p w14:paraId="06D34529"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Fesendouz, S. O., Ebrahimzadeh, A., &amp; Rasouli, F. (2025). Using agricultural waste as an alternative growing medium for cultivating </w:t>
      </w:r>
      <w:r w:rsidRPr="0052262B">
        <w:rPr>
          <w:i/>
          <w:iCs/>
          <w:lang w:val="en-US" w:eastAsia="en-US"/>
        </w:rPr>
        <w:t>Cucumis sativus</w:t>
      </w:r>
      <w:r w:rsidRPr="0052262B">
        <w:rPr>
          <w:lang w:val="en-US" w:eastAsia="en-US"/>
        </w:rPr>
        <w:t xml:space="preserve"> L. greenhouse transplants. </w:t>
      </w:r>
      <w:r w:rsidRPr="0052262B">
        <w:rPr>
          <w:i/>
          <w:iCs/>
          <w:lang w:val="en-US" w:eastAsia="en-US"/>
        </w:rPr>
        <w:t>Scientific Reports, 15</w:t>
      </w:r>
      <w:r w:rsidRPr="0052262B">
        <w:rPr>
          <w:lang w:val="en-US" w:eastAsia="en-US"/>
        </w:rPr>
        <w:t>, Article 14899. https://doi.org/10.1038/s41598-025-98564-1</w:t>
      </w:r>
    </w:p>
    <w:p w14:paraId="7210ED90" w14:textId="247D7BFF" w:rsidR="0052262B" w:rsidRPr="0052262B" w:rsidRDefault="0052262B" w:rsidP="0052262B">
      <w:pPr>
        <w:spacing w:before="100" w:beforeAutospacing="1" w:after="100" w:afterAutospacing="1"/>
        <w:rPr>
          <w:lang w:val="en-US" w:eastAsia="en-US"/>
        </w:rPr>
      </w:pPr>
      <w:r w:rsidRPr="0052262B">
        <w:rPr>
          <w:lang w:val="en-US" w:eastAsia="en-US"/>
        </w:rPr>
        <w:t xml:space="preserve">Fischer, G., </w:t>
      </w:r>
      <w:proofErr w:type="spellStart"/>
      <w:r w:rsidRPr="0052262B">
        <w:rPr>
          <w:lang w:val="en-US" w:eastAsia="en-US"/>
        </w:rPr>
        <w:t>Gramzow</w:t>
      </w:r>
      <w:proofErr w:type="spellEnd"/>
      <w:r w:rsidRPr="0052262B">
        <w:rPr>
          <w:lang w:val="en-US" w:eastAsia="en-US"/>
        </w:rPr>
        <w:t xml:space="preserve">, A., &amp; Laizer, A. (2017). Gender, vegetable value chains, income distribution and access to resources: Insights from surveys in Tanzania. </w:t>
      </w:r>
      <w:r w:rsidRPr="0052262B">
        <w:rPr>
          <w:i/>
          <w:iCs/>
          <w:lang w:val="en-US" w:eastAsia="en-US"/>
        </w:rPr>
        <w:t>European Journal of Horticultural Science, 82</w:t>
      </w:r>
      <w:r w:rsidRPr="0052262B">
        <w:rPr>
          <w:lang w:val="en-US" w:eastAsia="en-US"/>
        </w:rPr>
        <w:t>(6), 319–327. https://doi.org/10.17660/eJHS.2017/82.6.7</w:t>
      </w:r>
      <w:r w:rsidRPr="0052262B">
        <w:rPr>
          <w:lang w:val="en-US" w:eastAsia="en-US"/>
        </w:rPr>
        <w:br/>
      </w:r>
    </w:p>
    <w:p w14:paraId="0E76ABF2"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Gallegos-Cedillo, V. M., Nájera, C., Gruda, N. S., Signore, A., Gallegos, J., Rodríguez, R., Ochoa, J., Egea-Gilabert, C., &amp; Fernández, J. A. (2024a). An in-depth analysis of sustainable practices in vegetable seedlings nurseries: A review. </w:t>
      </w:r>
      <w:r w:rsidRPr="0052262B">
        <w:rPr>
          <w:i/>
          <w:iCs/>
          <w:lang w:val="en-US" w:eastAsia="en-US"/>
        </w:rPr>
        <w:t xml:space="preserve">Scientia </w:t>
      </w:r>
      <w:proofErr w:type="spellStart"/>
      <w:r w:rsidRPr="0052262B">
        <w:rPr>
          <w:i/>
          <w:iCs/>
          <w:lang w:val="en-US" w:eastAsia="en-US"/>
        </w:rPr>
        <w:t>Horticulturae</w:t>
      </w:r>
      <w:proofErr w:type="spellEnd"/>
      <w:r w:rsidRPr="0052262B">
        <w:rPr>
          <w:i/>
          <w:iCs/>
          <w:lang w:val="en-US" w:eastAsia="en-US"/>
        </w:rPr>
        <w:t>, 334</w:t>
      </w:r>
      <w:r w:rsidRPr="0052262B">
        <w:rPr>
          <w:lang w:val="en-US" w:eastAsia="en-US"/>
        </w:rPr>
        <w:t>, Article 113342. https://doi.org/10.1016/j.scienta.2024.113342</w:t>
      </w:r>
    </w:p>
    <w:p w14:paraId="79AF157D"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Gallegos-Cedillo, V. M., Nájera, C., Signore, A., Ochoa, J., Gallegos, J., Egea-Gilabert, C., Gruda, N. S., &amp; Fernández, J. A. (2024b). Analysis of global research on vegetable seedlings and transplants and their impacts on product quality. </w:t>
      </w:r>
      <w:r w:rsidRPr="0052262B">
        <w:rPr>
          <w:i/>
          <w:iCs/>
          <w:lang w:val="en-US" w:eastAsia="en-US"/>
        </w:rPr>
        <w:t>Journal of the Science of Food and Agriculture, 104</w:t>
      </w:r>
      <w:r w:rsidRPr="0052262B">
        <w:rPr>
          <w:lang w:val="en-US" w:eastAsia="en-US"/>
        </w:rPr>
        <w:t>(9), 4950–4965. https://doi.org/10.1002/jsfa.13309</w:t>
      </w:r>
    </w:p>
    <w:p w14:paraId="4CD84D8D"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Gogo, E. O., Saidi, M., </w:t>
      </w:r>
      <w:proofErr w:type="spellStart"/>
      <w:r w:rsidRPr="0052262B">
        <w:rPr>
          <w:lang w:val="en-US" w:eastAsia="en-US"/>
        </w:rPr>
        <w:t>Itulya</w:t>
      </w:r>
      <w:proofErr w:type="spellEnd"/>
      <w:r w:rsidRPr="0052262B">
        <w:rPr>
          <w:lang w:val="en-US" w:eastAsia="en-US"/>
        </w:rPr>
        <w:t xml:space="preserve">, F. M., Martin, T., &amp; </w:t>
      </w:r>
      <w:proofErr w:type="spellStart"/>
      <w:r w:rsidRPr="0052262B">
        <w:rPr>
          <w:lang w:val="en-US" w:eastAsia="en-US"/>
        </w:rPr>
        <w:t>Ngouajio</w:t>
      </w:r>
      <w:proofErr w:type="spellEnd"/>
      <w:r w:rsidRPr="0052262B">
        <w:rPr>
          <w:lang w:val="en-US" w:eastAsia="en-US"/>
        </w:rPr>
        <w:t xml:space="preserve">, M. (2012). Microclimate modification using eco-friendly nets for high-quality tomato transplant production by small-scale farmers in East Africa. </w:t>
      </w:r>
      <w:proofErr w:type="spellStart"/>
      <w:r w:rsidRPr="0052262B">
        <w:rPr>
          <w:i/>
          <w:iCs/>
          <w:lang w:val="en-US" w:eastAsia="en-US"/>
        </w:rPr>
        <w:t>HortTechnology</w:t>
      </w:r>
      <w:proofErr w:type="spellEnd"/>
      <w:r w:rsidRPr="0052262B">
        <w:rPr>
          <w:i/>
          <w:iCs/>
          <w:lang w:val="en-US" w:eastAsia="en-US"/>
        </w:rPr>
        <w:t>, 22</w:t>
      </w:r>
      <w:r w:rsidRPr="0052262B">
        <w:rPr>
          <w:lang w:val="en-US" w:eastAsia="en-US"/>
        </w:rPr>
        <w:t>(3), 292–298. https://doi.org/10.21273/HORTTECH.22.3.292</w:t>
      </w:r>
    </w:p>
    <w:p w14:paraId="2123FEDB"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Gogo, E. O., Saidi, M., </w:t>
      </w:r>
      <w:proofErr w:type="spellStart"/>
      <w:r w:rsidRPr="0052262B">
        <w:rPr>
          <w:lang w:val="en-US" w:eastAsia="en-US"/>
        </w:rPr>
        <w:t>Itulya</w:t>
      </w:r>
      <w:proofErr w:type="spellEnd"/>
      <w:r w:rsidRPr="0052262B">
        <w:rPr>
          <w:lang w:val="en-US" w:eastAsia="en-US"/>
        </w:rPr>
        <w:t xml:space="preserve">, F. M., Martin, T., &amp; </w:t>
      </w:r>
      <w:proofErr w:type="spellStart"/>
      <w:r w:rsidRPr="0052262B">
        <w:rPr>
          <w:lang w:val="en-US" w:eastAsia="en-US"/>
        </w:rPr>
        <w:t>Ngouajio</w:t>
      </w:r>
      <w:proofErr w:type="spellEnd"/>
      <w:r w:rsidRPr="0052262B">
        <w:rPr>
          <w:lang w:val="en-US" w:eastAsia="en-US"/>
        </w:rPr>
        <w:t xml:space="preserve">, M. (2014). Eco-friendly nets and floating row </w:t>
      </w:r>
      <w:proofErr w:type="gramStart"/>
      <w:r w:rsidRPr="0052262B">
        <w:rPr>
          <w:lang w:val="en-US" w:eastAsia="en-US"/>
        </w:rPr>
        <w:t>covers</w:t>
      </w:r>
      <w:proofErr w:type="gramEnd"/>
      <w:r w:rsidRPr="0052262B">
        <w:rPr>
          <w:lang w:val="en-US" w:eastAsia="en-US"/>
        </w:rPr>
        <w:t xml:space="preserve"> reduce pest infestation and improve tomato (</w:t>
      </w:r>
      <w:r w:rsidRPr="0052262B">
        <w:rPr>
          <w:i/>
          <w:iCs/>
          <w:lang w:val="en-US" w:eastAsia="en-US"/>
        </w:rPr>
        <w:t xml:space="preserve">Solanum </w:t>
      </w:r>
      <w:proofErr w:type="spellStart"/>
      <w:r w:rsidRPr="0052262B">
        <w:rPr>
          <w:i/>
          <w:iCs/>
          <w:lang w:val="en-US" w:eastAsia="en-US"/>
        </w:rPr>
        <w:t>lycopersicum</w:t>
      </w:r>
      <w:proofErr w:type="spellEnd"/>
      <w:r w:rsidRPr="0052262B">
        <w:rPr>
          <w:lang w:val="en-US" w:eastAsia="en-US"/>
        </w:rPr>
        <w:t xml:space="preserve"> L.) yields for smallholder farmers in Kenya. </w:t>
      </w:r>
      <w:r w:rsidRPr="0052262B">
        <w:rPr>
          <w:i/>
          <w:iCs/>
          <w:lang w:val="en-US" w:eastAsia="en-US"/>
        </w:rPr>
        <w:t>Agronomy, 4</w:t>
      </w:r>
      <w:r w:rsidRPr="0052262B">
        <w:rPr>
          <w:lang w:val="en-US" w:eastAsia="en-US"/>
        </w:rPr>
        <w:t>(1), 1–12. https://doi.org/10.3390/agronomy4010001</w:t>
      </w:r>
    </w:p>
    <w:p w14:paraId="7CF4C8DC"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Green, B. N., Johnson, C. D., &amp; Adams, A. (2006). Writing narrative literature reviews for peer-reviewed journals: Secrets of the trade. </w:t>
      </w:r>
      <w:r w:rsidRPr="0052262B">
        <w:rPr>
          <w:i/>
          <w:iCs/>
          <w:lang w:val="en-US" w:eastAsia="en-US"/>
        </w:rPr>
        <w:t>Journal of Chiropractic Medicine, 5</w:t>
      </w:r>
      <w:r w:rsidRPr="0052262B">
        <w:rPr>
          <w:lang w:val="en-US" w:eastAsia="en-US"/>
        </w:rPr>
        <w:t>(3), 101–117. https://doi.org/10.1016/S0899-3467(07)60142-6</w:t>
      </w:r>
    </w:p>
    <w:p w14:paraId="55CA8DB1"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Greenhalgh, T., Thorne, S., &amp; </w:t>
      </w:r>
      <w:proofErr w:type="spellStart"/>
      <w:r w:rsidRPr="0052262B">
        <w:rPr>
          <w:lang w:val="en-US" w:eastAsia="en-US"/>
        </w:rPr>
        <w:t>Malterud</w:t>
      </w:r>
      <w:proofErr w:type="spellEnd"/>
      <w:r w:rsidRPr="0052262B">
        <w:rPr>
          <w:lang w:val="en-US" w:eastAsia="en-US"/>
        </w:rPr>
        <w:t xml:space="preserve">, K. (2018). Time to challenge the spurious hierarchy of systematic over narrative reviews? </w:t>
      </w:r>
      <w:r w:rsidRPr="0052262B">
        <w:rPr>
          <w:i/>
          <w:iCs/>
          <w:lang w:val="en-US" w:eastAsia="en-US"/>
        </w:rPr>
        <w:t>European Journal of Clinical Investigation, 48</w:t>
      </w:r>
      <w:r w:rsidRPr="0052262B">
        <w:rPr>
          <w:lang w:val="en-US" w:eastAsia="en-US"/>
        </w:rPr>
        <w:t xml:space="preserve">(6), Article e12931. </w:t>
      </w:r>
      <w:hyperlink r:id="rId9" w:tgtFrame="_new" w:history="1">
        <w:r w:rsidRPr="0052262B">
          <w:rPr>
            <w:color w:val="0000FF"/>
            <w:u w:val="single"/>
            <w:lang w:val="en-US" w:eastAsia="en-US"/>
          </w:rPr>
          <w:t>https://doi.org/10.1111/eci.12931</w:t>
        </w:r>
      </w:hyperlink>
    </w:p>
    <w:p w14:paraId="56AA9D2F"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Gruda, N. S. (2019). Increasing sustainability of growing media constituents and stand-alone substrates in soilless culture systems. </w:t>
      </w:r>
      <w:r w:rsidRPr="0052262B">
        <w:rPr>
          <w:i/>
          <w:iCs/>
          <w:lang w:val="en-US" w:eastAsia="en-US"/>
        </w:rPr>
        <w:t>Agronomy, 9</w:t>
      </w:r>
      <w:r w:rsidRPr="0052262B">
        <w:rPr>
          <w:lang w:val="en-US" w:eastAsia="en-US"/>
        </w:rPr>
        <w:t xml:space="preserve">(6), Article 298. </w:t>
      </w:r>
      <w:hyperlink r:id="rId10" w:tgtFrame="_new" w:history="1">
        <w:r w:rsidRPr="0052262B">
          <w:rPr>
            <w:color w:val="0000FF"/>
            <w:u w:val="single"/>
            <w:lang w:val="en-US" w:eastAsia="en-US"/>
          </w:rPr>
          <w:t>https://doi.org/10.3390/agronomy9060298</w:t>
        </w:r>
      </w:hyperlink>
    </w:p>
    <w:p w14:paraId="6A5D04C4"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Kitundu</w:t>
      </w:r>
      <w:proofErr w:type="spellEnd"/>
      <w:r w:rsidRPr="0052262B">
        <w:rPr>
          <w:lang w:val="en-US" w:eastAsia="en-US"/>
        </w:rPr>
        <w:t xml:space="preserve">, J. A., </w:t>
      </w:r>
      <w:proofErr w:type="spellStart"/>
      <w:r w:rsidRPr="0052262B">
        <w:rPr>
          <w:lang w:val="en-US" w:eastAsia="en-US"/>
        </w:rPr>
        <w:t>Dinssa</w:t>
      </w:r>
      <w:proofErr w:type="spellEnd"/>
      <w:r w:rsidRPr="0052262B">
        <w:rPr>
          <w:lang w:val="en-US" w:eastAsia="en-US"/>
        </w:rPr>
        <w:t xml:space="preserve">, F. F., Manickam, R., Macharia, J., </w:t>
      </w:r>
      <w:proofErr w:type="spellStart"/>
      <w:r w:rsidRPr="0052262B">
        <w:rPr>
          <w:lang w:val="en-US" w:eastAsia="en-US"/>
        </w:rPr>
        <w:t>Mbwambo</w:t>
      </w:r>
      <w:proofErr w:type="spellEnd"/>
      <w:r w:rsidRPr="0052262B">
        <w:rPr>
          <w:lang w:val="en-US" w:eastAsia="en-US"/>
        </w:rPr>
        <w:t xml:space="preserve">, O., </w:t>
      </w:r>
      <w:proofErr w:type="spellStart"/>
      <w:r w:rsidRPr="0052262B">
        <w:rPr>
          <w:lang w:val="en-US" w:eastAsia="en-US"/>
        </w:rPr>
        <w:t>Aloyce</w:t>
      </w:r>
      <w:proofErr w:type="spellEnd"/>
      <w:r w:rsidRPr="0052262B">
        <w:rPr>
          <w:lang w:val="en-US" w:eastAsia="en-US"/>
        </w:rPr>
        <w:t>, A., &amp; Ramasamy, S. (2022). Effect of grafting on yield of commercial tomato cultivars grown under bacterial wilt (</w:t>
      </w:r>
      <w:r w:rsidRPr="0052262B">
        <w:rPr>
          <w:i/>
          <w:iCs/>
          <w:lang w:val="en-US" w:eastAsia="en-US"/>
        </w:rPr>
        <w:t>Ralstonia solanacearum</w:t>
      </w:r>
      <w:r w:rsidRPr="0052262B">
        <w:rPr>
          <w:lang w:val="en-US" w:eastAsia="en-US"/>
        </w:rPr>
        <w:t xml:space="preserve">) infested soil. </w:t>
      </w:r>
      <w:r w:rsidRPr="0052262B">
        <w:rPr>
          <w:i/>
          <w:iCs/>
          <w:lang w:val="en-US" w:eastAsia="en-US"/>
        </w:rPr>
        <w:t>Fruits, 77</w:t>
      </w:r>
      <w:r w:rsidRPr="0052262B">
        <w:rPr>
          <w:lang w:val="en-US" w:eastAsia="en-US"/>
        </w:rPr>
        <w:t>(1), 1–9. https://doi.org/10.17660/th2022/001</w:t>
      </w:r>
    </w:p>
    <w:p w14:paraId="0D8CB43D"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Kubota, C., McClure, M. A., Kokalis-Burelle, N., Bausher, M. G., &amp; Rosskopf, E. N. (2008). Vegetable grafting: History, use, and current technology status in North America. </w:t>
      </w:r>
      <w:proofErr w:type="spellStart"/>
      <w:r w:rsidRPr="0052262B">
        <w:rPr>
          <w:i/>
          <w:iCs/>
          <w:lang w:val="en-US" w:eastAsia="en-US"/>
        </w:rPr>
        <w:t>HortScience</w:t>
      </w:r>
      <w:proofErr w:type="spellEnd"/>
      <w:r w:rsidRPr="0052262B">
        <w:rPr>
          <w:i/>
          <w:iCs/>
          <w:lang w:val="en-US" w:eastAsia="en-US"/>
        </w:rPr>
        <w:t>, 43</w:t>
      </w:r>
      <w:r w:rsidRPr="0052262B">
        <w:rPr>
          <w:lang w:val="en-US" w:eastAsia="en-US"/>
        </w:rPr>
        <w:t>(6), 1664–1669. https://doi.org/10.21273/HORTSCI.43.6.1664</w:t>
      </w:r>
    </w:p>
    <w:p w14:paraId="69EB4440"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Lee, J.-M., Kubota, C., Tsao, S. J., Bie, Z., Hoyos Echevarria, P., Morra, L., &amp; Oda, M. (2010). Current status of vegetable grafting: Diffusion, grafting techniques, automation. </w:t>
      </w:r>
      <w:r w:rsidRPr="0052262B">
        <w:rPr>
          <w:i/>
          <w:iCs/>
          <w:lang w:val="en-US" w:eastAsia="en-US"/>
        </w:rPr>
        <w:t xml:space="preserve">Scientia </w:t>
      </w:r>
      <w:proofErr w:type="spellStart"/>
      <w:r w:rsidRPr="0052262B">
        <w:rPr>
          <w:i/>
          <w:iCs/>
          <w:lang w:val="en-US" w:eastAsia="en-US"/>
        </w:rPr>
        <w:t>Horticulturae</w:t>
      </w:r>
      <w:proofErr w:type="spellEnd"/>
      <w:r w:rsidRPr="0052262B">
        <w:rPr>
          <w:i/>
          <w:iCs/>
          <w:lang w:val="en-US" w:eastAsia="en-US"/>
        </w:rPr>
        <w:t>, 127</w:t>
      </w:r>
      <w:r w:rsidRPr="0052262B">
        <w:rPr>
          <w:lang w:val="en-US" w:eastAsia="en-US"/>
        </w:rPr>
        <w:t>(2), 93–105. https://doi.org/10.1016/j.scienta.2010.08.003</w:t>
      </w:r>
    </w:p>
    <w:p w14:paraId="01A63F05" w14:textId="77777777" w:rsidR="0052262B" w:rsidRPr="0052262B" w:rsidRDefault="0052262B" w:rsidP="0052262B">
      <w:pPr>
        <w:spacing w:before="100" w:beforeAutospacing="1" w:after="100" w:afterAutospacing="1"/>
        <w:rPr>
          <w:lang w:val="en-US" w:eastAsia="en-US"/>
        </w:rPr>
      </w:pPr>
      <w:r w:rsidRPr="0052262B">
        <w:rPr>
          <w:lang w:val="en-US" w:eastAsia="en-US"/>
        </w:rPr>
        <w:lastRenderedPageBreak/>
        <w:t xml:space="preserve">Leskovar, D. I., &amp; Vavrina, C. S. (1999). Onion growth and yield are influenced by transplant tray cell size and age. </w:t>
      </w:r>
      <w:r w:rsidRPr="0052262B">
        <w:rPr>
          <w:i/>
          <w:iCs/>
          <w:lang w:val="en-US" w:eastAsia="en-US"/>
        </w:rPr>
        <w:t xml:space="preserve">Scientia </w:t>
      </w:r>
      <w:proofErr w:type="spellStart"/>
      <w:r w:rsidRPr="0052262B">
        <w:rPr>
          <w:i/>
          <w:iCs/>
          <w:lang w:val="en-US" w:eastAsia="en-US"/>
        </w:rPr>
        <w:t>Horticulturae</w:t>
      </w:r>
      <w:proofErr w:type="spellEnd"/>
      <w:r w:rsidRPr="0052262B">
        <w:rPr>
          <w:i/>
          <w:iCs/>
          <w:lang w:val="en-US" w:eastAsia="en-US"/>
        </w:rPr>
        <w:t>, 80</w:t>
      </w:r>
      <w:r w:rsidRPr="0052262B">
        <w:rPr>
          <w:lang w:val="en-US" w:eastAsia="en-US"/>
        </w:rPr>
        <w:t>(3–4), 133–143. https://doi.org/10.1016/S0304-4238(98)00256-8</w:t>
      </w:r>
    </w:p>
    <w:p w14:paraId="61CC4847"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Leskovar, D. I., Ward, J. C., Sprague, R. W., &amp; Meiri, A. (2001). Yield, quality, and water use efficiency of muskmelon are affected by irrigation and transplanting versus direct seeding. </w:t>
      </w:r>
      <w:proofErr w:type="spellStart"/>
      <w:r w:rsidRPr="0052262B">
        <w:rPr>
          <w:i/>
          <w:iCs/>
          <w:lang w:val="en-US" w:eastAsia="en-US"/>
        </w:rPr>
        <w:t>HortScience</w:t>
      </w:r>
      <w:proofErr w:type="spellEnd"/>
      <w:r w:rsidRPr="0052262B">
        <w:rPr>
          <w:i/>
          <w:iCs/>
          <w:lang w:val="en-US" w:eastAsia="en-US"/>
        </w:rPr>
        <w:t>, 36</w:t>
      </w:r>
      <w:r w:rsidRPr="0052262B">
        <w:rPr>
          <w:lang w:val="en-US" w:eastAsia="en-US"/>
        </w:rPr>
        <w:t>(2), 286–291. https://doi.org/10.21273/HORTSCI.36.2.286</w:t>
      </w:r>
    </w:p>
    <w:p w14:paraId="74FDC51A"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Matanmi</w:t>
      </w:r>
      <w:proofErr w:type="spellEnd"/>
      <w:r w:rsidRPr="0052262B">
        <w:rPr>
          <w:lang w:val="en-US" w:eastAsia="en-US"/>
        </w:rPr>
        <w:t xml:space="preserve">, B. M., Falola, A., Animashaun, J. O., &amp; Atanda, T. O. (2017). Effect of </w:t>
      </w:r>
      <w:proofErr w:type="spellStart"/>
      <w:r w:rsidRPr="0052262B">
        <w:rPr>
          <w:lang w:val="en-US" w:eastAsia="en-US"/>
        </w:rPr>
        <w:t>Fadama</w:t>
      </w:r>
      <w:proofErr w:type="spellEnd"/>
      <w:r w:rsidRPr="0052262B">
        <w:rPr>
          <w:lang w:val="en-US" w:eastAsia="en-US"/>
        </w:rPr>
        <w:t xml:space="preserve"> III program on dry-season vegetable growers in Kwara State, Nigeria. </w:t>
      </w:r>
      <w:proofErr w:type="spellStart"/>
      <w:r w:rsidRPr="0052262B">
        <w:rPr>
          <w:i/>
          <w:iCs/>
          <w:lang w:val="en-US" w:eastAsia="en-US"/>
        </w:rPr>
        <w:t>Kasetsart</w:t>
      </w:r>
      <w:proofErr w:type="spellEnd"/>
      <w:r w:rsidRPr="0052262B">
        <w:rPr>
          <w:i/>
          <w:iCs/>
          <w:lang w:val="en-US" w:eastAsia="en-US"/>
        </w:rPr>
        <w:t xml:space="preserve"> Journal of Social Sciences, 38</w:t>
      </w:r>
      <w:r w:rsidRPr="0052262B">
        <w:rPr>
          <w:lang w:val="en-US" w:eastAsia="en-US"/>
        </w:rPr>
        <w:t>(2), 163–168. https://doi.org/10.1016/j.kjss.2016.04.002</w:t>
      </w:r>
    </w:p>
    <w:p w14:paraId="467F5EAC" w14:textId="5110C33C" w:rsidR="0052262B" w:rsidRPr="0052262B" w:rsidRDefault="0052262B" w:rsidP="0052262B">
      <w:pPr>
        <w:spacing w:before="100" w:beforeAutospacing="1" w:after="100" w:afterAutospacing="1"/>
        <w:rPr>
          <w:lang w:val="en-US" w:eastAsia="en-US"/>
        </w:rPr>
      </w:pPr>
      <w:proofErr w:type="spellStart"/>
      <w:r w:rsidRPr="0052262B">
        <w:rPr>
          <w:lang w:val="en-US" w:eastAsia="en-US"/>
        </w:rPr>
        <w:t>Mawcha</w:t>
      </w:r>
      <w:proofErr w:type="spellEnd"/>
      <w:r w:rsidRPr="0052262B">
        <w:rPr>
          <w:lang w:val="en-US" w:eastAsia="en-US"/>
        </w:rPr>
        <w:t xml:space="preserve">, K. T., Kinyanjui, G., Berhe, D. H., </w:t>
      </w:r>
      <w:proofErr w:type="spellStart"/>
      <w:r w:rsidRPr="0052262B">
        <w:rPr>
          <w:lang w:val="en-US" w:eastAsia="en-US"/>
        </w:rPr>
        <w:t>Hategekimana</w:t>
      </w:r>
      <w:proofErr w:type="spellEnd"/>
      <w:r w:rsidRPr="0052262B">
        <w:rPr>
          <w:lang w:val="en-US" w:eastAsia="en-US"/>
        </w:rPr>
        <w:t xml:space="preserve">, A., Joelle, K., &amp; Ndolo, D. (2026). An overview of sustainable management strategies for </w:t>
      </w:r>
      <w:r w:rsidRPr="0052262B">
        <w:rPr>
          <w:i/>
          <w:iCs/>
          <w:lang w:val="en-US" w:eastAsia="en-US"/>
        </w:rPr>
        <w:t xml:space="preserve">Tuta </w:t>
      </w:r>
      <w:proofErr w:type="spellStart"/>
      <w:r w:rsidRPr="0052262B">
        <w:rPr>
          <w:i/>
          <w:iCs/>
          <w:lang w:val="en-US" w:eastAsia="en-US"/>
        </w:rPr>
        <w:t>absoluta</w:t>
      </w:r>
      <w:proofErr w:type="spellEnd"/>
      <w:r w:rsidRPr="0052262B">
        <w:rPr>
          <w:lang w:val="en-US" w:eastAsia="en-US"/>
        </w:rPr>
        <w:t xml:space="preserve">. </w:t>
      </w:r>
      <w:r w:rsidRPr="0052262B">
        <w:rPr>
          <w:i/>
          <w:iCs/>
          <w:lang w:val="en-US" w:eastAsia="en-US"/>
        </w:rPr>
        <w:t>International Journal of Pest Management, 72</w:t>
      </w:r>
      <w:r w:rsidRPr="0052262B">
        <w:rPr>
          <w:lang w:val="en-US" w:eastAsia="en-US"/>
        </w:rPr>
        <w:t xml:space="preserve">(3), 325–348. </w:t>
      </w:r>
      <w:hyperlink r:id="rId11" w:tgtFrame="_new" w:history="1">
        <w:r w:rsidRPr="0052262B">
          <w:rPr>
            <w:color w:val="0000FF"/>
            <w:u w:val="single"/>
            <w:lang w:val="en-US" w:eastAsia="en-US"/>
          </w:rPr>
          <w:t>https://doi.org/10.1080/09670874.2025.2456590</w:t>
        </w:r>
      </w:hyperlink>
      <w:r w:rsidRPr="0052262B">
        <w:rPr>
          <w:lang w:val="en-US" w:eastAsia="en-US"/>
        </w:rPr>
        <w:br/>
      </w:r>
    </w:p>
    <w:p w14:paraId="1F5FB970"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Moncada, A., Vetrano, F., Esposito, A., &amp; Miceli, A. (2020). Fertigation management and growth-promoting treatments affect tomato transplant production and plant growth after transplant. </w:t>
      </w:r>
      <w:r w:rsidRPr="0052262B">
        <w:rPr>
          <w:i/>
          <w:iCs/>
          <w:lang w:val="en-US" w:eastAsia="en-US"/>
        </w:rPr>
        <w:t>Agronomy, 10</w:t>
      </w:r>
      <w:r w:rsidRPr="0052262B">
        <w:rPr>
          <w:lang w:val="en-US" w:eastAsia="en-US"/>
        </w:rPr>
        <w:t>(10), Article 1504. https://doi.org/10.3390/agronomy10101504</w:t>
      </w:r>
    </w:p>
    <w:p w14:paraId="3659C612"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Msabila</w:t>
      </w:r>
      <w:proofErr w:type="spellEnd"/>
      <w:r w:rsidRPr="0052262B">
        <w:rPr>
          <w:lang w:val="en-US" w:eastAsia="en-US"/>
        </w:rPr>
        <w:t xml:space="preserve">, S. E., </w:t>
      </w:r>
      <w:proofErr w:type="spellStart"/>
      <w:r w:rsidRPr="0052262B">
        <w:rPr>
          <w:lang w:val="en-US" w:eastAsia="en-US"/>
        </w:rPr>
        <w:t>Nordey</w:t>
      </w:r>
      <w:proofErr w:type="spellEnd"/>
      <w:r w:rsidRPr="0052262B">
        <w:rPr>
          <w:lang w:val="en-US" w:eastAsia="en-US"/>
        </w:rPr>
        <w:t xml:space="preserve">, T., Ernest, Z., </w:t>
      </w:r>
      <w:proofErr w:type="spellStart"/>
      <w:r w:rsidRPr="0052262B">
        <w:rPr>
          <w:lang w:val="en-US" w:eastAsia="en-US"/>
        </w:rPr>
        <w:t>Mlowe</w:t>
      </w:r>
      <w:proofErr w:type="spellEnd"/>
      <w:r w:rsidRPr="0052262B">
        <w:rPr>
          <w:lang w:val="en-US" w:eastAsia="en-US"/>
        </w:rPr>
        <w:t xml:space="preserve">, N., Manickam, R., Ramasamy, S., &amp; Huat, J. (2024). Boosting tomato resilience in Tanzania: Grafting to combat bacterial wilt and abiotic stress. </w:t>
      </w:r>
      <w:proofErr w:type="spellStart"/>
      <w:r w:rsidRPr="0052262B">
        <w:rPr>
          <w:i/>
          <w:iCs/>
          <w:lang w:val="en-US" w:eastAsia="en-US"/>
        </w:rPr>
        <w:t>Horticulturae</w:t>
      </w:r>
      <w:proofErr w:type="spellEnd"/>
      <w:r w:rsidRPr="0052262B">
        <w:rPr>
          <w:i/>
          <w:iCs/>
          <w:lang w:val="en-US" w:eastAsia="en-US"/>
        </w:rPr>
        <w:t>, 10</w:t>
      </w:r>
      <w:r w:rsidRPr="0052262B">
        <w:rPr>
          <w:lang w:val="en-US" w:eastAsia="en-US"/>
        </w:rPr>
        <w:t>(4), Article 338. https://doi.org/10.3390/horticulturae10040338</w:t>
      </w:r>
    </w:p>
    <w:p w14:paraId="2D1065D9" w14:textId="6C8FBEC1" w:rsidR="0052262B" w:rsidRPr="0052262B" w:rsidRDefault="0052262B" w:rsidP="0052262B">
      <w:pPr>
        <w:spacing w:before="100" w:beforeAutospacing="1" w:after="100" w:afterAutospacing="1"/>
        <w:rPr>
          <w:lang w:val="en-US" w:eastAsia="en-US"/>
        </w:rPr>
      </w:pPr>
      <w:proofErr w:type="spellStart"/>
      <w:r w:rsidRPr="0052262B">
        <w:rPr>
          <w:lang w:val="en-US" w:eastAsia="en-US"/>
        </w:rPr>
        <w:t>Muleke</w:t>
      </w:r>
      <w:proofErr w:type="spellEnd"/>
      <w:r w:rsidRPr="0052262B">
        <w:rPr>
          <w:lang w:val="en-US" w:eastAsia="en-US"/>
        </w:rPr>
        <w:t xml:space="preserve">, E. M., Saidi, M., </w:t>
      </w:r>
      <w:proofErr w:type="spellStart"/>
      <w:r w:rsidRPr="0052262B">
        <w:rPr>
          <w:lang w:val="en-US" w:eastAsia="en-US"/>
        </w:rPr>
        <w:t>Itulya</w:t>
      </w:r>
      <w:proofErr w:type="spellEnd"/>
      <w:r w:rsidRPr="0052262B">
        <w:rPr>
          <w:lang w:val="en-US" w:eastAsia="en-US"/>
        </w:rPr>
        <w:t xml:space="preserve">, F. M., Martin, T., &amp; </w:t>
      </w:r>
      <w:proofErr w:type="spellStart"/>
      <w:r w:rsidRPr="0052262B">
        <w:rPr>
          <w:lang w:val="en-US" w:eastAsia="en-US"/>
        </w:rPr>
        <w:t>Ngouajio</w:t>
      </w:r>
      <w:proofErr w:type="spellEnd"/>
      <w:r w:rsidRPr="0052262B">
        <w:rPr>
          <w:lang w:val="en-US" w:eastAsia="en-US"/>
        </w:rPr>
        <w:t xml:space="preserve">, M. (2013). The assessment of the use of eco-friendly nets to ensure sustainable cabbage seedling production in Africa. </w:t>
      </w:r>
      <w:r w:rsidRPr="0052262B">
        <w:rPr>
          <w:i/>
          <w:iCs/>
          <w:lang w:val="en-US" w:eastAsia="en-US"/>
        </w:rPr>
        <w:t>Agronomy, 3</w:t>
      </w:r>
      <w:r w:rsidRPr="0052262B">
        <w:rPr>
          <w:lang w:val="en-US" w:eastAsia="en-US"/>
        </w:rPr>
        <w:t>(1), 1–12. https://doi.org/10.3390/agronomy3010001</w:t>
      </w:r>
      <w:r w:rsidRPr="0052262B">
        <w:rPr>
          <w:lang w:val="en-US" w:eastAsia="en-US"/>
        </w:rPr>
        <w:br/>
      </w:r>
    </w:p>
    <w:p w14:paraId="69201058"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National Agricultural Seeds Council Act, 2019, Act No. 21 (Nigeria). </w:t>
      </w:r>
      <w:r w:rsidRPr="0052262B">
        <w:rPr>
          <w:i/>
          <w:iCs/>
          <w:lang w:val="en-US" w:eastAsia="en-US"/>
        </w:rPr>
        <w:t>Federal Republic of Nigeria Official Gazette</w:t>
      </w:r>
      <w:r w:rsidRPr="0052262B">
        <w:rPr>
          <w:lang w:val="en-US" w:eastAsia="en-US"/>
        </w:rPr>
        <w:t xml:space="preserve">, No. 142B, Vol. 106. </w:t>
      </w:r>
      <w:hyperlink r:id="rId12" w:tgtFrame="_new" w:history="1">
        <w:r w:rsidRPr="0052262B">
          <w:rPr>
            <w:color w:val="0000FF"/>
            <w:u w:val="single"/>
            <w:lang w:val="en-US" w:eastAsia="en-US"/>
          </w:rPr>
          <w:t>https://faolex.fao.org/docs/pdf/nig203197.pdf</w:t>
        </w:r>
      </w:hyperlink>
    </w:p>
    <w:p w14:paraId="0E1FE9FF"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Nordey</w:t>
      </w:r>
      <w:proofErr w:type="spellEnd"/>
      <w:r w:rsidRPr="0052262B">
        <w:rPr>
          <w:lang w:val="en-US" w:eastAsia="en-US"/>
        </w:rPr>
        <w:t>, T., Basset-</w:t>
      </w:r>
      <w:proofErr w:type="spellStart"/>
      <w:r w:rsidRPr="0052262B">
        <w:rPr>
          <w:lang w:val="en-US" w:eastAsia="en-US"/>
        </w:rPr>
        <w:t>Mens</w:t>
      </w:r>
      <w:proofErr w:type="spellEnd"/>
      <w:r w:rsidRPr="0052262B">
        <w:rPr>
          <w:lang w:val="en-US" w:eastAsia="en-US"/>
        </w:rPr>
        <w:t xml:space="preserve">, C., De Bon, H., Martin, T., </w:t>
      </w:r>
      <w:proofErr w:type="spellStart"/>
      <w:r w:rsidRPr="0052262B">
        <w:rPr>
          <w:lang w:val="en-US" w:eastAsia="en-US"/>
        </w:rPr>
        <w:t>Déletré</w:t>
      </w:r>
      <w:proofErr w:type="spellEnd"/>
      <w:r w:rsidRPr="0052262B">
        <w:rPr>
          <w:lang w:val="en-US" w:eastAsia="en-US"/>
        </w:rPr>
        <w:t xml:space="preserve">, E., Simon, S., Parrot, L., </w:t>
      </w:r>
      <w:proofErr w:type="spellStart"/>
      <w:r w:rsidRPr="0052262B">
        <w:rPr>
          <w:lang w:val="en-US" w:eastAsia="en-US"/>
        </w:rPr>
        <w:t>Despretz</w:t>
      </w:r>
      <w:proofErr w:type="spellEnd"/>
      <w:r w:rsidRPr="0052262B">
        <w:rPr>
          <w:lang w:val="en-US" w:eastAsia="en-US"/>
        </w:rPr>
        <w:t xml:space="preserve">, H., Huat, J., Biard, Y., Dubois, T., &amp; </w:t>
      </w:r>
      <w:proofErr w:type="spellStart"/>
      <w:r w:rsidRPr="0052262B">
        <w:rPr>
          <w:lang w:val="en-US" w:eastAsia="en-US"/>
        </w:rPr>
        <w:t>Malézieux</w:t>
      </w:r>
      <w:proofErr w:type="spellEnd"/>
      <w:r w:rsidRPr="0052262B">
        <w:rPr>
          <w:lang w:val="en-US" w:eastAsia="en-US"/>
        </w:rPr>
        <w:t xml:space="preserve">, E. (2017). Protected cultivation of vegetable crops in sub-Saharan Africa: Limits and prospects for smallholders. A review. </w:t>
      </w:r>
      <w:r w:rsidRPr="0052262B">
        <w:rPr>
          <w:i/>
          <w:iCs/>
          <w:lang w:val="en-US" w:eastAsia="en-US"/>
        </w:rPr>
        <w:t>Agronomy for Sustainable Development, 37</w:t>
      </w:r>
      <w:r w:rsidRPr="0052262B">
        <w:rPr>
          <w:lang w:val="en-US" w:eastAsia="en-US"/>
        </w:rPr>
        <w:t xml:space="preserve">(6), Article 53. </w:t>
      </w:r>
      <w:hyperlink r:id="rId13" w:tgtFrame="_new" w:history="1">
        <w:r w:rsidRPr="0052262B">
          <w:rPr>
            <w:color w:val="0000FF"/>
            <w:u w:val="single"/>
            <w:lang w:val="en-US" w:eastAsia="en-US"/>
          </w:rPr>
          <w:t>https://doi.org/10.1007/s13593-017-0460-8</w:t>
        </w:r>
      </w:hyperlink>
    </w:p>
    <w:p w14:paraId="79608FEF"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Nordey</w:t>
      </w:r>
      <w:proofErr w:type="spellEnd"/>
      <w:r w:rsidRPr="0052262B">
        <w:rPr>
          <w:lang w:val="en-US" w:eastAsia="en-US"/>
        </w:rPr>
        <w:t xml:space="preserve">, T., Schwarz, D., Kenyon, L., Manickam, R., &amp; Huat, J. (2020). Tapping the potential of grafting to improve the performance of vegetable cropping systems in sub-Saharan Africa. A review. </w:t>
      </w:r>
      <w:r w:rsidRPr="0052262B">
        <w:rPr>
          <w:i/>
          <w:iCs/>
          <w:lang w:val="en-US" w:eastAsia="en-US"/>
        </w:rPr>
        <w:t>Agronomy for Sustainable Development, 40</w:t>
      </w:r>
      <w:r w:rsidRPr="0052262B">
        <w:rPr>
          <w:lang w:val="en-US" w:eastAsia="en-US"/>
        </w:rPr>
        <w:t>(4), Article 23. https://doi.org/10.1007/s13593-020-00628-1</w:t>
      </w:r>
    </w:p>
    <w:p w14:paraId="087EBBCA"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Odoemlam</w:t>
      </w:r>
      <w:proofErr w:type="spellEnd"/>
      <w:r w:rsidRPr="0052262B">
        <w:rPr>
          <w:lang w:val="en-US" w:eastAsia="en-US"/>
        </w:rPr>
        <w:t xml:space="preserve">, L. E., &amp; </w:t>
      </w:r>
      <w:proofErr w:type="spellStart"/>
      <w:r w:rsidRPr="0052262B">
        <w:rPr>
          <w:lang w:val="en-US" w:eastAsia="en-US"/>
        </w:rPr>
        <w:t>Nzeakor</w:t>
      </w:r>
      <w:proofErr w:type="spellEnd"/>
      <w:r w:rsidRPr="0052262B">
        <w:rPr>
          <w:lang w:val="en-US" w:eastAsia="en-US"/>
        </w:rPr>
        <w:t xml:space="preserve">, F. C. (2021). Factors influencing the adoption of improved vegetable production practices among women farmers in </w:t>
      </w:r>
      <w:proofErr w:type="spellStart"/>
      <w:r w:rsidRPr="0052262B">
        <w:rPr>
          <w:lang w:val="en-US" w:eastAsia="en-US"/>
        </w:rPr>
        <w:t>Aguata</w:t>
      </w:r>
      <w:proofErr w:type="spellEnd"/>
      <w:r w:rsidRPr="0052262B">
        <w:rPr>
          <w:lang w:val="en-US" w:eastAsia="en-US"/>
        </w:rPr>
        <w:t xml:space="preserve"> Agricultural Zone, Anambra State, Nigeria. </w:t>
      </w:r>
      <w:proofErr w:type="spellStart"/>
      <w:r w:rsidRPr="0052262B">
        <w:rPr>
          <w:i/>
          <w:iCs/>
          <w:lang w:val="en-US" w:eastAsia="en-US"/>
        </w:rPr>
        <w:t>Agrosearch</w:t>
      </w:r>
      <w:proofErr w:type="spellEnd"/>
      <w:r w:rsidRPr="0052262B">
        <w:rPr>
          <w:i/>
          <w:iCs/>
          <w:lang w:val="en-US" w:eastAsia="en-US"/>
        </w:rPr>
        <w:t>, 20</w:t>
      </w:r>
      <w:r w:rsidRPr="0052262B">
        <w:rPr>
          <w:lang w:val="en-US" w:eastAsia="en-US"/>
        </w:rPr>
        <w:t>(2), 67–81. https://doi.org/10.4314/agrosh.v20i2.6</w:t>
      </w:r>
    </w:p>
    <w:p w14:paraId="00F6E085"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Oloniluyi, A. O., Esan, V. I., &amp; </w:t>
      </w:r>
      <w:proofErr w:type="spellStart"/>
      <w:r w:rsidRPr="0052262B">
        <w:rPr>
          <w:lang w:val="en-US" w:eastAsia="en-US"/>
        </w:rPr>
        <w:t>Adekiya</w:t>
      </w:r>
      <w:proofErr w:type="spellEnd"/>
      <w:r w:rsidRPr="0052262B">
        <w:rPr>
          <w:lang w:val="en-US" w:eastAsia="en-US"/>
        </w:rPr>
        <w:t>, A. O. (2026). Farmers’ perception of bacterial wilt (</w:t>
      </w:r>
      <w:r w:rsidRPr="0052262B">
        <w:rPr>
          <w:i/>
          <w:iCs/>
          <w:lang w:val="en-US" w:eastAsia="en-US"/>
        </w:rPr>
        <w:t>Ralstonia solanacearum</w:t>
      </w:r>
      <w:r w:rsidRPr="0052262B">
        <w:rPr>
          <w:lang w:val="en-US" w:eastAsia="en-US"/>
        </w:rPr>
        <w:t xml:space="preserve">) and its management in tomato production across Iwo, Akure, and Ibadan, southwestern Nigeria. </w:t>
      </w:r>
      <w:r w:rsidRPr="0052262B">
        <w:rPr>
          <w:i/>
          <w:iCs/>
          <w:lang w:val="en-US" w:eastAsia="en-US"/>
        </w:rPr>
        <w:t>Pakistan Journal of Phytopathology, 38</w:t>
      </w:r>
      <w:r w:rsidRPr="0052262B">
        <w:rPr>
          <w:lang w:val="en-US" w:eastAsia="en-US"/>
        </w:rPr>
        <w:t>(2), 137–144. https://doi.org/10.33866/phytopathol.038.02.1357</w:t>
      </w:r>
    </w:p>
    <w:p w14:paraId="1A100145" w14:textId="77777777" w:rsidR="0052262B" w:rsidRPr="0052262B" w:rsidRDefault="0052262B" w:rsidP="0052262B">
      <w:pPr>
        <w:spacing w:before="100" w:beforeAutospacing="1" w:after="100" w:afterAutospacing="1"/>
        <w:rPr>
          <w:lang w:val="en-US" w:eastAsia="en-US"/>
        </w:rPr>
      </w:pPr>
      <w:r w:rsidRPr="0052262B">
        <w:rPr>
          <w:lang w:val="en-US" w:eastAsia="en-US"/>
        </w:rPr>
        <w:lastRenderedPageBreak/>
        <w:t xml:space="preserve">Oluwoyo, T., </w:t>
      </w:r>
      <w:proofErr w:type="spellStart"/>
      <w:r w:rsidRPr="0052262B">
        <w:rPr>
          <w:lang w:val="en-US" w:eastAsia="en-US"/>
        </w:rPr>
        <w:t>Kocadal</w:t>
      </w:r>
      <w:proofErr w:type="spellEnd"/>
      <w:r w:rsidRPr="0052262B">
        <w:rPr>
          <w:lang w:val="en-US" w:eastAsia="en-US"/>
        </w:rPr>
        <w:t xml:space="preserve">, K., Saygi, S., &amp; Battal, D. (2024). Determination of pesticide residue content in fruits and vegetables from Lagos, Nigeria. </w:t>
      </w:r>
      <w:r w:rsidRPr="0052262B">
        <w:rPr>
          <w:i/>
          <w:iCs/>
          <w:lang w:val="en-US" w:eastAsia="en-US"/>
        </w:rPr>
        <w:t>Environmental Analysis, Health and Toxicology, 39</w:t>
      </w:r>
      <w:r w:rsidRPr="0052262B">
        <w:rPr>
          <w:lang w:val="en-US" w:eastAsia="en-US"/>
        </w:rPr>
        <w:t>(1), Article e2024002. https://doi.org/10.5620/eaht.2024002</w:t>
      </w:r>
    </w:p>
    <w:p w14:paraId="730D7B52"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Özer, H. (2018). The effects of different seedling production systems on quality of tomato plantlets. </w:t>
      </w:r>
      <w:r w:rsidRPr="0052262B">
        <w:rPr>
          <w:i/>
          <w:iCs/>
          <w:lang w:val="en-US" w:eastAsia="en-US"/>
        </w:rPr>
        <w:t xml:space="preserve">Acta </w:t>
      </w:r>
      <w:proofErr w:type="spellStart"/>
      <w:r w:rsidRPr="0052262B">
        <w:rPr>
          <w:i/>
          <w:iCs/>
          <w:lang w:val="en-US" w:eastAsia="en-US"/>
        </w:rPr>
        <w:t>Scientiarum</w:t>
      </w:r>
      <w:proofErr w:type="spellEnd"/>
      <w:r w:rsidRPr="0052262B">
        <w:rPr>
          <w:i/>
          <w:iCs/>
          <w:lang w:val="en-US" w:eastAsia="en-US"/>
        </w:rPr>
        <w:t xml:space="preserve"> </w:t>
      </w:r>
      <w:proofErr w:type="spellStart"/>
      <w:r w:rsidRPr="0052262B">
        <w:rPr>
          <w:i/>
          <w:iCs/>
          <w:lang w:val="en-US" w:eastAsia="en-US"/>
        </w:rPr>
        <w:t>Polonorum</w:t>
      </w:r>
      <w:proofErr w:type="spellEnd"/>
      <w:r w:rsidRPr="0052262B">
        <w:rPr>
          <w:i/>
          <w:iCs/>
          <w:lang w:val="en-US" w:eastAsia="en-US"/>
        </w:rPr>
        <w:t xml:space="preserve"> </w:t>
      </w:r>
      <w:proofErr w:type="spellStart"/>
      <w:r w:rsidRPr="0052262B">
        <w:rPr>
          <w:i/>
          <w:iCs/>
          <w:lang w:val="en-US" w:eastAsia="en-US"/>
        </w:rPr>
        <w:t>Hortorum</w:t>
      </w:r>
      <w:proofErr w:type="spellEnd"/>
      <w:r w:rsidRPr="0052262B">
        <w:rPr>
          <w:i/>
          <w:iCs/>
          <w:lang w:val="en-US" w:eastAsia="en-US"/>
        </w:rPr>
        <w:t xml:space="preserve"> Cultus, 17</w:t>
      </w:r>
      <w:r w:rsidRPr="0052262B">
        <w:rPr>
          <w:lang w:val="en-US" w:eastAsia="en-US"/>
        </w:rPr>
        <w:t>(5), 15–21. https://doi.org/10.24326/asphc.2018.5.2</w:t>
      </w:r>
    </w:p>
    <w:p w14:paraId="6740FA86"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Papamichalaki</w:t>
      </w:r>
      <w:proofErr w:type="spellEnd"/>
      <w:r w:rsidRPr="0052262B">
        <w:rPr>
          <w:lang w:val="en-US" w:eastAsia="en-US"/>
        </w:rPr>
        <w:t xml:space="preserve">, M., Papadaki, A., &amp; </w:t>
      </w:r>
      <w:proofErr w:type="spellStart"/>
      <w:r w:rsidRPr="0052262B">
        <w:rPr>
          <w:lang w:val="en-US" w:eastAsia="en-US"/>
        </w:rPr>
        <w:t>Tzortzakis</w:t>
      </w:r>
      <w:proofErr w:type="spellEnd"/>
      <w:r w:rsidRPr="0052262B">
        <w:rPr>
          <w:lang w:val="en-US" w:eastAsia="en-US"/>
        </w:rPr>
        <w:t xml:space="preserve">, N. (2014). Substitution of peat with municipal solid waste compost in watermelon seedling production combined with fertigation. </w:t>
      </w:r>
      <w:r w:rsidRPr="0052262B">
        <w:rPr>
          <w:i/>
          <w:iCs/>
          <w:lang w:val="en-US" w:eastAsia="en-US"/>
        </w:rPr>
        <w:t>Chilean Journal of Agricultural Research, 74</w:t>
      </w:r>
      <w:r w:rsidRPr="0052262B">
        <w:rPr>
          <w:lang w:val="en-US" w:eastAsia="en-US"/>
        </w:rPr>
        <w:t>(4), 452–459. https://doi.org/10.4067/S0718-58392014000400012</w:t>
      </w:r>
    </w:p>
    <w:p w14:paraId="42D7E755"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Pasquini, M. W., Harris, F., Dung, J., &amp; Adepetu, A. (2004). Evolution of dry-season irrigated vegetable production between 1982 and 2000 on the Jos Plateau, Nigeria. </w:t>
      </w:r>
      <w:r w:rsidRPr="0052262B">
        <w:rPr>
          <w:i/>
          <w:iCs/>
          <w:lang w:val="en-US" w:eastAsia="en-US"/>
        </w:rPr>
        <w:t>Outlook on Agriculture, 33</w:t>
      </w:r>
      <w:r w:rsidRPr="0052262B">
        <w:rPr>
          <w:lang w:val="en-US" w:eastAsia="en-US"/>
        </w:rPr>
        <w:t>(3), 201–208. https://doi.org/10.5367/0000000042530204</w:t>
      </w:r>
    </w:p>
    <w:p w14:paraId="6FD27CFF"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Paul, A., &amp; </w:t>
      </w:r>
      <w:proofErr w:type="spellStart"/>
      <w:r w:rsidRPr="0052262B">
        <w:rPr>
          <w:lang w:val="en-US" w:eastAsia="en-US"/>
        </w:rPr>
        <w:t>Machavaram</w:t>
      </w:r>
      <w:proofErr w:type="spellEnd"/>
      <w:r w:rsidRPr="0052262B">
        <w:rPr>
          <w:lang w:val="en-US" w:eastAsia="en-US"/>
        </w:rPr>
        <w:t xml:space="preserve">, R. (2026). Climate change impacts on vegetable production: A comprehensive global and Indian review. </w:t>
      </w:r>
      <w:r w:rsidRPr="0052262B">
        <w:rPr>
          <w:i/>
          <w:iCs/>
          <w:lang w:val="en-US" w:eastAsia="en-US"/>
        </w:rPr>
        <w:t>International Journal of Vegetable Science, 32</w:t>
      </w:r>
      <w:r w:rsidRPr="0052262B">
        <w:rPr>
          <w:lang w:val="en-US" w:eastAsia="en-US"/>
        </w:rPr>
        <w:t>(3), 443–476. https://doi.org/10.1080/19315260.2026.2630185</w:t>
      </w:r>
    </w:p>
    <w:p w14:paraId="791229A9"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Qin, K., &amp; Leskovar, D. I. (2020). Humic substances improve vegetable seedling quality and post-transplant yield performance under stress conditions. </w:t>
      </w:r>
      <w:r w:rsidRPr="0052262B">
        <w:rPr>
          <w:i/>
          <w:iCs/>
          <w:lang w:val="en-US" w:eastAsia="en-US"/>
        </w:rPr>
        <w:t>Agriculture, 10</w:t>
      </w:r>
      <w:r w:rsidRPr="0052262B">
        <w:rPr>
          <w:lang w:val="en-US" w:eastAsia="en-US"/>
        </w:rPr>
        <w:t xml:space="preserve">(7), Article 254. </w:t>
      </w:r>
      <w:hyperlink r:id="rId14" w:tgtFrame="_new" w:history="1">
        <w:r w:rsidRPr="0052262B">
          <w:rPr>
            <w:color w:val="0000FF"/>
            <w:u w:val="single"/>
            <w:lang w:val="en-US" w:eastAsia="en-US"/>
          </w:rPr>
          <w:t>https://doi.org/10.3390/agriculture10070254</w:t>
        </w:r>
      </w:hyperlink>
    </w:p>
    <w:p w14:paraId="48D52F4E"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Rouphael</w:t>
      </w:r>
      <w:proofErr w:type="spellEnd"/>
      <w:r w:rsidRPr="0052262B">
        <w:rPr>
          <w:lang w:val="en-US" w:eastAsia="en-US"/>
        </w:rPr>
        <w:t xml:space="preserve">, Y., Kyriacou, M. C., &amp; Colla, G. (2018). Vegetable grafting: A toolbox for securing yield stability under multiple stress conditions. </w:t>
      </w:r>
      <w:r w:rsidRPr="0052262B">
        <w:rPr>
          <w:i/>
          <w:iCs/>
          <w:lang w:val="en-US" w:eastAsia="en-US"/>
        </w:rPr>
        <w:t>Frontiers in Plant Science, 8</w:t>
      </w:r>
      <w:r w:rsidRPr="0052262B">
        <w:rPr>
          <w:lang w:val="en-US" w:eastAsia="en-US"/>
        </w:rPr>
        <w:t>, Article 2255. https://doi.org/10.3389/fpls.2017.02255</w:t>
      </w:r>
    </w:p>
    <w:p w14:paraId="3584A75E"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Schreinemachers</w:t>
      </w:r>
      <w:proofErr w:type="spellEnd"/>
      <w:r w:rsidRPr="0052262B">
        <w:rPr>
          <w:lang w:val="en-US" w:eastAsia="en-US"/>
        </w:rPr>
        <w:t xml:space="preserve">, P., Howard, J., Turner, M., Groot, S. N., Dubey, B., </w:t>
      </w:r>
      <w:proofErr w:type="spellStart"/>
      <w:r w:rsidRPr="0052262B">
        <w:rPr>
          <w:lang w:val="en-US" w:eastAsia="en-US"/>
        </w:rPr>
        <w:t>Mwadzingeni</w:t>
      </w:r>
      <w:proofErr w:type="spellEnd"/>
      <w:r w:rsidRPr="0052262B">
        <w:rPr>
          <w:lang w:val="en-US" w:eastAsia="en-US"/>
        </w:rPr>
        <w:t xml:space="preserve">, L., </w:t>
      </w:r>
      <w:proofErr w:type="spellStart"/>
      <w:r w:rsidRPr="0052262B">
        <w:rPr>
          <w:lang w:val="en-US" w:eastAsia="en-US"/>
        </w:rPr>
        <w:t>Chagomoka</w:t>
      </w:r>
      <w:proofErr w:type="spellEnd"/>
      <w:r w:rsidRPr="0052262B">
        <w:rPr>
          <w:lang w:val="en-US" w:eastAsia="en-US"/>
        </w:rPr>
        <w:t xml:space="preserve">, T., Ngugi, M., Afari-Sefa, V., Hanson, P., &amp; </w:t>
      </w:r>
      <w:proofErr w:type="spellStart"/>
      <w:r w:rsidRPr="0052262B">
        <w:rPr>
          <w:lang w:val="en-US" w:eastAsia="en-US"/>
        </w:rPr>
        <w:t>Wopereis</w:t>
      </w:r>
      <w:proofErr w:type="spellEnd"/>
      <w:r w:rsidRPr="0052262B">
        <w:rPr>
          <w:lang w:val="en-US" w:eastAsia="en-US"/>
        </w:rPr>
        <w:t xml:space="preserve">, M. C. S. (2021). Africa’s evolving vegetable seed sector: Status, policy options and lessons from Asia. </w:t>
      </w:r>
      <w:r w:rsidRPr="0052262B">
        <w:rPr>
          <w:i/>
          <w:iCs/>
          <w:lang w:val="en-US" w:eastAsia="en-US"/>
        </w:rPr>
        <w:t>Food Security, 13</w:t>
      </w:r>
      <w:r w:rsidRPr="0052262B">
        <w:rPr>
          <w:lang w:val="en-US" w:eastAsia="en-US"/>
        </w:rPr>
        <w:t xml:space="preserve">(3), 511–523. </w:t>
      </w:r>
      <w:hyperlink r:id="rId15" w:tgtFrame="_new" w:history="1">
        <w:r w:rsidRPr="0052262B">
          <w:rPr>
            <w:color w:val="0000FF"/>
            <w:u w:val="single"/>
            <w:lang w:val="en-US" w:eastAsia="en-US"/>
          </w:rPr>
          <w:t>https://doi.org/10.1007/s12571-021-01146-y</w:t>
        </w:r>
      </w:hyperlink>
    </w:p>
    <w:p w14:paraId="3D15876F"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Schreinemachers</w:t>
      </w:r>
      <w:proofErr w:type="spellEnd"/>
      <w:r w:rsidRPr="0052262B">
        <w:rPr>
          <w:lang w:val="en-US" w:eastAsia="en-US"/>
        </w:rPr>
        <w:t xml:space="preserve">, P., Simmons, E. B., &amp; </w:t>
      </w:r>
      <w:proofErr w:type="spellStart"/>
      <w:r w:rsidRPr="0052262B">
        <w:rPr>
          <w:lang w:val="en-US" w:eastAsia="en-US"/>
        </w:rPr>
        <w:t>Wopereis</w:t>
      </w:r>
      <w:proofErr w:type="spellEnd"/>
      <w:r w:rsidRPr="0052262B">
        <w:rPr>
          <w:lang w:val="en-US" w:eastAsia="en-US"/>
        </w:rPr>
        <w:t xml:space="preserve">, M. C. S. (2018). Tapping the economic and nutritional power of vegetables. </w:t>
      </w:r>
      <w:r w:rsidRPr="0052262B">
        <w:rPr>
          <w:i/>
          <w:iCs/>
          <w:lang w:val="en-US" w:eastAsia="en-US"/>
        </w:rPr>
        <w:t>Global Food Security, 16</w:t>
      </w:r>
      <w:r w:rsidRPr="0052262B">
        <w:rPr>
          <w:lang w:val="en-US" w:eastAsia="en-US"/>
        </w:rPr>
        <w:t>, 36–45. https://doi.org/10.1016/j.gfs.2017.09.005</w:t>
      </w:r>
    </w:p>
    <w:p w14:paraId="7DF96F55" w14:textId="77777777" w:rsidR="0052262B" w:rsidRPr="0052262B" w:rsidRDefault="0052262B" w:rsidP="0052262B">
      <w:pPr>
        <w:spacing w:before="100" w:beforeAutospacing="1" w:after="100" w:afterAutospacing="1"/>
        <w:rPr>
          <w:lang w:val="en-US" w:eastAsia="en-US"/>
        </w:rPr>
      </w:pPr>
      <w:proofErr w:type="spellStart"/>
      <w:r w:rsidRPr="0052262B">
        <w:rPr>
          <w:lang w:val="en-US" w:eastAsia="en-US"/>
        </w:rPr>
        <w:t>Schreinemachers</w:t>
      </w:r>
      <w:proofErr w:type="spellEnd"/>
      <w:r w:rsidRPr="0052262B">
        <w:rPr>
          <w:lang w:val="en-US" w:eastAsia="en-US"/>
        </w:rPr>
        <w:t xml:space="preserve">, P., Wu, M.-H., Uddin, M. N., Ahmad, S., &amp; Hanson, P. (2016). Farmer training in off-season vegetables: Effects on income and pesticide use in Bangladesh. </w:t>
      </w:r>
      <w:r w:rsidRPr="0052262B">
        <w:rPr>
          <w:i/>
          <w:iCs/>
          <w:lang w:val="en-US" w:eastAsia="en-US"/>
        </w:rPr>
        <w:t>Food Policy, 61</w:t>
      </w:r>
      <w:r w:rsidRPr="0052262B">
        <w:rPr>
          <w:lang w:val="en-US" w:eastAsia="en-US"/>
        </w:rPr>
        <w:t>, 132–140. https://doi.org/10.1016/j.foodpol.2016.03.002</w:t>
      </w:r>
    </w:p>
    <w:p w14:paraId="6531110E"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Sukhera, J. (2022). Narrative reviews: Flexible, rigorous, and practical. </w:t>
      </w:r>
      <w:r w:rsidRPr="0052262B">
        <w:rPr>
          <w:i/>
          <w:iCs/>
          <w:lang w:val="en-US" w:eastAsia="en-US"/>
        </w:rPr>
        <w:t>Journal of Graduate Medical Education, 14</w:t>
      </w:r>
      <w:r w:rsidRPr="0052262B">
        <w:rPr>
          <w:lang w:val="en-US" w:eastAsia="en-US"/>
        </w:rPr>
        <w:t xml:space="preserve">(4), 414–417. </w:t>
      </w:r>
      <w:hyperlink r:id="rId16" w:tgtFrame="_new" w:history="1">
        <w:r w:rsidRPr="0052262B">
          <w:rPr>
            <w:color w:val="0000FF"/>
            <w:u w:val="single"/>
            <w:lang w:val="en-US" w:eastAsia="en-US"/>
          </w:rPr>
          <w:t>https://doi.org/10.4300/JGME-D-22-00480.1</w:t>
        </w:r>
      </w:hyperlink>
    </w:p>
    <w:p w14:paraId="2668259F"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ter Steeg, E. M. S., &amp; </w:t>
      </w:r>
      <w:proofErr w:type="spellStart"/>
      <w:r w:rsidRPr="0052262B">
        <w:rPr>
          <w:lang w:val="en-US" w:eastAsia="en-US"/>
        </w:rPr>
        <w:t>Louwaars</w:t>
      </w:r>
      <w:proofErr w:type="spellEnd"/>
      <w:r w:rsidRPr="0052262B">
        <w:rPr>
          <w:lang w:val="en-US" w:eastAsia="en-US"/>
        </w:rPr>
        <w:t xml:space="preserve">, N. P. (2024). Market-driven transitions in the vegetable seed sector in sub-Saharan Africa. </w:t>
      </w:r>
      <w:r w:rsidRPr="0052262B">
        <w:rPr>
          <w:i/>
          <w:iCs/>
          <w:lang w:val="en-US" w:eastAsia="en-US"/>
        </w:rPr>
        <w:t>Agricultural Systems, 221</w:t>
      </w:r>
      <w:r w:rsidRPr="0052262B">
        <w:rPr>
          <w:lang w:val="en-US" w:eastAsia="en-US"/>
        </w:rPr>
        <w:t>, Article 104113. https://doi.org/10.1016/j.agsy.2024.104113</w:t>
      </w:r>
    </w:p>
    <w:p w14:paraId="04780EF2" w14:textId="77777777" w:rsidR="0052262B" w:rsidRPr="0052262B" w:rsidRDefault="0052262B" w:rsidP="0052262B">
      <w:pPr>
        <w:spacing w:before="100" w:beforeAutospacing="1" w:after="100" w:afterAutospacing="1"/>
        <w:rPr>
          <w:lang w:val="en-US" w:eastAsia="en-US"/>
        </w:rPr>
      </w:pPr>
      <w:r w:rsidRPr="0052262B">
        <w:rPr>
          <w:lang w:val="en-US" w:eastAsia="en-US"/>
        </w:rPr>
        <w:t xml:space="preserve">Tijjani, H., Tijjani, B. A., &amp; Audu, A. (2018). Socio-economic determinants of vegetable farmers’ awareness of safety measures in pesticide use in Jere Local Government Area, Borno State, Nigeria. </w:t>
      </w:r>
      <w:proofErr w:type="spellStart"/>
      <w:r w:rsidRPr="0052262B">
        <w:rPr>
          <w:i/>
          <w:iCs/>
          <w:lang w:val="en-US" w:eastAsia="en-US"/>
        </w:rPr>
        <w:t>Agrosearch</w:t>
      </w:r>
      <w:proofErr w:type="spellEnd"/>
      <w:r w:rsidRPr="0052262B">
        <w:rPr>
          <w:i/>
          <w:iCs/>
          <w:lang w:val="en-US" w:eastAsia="en-US"/>
        </w:rPr>
        <w:t>, 18</w:t>
      </w:r>
      <w:r w:rsidRPr="0052262B">
        <w:rPr>
          <w:lang w:val="en-US" w:eastAsia="en-US"/>
        </w:rPr>
        <w:t xml:space="preserve">(1), 66–76. </w:t>
      </w:r>
      <w:hyperlink r:id="rId17" w:tgtFrame="_new" w:history="1">
        <w:r w:rsidRPr="0052262B">
          <w:rPr>
            <w:color w:val="0000FF"/>
            <w:u w:val="single"/>
            <w:lang w:val="en-US" w:eastAsia="en-US"/>
          </w:rPr>
          <w:t>https://doi.org/10.4314/agrosh.v18i1.6</w:t>
        </w:r>
      </w:hyperlink>
    </w:p>
    <w:p w14:paraId="0CE206A6" w14:textId="77777777" w:rsidR="0052262B" w:rsidRPr="0052262B" w:rsidRDefault="0052262B" w:rsidP="0052262B">
      <w:pPr>
        <w:spacing w:before="100" w:beforeAutospacing="1" w:after="100" w:afterAutospacing="1"/>
        <w:rPr>
          <w:lang w:val="en-US" w:eastAsia="en-US"/>
        </w:rPr>
      </w:pPr>
      <w:r w:rsidRPr="0052262B">
        <w:rPr>
          <w:lang w:val="en-US" w:eastAsia="en-US"/>
        </w:rPr>
        <w:lastRenderedPageBreak/>
        <w:t xml:space="preserve">Weston, L. A. (1988). Effect of flat cell size, transplant age, and production site on growth and yield of pepper transplants. </w:t>
      </w:r>
      <w:proofErr w:type="spellStart"/>
      <w:r w:rsidRPr="0052262B">
        <w:rPr>
          <w:i/>
          <w:iCs/>
          <w:lang w:val="en-US" w:eastAsia="en-US"/>
        </w:rPr>
        <w:t>HortScience</w:t>
      </w:r>
      <w:proofErr w:type="spellEnd"/>
      <w:r w:rsidRPr="0052262B">
        <w:rPr>
          <w:i/>
          <w:iCs/>
          <w:lang w:val="en-US" w:eastAsia="en-US"/>
        </w:rPr>
        <w:t>, 23</w:t>
      </w:r>
      <w:r w:rsidRPr="0052262B">
        <w:rPr>
          <w:lang w:val="en-US" w:eastAsia="en-US"/>
        </w:rPr>
        <w:t>(4), 709–711. https://doi.org/10.21273/HORTSCI.23.4.709</w:t>
      </w:r>
    </w:p>
    <w:p w14:paraId="5625D2A3" w14:textId="77777777" w:rsidR="0052262B" w:rsidRPr="0052262B" w:rsidRDefault="0052262B" w:rsidP="0052262B">
      <w:pPr>
        <w:spacing w:before="100" w:beforeAutospacing="1" w:after="100" w:afterAutospacing="1"/>
        <w:rPr>
          <w:lang w:val="en-US" w:eastAsia="en-US"/>
        </w:rPr>
      </w:pPr>
      <w:r w:rsidRPr="0052262B">
        <w:rPr>
          <w:lang w:val="en-US" w:eastAsia="en-US"/>
        </w:rPr>
        <w:t>Yami, M., Liverpool-</w:t>
      </w:r>
      <w:proofErr w:type="spellStart"/>
      <w:r w:rsidRPr="0052262B">
        <w:rPr>
          <w:lang w:val="en-US" w:eastAsia="en-US"/>
        </w:rPr>
        <w:t>Tasie</w:t>
      </w:r>
      <w:proofErr w:type="spellEnd"/>
      <w:r w:rsidRPr="0052262B">
        <w:rPr>
          <w:lang w:val="en-US" w:eastAsia="en-US"/>
        </w:rPr>
        <w:t xml:space="preserve">, L. S. O., Olaoye, I., Wossen, T., Feleke, S., &amp; Abdoulaye, T. (2025). Adoption of postharvest innovations to minimize tomato losses in Nigeria. </w:t>
      </w:r>
      <w:r w:rsidRPr="0052262B">
        <w:rPr>
          <w:i/>
          <w:iCs/>
          <w:lang w:val="en-US" w:eastAsia="en-US"/>
        </w:rPr>
        <w:t>Scientific Reports, 15</w:t>
      </w:r>
      <w:r w:rsidRPr="0052262B">
        <w:rPr>
          <w:lang w:val="en-US" w:eastAsia="en-US"/>
        </w:rPr>
        <w:t xml:space="preserve">, Article 30418. </w:t>
      </w:r>
      <w:hyperlink r:id="rId18" w:tgtFrame="_new" w:history="1">
        <w:r w:rsidRPr="0052262B">
          <w:rPr>
            <w:color w:val="0000FF"/>
            <w:u w:val="single"/>
            <w:lang w:val="en-US" w:eastAsia="en-US"/>
          </w:rPr>
          <w:t>https://doi.org/10.1038/s41598-025-15618-0</w:t>
        </w:r>
      </w:hyperlink>
    </w:p>
    <w:p w14:paraId="2E63A438" w14:textId="77777777" w:rsidR="0052262B" w:rsidRDefault="0052262B">
      <w:pPr>
        <w:pStyle w:val="Heading1"/>
        <w:spacing w:before="320" w:after="160"/>
      </w:pPr>
    </w:p>
    <w:sectPr w:rsidR="0052262B">
      <w:headerReference w:type="even" r:id="rId19"/>
      <w:headerReference w:type="default" r:id="rId20"/>
      <w:footerReference w:type="even" r:id="rId21"/>
      <w:footerReference w:type="default" r:id="rId22"/>
      <w:headerReference w:type="first" r:id="rId23"/>
      <w:footerReference w:type="first" r:id="rId24"/>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9DDF9" w14:textId="77777777" w:rsidR="00AF23F9" w:rsidRDefault="00AF23F9" w:rsidP="00B01C8A">
      <w:r>
        <w:separator/>
      </w:r>
    </w:p>
  </w:endnote>
  <w:endnote w:type="continuationSeparator" w:id="0">
    <w:p w14:paraId="6B627DD5" w14:textId="77777777" w:rsidR="00AF23F9" w:rsidRDefault="00AF23F9" w:rsidP="00B01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F610D" w14:textId="77777777" w:rsidR="00B01C8A" w:rsidRDefault="00B01C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00B34" w14:textId="77777777" w:rsidR="00B01C8A" w:rsidRDefault="00B01C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195B" w14:textId="77777777" w:rsidR="00B01C8A" w:rsidRDefault="00B01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EAFAC" w14:textId="77777777" w:rsidR="00AF23F9" w:rsidRDefault="00AF23F9" w:rsidP="00B01C8A">
      <w:r>
        <w:separator/>
      </w:r>
    </w:p>
  </w:footnote>
  <w:footnote w:type="continuationSeparator" w:id="0">
    <w:p w14:paraId="09C8D867" w14:textId="77777777" w:rsidR="00AF23F9" w:rsidRDefault="00AF23F9" w:rsidP="00B01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FDE14" w14:textId="77777777" w:rsidR="00B01C8A" w:rsidRDefault="00000000">
    <w:pPr>
      <w:pStyle w:val="Header"/>
    </w:pPr>
    <w:r>
      <w:rPr>
        <w:noProof/>
      </w:rPr>
      <w:pict w14:anchorId="07C05A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67657" o:spid="_x0000_s1026" type="#_x0000_t136" style="position:absolute;margin-left:0;margin-top:0;width:618.3pt;height:68.7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4C3C" w14:textId="77777777" w:rsidR="00B01C8A" w:rsidRDefault="00000000">
    <w:pPr>
      <w:pStyle w:val="Header"/>
    </w:pPr>
    <w:r>
      <w:rPr>
        <w:noProof/>
      </w:rPr>
      <w:pict w14:anchorId="39CE33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67658" o:spid="_x0000_s1027" type="#_x0000_t136" style="position:absolute;margin-left:0;margin-top:0;width:618.3pt;height:68.7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EB90" w14:textId="77777777" w:rsidR="00B01C8A" w:rsidRDefault="00000000">
    <w:pPr>
      <w:pStyle w:val="Header"/>
    </w:pPr>
    <w:r>
      <w:rPr>
        <w:noProof/>
      </w:rPr>
      <w:pict w14:anchorId="3B9296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67656" o:spid="_x0000_s1025" type="#_x0000_t136" style="position:absolute;margin-left:0;margin-top:0;width:618.3pt;height:68.7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959CE"/>
    <w:multiLevelType w:val="hybridMultilevel"/>
    <w:tmpl w:val="B4B4CEFE"/>
    <w:lvl w:ilvl="0" w:tplc="6B44A836">
      <w:start w:val="1"/>
      <w:numFmt w:val="bullet"/>
      <w:lvlText w:val="●"/>
      <w:lvlJc w:val="left"/>
      <w:pPr>
        <w:ind w:left="720" w:hanging="360"/>
      </w:pPr>
    </w:lvl>
    <w:lvl w:ilvl="1" w:tplc="A6245F72">
      <w:start w:val="1"/>
      <w:numFmt w:val="bullet"/>
      <w:lvlText w:val="○"/>
      <w:lvlJc w:val="left"/>
      <w:pPr>
        <w:ind w:left="1440" w:hanging="360"/>
      </w:pPr>
    </w:lvl>
    <w:lvl w:ilvl="2" w:tplc="1F92974E">
      <w:start w:val="1"/>
      <w:numFmt w:val="bullet"/>
      <w:lvlText w:val="■"/>
      <w:lvlJc w:val="left"/>
      <w:pPr>
        <w:ind w:left="2160" w:hanging="360"/>
      </w:pPr>
    </w:lvl>
    <w:lvl w:ilvl="3" w:tplc="240E85DE">
      <w:start w:val="1"/>
      <w:numFmt w:val="bullet"/>
      <w:lvlText w:val="●"/>
      <w:lvlJc w:val="left"/>
      <w:pPr>
        <w:ind w:left="2880" w:hanging="360"/>
      </w:pPr>
    </w:lvl>
    <w:lvl w:ilvl="4" w:tplc="F94C8350">
      <w:start w:val="1"/>
      <w:numFmt w:val="bullet"/>
      <w:lvlText w:val="○"/>
      <w:lvlJc w:val="left"/>
      <w:pPr>
        <w:ind w:left="3600" w:hanging="360"/>
      </w:pPr>
    </w:lvl>
    <w:lvl w:ilvl="5" w:tplc="253CC81C">
      <w:start w:val="1"/>
      <w:numFmt w:val="bullet"/>
      <w:lvlText w:val="■"/>
      <w:lvlJc w:val="left"/>
      <w:pPr>
        <w:ind w:left="4320" w:hanging="360"/>
      </w:pPr>
    </w:lvl>
    <w:lvl w:ilvl="6" w:tplc="7B284542">
      <w:start w:val="1"/>
      <w:numFmt w:val="bullet"/>
      <w:lvlText w:val="●"/>
      <w:lvlJc w:val="left"/>
      <w:pPr>
        <w:ind w:left="5040" w:hanging="360"/>
      </w:pPr>
    </w:lvl>
    <w:lvl w:ilvl="7" w:tplc="43FEE1A2">
      <w:start w:val="1"/>
      <w:numFmt w:val="bullet"/>
      <w:lvlText w:val="●"/>
      <w:lvlJc w:val="left"/>
      <w:pPr>
        <w:ind w:left="5760" w:hanging="360"/>
      </w:pPr>
    </w:lvl>
    <w:lvl w:ilvl="8" w:tplc="CA0A6290">
      <w:start w:val="1"/>
      <w:numFmt w:val="bullet"/>
      <w:lvlText w:val="●"/>
      <w:lvlJc w:val="left"/>
      <w:pPr>
        <w:ind w:left="6480" w:hanging="360"/>
      </w:pPr>
    </w:lvl>
  </w:abstractNum>
  <w:num w:numId="1" w16cid:durableId="8871840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wtDA0MLU0NTE1MzRQ0lEKTi0uzszPAykwrAUAzl1c9ywAAAA="/>
  </w:docVars>
  <w:rsids>
    <w:rsidRoot w:val="0080216C"/>
    <w:rsid w:val="00187D19"/>
    <w:rsid w:val="004A4404"/>
    <w:rsid w:val="005011B5"/>
    <w:rsid w:val="0052262B"/>
    <w:rsid w:val="006D7307"/>
    <w:rsid w:val="0080216C"/>
    <w:rsid w:val="0082478D"/>
    <w:rsid w:val="00897C7D"/>
    <w:rsid w:val="00912497"/>
    <w:rsid w:val="0095698F"/>
    <w:rsid w:val="00A4481D"/>
    <w:rsid w:val="00AF23F9"/>
    <w:rsid w:val="00AF73DA"/>
    <w:rsid w:val="00B01C8A"/>
    <w:rsid w:val="00BF2A6F"/>
    <w:rsid w:val="00DC7E5C"/>
    <w:rsid w:val="00E5005E"/>
    <w:rsid w:val="00F0531B"/>
    <w:rsid w:val="00F95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7ADB3"/>
  <w15:docId w15:val="{6C6702D7-457C-45E3-B5D1-95938FE7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01C8A"/>
    <w:pPr>
      <w:tabs>
        <w:tab w:val="center" w:pos="4513"/>
        <w:tab w:val="right" w:pos="9026"/>
      </w:tabs>
    </w:pPr>
  </w:style>
  <w:style w:type="character" w:customStyle="1" w:styleId="HeaderChar">
    <w:name w:val="Header Char"/>
    <w:basedOn w:val="DefaultParagraphFont"/>
    <w:link w:val="Header"/>
    <w:uiPriority w:val="99"/>
    <w:rsid w:val="00B01C8A"/>
  </w:style>
  <w:style w:type="paragraph" w:styleId="Footer">
    <w:name w:val="footer"/>
    <w:basedOn w:val="Normal"/>
    <w:link w:val="FooterChar"/>
    <w:uiPriority w:val="99"/>
    <w:unhideWhenUsed/>
    <w:rsid w:val="00B01C8A"/>
    <w:pPr>
      <w:tabs>
        <w:tab w:val="center" w:pos="4513"/>
        <w:tab w:val="right" w:pos="9026"/>
      </w:tabs>
    </w:pPr>
  </w:style>
  <w:style w:type="character" w:customStyle="1" w:styleId="FooterChar">
    <w:name w:val="Footer Char"/>
    <w:basedOn w:val="DefaultParagraphFont"/>
    <w:link w:val="Footer"/>
    <w:uiPriority w:val="99"/>
    <w:rsid w:val="00B01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558/tfc36010-1" TargetMode="External"/><Relationship Id="rId13" Type="http://schemas.openxmlformats.org/officeDocument/2006/relationships/hyperlink" Target="https://doi.org/10.1007/s13593-017-0460-8" TargetMode="External"/><Relationship Id="rId18" Type="http://schemas.openxmlformats.org/officeDocument/2006/relationships/hyperlink" Target="https://doi.org/10.1038/s41598-025-15618-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doi.org/10.1186/s41073-019-0064-8" TargetMode="External"/><Relationship Id="rId12" Type="http://schemas.openxmlformats.org/officeDocument/2006/relationships/hyperlink" Target="https://faolex.fao.org/docs/pdf/nig203197.pdf" TargetMode="External"/><Relationship Id="rId17" Type="http://schemas.openxmlformats.org/officeDocument/2006/relationships/hyperlink" Target="https://doi.org/10.4314/agrosh.v18i1.6"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4300/JGME-D-22-00480.1"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09670874.2025.2456590"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007/s12571-021-01146-y" TargetMode="External"/><Relationship Id="rId23" Type="http://schemas.openxmlformats.org/officeDocument/2006/relationships/header" Target="header3.xml"/><Relationship Id="rId10" Type="http://schemas.openxmlformats.org/officeDocument/2006/relationships/hyperlink" Target="https://doi.org/10.3390/agronomy9060298"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11/eci.12931" TargetMode="External"/><Relationship Id="rId14" Type="http://schemas.openxmlformats.org/officeDocument/2006/relationships/hyperlink" Target="https://doi.org/10.3390/agriculture10070254"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34</Pages>
  <Words>15083</Words>
  <Characters>85977</Characters>
  <Application>Microsoft Office Word</Application>
  <DocSecurity>0</DocSecurity>
  <Lines>716</Lines>
  <Paragraphs>201</Paragraphs>
  <ScaleCrop>false</ScaleCrop>
  <Company>HP</Company>
  <LinksUpToDate>false</LinksUpToDate>
  <CharactersWithSpaces>100859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10</cp:revision>
  <dcterms:created xsi:type="dcterms:W3CDTF">2026-08-11T11:02:00Z</dcterms:created>
  <dcterms:modified xsi:type="dcterms:W3CDTF">2026-08-17T10:47:00Z</dcterms:modified>
</cp:coreProperties>
</file>