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B8D2" w14:textId="77777777" w:rsidR="00331488" w:rsidRPr="0012457E" w:rsidRDefault="00050384" w:rsidP="00300EEC">
      <w:pPr>
        <w:widowControl w:val="0"/>
        <w:autoSpaceDE w:val="0"/>
        <w:autoSpaceDN w:val="0"/>
        <w:spacing w:before="114" w:after="0" w:line="360" w:lineRule="auto"/>
        <w:ind w:left="28"/>
        <w:jc w:val="both"/>
        <w:rPr>
          <w:rFonts w:ascii="Times New Roman" w:hAnsi="Times New Roman" w:cs="Times New Roman"/>
          <w:b/>
          <w:bCs/>
        </w:rPr>
      </w:pPr>
      <w:r w:rsidRPr="0012457E">
        <w:rPr>
          <w:rFonts w:ascii="Times New Roman" w:hAnsi="Times New Roman" w:cs="Times New Roman"/>
          <w:b/>
          <w:bCs/>
        </w:rPr>
        <w:t>Evaluation of Pearl Millet (</w:t>
      </w:r>
      <w:r w:rsidRPr="0012457E">
        <w:rPr>
          <w:rFonts w:ascii="Times New Roman" w:hAnsi="Times New Roman" w:cs="Times New Roman"/>
          <w:b/>
          <w:bCs/>
          <w:i/>
          <w:iCs/>
        </w:rPr>
        <w:t>Pennisetum glaucum</w:t>
      </w:r>
      <w:r w:rsidRPr="0012457E">
        <w:rPr>
          <w:rFonts w:ascii="Times New Roman" w:hAnsi="Times New Roman" w:cs="Times New Roman"/>
          <w:b/>
          <w:bCs/>
        </w:rPr>
        <w:t xml:space="preserve"> L.) Genotypes for Yield and Yield-Contributing Traits</w:t>
      </w:r>
    </w:p>
    <w:p w14:paraId="4D754567" w14:textId="77777777" w:rsidR="00DC429E" w:rsidRPr="0012457E" w:rsidRDefault="00DC429E" w:rsidP="00300EEC">
      <w:pPr>
        <w:widowControl w:val="0"/>
        <w:autoSpaceDE w:val="0"/>
        <w:autoSpaceDN w:val="0"/>
        <w:spacing w:before="114" w:after="0" w:line="360" w:lineRule="auto"/>
        <w:ind w:left="28"/>
        <w:jc w:val="both"/>
        <w:rPr>
          <w:rFonts w:ascii="Times New Roman" w:eastAsia="Cambria" w:hAnsi="Times New Roman" w:cs="Times New Roman"/>
          <w:b/>
          <w:i/>
          <w:kern w:val="0"/>
          <w:lang w:val="en-US"/>
        </w:rPr>
      </w:pPr>
      <w:r w:rsidRPr="0012457E">
        <w:rPr>
          <w:rFonts w:ascii="Times New Roman" w:eastAsia="Cambria" w:hAnsi="Times New Roman" w:cs="Times New Roman"/>
          <w:b/>
          <w:i/>
          <w:spacing w:val="-2"/>
          <w:kern w:val="0"/>
          <w:lang w:val="en-US"/>
        </w:rPr>
        <w:t>ABSTRACT</w:t>
      </w:r>
    </w:p>
    <w:p w14:paraId="26F45696" w14:textId="77777777" w:rsidR="00DC429E" w:rsidRPr="0012457E" w:rsidRDefault="00000000" w:rsidP="00300EEC">
      <w:pPr>
        <w:widowControl w:val="0"/>
        <w:autoSpaceDE w:val="0"/>
        <w:autoSpaceDN w:val="0"/>
        <w:spacing w:before="5" w:after="0" w:line="360" w:lineRule="auto"/>
        <w:jc w:val="both"/>
        <w:rPr>
          <w:rFonts w:ascii="Times New Roman" w:eastAsia="Cambria" w:hAnsi="Times New Roman" w:cs="Times New Roman"/>
          <w:b/>
          <w:i/>
          <w:kern w:val="0"/>
          <w:lang w:val="en-US"/>
        </w:rPr>
      </w:pPr>
      <w:r w:rsidRPr="0012457E">
        <w:rPr>
          <w:rFonts w:ascii="Times New Roman" w:eastAsia="Cambria" w:hAnsi="Times New Roman" w:cs="Times New Roman"/>
          <w:b/>
          <w:i/>
          <w:noProof/>
          <w:kern w:val="0"/>
          <w:lang w:val="en-US"/>
        </w:rPr>
        <w:pict w14:anchorId="00E264AC">
          <v:shape id="Graphic 10" o:spid="_x0000_s2051" style="position:absolute;left:0;text-align:left;margin-left:22.7pt;margin-top:3.25pt;width:549.9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" path="m,l6983994,e" filled="f" strokecolor="#073849" strokeweight=".25mm">
            <v:path arrowok="t"/>
            <w10:wrap type="topAndBottom" anchorx="page"/>
          </v:shape>
        </w:pict>
      </w:r>
    </w:p>
    <w:p w14:paraId="2D6DA921" w14:textId="77777777" w:rsidR="007103D4" w:rsidRDefault="007103D4" w:rsidP="00300EEC">
      <w:pPr>
        <w:widowControl w:val="0"/>
        <w:autoSpaceDE w:val="0"/>
        <w:autoSpaceDN w:val="0"/>
        <w:spacing w:before="97" w:after="0" w:line="360" w:lineRule="auto"/>
        <w:ind w:left="28"/>
        <w:jc w:val="both"/>
      </w:pPr>
      <w:r>
        <w:t xml:space="preserve">Pearl millet is a climate-resilient cereal and fodder crop, but genotype-specific performance under semi-arid Bundelkhand conditions requires local evaluation. The present study assessed twelve pearl millet genotypes for ten quantitative traits during the </w:t>
      </w:r>
      <w:r>
        <w:rPr>
          <w:rStyle w:val="Emphasis"/>
        </w:rPr>
        <w:t>kharif</w:t>
      </w:r>
      <w:r>
        <w:t xml:space="preserve"> season of 2025 at Bundelkhand University, Jhansi, India. The experiment was conducted in a randomised block design with three replications, and observations were recorded for flowering, plant architecture, grain yield, dry matter yield, and green fodder yield. Analysis of variance indicated highly significant differences among genotypes for all evaluated traits, demonstrating substantial variability within the experimental material. NMH-68 flowered earliest at 61.33 days, whereas HHB-223 flowered latest at 80.00 days. MP-7792 attained the greatest plant height of 285.95 cm, JBH-1 recorded the greatest leaf length of 73.58 cm, and Nandi-61 produced the longest panicle of 56.90 cm. GHB-732 recorded the highest grain yield per plant at 18.05 g, followed by JHBH-676 and KBH-3940. Bio-448 produced the highest green fodder yield at 383.60 g and the highest dry matter yield at 76.44 g. Grain yield per plant showed the highest reported genotypic and phenotypic coefficients of variation, together with high heritability and genetic advance. The results identify GHB-732, Bio-448, JHBH-676, and KBH-3940 as promising material for further multilocation and </w:t>
      </w:r>
      <w:proofErr w:type="spellStart"/>
      <w:r>
        <w:t>multiseason</w:t>
      </w:r>
      <w:proofErr w:type="spellEnd"/>
      <w:r>
        <w:t xml:space="preserve"> evaluation before use in breeding programmes or broader recommendation.</w:t>
      </w:r>
    </w:p>
    <w:p w14:paraId="489EF4FC" w14:textId="77777777" w:rsidR="007103D4" w:rsidRDefault="007103D4" w:rsidP="00300EEC">
      <w:pPr>
        <w:widowControl w:val="0"/>
        <w:autoSpaceDE w:val="0"/>
        <w:autoSpaceDN w:val="0"/>
        <w:spacing w:before="97" w:after="0" w:line="360" w:lineRule="auto"/>
        <w:ind w:left="28"/>
        <w:jc w:val="both"/>
      </w:pPr>
    </w:p>
    <w:p w14:paraId="5CD23C4C" w14:textId="62FE1600" w:rsidR="007103D4" w:rsidRDefault="00DC429E" w:rsidP="00300EEC">
      <w:pPr>
        <w:widowControl w:val="0"/>
        <w:autoSpaceDE w:val="0"/>
        <w:autoSpaceDN w:val="0"/>
        <w:spacing w:before="97" w:after="0" w:line="360" w:lineRule="auto"/>
        <w:ind w:left="28"/>
        <w:jc w:val="both"/>
      </w:pPr>
      <w:r w:rsidRPr="0012457E">
        <w:rPr>
          <w:rFonts w:ascii="Times New Roman" w:eastAsia="Cambria" w:hAnsi="Times New Roman" w:cs="Times New Roman"/>
          <w:b/>
          <w:i/>
          <w:spacing w:val="-2"/>
          <w:kern w:val="0"/>
          <w:lang w:val="en-US"/>
        </w:rPr>
        <w:t>Keywords:</w:t>
      </w:r>
      <w:r w:rsidRPr="0012457E">
        <w:rPr>
          <w:rFonts w:ascii="Times New Roman" w:eastAsia="Cambria" w:hAnsi="Times New Roman" w:cs="Times New Roman"/>
          <w:i/>
          <w:spacing w:val="-10"/>
          <w:kern w:val="0"/>
          <w:lang w:val="en-US"/>
        </w:rPr>
        <w:t xml:space="preserve"> </w:t>
      </w:r>
      <w:r w:rsidR="007103D4">
        <w:t>Pearl millet; genotype evaluation; grain yield; green fodder yield; dry matter yield; genetic variability; heritability; genetic advance; yield-contributing traits; semi-arid agriculture</w:t>
      </w:r>
    </w:p>
    <w:p w14:paraId="5A4134F4" w14:textId="6CD5B01D"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INTRODUCTION</w:t>
      </w:r>
    </w:p>
    <w:p w14:paraId="12995381"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rPr>
        <w:t>Pearl millet (</w:t>
      </w:r>
      <w:r w:rsidRPr="0012457E">
        <w:rPr>
          <w:rFonts w:ascii="Times New Roman" w:eastAsia="Times New Roman" w:hAnsi="Times New Roman"/>
          <w:i/>
        </w:rPr>
        <w:t>Pennisetum glaucum</w:t>
      </w:r>
      <w:r w:rsidRPr="0012457E">
        <w:rPr>
          <w:rFonts w:ascii="Times New Roman" w:eastAsia="Times New Roman" w:hAnsi="Times New Roman"/>
        </w:rPr>
        <w:t xml:space="preserve"> L.) is one of the most important cereal crops cultivated in the arid and semi-arid regions of Asia and Africa. It is widely grown under rainfed conditions because of its strong adaptability to drought, high temperatures, and low soil fertility. In India, pearl millet occupies a significant position among food and fodder crops and contributes substantially to the nutritional and livelihood security of resource-poor farmers. The crop is valued not only for grain production but also for its green fodder and dry matter yields, which are useful for livestock feeding. Pearl millet grain contains carbohydrates, proteins, minerals, iron, zinc, and dietary fibre, making it an important nutritional cereal for human consumption (Govindaraj et al., 2020; Yadav et al., 2021).</w:t>
      </w:r>
    </w:p>
    <w:p w14:paraId="1F252DB1"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b/>
        </w:rPr>
        <w:t>Recent evaluations of pearl millet germplasm and hybrids have demonstrated the importance of assessing agronomic, grain-yield, and fodder-related traits across environments when selecting promising breeding material (Gangashetty et al., 2023; Kandarkar et al., 2023; Puttamadanayaka et al., 2026).</w:t>
      </w:r>
    </w:p>
    <w:p w14:paraId="7056B11F"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rPr>
        <w:t xml:space="preserve">Improving grain and fodder yields is a major objective of pearl millet breeding programmes. Yield is a complex quantitative trait influenced by several morphological and physiological traits, such as flowering duration, tillering ability, plant height, leaf characteristics, panicle length, and grain weight. Therefore, evaluating genotypes for these traits is essential for identifying superior cultivars and understanding the extent of variability in the breeding material. Genetic variability provides opportunities for effective selection and the development of improved, high-yielding varieties (Kumari et al., 2018; </w:t>
      </w:r>
      <w:r w:rsidRPr="0012457E">
        <w:rPr>
          <w:rFonts w:ascii="Times New Roman" w:eastAsia="Times New Roman" w:hAnsi="Times New Roman"/>
        </w:rPr>
        <w:lastRenderedPageBreak/>
        <w:t>Singh &amp; Chaudhary, 2026).</w:t>
      </w:r>
    </w:p>
    <w:p w14:paraId="48D5D996"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b/>
        </w:rPr>
        <w:t>Recent genetic analyses in pearl millet have likewise shown that variability, heritability, and associations among yield-related traits can guide the identification of effective selection criteria and useful breeding material (Singh &amp; Chaudhary, 2026).</w:t>
      </w:r>
    </w:p>
    <w:p w14:paraId="4F093BEA"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rPr>
        <w:t>In recent years, the demand for dual-purpose pearl millet varieties combining high grain and fodder yields has increased considerably because of climate change and a shortage of quality fodder resources.</w:t>
      </w:r>
    </w:p>
    <w:p w14:paraId="304C537B"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Identifying promising genotypes with desirable agronomic traits can contribute to improving the productivity and sustainability of pearl millet cultivation. Therefore, systematic evaluation of available genetic resources is essential for developing superior cultivars suited to different environmental conditions and farming systems.</w:t>
      </w:r>
    </w:p>
    <w:p w14:paraId="7B2B567E"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b/>
        </w:rPr>
        <w:t>Furthermore, evaluation across contrasting environments is required to distinguish broadly stable material from genotypes with environment-specific performance (Jat et al., 2025).</w:t>
      </w:r>
    </w:p>
    <w:p w14:paraId="48A2248C"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Times New Roman" w:hAnsi="Times New Roman"/>
          <w:b/>
        </w:rPr>
        <w:t>RESEARCH GAP</w:t>
      </w:r>
    </w:p>
    <w:p w14:paraId="0F60E39B"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b/>
        </w:rPr>
        <w:t>However, information is limited on the comparative performance of these twelve pearl millet genotypes for grain yield, green fodder yield, and their component traits under the semi-arid conditions of Bundelkhand. This location-specific evidence is needed to identify promising material for subsequent breeding and wider evaluation.</w:t>
      </w:r>
    </w:p>
    <w:p w14:paraId="1308757F"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Times New Roman" w:hAnsi="Times New Roman"/>
          <w:b/>
        </w:rPr>
        <w:t>OBJECTIVE</w:t>
      </w:r>
    </w:p>
    <w:p w14:paraId="469047DA" w14:textId="77777777" w:rsidR="0002261B" w:rsidRPr="0012457E" w:rsidRDefault="00000000">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Times New Roman" w:hAnsi="Times New Roman"/>
        </w:rPr>
        <w:t>The present investigation was undertaken to evaluate twelve pearl millet genotypes for important growth, yield, and fodder-related traits. The study aimed to identify superior genotypes for further use in breeding programmes and evaluation under the agro-climatic conditions of the study area.</w:t>
      </w:r>
    </w:p>
    <w:p w14:paraId="2821514F" w14:textId="77777777" w:rsidR="00050384" w:rsidRPr="0012457E" w:rsidRDefault="00050384" w:rsidP="00050384">
      <w:pPr>
        <w:widowControl w:val="0"/>
        <w:autoSpaceDE w:val="0"/>
        <w:autoSpaceDN w:val="0"/>
        <w:spacing w:before="97" w:after="0" w:line="360" w:lineRule="auto"/>
        <w:ind w:left="28"/>
        <w:jc w:val="both"/>
        <w:rPr>
          <w:rFonts w:ascii="Times New Roman" w:eastAsia="Cambria" w:hAnsi="Times New Roman" w:cs="Times New Roman"/>
          <w:b/>
          <w:bCs/>
          <w:iCs/>
          <w:kern w:val="0"/>
        </w:rPr>
      </w:pPr>
      <w:r w:rsidRPr="0012457E">
        <w:rPr>
          <w:rFonts w:ascii="Times New Roman" w:eastAsia="Cambria" w:hAnsi="Times New Roman" w:cs="Times New Roman"/>
          <w:b/>
          <w:bCs/>
          <w:iCs/>
          <w:kern w:val="0"/>
        </w:rPr>
        <w:t>Materials and Methods</w:t>
      </w:r>
    </w:p>
    <w:p w14:paraId="213918BF" w14:textId="77777777" w:rsidR="00050384" w:rsidRPr="0012457E" w:rsidRDefault="00050384" w:rsidP="00050384">
      <w:pPr>
        <w:widowControl w:val="0"/>
        <w:autoSpaceDE w:val="0"/>
        <w:autoSpaceDN w:val="0"/>
        <w:spacing w:before="97" w:after="0" w:line="360" w:lineRule="auto"/>
        <w:ind w:left="28"/>
        <w:jc w:val="both"/>
        <w:rPr>
          <w:rFonts w:ascii="Times New Roman" w:eastAsia="Cambria" w:hAnsi="Times New Roman" w:cs="Times New Roman"/>
          <w:iCs/>
          <w:kern w:val="0"/>
        </w:rPr>
      </w:pPr>
      <w:r w:rsidRPr="0012457E">
        <w:rPr>
          <w:rFonts w:ascii="Times New Roman" w:eastAsia="Cambria" w:hAnsi="Times New Roman" w:cs="Times New Roman"/>
          <w:iCs/>
          <w:kern w:val="0"/>
        </w:rPr>
        <w:t>The present investigation was conducted during the kharif season of 2025 at the Rainfed Agriculture Farm, Narayan Bagh, Department of Genetics and Plant Breeding, Institute of Agricultural Sciences, Bundelkhand University, Jhansi, Uttar Pradesh, India.</w:t>
      </w:r>
    </w:p>
    <w:p w14:paraId="26771115" w14:textId="77777777" w:rsidR="00DC429E" w:rsidRPr="0012457E" w:rsidRDefault="00050384" w:rsidP="008A7274">
      <w:pPr>
        <w:widowControl w:val="0"/>
        <w:autoSpaceDE w:val="0"/>
        <w:autoSpaceDN w:val="0"/>
        <w:spacing w:before="97" w:after="0" w:line="360" w:lineRule="auto"/>
        <w:ind w:left="28"/>
        <w:jc w:val="both"/>
        <w:rPr>
          <w:rFonts w:ascii="Times New Roman" w:eastAsia="Cambria" w:hAnsi="Times New Roman" w:cs="Times New Roman"/>
          <w:iCs/>
          <w:kern w:val="0"/>
        </w:rPr>
      </w:pPr>
      <w:r w:rsidRPr="0012457E">
        <w:rPr>
          <w:rFonts w:ascii="Times New Roman" w:eastAsia="Cambria" w:hAnsi="Times New Roman" w:cs="Times New Roman"/>
          <w:iCs/>
          <w:kern w:val="0"/>
        </w:rPr>
        <w:t>The experimental site is located in the Bundelkhand region of Uttar Pradesh at approximately 25.45° N latitude and 78.58° E longitude, at an altitude of about 285 m above mean sea level. The region has a semi-arid climate characterised by hot summers, moderate monsoon rainfall, and mild winters. The experimental soil was sandy loam, slightly alkaline (pH 7.4–7.8), with low available nitrogen, medium available phosphorus, and medium to high available potassium. The experiment was laid out in a randomised block design (RBD) with three replications and comprised twelve pearl millet genotypes. Each genotype was grown in a single 4.0 m row, with 45 cm between rows and 15 cm between plants after thinning. Seed material of the twelve genotypes was obtained from the Department of Genetics and Plant Breeding, Bundelkhand University, Jhansi. Sowing was carried out on 25 July 2025, and the crop was harvested at physiological maturity on 2 November 2025. A recommended fertiliser dose of 80:40:40 kg N:P₂O₅:K₂O ha⁻¹ was applied. Half of the nitrogen and the full doses of phosphorus and potassium were applied as basal fertiliser, while the remaining nitrogen was top-dressed approximately 30 days after sowing. Standard agronomic practices, including interculture, weed control, and plant protection measures, were followed uniformly throughout the crop growth period.</w:t>
      </w:r>
    </w:p>
    <w:p w14:paraId="40D72739"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genotypes were sourced from different breeding programmes and evaluated for yield and yield-contributing traits.</w:t>
      </w:r>
    </w:p>
    <w:p w14:paraId="19089252"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lastRenderedPageBreak/>
        <w:t>Recommended agronomic practices were followed throughout the crop growth period to maintain a healthy crop stand. Intercultural operations, irrigation as required, weed management, and plant protection measures were applied uniformly to all entries.</w:t>
      </w:r>
    </w:p>
    <w:p w14:paraId="78E21ABE"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p>
    <w:p w14:paraId="1528EBC1"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Observations were recorded on five randomly selected competitive plants from each plot in each replication, and the mean values were used for statistical analysis. Data were recorded for the following ten quantitative traits:</w:t>
      </w:r>
    </w:p>
    <w:p w14:paraId="5DE900FC"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Days to 50% Flowering</w:t>
      </w:r>
    </w:p>
    <w:p w14:paraId="4ED7B463"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number of days from sowing until approximately 50% of the plants in a plot had flowered was recorded.</w:t>
      </w:r>
    </w:p>
    <w:p w14:paraId="443028EF"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Plant Height (cm)</w:t>
      </w:r>
    </w:p>
    <w:p w14:paraId="069F330B"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Plant height was measured from the ground surface to the tip of the panicle at physiological maturity and expressed in centimetres.</w:t>
      </w:r>
    </w:p>
    <w:p w14:paraId="2475D4C9"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Number of Tillers per Plant</w:t>
      </w:r>
    </w:p>
    <w:p w14:paraId="5770E7CD"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total number of productive tillers produced by each selected plant at maturity was counted and averaged.</w:t>
      </w:r>
    </w:p>
    <w:p w14:paraId="217999F0"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Leaf Length (cm)</w:t>
      </w:r>
    </w:p>
    <w:p w14:paraId="51134655"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Leaf length was measured in centimetres from the base of the leaf blade to the tip of the fully expanded flag leaf using a measuring scale.</w:t>
      </w:r>
    </w:p>
    <w:p w14:paraId="6B7E02EB"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Leaf Width (cm)</w:t>
      </w:r>
    </w:p>
    <w:p w14:paraId="5C42DB9E"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Leaf width was measured at the broadest part of the fully expanded flag leaf and expressed in centimetres.</w:t>
      </w:r>
    </w:p>
    <w:p w14:paraId="0BF02C1F"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Panicle Length (cm)</w:t>
      </w:r>
    </w:p>
    <w:p w14:paraId="17D94E12"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Panicle length was measured from the base to the tip of the panicle after maturity and expressed in centimetres.</w:t>
      </w:r>
    </w:p>
    <w:p w14:paraId="0694D3D9"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Grain Yield per Plant (g)</w:t>
      </w:r>
    </w:p>
    <w:p w14:paraId="168FCE01"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After harvesting and threshing, the grain obtained from each selected plant was weighed and expressed in grams.</w:t>
      </w:r>
    </w:p>
    <w:p w14:paraId="25DEA93F"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Dry Matter Yield per Plant (g)</w:t>
      </w:r>
    </w:p>
    <w:p w14:paraId="6A0FA828"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harvested plant samples were sun-dried and subsequently oven-dried to a constant weight. Dry matter yield per plant was recorded in grams.</w:t>
      </w:r>
    </w:p>
    <w:p w14:paraId="75B2F14D"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1000-Grain Weight (g)</w:t>
      </w:r>
    </w:p>
    <w:p w14:paraId="6CE010F4"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 xml:space="preserve">A random sample of 1000 well-filled grains from each genotype </w:t>
      </w:r>
      <w:proofErr w:type="gramStart"/>
      <w:r w:rsidRPr="0012457E">
        <w:rPr>
          <w:rFonts w:ascii="Times New Roman" w:eastAsia="Cambria" w:hAnsi="Times New Roman" w:cs="Times New Roman"/>
          <w:iCs/>
          <w:kern w:val="0"/>
          <w:lang w:val="en-US"/>
        </w:rPr>
        <w:t>was</w:t>
      </w:r>
      <w:proofErr w:type="gramEnd"/>
      <w:r w:rsidRPr="0012457E">
        <w:rPr>
          <w:rFonts w:ascii="Times New Roman" w:eastAsia="Cambria" w:hAnsi="Times New Roman" w:cs="Times New Roman"/>
          <w:iCs/>
          <w:kern w:val="0"/>
          <w:lang w:val="en-US"/>
        </w:rPr>
        <w:t xml:space="preserve"> counted and weighed using a precision balance. The weight was expressed in grams.</w:t>
      </w:r>
    </w:p>
    <w:p w14:paraId="6AF755C0"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Green Fodder Yield per Plant (g)</w:t>
      </w:r>
    </w:p>
    <w:p w14:paraId="2DA1A35B"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fresh biomass obtained from each selected plant at harvest was weighed immediately after cutting and expressed in grams.</w:t>
      </w:r>
    </w:p>
    <w:p w14:paraId="2D04B699"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 xml:space="preserve">The mean data obtained for all observations were subjected to statistical analysis. Analysis of variance (ANOVA) was performed according to the procedure described by Panse and Sukhatme (1985) for a randomised block design to test the </w:t>
      </w:r>
      <w:r w:rsidRPr="0012457E">
        <w:rPr>
          <w:rFonts w:ascii="Times New Roman" w:eastAsia="Cambria" w:hAnsi="Times New Roman" w:cs="Times New Roman"/>
          <w:iCs/>
          <w:kern w:val="0"/>
          <w:lang w:val="en-US"/>
        </w:rPr>
        <w:lastRenderedPageBreak/>
        <w:t>significance of differences among genotypes.</w:t>
      </w:r>
    </w:p>
    <w:p w14:paraId="28DDCB93" w14:textId="77777777" w:rsidR="00DC429E" w:rsidRPr="0012457E" w:rsidRDefault="00DC429E" w:rsidP="00744658">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genotypic coefficient of variation (GCV) and phenotypic coefficient of variation (PCV) were estimated following Burton and DeVane (1953). Broad-sense heritability was calculated according to Hanson et al. (1956), while genetic advance as a percentage of the mean was estimated using the method suggested by Johnson et al. (1955).</w:t>
      </w:r>
    </w:p>
    <w:p w14:paraId="5FD77E86" w14:textId="77777777" w:rsidR="00744658" w:rsidRPr="0012457E" w:rsidRDefault="00744658" w:rsidP="00744658">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RESULTS AND DI</w:t>
      </w:r>
      <w:r w:rsidR="00BB1BBE" w:rsidRPr="0012457E">
        <w:rPr>
          <w:rFonts w:ascii="Times New Roman" w:eastAsia="Cambria" w:hAnsi="Times New Roman" w:cs="Times New Roman"/>
          <w:b/>
          <w:bCs/>
          <w:iCs/>
          <w:kern w:val="0"/>
          <w:lang w:val="en-US"/>
        </w:rPr>
        <w:t>SCUSSION</w:t>
      </w:r>
    </w:p>
    <w:p w14:paraId="691DB664"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mean performance of the twelve pearl millet genotypes for ten quantitative traits is presented in Table 2. Considerable variability was observed among the genotypes for all the traits studied, indicating potentially useful diversity for breeding programmes.</w:t>
      </w:r>
    </w:p>
    <w:p w14:paraId="33EB00C2"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Days to 50% Flowering</w:t>
      </w:r>
    </w:p>
    <w:p w14:paraId="5988D191"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Days to 50% flowering ranged from 61.33 days in NMH-68 to 80.00 days in HHB-223, with an overall mean of 68.98 days. NMH-68, GHB-732, and Nandi-61 were identified as early-flowering entries, whereas HHB-223 and Bio-448 were relatively late flowering. Earliness may be advantageous under rainfed conditions because it can help plants avoid terminal drought stress. Comparable variability in flowering and maturity-related traits has been reported in pearl millet genotypes and hybrids (Anuradha et al., 2017; Kandarkar et al., 2023; Sumathi &amp; Revathi, 2017).</w:t>
      </w:r>
    </w:p>
    <w:p w14:paraId="70DC7F44"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Plant Height (cm)</w:t>
      </w:r>
    </w:p>
    <w:p w14:paraId="560B3A81"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Plant height varied considerably among the genotypes, ranging from 193.83 cm in HHB-223 to 285.95 cm in MP-7792. MP-7792 was the tallest genotype, followed by GHB-732 and JBH-1. Greater plant height may contribute to increased biomass production and green fodder yield. Substantial variation in plant height has also been reported in pearl millet germplasm and varieties (Sanjana Reddy et al., 2021; Sumathi &amp; Revathi, 2017; Yadav et al., 2021).</w:t>
      </w:r>
    </w:p>
    <w:p w14:paraId="07D048CC"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Number of Tillers per Plant</w:t>
      </w:r>
    </w:p>
    <w:p w14:paraId="5C857D18"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number of tillers per plant ranged from 2.90 in NMH-68 to 3.64 in Bio-448, with a mean of 3.22. Bio-448, JHBH-676, and GHB-732 recorded greater tillering ability. Productive tillers contribute to grain and fodder yield by increasing reproductive shoots and biomass. Similar variation in tiller number has been reported in pearl millet (Sanjana Reddy et al., 2021; Thomas et al., 2018).</w:t>
      </w:r>
    </w:p>
    <w:p w14:paraId="081CEA66"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Leaf Length and Leaf Width</w:t>
      </w:r>
    </w:p>
    <w:p w14:paraId="5858F503"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Leaf length ranged from 41.48 cm in M-86 to 73.58 cm in JBH-1, while leaf width ranged from 2.15 cm in NMH-68 to 3.84 cm in Pusa-322. JBH-1 recorded the greatest leaf length, whereas Pusa-322 recorded the greatest leaf width. Larger leaves increase the photosynthetic surface area and may support biomass accumulation and fodder productivity. Considerable variability in leaf traits has also been reported among fodder pearl millet genotypes (Puttamadanayaka et al., 2026; Thomas et al., 2018).</w:t>
      </w:r>
    </w:p>
    <w:p w14:paraId="67BC6980"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Panicle Length (cm)</w:t>
      </w:r>
    </w:p>
    <w:p w14:paraId="4228458B"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Panicle length varied widely among the genotypes, ranging from 31.42 cm in KBH-3940 to 56.90 cm in Nandi-61, with an overall mean of 46.75 cm. Nandi-61, NMH-68, and JBH-1 recorded comparatively longer panicles. Panicle length is an important yield-related trait because it may influence the number of grains produced per panicle. Similar variation in panicle length has been reported in pearl millet (Sanjana Reddy et al., 2021; Sumathi &amp; Revathi, 2017).</w:t>
      </w:r>
    </w:p>
    <w:p w14:paraId="1E00AA82"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lastRenderedPageBreak/>
        <w:t>Grain Yield per Plant (g)</w:t>
      </w:r>
    </w:p>
    <w:p w14:paraId="1A99FBDF"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Grain yield per plant ranged from 9.55 g in M-86 to 18.05 g in GHB-732, with an average of 14.30 g. The highest grain yield was recorded in GHB-732, followed by JHBH-676, KBH-3940, and Bio-448. The higher grain yield of these genotypes may reflect the combined effects of favourable yield-contributing traits, including productive tillers, leaf dimensions, and biomass production. Comparable associations among grain yield and component traits have been reported in pearl millet (Kandarkar et al., 2023; Sanjana Reddy et al., 2021).</w:t>
      </w:r>
    </w:p>
    <w:p w14:paraId="206047CC"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Dry Matter Yield per Plant (g)</w:t>
      </w:r>
    </w:p>
    <w:p w14:paraId="28AF0FEA"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Dry matter yield ranged from 52.40 g in MP-7792 to 76.44 g in Bio-448, with a mean of 64.82 g. Bio-448, KBH-3940, and JBH-1 produced comparatively higher dry matter yields than the remaining entries. Dry matter yield is an important indicator of biomass production, and genotypes with higher dry matter accumulation may be useful in forage improvement programmes. Similar variation has been reported in fodder pearl millet germplasm (Puttamadanayaka et al., 2026; Thomas et al., 2018).</w:t>
      </w:r>
    </w:p>
    <w:p w14:paraId="5F023D54"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1000-Grain Weight (g)</w:t>
      </w:r>
    </w:p>
    <w:p w14:paraId="73F797A1"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1000-grain weight ranged from 6.25 g in HHB-197 to 8.76 g in KBH-3940, with an overall mean of 7.45 g. The highest value was recorded in KBH-3940, followed by GHB-732 and Bio-448. The 1000-grain weight reflects grain size and is an important selection criterion for yield improvement. Similar variation in grain weight has been reported in pearl millet (Sanjana Reddy et al., 2021; Sumathi &amp; Revathi, 2017).</w:t>
      </w:r>
    </w:p>
    <w:p w14:paraId="7C80ECB4"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rPr>
      </w:pPr>
      <w:r w:rsidRPr="0012457E">
        <w:rPr>
          <w:rFonts w:ascii="Times New Roman" w:eastAsia="Cambria" w:hAnsi="Times New Roman" w:cs="Times New Roman"/>
          <w:b/>
          <w:bCs/>
          <w:iCs/>
          <w:kern w:val="0"/>
          <w:lang w:val="en-US"/>
        </w:rPr>
        <w:t>Green Fodder Yield per Plant (g)</w:t>
      </w:r>
    </w:p>
    <w:p w14:paraId="7905A0E9"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Green fodder yield per plant ranged from 200.50 g in M-86 to 383.60 g in Bio-448, with an overall mean of 302.67 g. Bio-448 produced the highest green fodder yield, followed by KBH-3940, JHBH-676, and HHB-223. The comparatively high fodder yields of these genotypes may be associated with favourable plant height, tillering ability, leaf size, and dry matter accumulation. These entries warrant further evaluation for possible use in fodder improvement programmes. Comparable variability in green fodder yield and associated traits has been reported in pearl millet (Puttamadanayaka et al., 2026; Thomas et al., 2018).</w:t>
      </w:r>
    </w:p>
    <w:p w14:paraId="67FAFDA8"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ranges observed for the studied traits indicated substantial variability among the evaluated genotypes. Analysis of variance (Table 1) showed highly significant differences among genotypes for all ten traits, indicating that the material contained potentially useful diversity for selection. The observed variation may reflect differences in genetic constitution and responses to the prevailing agro-climatic conditions.</w:t>
      </w:r>
    </w:p>
    <w:p w14:paraId="22E20F58"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Earliness is an important adaptive trait in pearl millet, particularly in rainfed and drought-prone environments where terminal moisture stress can limit productivity. In this study, NMH-68, GHB-732, and Nandi-61 flowered earlier than the other entries, suggesting their potential for further evaluation under moisture-deficit conditions. Significant variation was also observed for plant height, tiller number, leaf size, and panicle length, which are associated with biomass production and yield. Bio-448, GHB-732, JBH-1, and JHBH-676 performed favourably for several yield-related traits. Genotypes with higher grain yield also showed favourable performance for one or more component traits, including productive tillers, leaf dimensions, and biomass production. Dry matter yield also varied among genotypes, indicating differences in biomass accumulation.</w:t>
      </w:r>
    </w:p>
    <w:p w14:paraId="5573595E"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lastRenderedPageBreak/>
        <w:t>Green fodder yield varied widely among the evaluated genotypes. Bio-448, KBH-3940, and JHBH-676 recorded comparatively high values under Bundelkhand conditions. Their performance was associated with favourable combinations of plant height, tillering capacity, leaf dimensions, and dry matter accumulation. The observed variability provides scope for selecting promising genotypes; however, the identified entries require multilocation and multiseason evaluation before broader recommendation. They may also be considered as potential parents in hybridisation programmes for developing dual-purpose pearl millet cultivars adapted to semi-arid environments.</w:t>
      </w:r>
    </w:p>
    <w:p w14:paraId="4538400B" w14:textId="77777777" w:rsidR="00BB1BBE" w:rsidRPr="0012457E" w:rsidRDefault="00BB1BBE" w:rsidP="00BB1BBE">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As shown in Table 3, grain yield per plant exhibited the highest PCV (20.70%) and GCV (20.36%), indicating substantial genetic variability with limited environmental influence. High heritability (96.66%) coupled with high genetic advance as a percentage of the mean (41.23%) suggests that additive gene effects may contribute substantially to the expression of this trait and that phenotypic selection may be effective. Panicle length also recorded high heritability (95.88%) and high GAM (38.05%), while plant height showed high heritability (74.39%) and high genetic advance (32.38%), indicating potential responsiveness to selection.</w:t>
      </w:r>
    </w:p>
    <w:p w14:paraId="19FDB81F" w14:textId="77777777" w:rsidR="00BB1BBE" w:rsidRPr="0012457E" w:rsidRDefault="00BB1BBE" w:rsidP="00BB1BBE">
      <w:pPr>
        <w:widowControl w:val="0"/>
        <w:autoSpaceDE w:val="0"/>
        <w:autoSpaceDN w:val="0"/>
        <w:spacing w:before="97" w:after="0" w:line="360" w:lineRule="auto"/>
        <w:ind w:left="28"/>
        <w:jc w:val="both"/>
        <w:rPr>
          <w:rFonts w:ascii="Times New Roman" w:eastAsia="Cambria" w:hAnsi="Times New Roman" w:cs="Times New Roman"/>
          <w:iCs/>
          <w:kern w:val="0"/>
          <w:lang w:val="en-US"/>
        </w:rPr>
      </w:pPr>
    </w:p>
    <w:p w14:paraId="358D33BC" w14:textId="77777777" w:rsidR="00BB1BBE" w:rsidRPr="0012457E" w:rsidRDefault="00BB1BBE" w:rsidP="00BB1BBE">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Moderate to high GCV and PCV values were observed for dry matter yield per plant, leaf length, number of tillers per plant, and green fodder yield per plant, indicating variability that may be useful for genetic improvement. The narrow differences between PCV and GCV for most traits suggested comparatively limited environmental influence on their expression.</w:t>
      </w:r>
    </w:p>
    <w:p w14:paraId="05068F2A" w14:textId="77777777" w:rsidR="00BB1BBE" w:rsidRPr="0012457E" w:rsidRDefault="00BB1BBE" w:rsidP="00BB1BBE">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 xml:space="preserve">Days to 50% flowering, leaf width, and 1000-grain weight exhibited comparatively lower GCV and PCV values. However, these traits showed moderate to high heritability, indicating that phenotypic selection may still be effective under appropriate breeding strategies. The combination of high heritability and high genetic advance observed for grain yield per plant, panicle length, plant height, and dry matter yield per plant suggests that additive gene effects may contribute to the inheritance of these traits. Therefore, these traits may be considered as selection criteria for pearl millet improvement. Comparable interpretations of variability, heritability, and genetic advance have been reported previously (Burton &amp; DeVane, 1953; Johnson et al., </w:t>
      </w:r>
      <w:r w:rsidRPr="0012457E">
        <w:rPr>
          <w:rFonts w:ascii="Times New Roman" w:eastAsia="Cambria" w:hAnsi="Times New Roman" w:cs="Times New Roman"/>
          <w:iCs/>
          <w:kern w:val="0"/>
          <w:lang w:val="nl-BE"/>
        </w:rPr>
        <w:t>1955; Singh &amp; Chaudhary, 2026; Thomas et al., 2018</w:t>
      </w:r>
      <w:r w:rsidRPr="0012457E">
        <w:rPr>
          <w:rFonts w:ascii="Times New Roman" w:eastAsia="Cambria" w:hAnsi="Times New Roman" w:cs="Times New Roman"/>
          <w:iCs/>
          <w:kern w:val="0"/>
          <w:lang w:val="en-US"/>
        </w:rPr>
        <w:t>).</w:t>
      </w:r>
    </w:p>
    <w:p w14:paraId="67AEE5E5"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r w:rsidRPr="0012457E">
        <w:rPr>
          <w:rFonts w:ascii="Times New Roman" w:eastAsia="Cambria" w:hAnsi="Times New Roman" w:cs="Times New Roman"/>
          <w:iCs/>
          <w:kern w:val="0"/>
          <w:lang w:val="en-US"/>
        </w:rPr>
        <w:t>The results demonstrate substantial variability among the evaluated pearl millet genotypes for economically important traits. Systematic selection based on flowering behaviour, tillering ability, leaf characteristics, biomass production, and grain yield may support the development of pearl millet cultivars with improved grain and fodder productivity.</w:t>
      </w:r>
    </w:p>
    <w:p w14:paraId="3BB65F67"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pPr>
    </w:p>
    <w:p w14:paraId="5E76CAC2" w14:textId="77777777" w:rsidR="00A93C66" w:rsidRPr="0012457E" w:rsidRDefault="00A93C66" w:rsidP="00A93C66">
      <w:pPr>
        <w:spacing w:before="100" w:beforeAutospacing="1" w:after="100" w:afterAutospacing="1"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b/>
          <w:bCs/>
          <w:kern w:val="0"/>
          <w:sz w:val="24"/>
          <w:szCs w:val="24"/>
          <w:lang w:eastAsia="en-IN"/>
        </w:rPr>
        <w:t>Table 1. Analysis of Variance (ANOVA) for Ten Quantitative Traits in Pearl Millet (</w:t>
      </w:r>
      <w:r w:rsidRPr="0012457E">
        <w:rPr>
          <w:rFonts w:ascii="Times New Roman" w:eastAsia="Times New Roman" w:hAnsi="Times New Roman" w:cs="Times New Roman"/>
          <w:b/>
          <w:bCs/>
          <w:i/>
          <w:iCs/>
          <w:kern w:val="0"/>
          <w:sz w:val="24"/>
          <w:szCs w:val="24"/>
          <w:lang w:eastAsia="en-IN"/>
        </w:rPr>
        <w:t>Pennisetum glaucum</w:t>
      </w:r>
      <w:r w:rsidRPr="0012457E">
        <w:rPr>
          <w:rFonts w:ascii="Times New Roman" w:eastAsia="Times New Roman" w:hAnsi="Times New Roman" w:cs="Times New Roman"/>
          <w:b/>
          <w:bCs/>
          <w:kern w:val="0"/>
          <w:sz w:val="24"/>
          <w:szCs w:val="24"/>
          <w:lang w:eastAsia="en-IN"/>
        </w:rPr>
        <w:t xml:space="preserve"> (L.) R. Br.) Evaluated under a Randomized Block Design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1"/>
        <w:gridCol w:w="1814"/>
        <w:gridCol w:w="1733"/>
        <w:gridCol w:w="1240"/>
        <w:gridCol w:w="662"/>
      </w:tblGrid>
      <w:tr w:rsidR="00A93C66" w:rsidRPr="0012457E" w14:paraId="040D979B" w14:textId="77777777">
        <w:trPr>
          <w:tblCellSpacing w:w="15" w:type="dxa"/>
        </w:trPr>
        <w:tc>
          <w:tcPr>
            <w:tcW w:w="0" w:type="auto"/>
            <w:vAlign w:val="center"/>
            <w:hideMark/>
          </w:tcPr>
          <w:p w14:paraId="0E4D543D" w14:textId="77777777" w:rsidR="00A93C66" w:rsidRPr="0012457E" w:rsidRDefault="00A93C66" w:rsidP="00A93C66">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Trait</w:t>
            </w:r>
          </w:p>
        </w:tc>
        <w:tc>
          <w:tcPr>
            <w:tcW w:w="0" w:type="auto"/>
            <w:vAlign w:val="center"/>
            <w:hideMark/>
          </w:tcPr>
          <w:p w14:paraId="47A560E1" w14:textId="77777777" w:rsidR="00A93C66" w:rsidRPr="0012457E" w:rsidRDefault="00A93C66" w:rsidP="00A93C66">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Replication (MS)</w:t>
            </w:r>
          </w:p>
        </w:tc>
        <w:tc>
          <w:tcPr>
            <w:tcW w:w="0" w:type="auto"/>
            <w:vAlign w:val="center"/>
            <w:hideMark/>
          </w:tcPr>
          <w:p w14:paraId="2E8284D6" w14:textId="77777777" w:rsidR="00A93C66" w:rsidRPr="0012457E" w:rsidRDefault="00A93C66" w:rsidP="00A93C66">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Treatment (MS)</w:t>
            </w:r>
          </w:p>
        </w:tc>
        <w:tc>
          <w:tcPr>
            <w:tcW w:w="0" w:type="auto"/>
            <w:vAlign w:val="center"/>
            <w:hideMark/>
          </w:tcPr>
          <w:p w14:paraId="602ECB33" w14:textId="77777777" w:rsidR="00A93C66" w:rsidRPr="0012457E" w:rsidRDefault="00A93C66" w:rsidP="00A93C66">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Error (MS)</w:t>
            </w:r>
          </w:p>
        </w:tc>
        <w:tc>
          <w:tcPr>
            <w:tcW w:w="0" w:type="auto"/>
            <w:vAlign w:val="center"/>
            <w:hideMark/>
          </w:tcPr>
          <w:p w14:paraId="7E364BF9" w14:textId="77777777" w:rsidR="00A93C66" w:rsidRPr="0012457E" w:rsidRDefault="00A93C66" w:rsidP="00A93C66">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F-test</w:t>
            </w:r>
          </w:p>
        </w:tc>
      </w:tr>
      <w:tr w:rsidR="00A93C66" w:rsidRPr="0012457E" w14:paraId="23AA3308" w14:textId="77777777">
        <w:trPr>
          <w:tblCellSpacing w:w="15" w:type="dxa"/>
        </w:trPr>
        <w:tc>
          <w:tcPr>
            <w:tcW w:w="0" w:type="auto"/>
            <w:vAlign w:val="center"/>
            <w:hideMark/>
          </w:tcPr>
          <w:p w14:paraId="187DCA6F"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Days to 50% flowering</w:t>
            </w:r>
          </w:p>
        </w:tc>
        <w:tc>
          <w:tcPr>
            <w:tcW w:w="0" w:type="auto"/>
            <w:vAlign w:val="center"/>
            <w:hideMark/>
          </w:tcPr>
          <w:p w14:paraId="2CCBD5D9"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0.592</w:t>
            </w:r>
          </w:p>
        </w:tc>
        <w:tc>
          <w:tcPr>
            <w:tcW w:w="0" w:type="auto"/>
            <w:vAlign w:val="center"/>
            <w:hideMark/>
          </w:tcPr>
          <w:p w14:paraId="22D7B149"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80.913</w:t>
            </w:r>
          </w:p>
        </w:tc>
        <w:tc>
          <w:tcPr>
            <w:tcW w:w="0" w:type="auto"/>
            <w:vAlign w:val="center"/>
            <w:hideMark/>
          </w:tcPr>
          <w:p w14:paraId="47B913FD"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6.440</w:t>
            </w:r>
          </w:p>
        </w:tc>
        <w:tc>
          <w:tcPr>
            <w:tcW w:w="0" w:type="auto"/>
            <w:vAlign w:val="center"/>
            <w:hideMark/>
          </w:tcPr>
          <w:p w14:paraId="22409BEA"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2FCFB062" w14:textId="77777777">
        <w:trPr>
          <w:tblCellSpacing w:w="15" w:type="dxa"/>
        </w:trPr>
        <w:tc>
          <w:tcPr>
            <w:tcW w:w="0" w:type="auto"/>
            <w:vAlign w:val="center"/>
            <w:hideMark/>
          </w:tcPr>
          <w:p w14:paraId="53747746"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Tillers plant⁻¹</w:t>
            </w:r>
          </w:p>
        </w:tc>
        <w:tc>
          <w:tcPr>
            <w:tcW w:w="0" w:type="auto"/>
            <w:vAlign w:val="center"/>
            <w:hideMark/>
          </w:tcPr>
          <w:p w14:paraId="36108934"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0.322</w:t>
            </w:r>
          </w:p>
        </w:tc>
        <w:tc>
          <w:tcPr>
            <w:tcW w:w="0" w:type="auto"/>
            <w:vAlign w:val="center"/>
            <w:hideMark/>
          </w:tcPr>
          <w:p w14:paraId="336C6263"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0.625</w:t>
            </w:r>
          </w:p>
        </w:tc>
        <w:tc>
          <w:tcPr>
            <w:tcW w:w="0" w:type="auto"/>
            <w:vAlign w:val="center"/>
            <w:hideMark/>
          </w:tcPr>
          <w:p w14:paraId="60074947"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0.090</w:t>
            </w:r>
          </w:p>
        </w:tc>
        <w:tc>
          <w:tcPr>
            <w:tcW w:w="0" w:type="auto"/>
            <w:vAlign w:val="center"/>
            <w:hideMark/>
          </w:tcPr>
          <w:p w14:paraId="1293166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68F9B664" w14:textId="77777777">
        <w:trPr>
          <w:tblCellSpacing w:w="15" w:type="dxa"/>
        </w:trPr>
        <w:tc>
          <w:tcPr>
            <w:tcW w:w="0" w:type="auto"/>
            <w:vAlign w:val="center"/>
            <w:hideMark/>
          </w:tcPr>
          <w:p w14:paraId="4DAE6B34"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Leaf length (cm)</w:t>
            </w:r>
          </w:p>
        </w:tc>
        <w:tc>
          <w:tcPr>
            <w:tcW w:w="0" w:type="auto"/>
            <w:vAlign w:val="center"/>
            <w:hideMark/>
          </w:tcPr>
          <w:p w14:paraId="37538E4C"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96.401</w:t>
            </w:r>
          </w:p>
        </w:tc>
        <w:tc>
          <w:tcPr>
            <w:tcW w:w="0" w:type="auto"/>
            <w:vAlign w:val="center"/>
            <w:hideMark/>
          </w:tcPr>
          <w:p w14:paraId="1B86BC5F"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198.680</w:t>
            </w:r>
          </w:p>
        </w:tc>
        <w:tc>
          <w:tcPr>
            <w:tcW w:w="0" w:type="auto"/>
            <w:vAlign w:val="center"/>
            <w:hideMark/>
          </w:tcPr>
          <w:p w14:paraId="1AF55C49"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19.223</w:t>
            </w:r>
          </w:p>
        </w:tc>
        <w:tc>
          <w:tcPr>
            <w:tcW w:w="0" w:type="auto"/>
            <w:vAlign w:val="center"/>
            <w:hideMark/>
          </w:tcPr>
          <w:p w14:paraId="51E212D7"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4F3ED967" w14:textId="77777777">
        <w:trPr>
          <w:tblCellSpacing w:w="15" w:type="dxa"/>
        </w:trPr>
        <w:tc>
          <w:tcPr>
            <w:tcW w:w="0" w:type="auto"/>
            <w:vAlign w:val="center"/>
            <w:hideMark/>
          </w:tcPr>
          <w:p w14:paraId="4ED716EF"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Leaf width (cm)</w:t>
            </w:r>
          </w:p>
        </w:tc>
        <w:tc>
          <w:tcPr>
            <w:tcW w:w="0" w:type="auto"/>
            <w:vAlign w:val="center"/>
            <w:hideMark/>
          </w:tcPr>
          <w:p w14:paraId="2C97AB4A"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0.076</w:t>
            </w:r>
          </w:p>
        </w:tc>
        <w:tc>
          <w:tcPr>
            <w:tcW w:w="0" w:type="auto"/>
            <w:vAlign w:val="center"/>
            <w:hideMark/>
          </w:tcPr>
          <w:p w14:paraId="5192EEE7"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0.375</w:t>
            </w:r>
          </w:p>
        </w:tc>
        <w:tc>
          <w:tcPr>
            <w:tcW w:w="0" w:type="auto"/>
            <w:vAlign w:val="center"/>
            <w:hideMark/>
          </w:tcPr>
          <w:p w14:paraId="0CE3F687"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0.029</w:t>
            </w:r>
          </w:p>
        </w:tc>
        <w:tc>
          <w:tcPr>
            <w:tcW w:w="0" w:type="auto"/>
            <w:vAlign w:val="center"/>
            <w:hideMark/>
          </w:tcPr>
          <w:p w14:paraId="20754E05"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22E601DB" w14:textId="77777777">
        <w:trPr>
          <w:tblCellSpacing w:w="15" w:type="dxa"/>
        </w:trPr>
        <w:tc>
          <w:tcPr>
            <w:tcW w:w="0" w:type="auto"/>
            <w:vAlign w:val="center"/>
            <w:hideMark/>
          </w:tcPr>
          <w:p w14:paraId="3927181D"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Grain yield plant⁻¹ (g)</w:t>
            </w:r>
          </w:p>
        </w:tc>
        <w:tc>
          <w:tcPr>
            <w:tcW w:w="0" w:type="auto"/>
            <w:vAlign w:val="center"/>
            <w:hideMark/>
          </w:tcPr>
          <w:p w14:paraId="2BD4E641"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0.085</w:t>
            </w:r>
          </w:p>
        </w:tc>
        <w:tc>
          <w:tcPr>
            <w:tcW w:w="0" w:type="auto"/>
            <w:vAlign w:val="center"/>
            <w:hideMark/>
          </w:tcPr>
          <w:p w14:paraId="21921DA9"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25.703</w:t>
            </w:r>
          </w:p>
        </w:tc>
        <w:tc>
          <w:tcPr>
            <w:tcW w:w="0" w:type="auto"/>
            <w:vAlign w:val="center"/>
            <w:hideMark/>
          </w:tcPr>
          <w:p w14:paraId="7D88B242"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0.291</w:t>
            </w:r>
          </w:p>
        </w:tc>
        <w:tc>
          <w:tcPr>
            <w:tcW w:w="0" w:type="auto"/>
            <w:vAlign w:val="center"/>
            <w:hideMark/>
          </w:tcPr>
          <w:p w14:paraId="002B9454"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456B0414" w14:textId="77777777">
        <w:trPr>
          <w:tblCellSpacing w:w="15" w:type="dxa"/>
        </w:trPr>
        <w:tc>
          <w:tcPr>
            <w:tcW w:w="0" w:type="auto"/>
            <w:vAlign w:val="center"/>
            <w:hideMark/>
          </w:tcPr>
          <w:p w14:paraId="6CE1EFE5"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Dry matter yield plant⁻¹ (g)</w:t>
            </w:r>
          </w:p>
        </w:tc>
        <w:tc>
          <w:tcPr>
            <w:tcW w:w="0" w:type="auto"/>
            <w:vAlign w:val="center"/>
            <w:hideMark/>
          </w:tcPr>
          <w:p w14:paraId="32BD1B67"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15.778</w:t>
            </w:r>
          </w:p>
        </w:tc>
        <w:tc>
          <w:tcPr>
            <w:tcW w:w="0" w:type="auto"/>
            <w:vAlign w:val="center"/>
            <w:hideMark/>
          </w:tcPr>
          <w:p w14:paraId="1BD117F6"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203.493</w:t>
            </w:r>
          </w:p>
        </w:tc>
        <w:tc>
          <w:tcPr>
            <w:tcW w:w="0" w:type="auto"/>
            <w:vAlign w:val="center"/>
            <w:hideMark/>
          </w:tcPr>
          <w:p w14:paraId="3F90EE2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5.727</w:t>
            </w:r>
          </w:p>
        </w:tc>
        <w:tc>
          <w:tcPr>
            <w:tcW w:w="0" w:type="auto"/>
            <w:vAlign w:val="center"/>
            <w:hideMark/>
          </w:tcPr>
          <w:p w14:paraId="360DAB22"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48852B00" w14:textId="77777777">
        <w:trPr>
          <w:tblCellSpacing w:w="15" w:type="dxa"/>
        </w:trPr>
        <w:tc>
          <w:tcPr>
            <w:tcW w:w="0" w:type="auto"/>
            <w:vAlign w:val="center"/>
            <w:hideMark/>
          </w:tcPr>
          <w:p w14:paraId="35884D1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Plant height (cm)</w:t>
            </w:r>
          </w:p>
        </w:tc>
        <w:tc>
          <w:tcPr>
            <w:tcW w:w="0" w:type="auto"/>
            <w:vAlign w:val="center"/>
            <w:hideMark/>
          </w:tcPr>
          <w:p w14:paraId="4902D67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510.826</w:t>
            </w:r>
          </w:p>
        </w:tc>
        <w:tc>
          <w:tcPr>
            <w:tcW w:w="0" w:type="auto"/>
            <w:vAlign w:val="center"/>
            <w:hideMark/>
          </w:tcPr>
          <w:p w14:paraId="0CEB0614"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3760.478</w:t>
            </w:r>
          </w:p>
        </w:tc>
        <w:tc>
          <w:tcPr>
            <w:tcW w:w="0" w:type="auto"/>
            <w:vAlign w:val="center"/>
            <w:hideMark/>
          </w:tcPr>
          <w:p w14:paraId="2F54D521"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386.990</w:t>
            </w:r>
          </w:p>
        </w:tc>
        <w:tc>
          <w:tcPr>
            <w:tcW w:w="0" w:type="auto"/>
            <w:vAlign w:val="center"/>
            <w:hideMark/>
          </w:tcPr>
          <w:p w14:paraId="64811EBD"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33DB4941" w14:textId="77777777">
        <w:trPr>
          <w:tblCellSpacing w:w="15" w:type="dxa"/>
        </w:trPr>
        <w:tc>
          <w:tcPr>
            <w:tcW w:w="0" w:type="auto"/>
            <w:vAlign w:val="center"/>
            <w:hideMark/>
          </w:tcPr>
          <w:p w14:paraId="37CF7FE2"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lastRenderedPageBreak/>
              <w:t>Panicle length (cm)</w:t>
            </w:r>
          </w:p>
        </w:tc>
        <w:tc>
          <w:tcPr>
            <w:tcW w:w="0" w:type="auto"/>
            <w:vAlign w:val="center"/>
            <w:hideMark/>
          </w:tcPr>
          <w:p w14:paraId="2E69D59F"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1.561</w:t>
            </w:r>
          </w:p>
        </w:tc>
        <w:tc>
          <w:tcPr>
            <w:tcW w:w="0" w:type="auto"/>
            <w:vAlign w:val="center"/>
            <w:hideMark/>
          </w:tcPr>
          <w:p w14:paraId="2D350A68"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222.099</w:t>
            </w:r>
          </w:p>
        </w:tc>
        <w:tc>
          <w:tcPr>
            <w:tcW w:w="0" w:type="auto"/>
            <w:vAlign w:val="center"/>
            <w:hideMark/>
          </w:tcPr>
          <w:p w14:paraId="66DD02D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3.136</w:t>
            </w:r>
          </w:p>
        </w:tc>
        <w:tc>
          <w:tcPr>
            <w:tcW w:w="0" w:type="auto"/>
            <w:vAlign w:val="center"/>
            <w:hideMark/>
          </w:tcPr>
          <w:p w14:paraId="47C38BE9"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4E53CBBA" w14:textId="77777777">
        <w:trPr>
          <w:tblCellSpacing w:w="15" w:type="dxa"/>
        </w:trPr>
        <w:tc>
          <w:tcPr>
            <w:tcW w:w="0" w:type="auto"/>
            <w:vAlign w:val="center"/>
            <w:hideMark/>
          </w:tcPr>
          <w:p w14:paraId="7E9613C2"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1000-grain weight (g)</w:t>
            </w:r>
          </w:p>
        </w:tc>
        <w:tc>
          <w:tcPr>
            <w:tcW w:w="0" w:type="auto"/>
            <w:vAlign w:val="center"/>
            <w:hideMark/>
          </w:tcPr>
          <w:p w14:paraId="5E80EED0"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0.080</w:t>
            </w:r>
          </w:p>
        </w:tc>
        <w:tc>
          <w:tcPr>
            <w:tcW w:w="0" w:type="auto"/>
            <w:vAlign w:val="center"/>
            <w:hideMark/>
          </w:tcPr>
          <w:p w14:paraId="13568CCA"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2.039</w:t>
            </w:r>
          </w:p>
        </w:tc>
        <w:tc>
          <w:tcPr>
            <w:tcW w:w="0" w:type="auto"/>
            <w:vAlign w:val="center"/>
            <w:hideMark/>
          </w:tcPr>
          <w:p w14:paraId="7A63D215"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0.281</w:t>
            </w:r>
          </w:p>
        </w:tc>
        <w:tc>
          <w:tcPr>
            <w:tcW w:w="0" w:type="auto"/>
            <w:vAlign w:val="center"/>
            <w:hideMark/>
          </w:tcPr>
          <w:p w14:paraId="627F7261"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r w:rsidR="00A93C66" w:rsidRPr="0012457E" w14:paraId="3FDD1C9F" w14:textId="77777777">
        <w:trPr>
          <w:tblCellSpacing w:w="15" w:type="dxa"/>
        </w:trPr>
        <w:tc>
          <w:tcPr>
            <w:tcW w:w="0" w:type="auto"/>
            <w:vAlign w:val="center"/>
            <w:hideMark/>
          </w:tcPr>
          <w:p w14:paraId="7FBB8C43"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Green fodder yield plant⁻¹ (g)</w:t>
            </w:r>
          </w:p>
        </w:tc>
        <w:tc>
          <w:tcPr>
            <w:tcW w:w="0" w:type="auto"/>
            <w:vAlign w:val="center"/>
            <w:hideMark/>
          </w:tcPr>
          <w:p w14:paraId="5900E38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399.780</w:t>
            </w:r>
          </w:p>
        </w:tc>
        <w:tc>
          <w:tcPr>
            <w:tcW w:w="0" w:type="auto"/>
            <w:vAlign w:val="center"/>
            <w:hideMark/>
          </w:tcPr>
          <w:p w14:paraId="1226396B"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4718.486</w:t>
            </w:r>
          </w:p>
        </w:tc>
        <w:tc>
          <w:tcPr>
            <w:tcW w:w="0" w:type="auto"/>
            <w:vAlign w:val="center"/>
            <w:hideMark/>
          </w:tcPr>
          <w:p w14:paraId="5F758341"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474.130</w:t>
            </w:r>
          </w:p>
        </w:tc>
        <w:tc>
          <w:tcPr>
            <w:tcW w:w="0" w:type="auto"/>
            <w:vAlign w:val="center"/>
            <w:hideMark/>
          </w:tcPr>
          <w:p w14:paraId="3A393618" w14:textId="77777777" w:rsidR="00A93C66" w:rsidRPr="0012457E" w:rsidRDefault="00A93C66" w:rsidP="00A93C66">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w:t>
            </w:r>
          </w:p>
        </w:tc>
      </w:tr>
    </w:tbl>
    <w:p w14:paraId="209FDACD" w14:textId="77777777" w:rsidR="00A93C66" w:rsidRPr="0012457E" w:rsidRDefault="00A93C66" w:rsidP="00A93C66">
      <w:pPr>
        <w:spacing w:before="100" w:beforeAutospacing="1" w:after="100" w:afterAutospacing="1"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b/>
          <w:bCs/>
          <w:kern w:val="0"/>
          <w:sz w:val="24"/>
          <w:szCs w:val="24"/>
          <w:lang w:eastAsia="en-IN"/>
        </w:rPr>
        <w:t>Source of variation:</w:t>
      </w:r>
      <w:r w:rsidRPr="0012457E">
        <w:rPr>
          <w:rFonts w:ascii="Times New Roman" w:eastAsia="Times New Roman" w:hAnsi="Times New Roman" w:cs="Times New Roman"/>
          <w:kern w:val="0"/>
          <w:sz w:val="24"/>
          <w:szCs w:val="24"/>
          <w:lang w:eastAsia="en-IN"/>
        </w:rPr>
        <w:t xml:space="preserve"> Replications = 2, Treatments = 11, Error = 22.</w:t>
      </w:r>
    </w:p>
    <w:p w14:paraId="2F99B88D" w14:textId="77777777" w:rsidR="00A93C66" w:rsidRPr="0012457E" w:rsidRDefault="00A93C66" w:rsidP="00A93C66">
      <w:pPr>
        <w:spacing w:before="100" w:beforeAutospacing="1" w:after="100" w:afterAutospacing="1"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b/>
          <w:bCs/>
          <w:kern w:val="0"/>
          <w:sz w:val="24"/>
          <w:szCs w:val="24"/>
          <w:lang w:eastAsia="en-IN"/>
        </w:rPr>
        <w:t>Note:</w:t>
      </w:r>
      <w:r w:rsidRPr="0012457E">
        <w:rPr>
          <w:rFonts w:ascii="Times New Roman" w:eastAsia="Times New Roman" w:hAnsi="Times New Roman" w:cs="Times New Roman"/>
          <w:kern w:val="0"/>
          <w:sz w:val="24"/>
          <w:szCs w:val="24"/>
          <w:lang w:eastAsia="en-IN"/>
        </w:rPr>
        <w:t xml:space="preserve"> ** = Significant at </w:t>
      </w:r>
      <w:r w:rsidRPr="0012457E">
        <w:rPr>
          <w:rFonts w:ascii="Times New Roman" w:eastAsia="Times New Roman" w:hAnsi="Times New Roman" w:cs="Times New Roman"/>
          <w:i/>
          <w:iCs/>
          <w:kern w:val="0"/>
          <w:sz w:val="24"/>
          <w:szCs w:val="24"/>
          <w:lang w:eastAsia="en-IN"/>
        </w:rPr>
        <w:t>P</w:t>
      </w:r>
      <w:r w:rsidRPr="0012457E">
        <w:rPr>
          <w:rFonts w:ascii="Times New Roman" w:eastAsia="Times New Roman" w:hAnsi="Times New Roman" w:cs="Times New Roman"/>
          <w:kern w:val="0"/>
          <w:sz w:val="24"/>
          <w:szCs w:val="24"/>
          <w:lang w:eastAsia="en-IN"/>
        </w:rPr>
        <w:t xml:space="preserve"> ≤ 0.01; * = Significant at </w:t>
      </w:r>
      <w:r w:rsidRPr="0012457E">
        <w:rPr>
          <w:rFonts w:ascii="Times New Roman" w:eastAsia="Times New Roman" w:hAnsi="Times New Roman" w:cs="Times New Roman"/>
          <w:i/>
          <w:iCs/>
          <w:kern w:val="0"/>
          <w:sz w:val="24"/>
          <w:szCs w:val="24"/>
          <w:lang w:eastAsia="en-IN"/>
        </w:rPr>
        <w:t>P</w:t>
      </w:r>
      <w:r w:rsidRPr="0012457E">
        <w:rPr>
          <w:rFonts w:ascii="Times New Roman" w:eastAsia="Times New Roman" w:hAnsi="Times New Roman" w:cs="Times New Roman"/>
          <w:kern w:val="0"/>
          <w:sz w:val="24"/>
          <w:szCs w:val="24"/>
          <w:lang w:eastAsia="en-IN"/>
        </w:rPr>
        <w:t xml:space="preserve"> ≤ 0.05; NS = </w:t>
      </w:r>
      <w:proofErr w:type="gramStart"/>
      <w:r w:rsidRPr="0012457E">
        <w:rPr>
          <w:rFonts w:ascii="Times New Roman" w:eastAsia="Times New Roman" w:hAnsi="Times New Roman" w:cs="Times New Roman"/>
          <w:kern w:val="0"/>
          <w:sz w:val="24"/>
          <w:szCs w:val="24"/>
          <w:lang w:eastAsia="en-IN"/>
        </w:rPr>
        <w:t>Non-significant</w:t>
      </w:r>
      <w:proofErr w:type="gramEnd"/>
      <w:r w:rsidRPr="0012457E">
        <w:rPr>
          <w:rFonts w:ascii="Times New Roman" w:eastAsia="Times New Roman" w:hAnsi="Times New Roman" w:cs="Times New Roman"/>
          <w:kern w:val="0"/>
          <w:sz w:val="24"/>
          <w:szCs w:val="24"/>
          <w:lang w:eastAsia="en-IN"/>
        </w:rPr>
        <w:t>.</w:t>
      </w:r>
    </w:p>
    <w:p w14:paraId="3749B70A" w14:textId="77777777" w:rsidR="00DC429E" w:rsidRPr="0012457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rPr>
        <w:sectPr w:rsidR="00DC429E" w:rsidRPr="0012457E" w:rsidSect="00DC429E">
          <w:headerReference w:type="even" r:id="rId7"/>
          <w:headerReference w:type="default" r:id="rId8"/>
          <w:footerReference w:type="even" r:id="rId9"/>
          <w:footerReference w:type="default" r:id="rId10"/>
          <w:headerReference w:type="first" r:id="rId11"/>
          <w:footerReference w:type="first" r:id="rId12"/>
          <w:pgSz w:w="11910" w:h="16840"/>
          <w:pgMar w:top="460" w:right="425" w:bottom="280" w:left="425" w:header="720" w:footer="720" w:gutter="0"/>
          <w:cols w:space="720"/>
        </w:sectPr>
      </w:pPr>
    </w:p>
    <w:p w14:paraId="21FFCEDB" w14:textId="77777777" w:rsidR="00DC429E" w:rsidRPr="0012457E" w:rsidRDefault="00DC429E" w:rsidP="00300EEC">
      <w:pPr>
        <w:pStyle w:val="BodyText"/>
        <w:widowControl/>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lastRenderedPageBreak/>
        <w:t>Table 2. Mean performance of twelve pearl millet genotypes for yield and yield-attributing traits</w:t>
      </w:r>
    </w:p>
    <w:tbl>
      <w:tblPr>
        <w:tblW w:w="11060" w:type="dxa"/>
        <w:tblCellSpacing w:w="15" w:type="dxa"/>
        <w:tblInd w:w="-1007" w:type="dxa"/>
        <w:tblCellMar>
          <w:top w:w="15" w:type="dxa"/>
          <w:left w:w="15" w:type="dxa"/>
          <w:bottom w:w="15" w:type="dxa"/>
          <w:right w:w="15" w:type="dxa"/>
        </w:tblCellMar>
        <w:tblLook w:val="04A0" w:firstRow="1" w:lastRow="0" w:firstColumn="1" w:lastColumn="0" w:noHBand="0" w:noVBand="1"/>
      </w:tblPr>
      <w:tblGrid>
        <w:gridCol w:w="1318"/>
        <w:gridCol w:w="693"/>
        <w:gridCol w:w="554"/>
        <w:gridCol w:w="1048"/>
        <w:gridCol w:w="1142"/>
        <w:gridCol w:w="879"/>
        <w:gridCol w:w="1125"/>
        <w:gridCol w:w="1063"/>
        <w:gridCol w:w="1033"/>
        <w:gridCol w:w="1142"/>
        <w:gridCol w:w="1063"/>
      </w:tblGrid>
      <w:tr w:rsidR="00DC429E" w:rsidRPr="0012457E" w14:paraId="78D61A83" w14:textId="77777777" w:rsidTr="00DC429E">
        <w:trPr>
          <w:trHeight w:val="349"/>
          <w:tblHeader/>
          <w:tblCellSpacing w:w="15" w:type="dxa"/>
        </w:trPr>
        <w:tc>
          <w:tcPr>
            <w:tcW w:w="0" w:type="auto"/>
            <w:vAlign w:val="center"/>
            <w:hideMark/>
          </w:tcPr>
          <w:p w14:paraId="6DAF6153"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Genotype</w:t>
            </w:r>
          </w:p>
        </w:tc>
        <w:tc>
          <w:tcPr>
            <w:tcW w:w="0" w:type="auto"/>
            <w:vAlign w:val="center"/>
            <w:hideMark/>
          </w:tcPr>
          <w:p w14:paraId="7C35AF13"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DF</w:t>
            </w:r>
          </w:p>
        </w:tc>
        <w:tc>
          <w:tcPr>
            <w:tcW w:w="0" w:type="auto"/>
            <w:vAlign w:val="center"/>
            <w:hideMark/>
          </w:tcPr>
          <w:p w14:paraId="328A6AE8"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TP</w:t>
            </w:r>
          </w:p>
        </w:tc>
        <w:tc>
          <w:tcPr>
            <w:tcW w:w="0" w:type="auto"/>
            <w:vAlign w:val="center"/>
            <w:hideMark/>
          </w:tcPr>
          <w:p w14:paraId="03341BA1"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LL (cm)</w:t>
            </w:r>
          </w:p>
        </w:tc>
        <w:tc>
          <w:tcPr>
            <w:tcW w:w="0" w:type="auto"/>
            <w:vAlign w:val="center"/>
            <w:hideMark/>
          </w:tcPr>
          <w:p w14:paraId="01149EB3"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LW (cm)</w:t>
            </w:r>
          </w:p>
        </w:tc>
        <w:tc>
          <w:tcPr>
            <w:tcW w:w="0" w:type="auto"/>
            <w:vAlign w:val="center"/>
            <w:hideMark/>
          </w:tcPr>
          <w:p w14:paraId="0F18D6C8"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GY (g)</w:t>
            </w:r>
          </w:p>
        </w:tc>
        <w:tc>
          <w:tcPr>
            <w:tcW w:w="0" w:type="auto"/>
            <w:vAlign w:val="center"/>
            <w:hideMark/>
          </w:tcPr>
          <w:p w14:paraId="46F45F09"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DMY (g)</w:t>
            </w:r>
          </w:p>
        </w:tc>
        <w:tc>
          <w:tcPr>
            <w:tcW w:w="0" w:type="auto"/>
            <w:vAlign w:val="center"/>
            <w:hideMark/>
          </w:tcPr>
          <w:p w14:paraId="27EEC5AD"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PH (cm)</w:t>
            </w:r>
          </w:p>
        </w:tc>
        <w:tc>
          <w:tcPr>
            <w:tcW w:w="0" w:type="auto"/>
            <w:vAlign w:val="center"/>
            <w:hideMark/>
          </w:tcPr>
          <w:p w14:paraId="0E224F00"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PL (cm)</w:t>
            </w:r>
          </w:p>
        </w:tc>
        <w:tc>
          <w:tcPr>
            <w:tcW w:w="0" w:type="auto"/>
            <w:vAlign w:val="center"/>
            <w:hideMark/>
          </w:tcPr>
          <w:p w14:paraId="553D5B9C"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TGW (g)</w:t>
            </w:r>
          </w:p>
        </w:tc>
        <w:tc>
          <w:tcPr>
            <w:tcW w:w="0" w:type="auto"/>
            <w:vAlign w:val="center"/>
            <w:hideMark/>
          </w:tcPr>
          <w:p w14:paraId="2DF05ABF" w14:textId="77777777" w:rsidR="00DC429E" w:rsidRPr="0012457E" w:rsidRDefault="00DC429E" w:rsidP="00300EEC">
            <w:pPr>
              <w:pStyle w:val="BodyText"/>
              <w:spacing w:before="8" w:line="360" w:lineRule="auto"/>
              <w:jc w:val="both"/>
              <w:rPr>
                <w:rFonts w:ascii="Times New Roman" w:hAnsi="Times New Roman" w:cs="Times New Roman"/>
                <w:b/>
                <w:bCs/>
                <w:iCs/>
                <w:sz w:val="22"/>
                <w:szCs w:val="22"/>
                <w:lang w:val="en-IN"/>
              </w:rPr>
            </w:pPr>
            <w:r w:rsidRPr="0012457E">
              <w:rPr>
                <w:rFonts w:ascii="Times New Roman" w:hAnsi="Times New Roman" w:cs="Times New Roman"/>
                <w:b/>
                <w:bCs/>
                <w:iCs/>
                <w:sz w:val="22"/>
                <w:szCs w:val="22"/>
                <w:lang w:val="en-IN"/>
              </w:rPr>
              <w:t>GFY (g)</w:t>
            </w:r>
          </w:p>
        </w:tc>
      </w:tr>
      <w:tr w:rsidR="00DC429E" w:rsidRPr="0012457E" w14:paraId="07457F76" w14:textId="77777777" w:rsidTr="00DC429E">
        <w:trPr>
          <w:trHeight w:val="382"/>
          <w:tblCellSpacing w:w="15" w:type="dxa"/>
        </w:trPr>
        <w:tc>
          <w:tcPr>
            <w:tcW w:w="0" w:type="auto"/>
            <w:vAlign w:val="center"/>
            <w:hideMark/>
          </w:tcPr>
          <w:p w14:paraId="48C41E9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KBH-3940</w:t>
            </w:r>
          </w:p>
        </w:tc>
        <w:tc>
          <w:tcPr>
            <w:tcW w:w="0" w:type="auto"/>
            <w:vAlign w:val="center"/>
            <w:hideMark/>
          </w:tcPr>
          <w:p w14:paraId="26D611DF"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70.67</w:t>
            </w:r>
          </w:p>
        </w:tc>
        <w:tc>
          <w:tcPr>
            <w:tcW w:w="0" w:type="auto"/>
            <w:vAlign w:val="center"/>
            <w:hideMark/>
          </w:tcPr>
          <w:p w14:paraId="7D78666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3.38</w:t>
            </w:r>
          </w:p>
        </w:tc>
        <w:tc>
          <w:tcPr>
            <w:tcW w:w="0" w:type="auto"/>
            <w:vAlign w:val="center"/>
            <w:hideMark/>
          </w:tcPr>
          <w:p w14:paraId="0EFCBDA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48.03</w:t>
            </w:r>
          </w:p>
        </w:tc>
        <w:tc>
          <w:tcPr>
            <w:tcW w:w="0" w:type="auto"/>
            <w:vAlign w:val="center"/>
            <w:hideMark/>
          </w:tcPr>
          <w:p w14:paraId="110499D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3.67</w:t>
            </w:r>
          </w:p>
        </w:tc>
        <w:tc>
          <w:tcPr>
            <w:tcW w:w="0" w:type="auto"/>
            <w:vAlign w:val="center"/>
            <w:hideMark/>
          </w:tcPr>
          <w:p w14:paraId="788EB5B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16.25</w:t>
            </w:r>
          </w:p>
        </w:tc>
        <w:tc>
          <w:tcPr>
            <w:tcW w:w="0" w:type="auto"/>
            <w:vAlign w:val="center"/>
            <w:hideMark/>
          </w:tcPr>
          <w:p w14:paraId="15DDAA1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70.03</w:t>
            </w:r>
          </w:p>
        </w:tc>
        <w:tc>
          <w:tcPr>
            <w:tcW w:w="0" w:type="auto"/>
            <w:vAlign w:val="center"/>
            <w:hideMark/>
          </w:tcPr>
          <w:p w14:paraId="73D3C76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219.90</w:t>
            </w:r>
          </w:p>
        </w:tc>
        <w:tc>
          <w:tcPr>
            <w:tcW w:w="0" w:type="auto"/>
            <w:vAlign w:val="center"/>
            <w:hideMark/>
          </w:tcPr>
          <w:p w14:paraId="1E96262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31.42</w:t>
            </w:r>
          </w:p>
        </w:tc>
        <w:tc>
          <w:tcPr>
            <w:tcW w:w="0" w:type="auto"/>
            <w:vAlign w:val="center"/>
            <w:hideMark/>
          </w:tcPr>
          <w:p w14:paraId="01421E0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8.76</w:t>
            </w:r>
          </w:p>
        </w:tc>
        <w:tc>
          <w:tcPr>
            <w:tcW w:w="0" w:type="auto"/>
            <w:vAlign w:val="center"/>
            <w:hideMark/>
          </w:tcPr>
          <w:p w14:paraId="6085C78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355.65</w:t>
            </w:r>
          </w:p>
        </w:tc>
      </w:tr>
      <w:tr w:rsidR="00DC429E" w:rsidRPr="0012457E" w14:paraId="21A3A374" w14:textId="77777777" w:rsidTr="00DC429E">
        <w:trPr>
          <w:trHeight w:val="349"/>
          <w:tblCellSpacing w:w="15" w:type="dxa"/>
        </w:trPr>
        <w:tc>
          <w:tcPr>
            <w:tcW w:w="0" w:type="auto"/>
            <w:vAlign w:val="center"/>
            <w:hideMark/>
          </w:tcPr>
          <w:p w14:paraId="10378DE3"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Bio-448</w:t>
            </w:r>
          </w:p>
        </w:tc>
        <w:tc>
          <w:tcPr>
            <w:tcW w:w="0" w:type="auto"/>
            <w:vAlign w:val="center"/>
            <w:hideMark/>
          </w:tcPr>
          <w:p w14:paraId="3E4B03E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78.33</w:t>
            </w:r>
          </w:p>
        </w:tc>
        <w:tc>
          <w:tcPr>
            <w:tcW w:w="0" w:type="auto"/>
            <w:vAlign w:val="center"/>
            <w:hideMark/>
          </w:tcPr>
          <w:p w14:paraId="5EE15E8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3.64</w:t>
            </w:r>
          </w:p>
        </w:tc>
        <w:tc>
          <w:tcPr>
            <w:tcW w:w="0" w:type="auto"/>
            <w:vAlign w:val="center"/>
            <w:hideMark/>
          </w:tcPr>
          <w:p w14:paraId="06F34D7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59.98</w:t>
            </w:r>
          </w:p>
        </w:tc>
        <w:tc>
          <w:tcPr>
            <w:tcW w:w="0" w:type="auto"/>
            <w:vAlign w:val="center"/>
            <w:hideMark/>
          </w:tcPr>
          <w:p w14:paraId="3EEE7B9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3.76</w:t>
            </w:r>
          </w:p>
        </w:tc>
        <w:tc>
          <w:tcPr>
            <w:tcW w:w="0" w:type="auto"/>
            <w:vAlign w:val="center"/>
            <w:hideMark/>
          </w:tcPr>
          <w:p w14:paraId="5E08D2C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15.90</w:t>
            </w:r>
          </w:p>
        </w:tc>
        <w:tc>
          <w:tcPr>
            <w:tcW w:w="0" w:type="auto"/>
            <w:vAlign w:val="center"/>
            <w:hideMark/>
          </w:tcPr>
          <w:p w14:paraId="138C1F73"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76.44</w:t>
            </w:r>
          </w:p>
        </w:tc>
        <w:tc>
          <w:tcPr>
            <w:tcW w:w="0" w:type="auto"/>
            <w:vAlign w:val="center"/>
            <w:hideMark/>
          </w:tcPr>
          <w:p w14:paraId="019F46D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218.90</w:t>
            </w:r>
          </w:p>
        </w:tc>
        <w:tc>
          <w:tcPr>
            <w:tcW w:w="0" w:type="auto"/>
            <w:vAlign w:val="center"/>
            <w:hideMark/>
          </w:tcPr>
          <w:p w14:paraId="566E35B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40.88</w:t>
            </w:r>
          </w:p>
        </w:tc>
        <w:tc>
          <w:tcPr>
            <w:tcW w:w="0" w:type="auto"/>
            <w:vAlign w:val="center"/>
            <w:hideMark/>
          </w:tcPr>
          <w:p w14:paraId="5D0FBED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7.80</w:t>
            </w:r>
          </w:p>
        </w:tc>
        <w:tc>
          <w:tcPr>
            <w:tcW w:w="0" w:type="auto"/>
            <w:vAlign w:val="center"/>
            <w:hideMark/>
          </w:tcPr>
          <w:p w14:paraId="4019321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383.60</w:t>
            </w:r>
          </w:p>
        </w:tc>
      </w:tr>
      <w:tr w:rsidR="00DC429E" w:rsidRPr="0012457E" w14:paraId="4E058017" w14:textId="77777777" w:rsidTr="00DC429E">
        <w:trPr>
          <w:trHeight w:val="382"/>
          <w:tblCellSpacing w:w="15" w:type="dxa"/>
        </w:trPr>
        <w:tc>
          <w:tcPr>
            <w:tcW w:w="0" w:type="auto"/>
            <w:vAlign w:val="center"/>
            <w:hideMark/>
          </w:tcPr>
          <w:p w14:paraId="1DC25FB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M-86</w:t>
            </w:r>
          </w:p>
        </w:tc>
        <w:tc>
          <w:tcPr>
            <w:tcW w:w="0" w:type="auto"/>
            <w:vAlign w:val="center"/>
            <w:hideMark/>
          </w:tcPr>
          <w:p w14:paraId="44DF1A1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65.67</w:t>
            </w:r>
          </w:p>
        </w:tc>
        <w:tc>
          <w:tcPr>
            <w:tcW w:w="0" w:type="auto"/>
            <w:vAlign w:val="center"/>
            <w:hideMark/>
          </w:tcPr>
          <w:p w14:paraId="3DF8D50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3.06</w:t>
            </w:r>
          </w:p>
        </w:tc>
        <w:tc>
          <w:tcPr>
            <w:tcW w:w="0" w:type="auto"/>
            <w:vAlign w:val="center"/>
            <w:hideMark/>
          </w:tcPr>
          <w:p w14:paraId="0E120E6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41.48</w:t>
            </w:r>
          </w:p>
        </w:tc>
        <w:tc>
          <w:tcPr>
            <w:tcW w:w="0" w:type="auto"/>
            <w:vAlign w:val="center"/>
            <w:hideMark/>
          </w:tcPr>
          <w:p w14:paraId="65BEF4C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3.34</w:t>
            </w:r>
          </w:p>
        </w:tc>
        <w:tc>
          <w:tcPr>
            <w:tcW w:w="0" w:type="auto"/>
            <w:vAlign w:val="center"/>
            <w:hideMark/>
          </w:tcPr>
          <w:p w14:paraId="69C1906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9.55</w:t>
            </w:r>
          </w:p>
        </w:tc>
        <w:tc>
          <w:tcPr>
            <w:tcW w:w="0" w:type="auto"/>
            <w:vAlign w:val="center"/>
            <w:hideMark/>
          </w:tcPr>
          <w:p w14:paraId="41CE4B1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66.06</w:t>
            </w:r>
          </w:p>
        </w:tc>
        <w:tc>
          <w:tcPr>
            <w:tcW w:w="0" w:type="auto"/>
            <w:vAlign w:val="center"/>
            <w:hideMark/>
          </w:tcPr>
          <w:p w14:paraId="222277C3"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203.77</w:t>
            </w:r>
          </w:p>
        </w:tc>
        <w:tc>
          <w:tcPr>
            <w:tcW w:w="0" w:type="auto"/>
            <w:vAlign w:val="center"/>
            <w:hideMark/>
          </w:tcPr>
          <w:p w14:paraId="1F592A3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37.37</w:t>
            </w:r>
          </w:p>
        </w:tc>
        <w:tc>
          <w:tcPr>
            <w:tcW w:w="0" w:type="auto"/>
            <w:vAlign w:val="center"/>
            <w:hideMark/>
          </w:tcPr>
          <w:p w14:paraId="3AB63B0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7.20</w:t>
            </w:r>
          </w:p>
        </w:tc>
        <w:tc>
          <w:tcPr>
            <w:tcW w:w="0" w:type="auto"/>
            <w:vAlign w:val="center"/>
            <w:hideMark/>
          </w:tcPr>
          <w:p w14:paraId="7C045A3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200.50</w:t>
            </w:r>
          </w:p>
        </w:tc>
      </w:tr>
      <w:tr w:rsidR="00DC429E" w:rsidRPr="0012457E" w14:paraId="1427D177" w14:textId="77777777" w:rsidTr="00DC429E">
        <w:trPr>
          <w:trHeight w:val="349"/>
          <w:tblCellSpacing w:w="15" w:type="dxa"/>
        </w:trPr>
        <w:tc>
          <w:tcPr>
            <w:tcW w:w="0" w:type="auto"/>
            <w:vAlign w:val="center"/>
            <w:hideMark/>
          </w:tcPr>
          <w:p w14:paraId="440FCE4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MP-7792</w:t>
            </w:r>
          </w:p>
        </w:tc>
        <w:tc>
          <w:tcPr>
            <w:tcW w:w="0" w:type="auto"/>
            <w:vAlign w:val="center"/>
            <w:hideMark/>
          </w:tcPr>
          <w:p w14:paraId="2D69E83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69.67</w:t>
            </w:r>
          </w:p>
        </w:tc>
        <w:tc>
          <w:tcPr>
            <w:tcW w:w="0" w:type="auto"/>
            <w:vAlign w:val="center"/>
            <w:hideMark/>
          </w:tcPr>
          <w:p w14:paraId="52FE5F1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3.45</w:t>
            </w:r>
          </w:p>
        </w:tc>
        <w:tc>
          <w:tcPr>
            <w:tcW w:w="0" w:type="auto"/>
            <w:vAlign w:val="center"/>
            <w:hideMark/>
          </w:tcPr>
          <w:p w14:paraId="03920E4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41.81</w:t>
            </w:r>
          </w:p>
        </w:tc>
        <w:tc>
          <w:tcPr>
            <w:tcW w:w="0" w:type="auto"/>
            <w:vAlign w:val="center"/>
            <w:hideMark/>
          </w:tcPr>
          <w:p w14:paraId="1539AFD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3.20</w:t>
            </w:r>
          </w:p>
        </w:tc>
        <w:tc>
          <w:tcPr>
            <w:tcW w:w="0" w:type="auto"/>
            <w:vAlign w:val="center"/>
            <w:hideMark/>
          </w:tcPr>
          <w:p w14:paraId="611C08A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14.70</w:t>
            </w:r>
          </w:p>
        </w:tc>
        <w:tc>
          <w:tcPr>
            <w:tcW w:w="0" w:type="auto"/>
            <w:vAlign w:val="center"/>
            <w:hideMark/>
          </w:tcPr>
          <w:p w14:paraId="0B859D7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52.40</w:t>
            </w:r>
          </w:p>
        </w:tc>
        <w:tc>
          <w:tcPr>
            <w:tcW w:w="0" w:type="auto"/>
            <w:vAlign w:val="center"/>
            <w:hideMark/>
          </w:tcPr>
          <w:p w14:paraId="1FF6455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285.95</w:t>
            </w:r>
          </w:p>
        </w:tc>
        <w:tc>
          <w:tcPr>
            <w:tcW w:w="0" w:type="auto"/>
            <w:vAlign w:val="center"/>
            <w:hideMark/>
          </w:tcPr>
          <w:p w14:paraId="45CF823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50.95</w:t>
            </w:r>
          </w:p>
        </w:tc>
        <w:tc>
          <w:tcPr>
            <w:tcW w:w="0" w:type="auto"/>
            <w:vAlign w:val="center"/>
            <w:hideMark/>
          </w:tcPr>
          <w:p w14:paraId="44C3166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7.10</w:t>
            </w:r>
          </w:p>
        </w:tc>
        <w:tc>
          <w:tcPr>
            <w:tcW w:w="0" w:type="auto"/>
            <w:vAlign w:val="center"/>
            <w:hideMark/>
          </w:tcPr>
          <w:p w14:paraId="0B3F3D8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220.60</w:t>
            </w:r>
          </w:p>
        </w:tc>
      </w:tr>
      <w:tr w:rsidR="00DC429E" w:rsidRPr="0012457E" w14:paraId="176855E6" w14:textId="77777777" w:rsidTr="00DC429E">
        <w:trPr>
          <w:trHeight w:val="382"/>
          <w:tblCellSpacing w:w="15" w:type="dxa"/>
        </w:trPr>
        <w:tc>
          <w:tcPr>
            <w:tcW w:w="0" w:type="auto"/>
            <w:vAlign w:val="center"/>
            <w:hideMark/>
          </w:tcPr>
          <w:p w14:paraId="569B73E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JHBH-676</w:t>
            </w:r>
          </w:p>
        </w:tc>
        <w:tc>
          <w:tcPr>
            <w:tcW w:w="0" w:type="auto"/>
            <w:vAlign w:val="center"/>
            <w:hideMark/>
          </w:tcPr>
          <w:p w14:paraId="24BA758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71.67</w:t>
            </w:r>
          </w:p>
        </w:tc>
        <w:tc>
          <w:tcPr>
            <w:tcW w:w="0" w:type="auto"/>
            <w:vAlign w:val="center"/>
            <w:hideMark/>
          </w:tcPr>
          <w:p w14:paraId="203BAB9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3.60</w:t>
            </w:r>
          </w:p>
        </w:tc>
        <w:tc>
          <w:tcPr>
            <w:tcW w:w="0" w:type="auto"/>
            <w:vAlign w:val="center"/>
            <w:hideMark/>
          </w:tcPr>
          <w:p w14:paraId="2C336B4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53.42</w:t>
            </w:r>
          </w:p>
        </w:tc>
        <w:tc>
          <w:tcPr>
            <w:tcW w:w="0" w:type="auto"/>
            <w:vAlign w:val="center"/>
            <w:hideMark/>
          </w:tcPr>
          <w:p w14:paraId="4BA7099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3.42</w:t>
            </w:r>
          </w:p>
        </w:tc>
        <w:tc>
          <w:tcPr>
            <w:tcW w:w="0" w:type="auto"/>
            <w:vAlign w:val="center"/>
            <w:hideMark/>
          </w:tcPr>
          <w:p w14:paraId="622893D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16.65</w:t>
            </w:r>
          </w:p>
        </w:tc>
        <w:tc>
          <w:tcPr>
            <w:tcW w:w="0" w:type="auto"/>
            <w:vAlign w:val="center"/>
            <w:hideMark/>
          </w:tcPr>
          <w:p w14:paraId="49BB933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65.26</w:t>
            </w:r>
          </w:p>
        </w:tc>
        <w:tc>
          <w:tcPr>
            <w:tcW w:w="0" w:type="auto"/>
            <w:vAlign w:val="center"/>
            <w:hideMark/>
          </w:tcPr>
          <w:p w14:paraId="3C0B7A19"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196.83</w:t>
            </w:r>
          </w:p>
        </w:tc>
        <w:tc>
          <w:tcPr>
            <w:tcW w:w="0" w:type="auto"/>
            <w:vAlign w:val="center"/>
            <w:hideMark/>
          </w:tcPr>
          <w:p w14:paraId="1F57F81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43.32</w:t>
            </w:r>
          </w:p>
        </w:tc>
        <w:tc>
          <w:tcPr>
            <w:tcW w:w="0" w:type="auto"/>
            <w:vAlign w:val="center"/>
            <w:hideMark/>
          </w:tcPr>
          <w:p w14:paraId="0CD61AA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7.65</w:t>
            </w:r>
          </w:p>
        </w:tc>
        <w:tc>
          <w:tcPr>
            <w:tcW w:w="0" w:type="auto"/>
            <w:vAlign w:val="center"/>
            <w:hideMark/>
          </w:tcPr>
          <w:p w14:paraId="0CC908E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344.10</w:t>
            </w:r>
          </w:p>
        </w:tc>
      </w:tr>
      <w:tr w:rsidR="00DC429E" w:rsidRPr="0012457E" w14:paraId="3E6329EC" w14:textId="77777777" w:rsidTr="00DC429E">
        <w:trPr>
          <w:trHeight w:val="349"/>
          <w:tblCellSpacing w:w="15" w:type="dxa"/>
        </w:trPr>
        <w:tc>
          <w:tcPr>
            <w:tcW w:w="0" w:type="auto"/>
            <w:vAlign w:val="center"/>
            <w:hideMark/>
          </w:tcPr>
          <w:p w14:paraId="18B41E5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HHB-223</w:t>
            </w:r>
          </w:p>
        </w:tc>
        <w:tc>
          <w:tcPr>
            <w:tcW w:w="0" w:type="auto"/>
            <w:vAlign w:val="center"/>
            <w:hideMark/>
          </w:tcPr>
          <w:p w14:paraId="50FBC10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80.00</w:t>
            </w:r>
          </w:p>
        </w:tc>
        <w:tc>
          <w:tcPr>
            <w:tcW w:w="0" w:type="auto"/>
            <w:vAlign w:val="center"/>
            <w:hideMark/>
          </w:tcPr>
          <w:p w14:paraId="6528D47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3.28</w:t>
            </w:r>
          </w:p>
        </w:tc>
        <w:tc>
          <w:tcPr>
            <w:tcW w:w="0" w:type="auto"/>
            <w:vAlign w:val="center"/>
            <w:hideMark/>
          </w:tcPr>
          <w:p w14:paraId="6A6C293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62.16</w:t>
            </w:r>
          </w:p>
        </w:tc>
        <w:tc>
          <w:tcPr>
            <w:tcW w:w="0" w:type="auto"/>
            <w:vAlign w:val="center"/>
            <w:hideMark/>
          </w:tcPr>
          <w:p w14:paraId="52769F43"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3.05</w:t>
            </w:r>
          </w:p>
        </w:tc>
        <w:tc>
          <w:tcPr>
            <w:tcW w:w="0" w:type="auto"/>
            <w:vAlign w:val="center"/>
            <w:hideMark/>
          </w:tcPr>
          <w:p w14:paraId="2BC8BD9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13.83</w:t>
            </w:r>
          </w:p>
        </w:tc>
        <w:tc>
          <w:tcPr>
            <w:tcW w:w="0" w:type="auto"/>
            <w:vAlign w:val="center"/>
            <w:hideMark/>
          </w:tcPr>
          <w:p w14:paraId="4F1DDAB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62.90</w:t>
            </w:r>
          </w:p>
        </w:tc>
        <w:tc>
          <w:tcPr>
            <w:tcW w:w="0" w:type="auto"/>
            <w:vAlign w:val="center"/>
            <w:hideMark/>
          </w:tcPr>
          <w:p w14:paraId="475C734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193.83</w:t>
            </w:r>
          </w:p>
        </w:tc>
        <w:tc>
          <w:tcPr>
            <w:tcW w:w="0" w:type="auto"/>
            <w:vAlign w:val="center"/>
            <w:hideMark/>
          </w:tcPr>
          <w:p w14:paraId="40C01C2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52.59</w:t>
            </w:r>
          </w:p>
        </w:tc>
        <w:tc>
          <w:tcPr>
            <w:tcW w:w="0" w:type="auto"/>
            <w:vAlign w:val="center"/>
            <w:hideMark/>
          </w:tcPr>
          <w:p w14:paraId="2503D89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7.00</w:t>
            </w:r>
          </w:p>
        </w:tc>
        <w:tc>
          <w:tcPr>
            <w:tcW w:w="0" w:type="auto"/>
            <w:vAlign w:val="center"/>
            <w:hideMark/>
          </w:tcPr>
          <w:p w14:paraId="1F98A79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335.60</w:t>
            </w:r>
          </w:p>
        </w:tc>
      </w:tr>
      <w:tr w:rsidR="00DC429E" w:rsidRPr="0012457E" w14:paraId="1829EA0A" w14:textId="77777777" w:rsidTr="00DC429E">
        <w:trPr>
          <w:trHeight w:val="382"/>
          <w:tblCellSpacing w:w="15" w:type="dxa"/>
        </w:trPr>
        <w:tc>
          <w:tcPr>
            <w:tcW w:w="0" w:type="auto"/>
            <w:vAlign w:val="center"/>
            <w:hideMark/>
          </w:tcPr>
          <w:p w14:paraId="7D4C0E2F"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Nandi-61</w:t>
            </w:r>
          </w:p>
        </w:tc>
        <w:tc>
          <w:tcPr>
            <w:tcW w:w="0" w:type="auto"/>
            <w:vAlign w:val="center"/>
            <w:hideMark/>
          </w:tcPr>
          <w:p w14:paraId="69C91DE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65.00</w:t>
            </w:r>
          </w:p>
        </w:tc>
        <w:tc>
          <w:tcPr>
            <w:tcW w:w="0" w:type="auto"/>
            <w:vAlign w:val="center"/>
            <w:hideMark/>
          </w:tcPr>
          <w:p w14:paraId="638D186F"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3.06</w:t>
            </w:r>
          </w:p>
        </w:tc>
        <w:tc>
          <w:tcPr>
            <w:tcW w:w="0" w:type="auto"/>
            <w:vAlign w:val="center"/>
            <w:hideMark/>
          </w:tcPr>
          <w:p w14:paraId="36EF3B4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66.50</w:t>
            </w:r>
          </w:p>
        </w:tc>
        <w:tc>
          <w:tcPr>
            <w:tcW w:w="0" w:type="auto"/>
            <w:vAlign w:val="center"/>
            <w:hideMark/>
          </w:tcPr>
          <w:p w14:paraId="12C214A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3.80</w:t>
            </w:r>
          </w:p>
        </w:tc>
        <w:tc>
          <w:tcPr>
            <w:tcW w:w="0" w:type="auto"/>
            <w:vAlign w:val="center"/>
            <w:hideMark/>
          </w:tcPr>
          <w:p w14:paraId="3A9ECF7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12.27</w:t>
            </w:r>
          </w:p>
        </w:tc>
        <w:tc>
          <w:tcPr>
            <w:tcW w:w="0" w:type="auto"/>
            <w:vAlign w:val="center"/>
            <w:hideMark/>
          </w:tcPr>
          <w:p w14:paraId="7989D3A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65.19</w:t>
            </w:r>
          </w:p>
        </w:tc>
        <w:tc>
          <w:tcPr>
            <w:tcW w:w="0" w:type="auto"/>
            <w:vAlign w:val="center"/>
            <w:hideMark/>
          </w:tcPr>
          <w:p w14:paraId="378AB70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204.23</w:t>
            </w:r>
          </w:p>
        </w:tc>
        <w:tc>
          <w:tcPr>
            <w:tcW w:w="0" w:type="auto"/>
            <w:vAlign w:val="center"/>
            <w:hideMark/>
          </w:tcPr>
          <w:p w14:paraId="5F9CEC2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56.90</w:t>
            </w:r>
          </w:p>
        </w:tc>
        <w:tc>
          <w:tcPr>
            <w:tcW w:w="0" w:type="auto"/>
            <w:vAlign w:val="center"/>
            <w:hideMark/>
          </w:tcPr>
          <w:p w14:paraId="221C4EC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7.60</w:t>
            </w:r>
          </w:p>
        </w:tc>
        <w:tc>
          <w:tcPr>
            <w:tcW w:w="0" w:type="auto"/>
            <w:vAlign w:val="center"/>
            <w:hideMark/>
          </w:tcPr>
          <w:p w14:paraId="33066A5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285.60</w:t>
            </w:r>
          </w:p>
        </w:tc>
      </w:tr>
      <w:tr w:rsidR="00DC429E" w:rsidRPr="0012457E" w14:paraId="3588A025" w14:textId="77777777" w:rsidTr="00DC429E">
        <w:trPr>
          <w:trHeight w:val="349"/>
          <w:tblCellSpacing w:w="15" w:type="dxa"/>
        </w:trPr>
        <w:tc>
          <w:tcPr>
            <w:tcW w:w="0" w:type="auto"/>
            <w:vAlign w:val="center"/>
            <w:hideMark/>
          </w:tcPr>
          <w:p w14:paraId="1B044D1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GHB-732</w:t>
            </w:r>
          </w:p>
        </w:tc>
        <w:tc>
          <w:tcPr>
            <w:tcW w:w="0" w:type="auto"/>
            <w:vAlign w:val="center"/>
            <w:hideMark/>
          </w:tcPr>
          <w:p w14:paraId="0F0E1B7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63.33</w:t>
            </w:r>
          </w:p>
        </w:tc>
        <w:tc>
          <w:tcPr>
            <w:tcW w:w="0" w:type="auto"/>
            <w:vAlign w:val="center"/>
            <w:hideMark/>
          </w:tcPr>
          <w:p w14:paraId="2B4048DF"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3.54</w:t>
            </w:r>
          </w:p>
        </w:tc>
        <w:tc>
          <w:tcPr>
            <w:tcW w:w="0" w:type="auto"/>
            <w:vAlign w:val="center"/>
            <w:hideMark/>
          </w:tcPr>
          <w:p w14:paraId="5C38660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66.90</w:t>
            </w:r>
          </w:p>
        </w:tc>
        <w:tc>
          <w:tcPr>
            <w:tcW w:w="0" w:type="auto"/>
            <w:vAlign w:val="center"/>
            <w:hideMark/>
          </w:tcPr>
          <w:p w14:paraId="7AAF24A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3.25</w:t>
            </w:r>
          </w:p>
        </w:tc>
        <w:tc>
          <w:tcPr>
            <w:tcW w:w="0" w:type="auto"/>
            <w:vAlign w:val="center"/>
            <w:hideMark/>
          </w:tcPr>
          <w:p w14:paraId="2C1D51F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18.05</w:t>
            </w:r>
          </w:p>
        </w:tc>
        <w:tc>
          <w:tcPr>
            <w:tcW w:w="0" w:type="auto"/>
            <w:vAlign w:val="center"/>
            <w:hideMark/>
          </w:tcPr>
          <w:p w14:paraId="7BDF298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56.90</w:t>
            </w:r>
          </w:p>
        </w:tc>
        <w:tc>
          <w:tcPr>
            <w:tcW w:w="0" w:type="auto"/>
            <w:vAlign w:val="center"/>
            <w:hideMark/>
          </w:tcPr>
          <w:p w14:paraId="3B4A13D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220.05</w:t>
            </w:r>
          </w:p>
        </w:tc>
        <w:tc>
          <w:tcPr>
            <w:tcW w:w="0" w:type="auto"/>
            <w:vAlign w:val="center"/>
            <w:hideMark/>
          </w:tcPr>
          <w:p w14:paraId="23E7DE4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39.22</w:t>
            </w:r>
          </w:p>
        </w:tc>
        <w:tc>
          <w:tcPr>
            <w:tcW w:w="0" w:type="auto"/>
            <w:vAlign w:val="center"/>
            <w:hideMark/>
          </w:tcPr>
          <w:p w14:paraId="1146DBA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8.40</w:t>
            </w:r>
          </w:p>
        </w:tc>
        <w:tc>
          <w:tcPr>
            <w:tcW w:w="0" w:type="auto"/>
            <w:vAlign w:val="center"/>
            <w:hideMark/>
          </w:tcPr>
          <w:p w14:paraId="66646BC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300.50</w:t>
            </w:r>
          </w:p>
        </w:tc>
      </w:tr>
      <w:tr w:rsidR="00DC429E" w:rsidRPr="0012457E" w14:paraId="7AA70506" w14:textId="77777777" w:rsidTr="00DC429E">
        <w:trPr>
          <w:trHeight w:val="382"/>
          <w:tblCellSpacing w:w="15" w:type="dxa"/>
        </w:trPr>
        <w:tc>
          <w:tcPr>
            <w:tcW w:w="0" w:type="auto"/>
            <w:vAlign w:val="center"/>
            <w:hideMark/>
          </w:tcPr>
          <w:p w14:paraId="55746AE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HHB-197</w:t>
            </w:r>
          </w:p>
        </w:tc>
        <w:tc>
          <w:tcPr>
            <w:tcW w:w="0" w:type="auto"/>
            <w:vAlign w:val="center"/>
            <w:hideMark/>
          </w:tcPr>
          <w:p w14:paraId="6E361A59"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71.33</w:t>
            </w:r>
          </w:p>
        </w:tc>
        <w:tc>
          <w:tcPr>
            <w:tcW w:w="0" w:type="auto"/>
            <w:vAlign w:val="center"/>
            <w:hideMark/>
          </w:tcPr>
          <w:p w14:paraId="2C9DC0E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2.94</w:t>
            </w:r>
          </w:p>
        </w:tc>
        <w:tc>
          <w:tcPr>
            <w:tcW w:w="0" w:type="auto"/>
            <w:vAlign w:val="center"/>
            <w:hideMark/>
          </w:tcPr>
          <w:p w14:paraId="3AFDCEB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59.88</w:t>
            </w:r>
          </w:p>
        </w:tc>
        <w:tc>
          <w:tcPr>
            <w:tcW w:w="0" w:type="auto"/>
            <w:vAlign w:val="center"/>
            <w:hideMark/>
          </w:tcPr>
          <w:p w14:paraId="35EFD47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3.00</w:t>
            </w:r>
          </w:p>
        </w:tc>
        <w:tc>
          <w:tcPr>
            <w:tcW w:w="0" w:type="auto"/>
            <w:vAlign w:val="center"/>
            <w:hideMark/>
          </w:tcPr>
          <w:p w14:paraId="4CB6A37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11.72</w:t>
            </w:r>
          </w:p>
        </w:tc>
        <w:tc>
          <w:tcPr>
            <w:tcW w:w="0" w:type="auto"/>
            <w:vAlign w:val="center"/>
            <w:hideMark/>
          </w:tcPr>
          <w:p w14:paraId="15AAA61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65.44</w:t>
            </w:r>
          </w:p>
        </w:tc>
        <w:tc>
          <w:tcPr>
            <w:tcW w:w="0" w:type="auto"/>
            <w:vAlign w:val="center"/>
            <w:hideMark/>
          </w:tcPr>
          <w:p w14:paraId="4EB366C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214.75</w:t>
            </w:r>
          </w:p>
        </w:tc>
        <w:tc>
          <w:tcPr>
            <w:tcW w:w="0" w:type="auto"/>
            <w:vAlign w:val="center"/>
            <w:hideMark/>
          </w:tcPr>
          <w:p w14:paraId="5379A0C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49.41</w:t>
            </w:r>
          </w:p>
        </w:tc>
        <w:tc>
          <w:tcPr>
            <w:tcW w:w="0" w:type="auto"/>
            <w:vAlign w:val="center"/>
            <w:hideMark/>
          </w:tcPr>
          <w:p w14:paraId="7C19C1A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6.25</w:t>
            </w:r>
          </w:p>
        </w:tc>
        <w:tc>
          <w:tcPr>
            <w:tcW w:w="0" w:type="auto"/>
            <w:vAlign w:val="center"/>
            <w:hideMark/>
          </w:tcPr>
          <w:p w14:paraId="0326982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289.60</w:t>
            </w:r>
          </w:p>
        </w:tc>
      </w:tr>
      <w:tr w:rsidR="00DC429E" w:rsidRPr="0012457E" w14:paraId="3E659B41" w14:textId="77777777" w:rsidTr="00DC429E">
        <w:trPr>
          <w:trHeight w:val="349"/>
          <w:tblCellSpacing w:w="15" w:type="dxa"/>
        </w:trPr>
        <w:tc>
          <w:tcPr>
            <w:tcW w:w="0" w:type="auto"/>
            <w:vAlign w:val="center"/>
            <w:hideMark/>
          </w:tcPr>
          <w:p w14:paraId="7478AB9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NMH-68</w:t>
            </w:r>
          </w:p>
        </w:tc>
        <w:tc>
          <w:tcPr>
            <w:tcW w:w="0" w:type="auto"/>
            <w:vAlign w:val="center"/>
            <w:hideMark/>
          </w:tcPr>
          <w:p w14:paraId="545CC7A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61.33</w:t>
            </w:r>
          </w:p>
        </w:tc>
        <w:tc>
          <w:tcPr>
            <w:tcW w:w="0" w:type="auto"/>
            <w:vAlign w:val="center"/>
            <w:hideMark/>
          </w:tcPr>
          <w:p w14:paraId="06644A3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2.90</w:t>
            </w:r>
          </w:p>
        </w:tc>
        <w:tc>
          <w:tcPr>
            <w:tcW w:w="0" w:type="auto"/>
            <w:vAlign w:val="center"/>
            <w:hideMark/>
          </w:tcPr>
          <w:p w14:paraId="508076E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67.87</w:t>
            </w:r>
          </w:p>
        </w:tc>
        <w:tc>
          <w:tcPr>
            <w:tcW w:w="0" w:type="auto"/>
            <w:vAlign w:val="center"/>
            <w:hideMark/>
          </w:tcPr>
          <w:p w14:paraId="6B5D471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2.15</w:t>
            </w:r>
          </w:p>
        </w:tc>
        <w:tc>
          <w:tcPr>
            <w:tcW w:w="0" w:type="auto"/>
            <w:vAlign w:val="center"/>
            <w:hideMark/>
          </w:tcPr>
          <w:p w14:paraId="747E184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15.47</w:t>
            </w:r>
          </w:p>
        </w:tc>
        <w:tc>
          <w:tcPr>
            <w:tcW w:w="0" w:type="auto"/>
            <w:vAlign w:val="center"/>
            <w:hideMark/>
          </w:tcPr>
          <w:p w14:paraId="24760F4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54.45</w:t>
            </w:r>
          </w:p>
        </w:tc>
        <w:tc>
          <w:tcPr>
            <w:tcW w:w="0" w:type="auto"/>
            <w:vAlign w:val="center"/>
            <w:hideMark/>
          </w:tcPr>
          <w:p w14:paraId="60349BD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209.57</w:t>
            </w:r>
          </w:p>
        </w:tc>
        <w:tc>
          <w:tcPr>
            <w:tcW w:w="0" w:type="auto"/>
            <w:vAlign w:val="center"/>
            <w:hideMark/>
          </w:tcPr>
          <w:p w14:paraId="5D4A5AE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56.80</w:t>
            </w:r>
          </w:p>
        </w:tc>
        <w:tc>
          <w:tcPr>
            <w:tcW w:w="0" w:type="auto"/>
            <w:vAlign w:val="center"/>
            <w:hideMark/>
          </w:tcPr>
          <w:p w14:paraId="088ED9D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7.65</w:t>
            </w:r>
          </w:p>
        </w:tc>
        <w:tc>
          <w:tcPr>
            <w:tcW w:w="0" w:type="auto"/>
            <w:vAlign w:val="center"/>
            <w:hideMark/>
          </w:tcPr>
          <w:p w14:paraId="6B47D93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310.50</w:t>
            </w:r>
          </w:p>
        </w:tc>
      </w:tr>
      <w:tr w:rsidR="00DC429E" w:rsidRPr="0012457E" w14:paraId="245BE39B" w14:textId="77777777" w:rsidTr="00DC429E">
        <w:trPr>
          <w:trHeight w:val="382"/>
          <w:tblCellSpacing w:w="15" w:type="dxa"/>
        </w:trPr>
        <w:tc>
          <w:tcPr>
            <w:tcW w:w="0" w:type="auto"/>
            <w:vAlign w:val="center"/>
            <w:hideMark/>
          </w:tcPr>
          <w:p w14:paraId="5B01D8F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Pusa-322</w:t>
            </w:r>
          </w:p>
        </w:tc>
        <w:tc>
          <w:tcPr>
            <w:tcW w:w="0" w:type="auto"/>
            <w:vAlign w:val="center"/>
            <w:hideMark/>
          </w:tcPr>
          <w:p w14:paraId="70ED591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69.00</w:t>
            </w:r>
          </w:p>
        </w:tc>
        <w:tc>
          <w:tcPr>
            <w:tcW w:w="0" w:type="auto"/>
            <w:vAlign w:val="center"/>
            <w:hideMark/>
          </w:tcPr>
          <w:p w14:paraId="5C7FADA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2.96</w:t>
            </w:r>
          </w:p>
        </w:tc>
        <w:tc>
          <w:tcPr>
            <w:tcW w:w="0" w:type="auto"/>
            <w:vAlign w:val="center"/>
            <w:hideMark/>
          </w:tcPr>
          <w:p w14:paraId="2934F77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68.60</w:t>
            </w:r>
          </w:p>
        </w:tc>
        <w:tc>
          <w:tcPr>
            <w:tcW w:w="0" w:type="auto"/>
            <w:vAlign w:val="center"/>
            <w:hideMark/>
          </w:tcPr>
          <w:p w14:paraId="700590D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3.84</w:t>
            </w:r>
          </w:p>
        </w:tc>
        <w:tc>
          <w:tcPr>
            <w:tcW w:w="0" w:type="auto"/>
            <w:vAlign w:val="center"/>
            <w:hideMark/>
          </w:tcPr>
          <w:p w14:paraId="2092DD2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10.67</w:t>
            </w:r>
          </w:p>
        </w:tc>
        <w:tc>
          <w:tcPr>
            <w:tcW w:w="0" w:type="auto"/>
            <w:vAlign w:val="center"/>
            <w:hideMark/>
          </w:tcPr>
          <w:p w14:paraId="3D39FE0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67.77</w:t>
            </w:r>
          </w:p>
        </w:tc>
        <w:tc>
          <w:tcPr>
            <w:tcW w:w="0" w:type="auto"/>
            <w:vAlign w:val="center"/>
            <w:hideMark/>
          </w:tcPr>
          <w:p w14:paraId="74D4020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214.47</w:t>
            </w:r>
          </w:p>
        </w:tc>
        <w:tc>
          <w:tcPr>
            <w:tcW w:w="0" w:type="auto"/>
            <w:vAlign w:val="center"/>
            <w:hideMark/>
          </w:tcPr>
          <w:p w14:paraId="045DAC9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47.33</w:t>
            </w:r>
          </w:p>
        </w:tc>
        <w:tc>
          <w:tcPr>
            <w:tcW w:w="0" w:type="auto"/>
            <w:vAlign w:val="center"/>
            <w:hideMark/>
          </w:tcPr>
          <w:p w14:paraId="18B2062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6.90</w:t>
            </w:r>
          </w:p>
        </w:tc>
        <w:tc>
          <w:tcPr>
            <w:tcW w:w="0" w:type="auto"/>
            <w:vAlign w:val="center"/>
            <w:hideMark/>
          </w:tcPr>
          <w:p w14:paraId="00A3BB7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295.40</w:t>
            </w:r>
          </w:p>
        </w:tc>
      </w:tr>
      <w:tr w:rsidR="00DC429E" w:rsidRPr="0012457E" w14:paraId="016CEC5A" w14:textId="77777777" w:rsidTr="00DC429E">
        <w:trPr>
          <w:trHeight w:val="349"/>
          <w:tblCellSpacing w:w="15" w:type="dxa"/>
        </w:trPr>
        <w:tc>
          <w:tcPr>
            <w:tcW w:w="0" w:type="auto"/>
            <w:vAlign w:val="center"/>
            <w:hideMark/>
          </w:tcPr>
          <w:p w14:paraId="7437723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JBH-1</w:t>
            </w:r>
          </w:p>
        </w:tc>
        <w:tc>
          <w:tcPr>
            <w:tcW w:w="0" w:type="auto"/>
            <w:vAlign w:val="center"/>
            <w:hideMark/>
          </w:tcPr>
          <w:p w14:paraId="0E24D90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69.67</w:t>
            </w:r>
          </w:p>
        </w:tc>
        <w:tc>
          <w:tcPr>
            <w:tcW w:w="0" w:type="auto"/>
            <w:vAlign w:val="center"/>
            <w:hideMark/>
          </w:tcPr>
          <w:p w14:paraId="36A75A6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3.35</w:t>
            </w:r>
          </w:p>
        </w:tc>
        <w:tc>
          <w:tcPr>
            <w:tcW w:w="0" w:type="auto"/>
            <w:vAlign w:val="center"/>
            <w:hideMark/>
          </w:tcPr>
          <w:p w14:paraId="4D431DD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73.58</w:t>
            </w:r>
          </w:p>
        </w:tc>
        <w:tc>
          <w:tcPr>
            <w:tcW w:w="0" w:type="auto"/>
            <w:vAlign w:val="center"/>
            <w:hideMark/>
          </w:tcPr>
          <w:p w14:paraId="22DCC2CF"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3.22</w:t>
            </w:r>
          </w:p>
        </w:tc>
        <w:tc>
          <w:tcPr>
            <w:tcW w:w="0" w:type="auto"/>
            <w:vAlign w:val="center"/>
            <w:hideMark/>
          </w:tcPr>
          <w:p w14:paraId="0A2A42C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14.00</w:t>
            </w:r>
          </w:p>
        </w:tc>
        <w:tc>
          <w:tcPr>
            <w:tcW w:w="0" w:type="auto"/>
            <w:vAlign w:val="center"/>
            <w:hideMark/>
          </w:tcPr>
          <w:p w14:paraId="1250ECB8"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69.00</w:t>
            </w:r>
          </w:p>
        </w:tc>
        <w:tc>
          <w:tcPr>
            <w:tcW w:w="0" w:type="auto"/>
            <w:vAlign w:val="center"/>
            <w:hideMark/>
          </w:tcPr>
          <w:p w14:paraId="4595FE33"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220.20</w:t>
            </w:r>
          </w:p>
        </w:tc>
        <w:tc>
          <w:tcPr>
            <w:tcW w:w="0" w:type="auto"/>
            <w:vAlign w:val="center"/>
            <w:hideMark/>
          </w:tcPr>
          <w:p w14:paraId="2645BC93"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54.81</w:t>
            </w:r>
          </w:p>
        </w:tc>
        <w:tc>
          <w:tcPr>
            <w:tcW w:w="0" w:type="auto"/>
            <w:vAlign w:val="center"/>
            <w:hideMark/>
          </w:tcPr>
          <w:p w14:paraId="5C60294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7.10</w:t>
            </w:r>
          </w:p>
        </w:tc>
        <w:tc>
          <w:tcPr>
            <w:tcW w:w="0" w:type="auto"/>
            <w:vAlign w:val="center"/>
            <w:hideMark/>
          </w:tcPr>
          <w:p w14:paraId="701C1C0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Cs/>
                <w:iCs/>
                <w:sz w:val="22"/>
                <w:szCs w:val="22"/>
                <w:lang w:val="en-IN"/>
              </w:rPr>
              <w:t>310.35</w:t>
            </w:r>
          </w:p>
        </w:tc>
      </w:tr>
      <w:tr w:rsidR="00DC429E" w:rsidRPr="0012457E" w14:paraId="011C8705" w14:textId="77777777" w:rsidTr="00DC429E">
        <w:trPr>
          <w:trHeight w:val="382"/>
          <w:tblCellSpacing w:w="15" w:type="dxa"/>
        </w:trPr>
        <w:tc>
          <w:tcPr>
            <w:tcW w:w="0" w:type="auto"/>
            <w:vAlign w:val="center"/>
            <w:hideMark/>
          </w:tcPr>
          <w:p w14:paraId="4AB3F31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Mean</w:t>
            </w:r>
          </w:p>
        </w:tc>
        <w:tc>
          <w:tcPr>
            <w:tcW w:w="0" w:type="auto"/>
            <w:vAlign w:val="center"/>
            <w:hideMark/>
          </w:tcPr>
          <w:p w14:paraId="748099C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68.98</w:t>
            </w:r>
          </w:p>
        </w:tc>
        <w:tc>
          <w:tcPr>
            <w:tcW w:w="0" w:type="auto"/>
            <w:vAlign w:val="center"/>
            <w:hideMark/>
          </w:tcPr>
          <w:p w14:paraId="049790D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3.22</w:t>
            </w:r>
          </w:p>
        </w:tc>
        <w:tc>
          <w:tcPr>
            <w:tcW w:w="0" w:type="auto"/>
            <w:vAlign w:val="center"/>
            <w:hideMark/>
          </w:tcPr>
          <w:p w14:paraId="459BD77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58.97</w:t>
            </w:r>
          </w:p>
        </w:tc>
        <w:tc>
          <w:tcPr>
            <w:tcW w:w="0" w:type="auto"/>
            <w:vAlign w:val="center"/>
            <w:hideMark/>
          </w:tcPr>
          <w:p w14:paraId="06A6419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3.41</w:t>
            </w:r>
          </w:p>
        </w:tc>
        <w:tc>
          <w:tcPr>
            <w:tcW w:w="0" w:type="auto"/>
            <w:vAlign w:val="center"/>
            <w:hideMark/>
          </w:tcPr>
          <w:p w14:paraId="332EB7F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14.30</w:t>
            </w:r>
          </w:p>
        </w:tc>
        <w:tc>
          <w:tcPr>
            <w:tcW w:w="0" w:type="auto"/>
            <w:vAlign w:val="center"/>
            <w:hideMark/>
          </w:tcPr>
          <w:p w14:paraId="22533E9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64.82</w:t>
            </w:r>
          </w:p>
        </w:tc>
        <w:tc>
          <w:tcPr>
            <w:tcW w:w="0" w:type="auto"/>
            <w:vAlign w:val="center"/>
            <w:hideMark/>
          </w:tcPr>
          <w:p w14:paraId="6E95F15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216.37</w:t>
            </w:r>
          </w:p>
        </w:tc>
        <w:tc>
          <w:tcPr>
            <w:tcW w:w="0" w:type="auto"/>
            <w:vAlign w:val="center"/>
            <w:hideMark/>
          </w:tcPr>
          <w:p w14:paraId="09595EF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46.75</w:t>
            </w:r>
          </w:p>
        </w:tc>
        <w:tc>
          <w:tcPr>
            <w:tcW w:w="0" w:type="auto"/>
            <w:vAlign w:val="center"/>
            <w:hideMark/>
          </w:tcPr>
          <w:p w14:paraId="449C1B97"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7.45</w:t>
            </w:r>
          </w:p>
        </w:tc>
        <w:tc>
          <w:tcPr>
            <w:tcW w:w="0" w:type="auto"/>
            <w:vAlign w:val="center"/>
            <w:hideMark/>
          </w:tcPr>
          <w:p w14:paraId="33DB5A1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302.67</w:t>
            </w:r>
          </w:p>
        </w:tc>
      </w:tr>
      <w:tr w:rsidR="00DC429E" w:rsidRPr="0012457E" w14:paraId="424C0FAE" w14:textId="77777777" w:rsidTr="00DC429E">
        <w:trPr>
          <w:trHeight w:val="349"/>
          <w:tblCellSpacing w:w="15" w:type="dxa"/>
        </w:trPr>
        <w:tc>
          <w:tcPr>
            <w:tcW w:w="0" w:type="auto"/>
            <w:vAlign w:val="center"/>
            <w:hideMark/>
          </w:tcPr>
          <w:p w14:paraId="3E7469B0"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proofErr w:type="spellStart"/>
            <w:r w:rsidRPr="0012457E">
              <w:rPr>
                <w:rFonts w:ascii="Times New Roman" w:hAnsi="Times New Roman" w:cs="Times New Roman"/>
                <w:b/>
                <w:bCs/>
                <w:iCs/>
                <w:sz w:val="22"/>
                <w:szCs w:val="22"/>
                <w:lang w:val="en-IN"/>
              </w:rPr>
              <w:t>SEm</w:t>
            </w:r>
            <w:proofErr w:type="spellEnd"/>
            <w:r w:rsidRPr="0012457E">
              <w:rPr>
                <w:rFonts w:ascii="Times New Roman" w:hAnsi="Times New Roman" w:cs="Times New Roman"/>
                <w:b/>
                <w:bCs/>
                <w:iCs/>
                <w:sz w:val="22"/>
                <w:szCs w:val="22"/>
                <w:lang w:val="en-IN"/>
              </w:rPr>
              <w:t xml:space="preserve"> (±)</w:t>
            </w:r>
          </w:p>
        </w:tc>
        <w:tc>
          <w:tcPr>
            <w:tcW w:w="0" w:type="auto"/>
            <w:vAlign w:val="center"/>
            <w:hideMark/>
          </w:tcPr>
          <w:p w14:paraId="1307587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1.46</w:t>
            </w:r>
          </w:p>
        </w:tc>
        <w:tc>
          <w:tcPr>
            <w:tcW w:w="0" w:type="auto"/>
            <w:vAlign w:val="center"/>
            <w:hideMark/>
          </w:tcPr>
          <w:p w14:paraId="1BDA604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0.17</w:t>
            </w:r>
          </w:p>
        </w:tc>
        <w:tc>
          <w:tcPr>
            <w:tcW w:w="0" w:type="auto"/>
            <w:vAlign w:val="center"/>
            <w:hideMark/>
          </w:tcPr>
          <w:p w14:paraId="23ACEF8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2.53</w:t>
            </w:r>
          </w:p>
        </w:tc>
        <w:tc>
          <w:tcPr>
            <w:tcW w:w="0" w:type="auto"/>
            <w:vAlign w:val="center"/>
            <w:hideMark/>
          </w:tcPr>
          <w:p w14:paraId="3C6D85B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0.09</w:t>
            </w:r>
          </w:p>
        </w:tc>
        <w:tc>
          <w:tcPr>
            <w:tcW w:w="0" w:type="auto"/>
            <w:vAlign w:val="center"/>
            <w:hideMark/>
          </w:tcPr>
          <w:p w14:paraId="50B0043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0.31</w:t>
            </w:r>
          </w:p>
        </w:tc>
        <w:tc>
          <w:tcPr>
            <w:tcW w:w="0" w:type="auto"/>
            <w:vAlign w:val="center"/>
            <w:hideMark/>
          </w:tcPr>
          <w:p w14:paraId="0B9D9A8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1.38</w:t>
            </w:r>
          </w:p>
        </w:tc>
        <w:tc>
          <w:tcPr>
            <w:tcW w:w="0" w:type="auto"/>
            <w:vAlign w:val="center"/>
            <w:hideMark/>
          </w:tcPr>
          <w:p w14:paraId="383EE964"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11.35</w:t>
            </w:r>
          </w:p>
        </w:tc>
        <w:tc>
          <w:tcPr>
            <w:tcW w:w="0" w:type="auto"/>
            <w:vAlign w:val="center"/>
            <w:hideMark/>
          </w:tcPr>
          <w:p w14:paraId="608C76D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1.02</w:t>
            </w:r>
          </w:p>
        </w:tc>
        <w:tc>
          <w:tcPr>
            <w:tcW w:w="0" w:type="auto"/>
            <w:vAlign w:val="center"/>
            <w:hideMark/>
          </w:tcPr>
          <w:p w14:paraId="07B739CC"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0.30</w:t>
            </w:r>
          </w:p>
        </w:tc>
        <w:tc>
          <w:tcPr>
            <w:tcW w:w="0" w:type="auto"/>
            <w:vAlign w:val="center"/>
            <w:hideMark/>
          </w:tcPr>
          <w:p w14:paraId="1B3102FB"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12.57</w:t>
            </w:r>
          </w:p>
        </w:tc>
      </w:tr>
      <w:tr w:rsidR="00DC429E" w:rsidRPr="0012457E" w14:paraId="49F25F40" w14:textId="77777777" w:rsidTr="00DC429E">
        <w:trPr>
          <w:trHeight w:val="382"/>
          <w:tblCellSpacing w:w="15" w:type="dxa"/>
        </w:trPr>
        <w:tc>
          <w:tcPr>
            <w:tcW w:w="0" w:type="auto"/>
            <w:vAlign w:val="center"/>
            <w:hideMark/>
          </w:tcPr>
          <w:p w14:paraId="7B025E66"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CV (%)</w:t>
            </w:r>
          </w:p>
        </w:tc>
        <w:tc>
          <w:tcPr>
            <w:tcW w:w="0" w:type="auto"/>
            <w:vAlign w:val="center"/>
            <w:hideMark/>
          </w:tcPr>
          <w:p w14:paraId="24EC673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3.67</w:t>
            </w:r>
          </w:p>
        </w:tc>
        <w:tc>
          <w:tcPr>
            <w:tcW w:w="0" w:type="auto"/>
            <w:vAlign w:val="center"/>
            <w:hideMark/>
          </w:tcPr>
          <w:p w14:paraId="1C41767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9.32</w:t>
            </w:r>
          </w:p>
        </w:tc>
        <w:tc>
          <w:tcPr>
            <w:tcW w:w="0" w:type="auto"/>
            <w:vAlign w:val="center"/>
            <w:hideMark/>
          </w:tcPr>
          <w:p w14:paraId="166B5F65"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7.43</w:t>
            </w:r>
          </w:p>
        </w:tc>
        <w:tc>
          <w:tcPr>
            <w:tcW w:w="0" w:type="auto"/>
            <w:vAlign w:val="center"/>
            <w:hideMark/>
          </w:tcPr>
          <w:p w14:paraId="30377232"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5.00</w:t>
            </w:r>
          </w:p>
        </w:tc>
        <w:tc>
          <w:tcPr>
            <w:tcW w:w="0" w:type="auto"/>
            <w:vAlign w:val="center"/>
            <w:hideMark/>
          </w:tcPr>
          <w:p w14:paraId="5A24AD19"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3.77</w:t>
            </w:r>
          </w:p>
        </w:tc>
        <w:tc>
          <w:tcPr>
            <w:tcW w:w="0" w:type="auto"/>
            <w:vAlign w:val="center"/>
            <w:hideMark/>
          </w:tcPr>
          <w:p w14:paraId="4C11761E"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4.00</w:t>
            </w:r>
          </w:p>
        </w:tc>
        <w:tc>
          <w:tcPr>
            <w:tcW w:w="0" w:type="auto"/>
            <w:vAlign w:val="center"/>
            <w:hideMark/>
          </w:tcPr>
          <w:p w14:paraId="54ED352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10.67</w:t>
            </w:r>
          </w:p>
        </w:tc>
        <w:tc>
          <w:tcPr>
            <w:tcW w:w="0" w:type="auto"/>
            <w:vAlign w:val="center"/>
            <w:hideMark/>
          </w:tcPr>
          <w:p w14:paraId="2B1D650D"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3.91</w:t>
            </w:r>
          </w:p>
        </w:tc>
        <w:tc>
          <w:tcPr>
            <w:tcW w:w="0" w:type="auto"/>
            <w:vAlign w:val="center"/>
            <w:hideMark/>
          </w:tcPr>
          <w:p w14:paraId="21BA6091"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7.06</w:t>
            </w:r>
          </w:p>
        </w:tc>
        <w:tc>
          <w:tcPr>
            <w:tcW w:w="0" w:type="auto"/>
            <w:vAlign w:val="center"/>
            <w:hideMark/>
          </w:tcPr>
          <w:p w14:paraId="0617610A" w14:textId="77777777" w:rsidR="00DC429E" w:rsidRPr="0012457E" w:rsidRDefault="00DC429E" w:rsidP="00300EEC">
            <w:pPr>
              <w:pStyle w:val="BodyText"/>
              <w:spacing w:before="8" w:line="360" w:lineRule="auto"/>
              <w:jc w:val="both"/>
              <w:rPr>
                <w:rFonts w:ascii="Times New Roman" w:hAnsi="Times New Roman" w:cs="Times New Roman"/>
                <w:bCs/>
                <w:iCs/>
                <w:sz w:val="22"/>
                <w:szCs w:val="22"/>
                <w:lang w:val="en-IN"/>
              </w:rPr>
            </w:pPr>
            <w:r w:rsidRPr="0012457E">
              <w:rPr>
                <w:rFonts w:ascii="Times New Roman" w:hAnsi="Times New Roman" w:cs="Times New Roman"/>
                <w:b/>
                <w:bCs/>
                <w:iCs/>
                <w:sz w:val="22"/>
                <w:szCs w:val="22"/>
                <w:lang w:val="en-IN"/>
              </w:rPr>
              <w:t>7.27</w:t>
            </w:r>
          </w:p>
        </w:tc>
      </w:tr>
    </w:tbl>
    <w:p w14:paraId="723CF0F0" w14:textId="77777777" w:rsidR="00DC429E" w:rsidRPr="0012457E" w:rsidRDefault="00DC429E" w:rsidP="00300EEC">
      <w:pPr>
        <w:spacing w:line="360" w:lineRule="auto"/>
        <w:jc w:val="both"/>
        <w:rPr>
          <w:rFonts w:ascii="Times New Roman" w:hAnsi="Times New Roman" w:cs="Times New Roman"/>
        </w:rPr>
      </w:pPr>
    </w:p>
    <w:p w14:paraId="26F42D76" w14:textId="77777777" w:rsidR="00BB1BBE" w:rsidRPr="0012457E" w:rsidRDefault="00BB1BBE" w:rsidP="00BB1BBE">
      <w:pPr>
        <w:spacing w:before="100" w:beforeAutospacing="1" w:after="100" w:afterAutospacing="1"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b/>
          <w:bCs/>
          <w:kern w:val="0"/>
          <w:sz w:val="24"/>
          <w:szCs w:val="24"/>
          <w:lang w:eastAsia="en-IN"/>
        </w:rPr>
        <w:t>Table 3. Estimates of Mean, Range, Genotypic Coefficient of Variation (GCV), Phenotypic Coefficient of Variation (PCV), Heritability (Broad Sense), Genetic Advance (GA), and Genetic Advance as Percent of Mean (GAM) for Ten Quantitative Traits in Pearl Millet (</w:t>
      </w:r>
      <w:r w:rsidRPr="0012457E">
        <w:rPr>
          <w:rFonts w:ascii="Times New Roman" w:eastAsia="Times New Roman" w:hAnsi="Times New Roman" w:cs="Times New Roman"/>
          <w:b/>
          <w:bCs/>
          <w:i/>
          <w:iCs/>
          <w:kern w:val="0"/>
          <w:sz w:val="24"/>
          <w:szCs w:val="24"/>
          <w:lang w:eastAsia="en-IN"/>
        </w:rPr>
        <w:t>Pennisetum glaucum</w:t>
      </w:r>
      <w:r w:rsidRPr="0012457E">
        <w:rPr>
          <w:rFonts w:ascii="Times New Roman" w:eastAsia="Times New Roman" w:hAnsi="Times New Roman" w:cs="Times New Roman"/>
          <w:b/>
          <w:bCs/>
          <w:kern w:val="0"/>
          <w:sz w:val="24"/>
          <w:szCs w:val="24"/>
          <w:lang w:eastAsia="en-IN"/>
        </w:rPr>
        <w:t xml:space="preserve"> (L.) R. Br.)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2"/>
        <w:gridCol w:w="1146"/>
        <w:gridCol w:w="1195"/>
        <w:gridCol w:w="823"/>
        <w:gridCol w:w="844"/>
        <w:gridCol w:w="1507"/>
        <w:gridCol w:w="600"/>
        <w:gridCol w:w="909"/>
      </w:tblGrid>
      <w:tr w:rsidR="00BB1BBE" w:rsidRPr="0012457E" w14:paraId="48AE9FB3" w14:textId="77777777">
        <w:trPr>
          <w:tblHeader/>
          <w:tblCellSpacing w:w="15" w:type="dxa"/>
        </w:trPr>
        <w:tc>
          <w:tcPr>
            <w:tcW w:w="0" w:type="auto"/>
            <w:vAlign w:val="center"/>
            <w:hideMark/>
          </w:tcPr>
          <w:p w14:paraId="0080CE87" w14:textId="77777777" w:rsidR="00BB1BBE" w:rsidRPr="0012457E" w:rsidRDefault="00BB1BBE" w:rsidP="00BB1BBE">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Character</w:t>
            </w:r>
          </w:p>
        </w:tc>
        <w:tc>
          <w:tcPr>
            <w:tcW w:w="0" w:type="auto"/>
            <w:vAlign w:val="center"/>
            <w:hideMark/>
          </w:tcPr>
          <w:p w14:paraId="687FCF88" w14:textId="77777777" w:rsidR="00BB1BBE" w:rsidRPr="0012457E" w:rsidRDefault="00BB1BBE" w:rsidP="00BB1BBE">
            <w:pPr>
              <w:spacing w:after="0" w:line="240" w:lineRule="auto"/>
              <w:jc w:val="right"/>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Mean ± SE</w:t>
            </w:r>
          </w:p>
        </w:tc>
        <w:tc>
          <w:tcPr>
            <w:tcW w:w="0" w:type="auto"/>
            <w:vAlign w:val="center"/>
            <w:hideMark/>
          </w:tcPr>
          <w:p w14:paraId="0A4980FB" w14:textId="77777777" w:rsidR="00BB1BBE" w:rsidRPr="0012457E" w:rsidRDefault="00BB1BBE" w:rsidP="00BB1BBE">
            <w:pPr>
              <w:spacing w:after="0" w:line="240" w:lineRule="auto"/>
              <w:jc w:val="center"/>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Range</w:t>
            </w:r>
          </w:p>
        </w:tc>
        <w:tc>
          <w:tcPr>
            <w:tcW w:w="0" w:type="auto"/>
            <w:vAlign w:val="center"/>
            <w:hideMark/>
          </w:tcPr>
          <w:p w14:paraId="40E5E3B1" w14:textId="77777777" w:rsidR="00BB1BBE" w:rsidRPr="0012457E" w:rsidRDefault="00BB1BBE" w:rsidP="00BB1BBE">
            <w:pPr>
              <w:spacing w:after="0" w:line="240" w:lineRule="auto"/>
              <w:jc w:val="right"/>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PCV (%)</w:t>
            </w:r>
          </w:p>
        </w:tc>
        <w:tc>
          <w:tcPr>
            <w:tcW w:w="0" w:type="auto"/>
            <w:vAlign w:val="center"/>
            <w:hideMark/>
          </w:tcPr>
          <w:p w14:paraId="4E5CD438" w14:textId="77777777" w:rsidR="00BB1BBE" w:rsidRPr="0012457E" w:rsidRDefault="00BB1BBE" w:rsidP="00BB1BBE">
            <w:pPr>
              <w:spacing w:after="0" w:line="240" w:lineRule="auto"/>
              <w:jc w:val="right"/>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GCV (%)</w:t>
            </w:r>
          </w:p>
        </w:tc>
        <w:tc>
          <w:tcPr>
            <w:tcW w:w="0" w:type="auto"/>
            <w:vAlign w:val="center"/>
            <w:hideMark/>
          </w:tcPr>
          <w:p w14:paraId="5A4636CB" w14:textId="77777777" w:rsidR="00BB1BBE" w:rsidRPr="0012457E" w:rsidRDefault="00BB1BBE" w:rsidP="00BB1BBE">
            <w:pPr>
              <w:spacing w:after="0" w:line="240" w:lineRule="auto"/>
              <w:jc w:val="right"/>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Heritability (%)</w:t>
            </w:r>
          </w:p>
        </w:tc>
        <w:tc>
          <w:tcPr>
            <w:tcW w:w="0" w:type="auto"/>
            <w:vAlign w:val="center"/>
            <w:hideMark/>
          </w:tcPr>
          <w:p w14:paraId="52B0EA67" w14:textId="77777777" w:rsidR="00BB1BBE" w:rsidRPr="0012457E" w:rsidRDefault="00BB1BBE" w:rsidP="00BB1BBE">
            <w:pPr>
              <w:spacing w:after="0" w:line="240" w:lineRule="auto"/>
              <w:jc w:val="right"/>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GA</w:t>
            </w:r>
          </w:p>
        </w:tc>
        <w:tc>
          <w:tcPr>
            <w:tcW w:w="0" w:type="auto"/>
            <w:vAlign w:val="center"/>
            <w:hideMark/>
          </w:tcPr>
          <w:p w14:paraId="681D5765" w14:textId="77777777" w:rsidR="00BB1BBE" w:rsidRPr="0012457E" w:rsidRDefault="00BB1BBE" w:rsidP="00BB1BBE">
            <w:pPr>
              <w:spacing w:after="0" w:line="240" w:lineRule="auto"/>
              <w:jc w:val="right"/>
              <w:rPr>
                <w:rFonts w:ascii="Times New Roman" w:eastAsia="Times New Roman" w:hAnsi="Times New Roman" w:cs="Times New Roman"/>
                <w:b/>
                <w:bCs/>
                <w:kern w:val="0"/>
                <w:sz w:val="24"/>
                <w:szCs w:val="24"/>
                <w:lang w:eastAsia="en-IN"/>
              </w:rPr>
            </w:pPr>
            <w:r w:rsidRPr="0012457E">
              <w:rPr>
                <w:rFonts w:ascii="Times New Roman" w:eastAsia="Times New Roman" w:hAnsi="Times New Roman" w:cs="Times New Roman"/>
                <w:b/>
                <w:bCs/>
                <w:kern w:val="0"/>
                <w:sz w:val="24"/>
                <w:szCs w:val="24"/>
                <w:lang w:eastAsia="en-IN"/>
              </w:rPr>
              <w:t>GAM (%)</w:t>
            </w:r>
          </w:p>
        </w:tc>
      </w:tr>
      <w:tr w:rsidR="00BB1BBE" w:rsidRPr="0012457E" w14:paraId="4FED8586" w14:textId="77777777">
        <w:trPr>
          <w:tblCellSpacing w:w="15" w:type="dxa"/>
        </w:trPr>
        <w:tc>
          <w:tcPr>
            <w:tcW w:w="0" w:type="auto"/>
            <w:vAlign w:val="center"/>
            <w:hideMark/>
          </w:tcPr>
          <w:p w14:paraId="6E315FFB"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Days to 50% flowering</w:t>
            </w:r>
          </w:p>
        </w:tc>
        <w:tc>
          <w:tcPr>
            <w:tcW w:w="0" w:type="auto"/>
            <w:vAlign w:val="center"/>
            <w:hideMark/>
          </w:tcPr>
          <w:p w14:paraId="773C04BC"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68.98 ± 1.46</w:t>
            </w:r>
          </w:p>
        </w:tc>
        <w:tc>
          <w:tcPr>
            <w:tcW w:w="0" w:type="auto"/>
            <w:vAlign w:val="center"/>
            <w:hideMark/>
          </w:tcPr>
          <w:p w14:paraId="548E9782"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61.33–83.00</w:t>
            </w:r>
          </w:p>
        </w:tc>
        <w:tc>
          <w:tcPr>
            <w:tcW w:w="0" w:type="auto"/>
            <w:vAlign w:val="center"/>
            <w:hideMark/>
          </w:tcPr>
          <w:p w14:paraId="7D572FC3"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8.10</w:t>
            </w:r>
          </w:p>
        </w:tc>
        <w:tc>
          <w:tcPr>
            <w:tcW w:w="0" w:type="auto"/>
            <w:vAlign w:val="center"/>
            <w:hideMark/>
          </w:tcPr>
          <w:p w14:paraId="14D04E5E"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7.22</w:t>
            </w:r>
          </w:p>
        </w:tc>
        <w:tc>
          <w:tcPr>
            <w:tcW w:w="0" w:type="auto"/>
            <w:vAlign w:val="center"/>
            <w:hideMark/>
          </w:tcPr>
          <w:p w14:paraId="165B2FD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79.40</w:t>
            </w:r>
          </w:p>
        </w:tc>
        <w:tc>
          <w:tcPr>
            <w:tcW w:w="0" w:type="auto"/>
            <w:vAlign w:val="center"/>
            <w:hideMark/>
          </w:tcPr>
          <w:p w14:paraId="4345F2DD"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9.14</w:t>
            </w:r>
          </w:p>
        </w:tc>
        <w:tc>
          <w:tcPr>
            <w:tcW w:w="0" w:type="auto"/>
            <w:vAlign w:val="center"/>
            <w:hideMark/>
          </w:tcPr>
          <w:p w14:paraId="6D82D9E1"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13.25</w:t>
            </w:r>
          </w:p>
        </w:tc>
      </w:tr>
      <w:tr w:rsidR="00BB1BBE" w:rsidRPr="0012457E" w14:paraId="4EE62B49" w14:textId="77777777">
        <w:trPr>
          <w:tblCellSpacing w:w="15" w:type="dxa"/>
        </w:trPr>
        <w:tc>
          <w:tcPr>
            <w:tcW w:w="0" w:type="auto"/>
            <w:vAlign w:val="center"/>
            <w:hideMark/>
          </w:tcPr>
          <w:p w14:paraId="66283806"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Number of tillers plant⁻¹</w:t>
            </w:r>
          </w:p>
        </w:tc>
        <w:tc>
          <w:tcPr>
            <w:tcW w:w="0" w:type="auto"/>
            <w:vAlign w:val="center"/>
            <w:hideMark/>
          </w:tcPr>
          <w:p w14:paraId="2FFA2FEC"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3.22 ± 0.17</w:t>
            </w:r>
          </w:p>
        </w:tc>
        <w:tc>
          <w:tcPr>
            <w:tcW w:w="0" w:type="auto"/>
            <w:vAlign w:val="center"/>
            <w:hideMark/>
          </w:tcPr>
          <w:p w14:paraId="2C0D403C"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1.58–3.90</w:t>
            </w:r>
          </w:p>
        </w:tc>
        <w:tc>
          <w:tcPr>
            <w:tcW w:w="0" w:type="auto"/>
            <w:vAlign w:val="center"/>
            <w:hideMark/>
          </w:tcPr>
          <w:p w14:paraId="13660CED"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16.09</w:t>
            </w:r>
          </w:p>
        </w:tc>
        <w:tc>
          <w:tcPr>
            <w:tcW w:w="0" w:type="auto"/>
            <w:vAlign w:val="center"/>
            <w:hideMark/>
          </w:tcPr>
          <w:p w14:paraId="4D0A8C61"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13.11</w:t>
            </w:r>
          </w:p>
        </w:tc>
        <w:tc>
          <w:tcPr>
            <w:tcW w:w="0" w:type="auto"/>
            <w:vAlign w:val="center"/>
            <w:hideMark/>
          </w:tcPr>
          <w:p w14:paraId="28B84C7E"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66.43</w:t>
            </w:r>
          </w:p>
        </w:tc>
        <w:tc>
          <w:tcPr>
            <w:tcW w:w="0" w:type="auto"/>
            <w:vAlign w:val="center"/>
            <w:hideMark/>
          </w:tcPr>
          <w:p w14:paraId="415B3CC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0.71</w:t>
            </w:r>
          </w:p>
        </w:tc>
        <w:tc>
          <w:tcPr>
            <w:tcW w:w="0" w:type="auto"/>
            <w:vAlign w:val="center"/>
            <w:hideMark/>
          </w:tcPr>
          <w:p w14:paraId="6437E201"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22.03</w:t>
            </w:r>
          </w:p>
        </w:tc>
      </w:tr>
      <w:tr w:rsidR="00BB1BBE" w:rsidRPr="0012457E" w14:paraId="6286DF43" w14:textId="77777777">
        <w:trPr>
          <w:tblCellSpacing w:w="15" w:type="dxa"/>
        </w:trPr>
        <w:tc>
          <w:tcPr>
            <w:tcW w:w="0" w:type="auto"/>
            <w:vAlign w:val="center"/>
            <w:hideMark/>
          </w:tcPr>
          <w:p w14:paraId="6F177113"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Leaf length (cm)</w:t>
            </w:r>
          </w:p>
        </w:tc>
        <w:tc>
          <w:tcPr>
            <w:tcW w:w="0" w:type="auto"/>
            <w:vAlign w:val="center"/>
            <w:hideMark/>
          </w:tcPr>
          <w:p w14:paraId="7159D2C5"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58.97 ± 2.53</w:t>
            </w:r>
          </w:p>
        </w:tc>
        <w:tc>
          <w:tcPr>
            <w:tcW w:w="0" w:type="auto"/>
            <w:vAlign w:val="center"/>
            <w:hideMark/>
          </w:tcPr>
          <w:p w14:paraId="1DF7CCED"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41.48–73.58</w:t>
            </w:r>
          </w:p>
        </w:tc>
        <w:tc>
          <w:tcPr>
            <w:tcW w:w="0" w:type="auto"/>
            <w:vAlign w:val="center"/>
            <w:hideMark/>
          </w:tcPr>
          <w:p w14:paraId="467D4F3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15.01</w:t>
            </w:r>
          </w:p>
        </w:tc>
        <w:tc>
          <w:tcPr>
            <w:tcW w:w="0" w:type="auto"/>
            <w:vAlign w:val="center"/>
            <w:hideMark/>
          </w:tcPr>
          <w:p w14:paraId="50554793"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13.12</w:t>
            </w:r>
          </w:p>
        </w:tc>
        <w:tc>
          <w:tcPr>
            <w:tcW w:w="0" w:type="auto"/>
            <w:vAlign w:val="center"/>
            <w:hideMark/>
          </w:tcPr>
          <w:p w14:paraId="72A7B4A1"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75.67</w:t>
            </w:r>
          </w:p>
        </w:tc>
        <w:tc>
          <w:tcPr>
            <w:tcW w:w="0" w:type="auto"/>
            <w:vAlign w:val="center"/>
            <w:hideMark/>
          </w:tcPr>
          <w:p w14:paraId="26C989B6"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13.86</w:t>
            </w:r>
          </w:p>
        </w:tc>
        <w:tc>
          <w:tcPr>
            <w:tcW w:w="0" w:type="auto"/>
            <w:vAlign w:val="center"/>
            <w:hideMark/>
          </w:tcPr>
          <w:p w14:paraId="1CB4E376"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23.50</w:t>
            </w:r>
          </w:p>
        </w:tc>
      </w:tr>
      <w:tr w:rsidR="00BB1BBE" w:rsidRPr="0012457E" w14:paraId="5FEB1E7A" w14:textId="77777777">
        <w:trPr>
          <w:tblCellSpacing w:w="15" w:type="dxa"/>
        </w:trPr>
        <w:tc>
          <w:tcPr>
            <w:tcW w:w="0" w:type="auto"/>
            <w:vAlign w:val="center"/>
            <w:hideMark/>
          </w:tcPr>
          <w:p w14:paraId="6B2FEC6C"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Leaf width (cm)</w:t>
            </w:r>
          </w:p>
        </w:tc>
        <w:tc>
          <w:tcPr>
            <w:tcW w:w="0" w:type="auto"/>
            <w:vAlign w:val="center"/>
            <w:hideMark/>
          </w:tcPr>
          <w:p w14:paraId="288DD855"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3.41 ± 0.09</w:t>
            </w:r>
          </w:p>
        </w:tc>
        <w:tc>
          <w:tcPr>
            <w:tcW w:w="0" w:type="auto"/>
            <w:vAlign w:val="center"/>
            <w:hideMark/>
          </w:tcPr>
          <w:p w14:paraId="64B0FA56"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2.15–3.88</w:t>
            </w:r>
          </w:p>
        </w:tc>
        <w:tc>
          <w:tcPr>
            <w:tcW w:w="0" w:type="auto"/>
            <w:vAlign w:val="center"/>
            <w:hideMark/>
          </w:tcPr>
          <w:p w14:paraId="74809DB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11.13</w:t>
            </w:r>
          </w:p>
        </w:tc>
        <w:tc>
          <w:tcPr>
            <w:tcW w:w="0" w:type="auto"/>
            <w:vAlign w:val="center"/>
            <w:hideMark/>
          </w:tcPr>
          <w:p w14:paraId="052E7116"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9.94</w:t>
            </w:r>
          </w:p>
        </w:tc>
        <w:tc>
          <w:tcPr>
            <w:tcW w:w="0" w:type="auto"/>
            <w:vAlign w:val="center"/>
            <w:hideMark/>
          </w:tcPr>
          <w:p w14:paraId="61B50E1D"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79.77</w:t>
            </w:r>
          </w:p>
        </w:tc>
        <w:tc>
          <w:tcPr>
            <w:tcW w:w="0" w:type="auto"/>
            <w:vAlign w:val="center"/>
            <w:hideMark/>
          </w:tcPr>
          <w:p w14:paraId="79EB666B"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0.62</w:t>
            </w:r>
          </w:p>
        </w:tc>
        <w:tc>
          <w:tcPr>
            <w:tcW w:w="0" w:type="auto"/>
            <w:vAlign w:val="center"/>
            <w:hideMark/>
          </w:tcPr>
          <w:p w14:paraId="56C508B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18.29</w:t>
            </w:r>
          </w:p>
        </w:tc>
      </w:tr>
      <w:tr w:rsidR="00BB1BBE" w:rsidRPr="0012457E" w14:paraId="0286042E" w14:textId="77777777">
        <w:trPr>
          <w:tblCellSpacing w:w="15" w:type="dxa"/>
        </w:trPr>
        <w:tc>
          <w:tcPr>
            <w:tcW w:w="0" w:type="auto"/>
            <w:vAlign w:val="center"/>
            <w:hideMark/>
          </w:tcPr>
          <w:p w14:paraId="59FD26A7"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Grain yield plant⁻¹ (g)</w:t>
            </w:r>
          </w:p>
        </w:tc>
        <w:tc>
          <w:tcPr>
            <w:tcW w:w="0" w:type="auto"/>
            <w:vAlign w:val="center"/>
            <w:hideMark/>
          </w:tcPr>
          <w:p w14:paraId="5FC0C9EE"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14.30 ± 0.31</w:t>
            </w:r>
          </w:p>
        </w:tc>
        <w:tc>
          <w:tcPr>
            <w:tcW w:w="0" w:type="auto"/>
            <w:vAlign w:val="center"/>
            <w:hideMark/>
          </w:tcPr>
          <w:p w14:paraId="020F9392"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8.42–18.93</w:t>
            </w:r>
          </w:p>
        </w:tc>
        <w:tc>
          <w:tcPr>
            <w:tcW w:w="0" w:type="auto"/>
            <w:vAlign w:val="center"/>
            <w:hideMark/>
          </w:tcPr>
          <w:p w14:paraId="2A9CEEEE"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20.70</w:t>
            </w:r>
          </w:p>
        </w:tc>
        <w:tc>
          <w:tcPr>
            <w:tcW w:w="0" w:type="auto"/>
            <w:vAlign w:val="center"/>
            <w:hideMark/>
          </w:tcPr>
          <w:p w14:paraId="6186DE5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20.36</w:t>
            </w:r>
          </w:p>
        </w:tc>
        <w:tc>
          <w:tcPr>
            <w:tcW w:w="0" w:type="auto"/>
            <w:vAlign w:val="center"/>
            <w:hideMark/>
          </w:tcPr>
          <w:p w14:paraId="0E0D14E4"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96.66</w:t>
            </w:r>
          </w:p>
        </w:tc>
        <w:tc>
          <w:tcPr>
            <w:tcW w:w="0" w:type="auto"/>
            <w:vAlign w:val="center"/>
            <w:hideMark/>
          </w:tcPr>
          <w:p w14:paraId="26E71B6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5.89</w:t>
            </w:r>
          </w:p>
        </w:tc>
        <w:tc>
          <w:tcPr>
            <w:tcW w:w="0" w:type="auto"/>
            <w:vAlign w:val="center"/>
            <w:hideMark/>
          </w:tcPr>
          <w:p w14:paraId="0B1367E9"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41.23</w:t>
            </w:r>
          </w:p>
        </w:tc>
      </w:tr>
      <w:tr w:rsidR="00BB1BBE" w:rsidRPr="0012457E" w14:paraId="7CCAC8B9" w14:textId="77777777">
        <w:trPr>
          <w:tblCellSpacing w:w="15" w:type="dxa"/>
        </w:trPr>
        <w:tc>
          <w:tcPr>
            <w:tcW w:w="0" w:type="auto"/>
            <w:vAlign w:val="center"/>
            <w:hideMark/>
          </w:tcPr>
          <w:p w14:paraId="6A5B0478"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lastRenderedPageBreak/>
              <w:t>Dry matter yield plant⁻¹ (g)</w:t>
            </w:r>
          </w:p>
        </w:tc>
        <w:tc>
          <w:tcPr>
            <w:tcW w:w="0" w:type="auto"/>
            <w:vAlign w:val="center"/>
            <w:hideMark/>
          </w:tcPr>
          <w:p w14:paraId="40C74C6F"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59.70 ± 1.38</w:t>
            </w:r>
          </w:p>
        </w:tc>
        <w:tc>
          <w:tcPr>
            <w:tcW w:w="0" w:type="auto"/>
            <w:vAlign w:val="center"/>
            <w:hideMark/>
          </w:tcPr>
          <w:p w14:paraId="38CC0AD4"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43.65–76.44</w:t>
            </w:r>
          </w:p>
        </w:tc>
        <w:tc>
          <w:tcPr>
            <w:tcW w:w="0" w:type="auto"/>
            <w:vAlign w:val="center"/>
            <w:hideMark/>
          </w:tcPr>
          <w:p w14:paraId="06C82BF4"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14.18</w:t>
            </w:r>
          </w:p>
        </w:tc>
        <w:tc>
          <w:tcPr>
            <w:tcW w:w="0" w:type="auto"/>
            <w:vAlign w:val="center"/>
            <w:hideMark/>
          </w:tcPr>
          <w:p w14:paraId="484AE75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13.60</w:t>
            </w:r>
          </w:p>
        </w:tc>
        <w:tc>
          <w:tcPr>
            <w:tcW w:w="0" w:type="auto"/>
            <w:vAlign w:val="center"/>
            <w:hideMark/>
          </w:tcPr>
          <w:p w14:paraId="7C98C053"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92.00</w:t>
            </w:r>
          </w:p>
        </w:tc>
        <w:tc>
          <w:tcPr>
            <w:tcW w:w="0" w:type="auto"/>
            <w:vAlign w:val="center"/>
            <w:hideMark/>
          </w:tcPr>
          <w:p w14:paraId="0B172F4F"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16.04</w:t>
            </w:r>
          </w:p>
        </w:tc>
        <w:tc>
          <w:tcPr>
            <w:tcW w:w="0" w:type="auto"/>
            <w:vAlign w:val="center"/>
            <w:hideMark/>
          </w:tcPr>
          <w:p w14:paraId="137EA69E"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26.87</w:t>
            </w:r>
          </w:p>
        </w:tc>
      </w:tr>
      <w:tr w:rsidR="00BB1BBE" w:rsidRPr="0012457E" w14:paraId="1ED0F4FE" w14:textId="77777777">
        <w:trPr>
          <w:tblCellSpacing w:w="15" w:type="dxa"/>
        </w:trPr>
        <w:tc>
          <w:tcPr>
            <w:tcW w:w="0" w:type="auto"/>
            <w:vAlign w:val="center"/>
            <w:hideMark/>
          </w:tcPr>
          <w:p w14:paraId="0A834C6F"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Plant height (cm)</w:t>
            </w:r>
          </w:p>
        </w:tc>
        <w:tc>
          <w:tcPr>
            <w:tcW w:w="0" w:type="auto"/>
            <w:vAlign w:val="center"/>
            <w:hideMark/>
          </w:tcPr>
          <w:p w14:paraId="6A17EF1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184.01 ± 11.35</w:t>
            </w:r>
          </w:p>
        </w:tc>
        <w:tc>
          <w:tcPr>
            <w:tcW w:w="0" w:type="auto"/>
            <w:vAlign w:val="center"/>
            <w:hideMark/>
          </w:tcPr>
          <w:p w14:paraId="333C9BCD"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106.04–219.90</w:t>
            </w:r>
          </w:p>
        </w:tc>
        <w:tc>
          <w:tcPr>
            <w:tcW w:w="0" w:type="auto"/>
            <w:vAlign w:val="center"/>
            <w:hideMark/>
          </w:tcPr>
          <w:p w14:paraId="3731DBC5"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21.13</w:t>
            </w:r>
          </w:p>
        </w:tc>
        <w:tc>
          <w:tcPr>
            <w:tcW w:w="0" w:type="auto"/>
            <w:vAlign w:val="center"/>
            <w:hideMark/>
          </w:tcPr>
          <w:p w14:paraId="0EC8D54F"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18.22</w:t>
            </w:r>
          </w:p>
        </w:tc>
        <w:tc>
          <w:tcPr>
            <w:tcW w:w="0" w:type="auto"/>
            <w:vAlign w:val="center"/>
            <w:hideMark/>
          </w:tcPr>
          <w:p w14:paraId="49ABE8C7"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74.39</w:t>
            </w:r>
          </w:p>
        </w:tc>
        <w:tc>
          <w:tcPr>
            <w:tcW w:w="0" w:type="auto"/>
            <w:vAlign w:val="center"/>
            <w:hideMark/>
          </w:tcPr>
          <w:p w14:paraId="630DF328"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59.58</w:t>
            </w:r>
          </w:p>
        </w:tc>
        <w:tc>
          <w:tcPr>
            <w:tcW w:w="0" w:type="auto"/>
            <w:vAlign w:val="center"/>
            <w:hideMark/>
          </w:tcPr>
          <w:p w14:paraId="29362FB5"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32.38</w:t>
            </w:r>
          </w:p>
        </w:tc>
      </w:tr>
      <w:tr w:rsidR="00BB1BBE" w:rsidRPr="0012457E" w14:paraId="6B4BF4EB" w14:textId="77777777">
        <w:trPr>
          <w:tblCellSpacing w:w="15" w:type="dxa"/>
        </w:trPr>
        <w:tc>
          <w:tcPr>
            <w:tcW w:w="0" w:type="auto"/>
            <w:vAlign w:val="center"/>
            <w:hideMark/>
          </w:tcPr>
          <w:p w14:paraId="51537DA1"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Panicle length (cm)</w:t>
            </w:r>
          </w:p>
        </w:tc>
        <w:tc>
          <w:tcPr>
            <w:tcW w:w="0" w:type="auto"/>
            <w:vAlign w:val="center"/>
            <w:hideMark/>
          </w:tcPr>
          <w:p w14:paraId="0B075CA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45.28 ± 1.02</w:t>
            </w:r>
          </w:p>
        </w:tc>
        <w:tc>
          <w:tcPr>
            <w:tcW w:w="0" w:type="auto"/>
            <w:vAlign w:val="center"/>
            <w:hideMark/>
          </w:tcPr>
          <w:p w14:paraId="347A8AB3"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26.42–58.04</w:t>
            </w:r>
          </w:p>
        </w:tc>
        <w:tc>
          <w:tcPr>
            <w:tcW w:w="0" w:type="auto"/>
            <w:vAlign w:val="center"/>
            <w:hideMark/>
          </w:tcPr>
          <w:p w14:paraId="5C27BD8E"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19.27</w:t>
            </w:r>
          </w:p>
        </w:tc>
        <w:tc>
          <w:tcPr>
            <w:tcW w:w="0" w:type="auto"/>
            <w:vAlign w:val="center"/>
            <w:hideMark/>
          </w:tcPr>
          <w:p w14:paraId="7B9FEA31"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18.87</w:t>
            </w:r>
          </w:p>
        </w:tc>
        <w:tc>
          <w:tcPr>
            <w:tcW w:w="0" w:type="auto"/>
            <w:vAlign w:val="center"/>
            <w:hideMark/>
          </w:tcPr>
          <w:p w14:paraId="40E8527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95.88</w:t>
            </w:r>
          </w:p>
        </w:tc>
        <w:tc>
          <w:tcPr>
            <w:tcW w:w="0" w:type="auto"/>
            <w:vAlign w:val="center"/>
            <w:hideMark/>
          </w:tcPr>
          <w:p w14:paraId="2BAF574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17.23</w:t>
            </w:r>
          </w:p>
        </w:tc>
        <w:tc>
          <w:tcPr>
            <w:tcW w:w="0" w:type="auto"/>
            <w:vAlign w:val="center"/>
            <w:hideMark/>
          </w:tcPr>
          <w:p w14:paraId="00B2ED73"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38.05</w:t>
            </w:r>
          </w:p>
        </w:tc>
      </w:tr>
      <w:tr w:rsidR="00BB1BBE" w:rsidRPr="0012457E" w14:paraId="35BD7F52" w14:textId="77777777">
        <w:trPr>
          <w:tblCellSpacing w:w="15" w:type="dxa"/>
        </w:trPr>
        <w:tc>
          <w:tcPr>
            <w:tcW w:w="0" w:type="auto"/>
            <w:vAlign w:val="center"/>
            <w:hideMark/>
          </w:tcPr>
          <w:p w14:paraId="5BFFD8A7"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1000-grain weight (g)</w:t>
            </w:r>
          </w:p>
        </w:tc>
        <w:tc>
          <w:tcPr>
            <w:tcW w:w="0" w:type="auto"/>
            <w:vAlign w:val="center"/>
            <w:hideMark/>
          </w:tcPr>
          <w:p w14:paraId="012758A9"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7.52 ± 0.30</w:t>
            </w:r>
          </w:p>
        </w:tc>
        <w:tc>
          <w:tcPr>
            <w:tcW w:w="0" w:type="auto"/>
            <w:vAlign w:val="center"/>
            <w:hideMark/>
          </w:tcPr>
          <w:p w14:paraId="5D8104A3"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6.25–9.70</w:t>
            </w:r>
          </w:p>
        </w:tc>
        <w:tc>
          <w:tcPr>
            <w:tcW w:w="0" w:type="auto"/>
            <w:vAlign w:val="center"/>
            <w:hideMark/>
          </w:tcPr>
          <w:p w14:paraId="399BD8BA"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12.39</w:t>
            </w:r>
          </w:p>
        </w:tc>
        <w:tc>
          <w:tcPr>
            <w:tcW w:w="0" w:type="auto"/>
            <w:vAlign w:val="center"/>
            <w:hideMark/>
          </w:tcPr>
          <w:p w14:paraId="2AD63203"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10.18</w:t>
            </w:r>
          </w:p>
        </w:tc>
        <w:tc>
          <w:tcPr>
            <w:tcW w:w="0" w:type="auto"/>
            <w:vAlign w:val="center"/>
            <w:hideMark/>
          </w:tcPr>
          <w:p w14:paraId="764959C7"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67.51</w:t>
            </w:r>
          </w:p>
        </w:tc>
        <w:tc>
          <w:tcPr>
            <w:tcW w:w="0" w:type="auto"/>
            <w:vAlign w:val="center"/>
            <w:hideMark/>
          </w:tcPr>
          <w:p w14:paraId="77062C70"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1.29</w:t>
            </w:r>
          </w:p>
        </w:tc>
        <w:tc>
          <w:tcPr>
            <w:tcW w:w="0" w:type="auto"/>
            <w:vAlign w:val="center"/>
            <w:hideMark/>
          </w:tcPr>
          <w:p w14:paraId="42E3BC59"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17.23</w:t>
            </w:r>
          </w:p>
        </w:tc>
      </w:tr>
      <w:tr w:rsidR="00BB1BBE" w:rsidRPr="0012457E" w14:paraId="1251A221" w14:textId="77777777">
        <w:trPr>
          <w:tblCellSpacing w:w="15" w:type="dxa"/>
        </w:trPr>
        <w:tc>
          <w:tcPr>
            <w:tcW w:w="0" w:type="auto"/>
            <w:vAlign w:val="center"/>
            <w:hideMark/>
          </w:tcPr>
          <w:p w14:paraId="41CA303A" w14:textId="77777777" w:rsidR="00BB1BBE" w:rsidRPr="0012457E" w:rsidRDefault="00BB1BBE" w:rsidP="00BB1BBE">
            <w:pPr>
              <w:spacing w:after="0"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Green fodder yield plant⁻¹ (g)</w:t>
            </w:r>
          </w:p>
        </w:tc>
        <w:tc>
          <w:tcPr>
            <w:tcW w:w="0" w:type="auto"/>
            <w:vAlign w:val="center"/>
            <w:hideMark/>
          </w:tcPr>
          <w:p w14:paraId="04A8E6D5"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299.34 ± 2.51</w:t>
            </w:r>
          </w:p>
        </w:tc>
        <w:tc>
          <w:tcPr>
            <w:tcW w:w="0" w:type="auto"/>
            <w:vAlign w:val="center"/>
            <w:hideMark/>
          </w:tcPr>
          <w:p w14:paraId="5EAC30F9" w14:textId="77777777" w:rsidR="00BB1BBE" w:rsidRPr="0012457E" w:rsidRDefault="00BB1BBE" w:rsidP="00BB1BBE">
            <w:pPr>
              <w:spacing w:after="0" w:line="240" w:lineRule="auto"/>
              <w:jc w:val="center"/>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200.50–383.60</w:t>
            </w:r>
          </w:p>
        </w:tc>
        <w:tc>
          <w:tcPr>
            <w:tcW w:w="0" w:type="auto"/>
            <w:vAlign w:val="center"/>
            <w:hideMark/>
          </w:tcPr>
          <w:p w14:paraId="0EDFB81F"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14.51</w:t>
            </w:r>
          </w:p>
        </w:tc>
        <w:tc>
          <w:tcPr>
            <w:tcW w:w="0" w:type="auto"/>
            <w:vAlign w:val="center"/>
            <w:hideMark/>
          </w:tcPr>
          <w:p w14:paraId="37A733CF"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12.56</w:t>
            </w:r>
          </w:p>
        </w:tc>
        <w:tc>
          <w:tcPr>
            <w:tcW w:w="0" w:type="auto"/>
            <w:vAlign w:val="center"/>
            <w:hideMark/>
          </w:tcPr>
          <w:p w14:paraId="247B6F08"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74.00</w:t>
            </w:r>
          </w:p>
        </w:tc>
        <w:tc>
          <w:tcPr>
            <w:tcW w:w="0" w:type="auto"/>
            <w:vAlign w:val="center"/>
            <w:hideMark/>
          </w:tcPr>
          <w:p w14:paraId="2E5F4FC9"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67.09</w:t>
            </w:r>
          </w:p>
        </w:tc>
        <w:tc>
          <w:tcPr>
            <w:tcW w:w="0" w:type="auto"/>
            <w:vAlign w:val="center"/>
            <w:hideMark/>
          </w:tcPr>
          <w:p w14:paraId="1984AF9C" w14:textId="77777777" w:rsidR="00BB1BBE" w:rsidRPr="0012457E" w:rsidRDefault="00BB1BBE" w:rsidP="00BB1BBE">
            <w:pPr>
              <w:spacing w:after="0" w:line="240" w:lineRule="auto"/>
              <w:jc w:val="right"/>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kern w:val="0"/>
                <w:sz w:val="24"/>
                <w:szCs w:val="24"/>
                <w:lang w:eastAsia="en-IN"/>
              </w:rPr>
              <w:t>22.40</w:t>
            </w:r>
          </w:p>
        </w:tc>
      </w:tr>
    </w:tbl>
    <w:p w14:paraId="60C59724" w14:textId="77777777" w:rsidR="00BB1BBE" w:rsidRPr="0012457E" w:rsidRDefault="00BB1BBE" w:rsidP="00BB1BBE">
      <w:pPr>
        <w:spacing w:before="100" w:beforeAutospacing="1" w:after="100" w:afterAutospacing="1" w:line="240" w:lineRule="auto"/>
        <w:rPr>
          <w:rFonts w:ascii="Times New Roman" w:eastAsia="Times New Roman" w:hAnsi="Times New Roman" w:cs="Times New Roman"/>
          <w:kern w:val="0"/>
          <w:sz w:val="24"/>
          <w:szCs w:val="24"/>
          <w:lang w:eastAsia="en-IN"/>
        </w:rPr>
      </w:pPr>
      <w:r w:rsidRPr="0012457E">
        <w:rPr>
          <w:rFonts w:ascii="Times New Roman" w:eastAsia="Times New Roman" w:hAnsi="Times New Roman" w:cs="Times New Roman"/>
          <w:b/>
          <w:bCs/>
          <w:kern w:val="0"/>
          <w:sz w:val="24"/>
          <w:szCs w:val="24"/>
          <w:lang w:eastAsia="en-IN"/>
        </w:rPr>
        <w:t>Abbreviations:</w:t>
      </w:r>
      <w:r w:rsidRPr="0012457E">
        <w:rPr>
          <w:rFonts w:ascii="Times New Roman" w:eastAsia="Times New Roman" w:hAnsi="Times New Roman" w:cs="Times New Roman"/>
          <w:kern w:val="0"/>
          <w:sz w:val="24"/>
          <w:szCs w:val="24"/>
          <w:lang w:eastAsia="en-IN"/>
        </w:rPr>
        <w:t xml:space="preserve"> SE = Standard Error; PCV = Phenotypic Coefficient of Variation; GCV = Genotypic Coefficient of Variation; GA = Genetic Advance; GAM = Genetic Advance as Percent of Mean.</w:t>
      </w:r>
    </w:p>
    <w:p w14:paraId="1744210A" w14:textId="77777777" w:rsidR="00BB1BBE" w:rsidRPr="0012457E" w:rsidRDefault="00BB1BBE" w:rsidP="00300EEC">
      <w:pPr>
        <w:spacing w:line="360" w:lineRule="auto"/>
        <w:jc w:val="both"/>
        <w:rPr>
          <w:rFonts w:ascii="Times New Roman" w:hAnsi="Times New Roman" w:cs="Times New Roman"/>
          <w:lang w:val="en-US"/>
        </w:rPr>
      </w:pPr>
    </w:p>
    <w:p w14:paraId="2BB431C2" w14:textId="77777777" w:rsidR="00BB1BBE" w:rsidRPr="0012457E" w:rsidRDefault="00BB1BBE" w:rsidP="00300EEC">
      <w:pPr>
        <w:spacing w:line="360" w:lineRule="auto"/>
        <w:jc w:val="both"/>
        <w:rPr>
          <w:rFonts w:ascii="Times New Roman" w:hAnsi="Times New Roman" w:cs="Times New Roman"/>
          <w:b/>
          <w:bCs/>
          <w:lang w:val="en-US"/>
        </w:rPr>
      </w:pPr>
    </w:p>
    <w:p w14:paraId="3AE5B100" w14:textId="77777777" w:rsidR="00DC429E" w:rsidRPr="0012457E" w:rsidRDefault="00DC429E" w:rsidP="00300EEC">
      <w:pPr>
        <w:spacing w:line="360" w:lineRule="auto"/>
        <w:jc w:val="both"/>
        <w:rPr>
          <w:rFonts w:ascii="Times New Roman" w:hAnsi="Times New Roman" w:cs="Times New Roman"/>
          <w:b/>
          <w:bCs/>
          <w:lang w:val="en-US"/>
        </w:rPr>
      </w:pPr>
      <w:r w:rsidRPr="0012457E">
        <w:rPr>
          <w:rFonts w:ascii="Times New Roman" w:hAnsi="Times New Roman" w:cs="Times New Roman"/>
          <w:b/>
          <w:bCs/>
          <w:lang w:val="en-US"/>
        </w:rPr>
        <w:t>CONCLUSION</w:t>
      </w:r>
    </w:p>
    <w:p w14:paraId="18C41875" w14:textId="77777777" w:rsidR="00DC429E" w:rsidRPr="0012457E" w:rsidRDefault="00DC429E" w:rsidP="00300EEC">
      <w:pPr>
        <w:spacing w:line="360" w:lineRule="auto"/>
        <w:jc w:val="both"/>
        <w:rPr>
          <w:rFonts w:ascii="Times New Roman" w:hAnsi="Times New Roman" w:cs="Times New Roman"/>
          <w:lang w:val="en-US"/>
        </w:rPr>
      </w:pPr>
      <w:r w:rsidRPr="0012457E">
        <w:rPr>
          <w:rFonts w:ascii="Times New Roman" w:hAnsi="Times New Roman" w:cs="Times New Roman"/>
          <w:lang w:val="en-US"/>
        </w:rPr>
        <w:t>The present investigation identified substantial variability among the twelve pearl millet genotypes for the ten quantitative traits studied, indicating scope for improvement through selection and hybridisation. Analysis of variance showed highly significant differences among the genotypes for the evaluated yield- and fodder-related traits.</w:t>
      </w:r>
    </w:p>
    <w:p w14:paraId="35EAF09C" w14:textId="77777777" w:rsidR="00DC429E" w:rsidRPr="0012457E" w:rsidRDefault="00DC429E" w:rsidP="00300EEC">
      <w:pPr>
        <w:spacing w:line="360" w:lineRule="auto"/>
        <w:jc w:val="both"/>
        <w:rPr>
          <w:rFonts w:ascii="Times New Roman" w:hAnsi="Times New Roman" w:cs="Times New Roman"/>
          <w:lang w:val="en-US"/>
        </w:rPr>
      </w:pPr>
      <w:r w:rsidRPr="0012457E">
        <w:rPr>
          <w:rFonts w:ascii="Times New Roman" w:hAnsi="Times New Roman" w:cs="Times New Roman"/>
          <w:lang w:val="en-US"/>
        </w:rPr>
        <w:t>Among the evaluated genotypes, Bio-448 recorded the highest green fodder and dry matter yields, whereas GHB-732 produced the highest grain yield per plant. NMH-68 was the earliest-flowering genotype, while MP-7792 attained the greatest plant height. Bio-448, GHB-732, KBH-3940, JHBH-676, and JBH-1 performed favourably for one or more economically important traits and may be considered promising genetic resources for further pearl millet improvement.</w:t>
      </w:r>
    </w:p>
    <w:p w14:paraId="111D5BAE" w14:textId="77777777" w:rsidR="00DC429E" w:rsidRPr="0012457E" w:rsidRDefault="00DC429E" w:rsidP="00300EEC">
      <w:pPr>
        <w:spacing w:line="360" w:lineRule="auto"/>
        <w:jc w:val="both"/>
        <w:rPr>
          <w:rFonts w:ascii="Times New Roman" w:hAnsi="Times New Roman" w:cs="Times New Roman"/>
          <w:lang w:val="en-US"/>
        </w:rPr>
      </w:pPr>
      <w:r w:rsidRPr="0012457E">
        <w:rPr>
          <w:rFonts w:ascii="Times New Roman" w:hAnsi="Times New Roman" w:cs="Times New Roman"/>
          <w:lang w:val="en-US"/>
        </w:rPr>
        <w:t>The observed variation in flowering time, plant height, tillering ability, leaf characteristics, panicle length, grain yield, and fodder yield provides a basis for selecting genotypes for dual-purpose improvement. The identified genotypes should be evaluated across locations and seasons to assess their stability and adaptability before broader recommendation. They may also be considered as potential parents in hybridisation programmes aimed at developing high-yielding, early-maturing, and fodder-rich pearl millet cultivars for the semi-arid conditions of Bundelkhand and comparable agro-climatic regions. The findings provide useful preliminary information for pearl millet breeding programmes.</w:t>
      </w:r>
    </w:p>
    <w:p w14:paraId="2E52CEDF" w14:textId="24C05586" w:rsidR="00C9538E" w:rsidRDefault="00C9538E" w:rsidP="00C9538E">
      <w:pPr>
        <w:spacing w:before="100" w:beforeAutospacing="1" w:after="100" w:afterAutospacing="1" w:line="240" w:lineRule="auto"/>
        <w:rPr>
          <w:rFonts w:ascii="Times New Roman" w:eastAsia="Times New Roman" w:hAnsi="Times New Roman" w:cs="Times New Roman"/>
          <w:sz w:val="24"/>
          <w:szCs w:val="24"/>
          <w:lang w:val="en-US"/>
        </w:rPr>
      </w:pPr>
      <w:r w:rsidRPr="0012457E">
        <w:rPr>
          <w:rFonts w:ascii="Times New Roman" w:eastAsia="Times New Roman" w:hAnsi="Times New Roman" w:cs="Times New Roman"/>
          <w:b/>
          <w:bCs/>
          <w:sz w:val="24"/>
          <w:szCs w:val="24"/>
          <w:lang w:val="en-US"/>
        </w:rPr>
        <w:lastRenderedPageBreak/>
        <w:t>Limitations</w:t>
      </w:r>
      <w:r w:rsidRPr="0012457E">
        <w:rPr>
          <w:rFonts w:ascii="Times New Roman" w:eastAsia="Times New Roman" w:hAnsi="Times New Roman" w:cs="Times New Roman"/>
          <w:sz w:val="24"/>
          <w:szCs w:val="24"/>
          <w:lang w:val="en-US"/>
        </w:rPr>
        <w:br/>
      </w:r>
      <w:r w:rsidR="00CF5BE1" w:rsidRPr="00CF5BE1">
        <w:rPr>
          <w:rFonts w:ascii="Times New Roman" w:eastAsia="Times New Roman" w:hAnsi="Times New Roman" w:cs="Times New Roman"/>
          <w:sz w:val="24"/>
          <w:szCs w:val="24"/>
          <w:lang w:val="en-US"/>
        </w:rPr>
        <w:t xml:space="preserve">The study evaluated only twelve genotypes at one location during a single season; therefore, the rankings cannot be </w:t>
      </w:r>
      <w:proofErr w:type="spellStart"/>
      <w:r w:rsidR="00CF5BE1" w:rsidRPr="00CF5BE1">
        <w:rPr>
          <w:rFonts w:ascii="Times New Roman" w:eastAsia="Times New Roman" w:hAnsi="Times New Roman" w:cs="Times New Roman"/>
          <w:sz w:val="24"/>
          <w:szCs w:val="24"/>
          <w:lang w:val="en-US"/>
        </w:rPr>
        <w:t>generalised</w:t>
      </w:r>
      <w:proofErr w:type="spellEnd"/>
      <w:r w:rsidR="00CF5BE1" w:rsidRPr="00CF5BE1">
        <w:rPr>
          <w:rFonts w:ascii="Times New Roman" w:eastAsia="Times New Roman" w:hAnsi="Times New Roman" w:cs="Times New Roman"/>
          <w:sz w:val="24"/>
          <w:szCs w:val="24"/>
          <w:lang w:val="en-US"/>
        </w:rPr>
        <w:t xml:space="preserve"> across environments. Seasonal variation and genotype × environment interaction were not assessed. Although variability parameters were reported, correlation and path-coefficient analyses were not presented. The limited number of genotypes further restricts the breadth of inference. Multilocation and </w:t>
      </w:r>
      <w:proofErr w:type="spellStart"/>
      <w:r w:rsidR="00CF5BE1" w:rsidRPr="00CF5BE1">
        <w:rPr>
          <w:rFonts w:ascii="Times New Roman" w:eastAsia="Times New Roman" w:hAnsi="Times New Roman" w:cs="Times New Roman"/>
          <w:sz w:val="24"/>
          <w:szCs w:val="24"/>
          <w:lang w:val="en-US"/>
        </w:rPr>
        <w:t>multiseason</w:t>
      </w:r>
      <w:proofErr w:type="spellEnd"/>
      <w:r w:rsidR="00CF5BE1" w:rsidRPr="00CF5BE1">
        <w:rPr>
          <w:rFonts w:ascii="Times New Roman" w:eastAsia="Times New Roman" w:hAnsi="Times New Roman" w:cs="Times New Roman"/>
          <w:sz w:val="24"/>
          <w:szCs w:val="24"/>
          <w:lang w:val="en-US"/>
        </w:rPr>
        <w:t xml:space="preserve"> trials are required to confirm the stability, adaptability, and breeding value of the identified material.</w:t>
      </w:r>
    </w:p>
    <w:p w14:paraId="18A8B29F" w14:textId="77777777" w:rsidR="00CF5BE1" w:rsidRDefault="00CF5BE1" w:rsidP="00C9538E">
      <w:pPr>
        <w:spacing w:before="100" w:beforeAutospacing="1" w:after="100" w:afterAutospacing="1" w:line="240" w:lineRule="auto"/>
        <w:rPr>
          <w:rFonts w:ascii="Times New Roman" w:eastAsia="Times New Roman" w:hAnsi="Times New Roman" w:cs="Times New Roman"/>
          <w:sz w:val="24"/>
          <w:szCs w:val="24"/>
          <w:lang w:val="en-US"/>
        </w:rPr>
      </w:pPr>
    </w:p>
    <w:p w14:paraId="185718F1" w14:textId="77777777" w:rsidR="00CF5BE1" w:rsidRPr="0012457E" w:rsidRDefault="00CF5BE1" w:rsidP="00C9538E">
      <w:pPr>
        <w:spacing w:before="100" w:beforeAutospacing="1" w:after="100" w:afterAutospacing="1" w:line="240" w:lineRule="auto"/>
        <w:rPr>
          <w:rFonts w:ascii="Times New Roman" w:eastAsia="Times New Roman" w:hAnsi="Times New Roman" w:cs="Times New Roman"/>
          <w:sz w:val="24"/>
          <w:szCs w:val="24"/>
          <w:lang w:val="en-US"/>
        </w:rPr>
      </w:pPr>
    </w:p>
    <w:p w14:paraId="39D6FE61" w14:textId="77777777" w:rsidR="00C9538E" w:rsidRPr="0012457E" w:rsidRDefault="00C9538E" w:rsidP="00C9538E">
      <w:pPr>
        <w:spacing w:after="0" w:line="240" w:lineRule="auto"/>
        <w:rPr>
          <w:rFonts w:ascii="Times New Roman" w:hAnsi="Times New Roman" w:cs="Times New Roman"/>
          <w:b/>
        </w:rPr>
      </w:pPr>
      <w:bookmarkStart w:id="0" w:name="_Hlk234486585"/>
      <w:bookmarkStart w:id="1" w:name="_Hlk232755622"/>
      <w:r w:rsidRPr="0012457E">
        <w:rPr>
          <w:rFonts w:ascii="Times New Roman" w:hAnsi="Times New Roman" w:cs="Times New Roman"/>
          <w:b/>
        </w:rPr>
        <w:t>Declaration of AI Use</w:t>
      </w:r>
    </w:p>
    <w:p w14:paraId="07E9A004" w14:textId="77777777" w:rsidR="00C9538E" w:rsidRPr="0012457E" w:rsidRDefault="00C9538E" w:rsidP="00C9538E">
      <w:pPr>
        <w:spacing w:after="0" w:line="240" w:lineRule="auto"/>
        <w:rPr>
          <w:rFonts w:ascii="Times New Roman" w:hAnsi="Times New Roman" w:cs="Times New Roman"/>
        </w:rPr>
      </w:pPr>
      <w:bookmarkStart w:id="2" w:name="_Hlk234486575"/>
      <w:bookmarkEnd w:id="0"/>
    </w:p>
    <w:p w14:paraId="28AC6596" w14:textId="77777777" w:rsidR="00C9538E" w:rsidRPr="0012457E" w:rsidRDefault="00C9538E" w:rsidP="00C9538E">
      <w:pPr>
        <w:spacing w:after="0" w:line="240" w:lineRule="auto"/>
        <w:jc w:val="both"/>
        <w:rPr>
          <w:rFonts w:ascii="Times New Roman" w:hAnsi="Times New Roman" w:cs="Times New Roman"/>
        </w:rPr>
      </w:pPr>
      <w:r w:rsidRPr="0012457E">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1"/>
    <w:bookmarkEnd w:id="2"/>
    <w:p w14:paraId="78C204CE" w14:textId="77777777" w:rsidR="00C9538E" w:rsidRPr="0012457E" w:rsidRDefault="00C9538E" w:rsidP="00300EEC">
      <w:pPr>
        <w:spacing w:line="360" w:lineRule="auto"/>
        <w:jc w:val="both"/>
        <w:rPr>
          <w:rFonts w:ascii="Times New Roman" w:hAnsi="Times New Roman" w:cs="Times New Roman"/>
          <w:lang w:val="en-US"/>
        </w:rPr>
      </w:pPr>
    </w:p>
    <w:p w14:paraId="463F4075" w14:textId="77777777" w:rsidR="00DC429E" w:rsidRPr="0012457E" w:rsidRDefault="00DC429E" w:rsidP="00300EEC">
      <w:pPr>
        <w:widowControl w:val="0"/>
        <w:autoSpaceDE w:val="0"/>
        <w:autoSpaceDN w:val="0"/>
        <w:spacing w:before="109" w:after="0" w:line="360" w:lineRule="auto"/>
        <w:ind w:left="28"/>
        <w:jc w:val="both"/>
        <w:rPr>
          <w:rFonts w:ascii="Times New Roman" w:eastAsia="Cambria" w:hAnsi="Times New Roman" w:cs="Times New Roman"/>
          <w:b/>
          <w:kern w:val="0"/>
          <w:lang w:val="en-US"/>
        </w:rPr>
      </w:pPr>
      <w:r w:rsidRPr="0012457E">
        <w:rPr>
          <w:rFonts w:ascii="Times New Roman" w:eastAsia="Cambria" w:hAnsi="Times New Roman" w:cs="Times New Roman"/>
          <w:b/>
          <w:spacing w:val="-2"/>
          <w:kern w:val="0"/>
          <w:lang w:val="en-US"/>
        </w:rPr>
        <w:t>REFERENCES</w:t>
      </w:r>
    </w:p>
    <w:p w14:paraId="03989875" w14:textId="77777777" w:rsidR="0002261B" w:rsidRPr="0012457E" w:rsidRDefault="00000000">
      <w:pPr>
        <w:spacing w:after="0" w:line="240" w:lineRule="auto"/>
        <w:ind w:left="540" w:hanging="540"/>
        <w:jc w:val="both"/>
      </w:pPr>
      <w:r w:rsidRPr="0012457E">
        <w:t>Anuradha, N., Satyavathi, C. T., Meena, M. C., Sankar, S. M., Bharadwaj, C., Bhat, J., Singh, O., &amp; Singh, S. P. (2017). Evaluation of pearl millet [</w:t>
      </w:r>
      <w:r w:rsidRPr="0012457E">
        <w:rPr>
          <w:i/>
        </w:rPr>
        <w:t>Pennisetum glaucum</w:t>
      </w:r>
      <w:r w:rsidRPr="0012457E">
        <w:t xml:space="preserve"> (L.) R. Br.] for grain iron and zinc content in different agro-climatic zones of India. </w:t>
      </w:r>
      <w:r w:rsidRPr="0012457E">
        <w:rPr>
          <w:i/>
        </w:rPr>
        <w:t>The Indian Journal of Genetics and Plant Breeding, 77</w:t>
      </w:r>
      <w:r w:rsidRPr="0012457E">
        <w:t xml:space="preserve">(1), 65–73. </w:t>
      </w:r>
      <w:hyperlink r:id="rId13">
        <w:r w:rsidRPr="0012457E">
          <w:rPr>
            <w:color w:val="0563C1"/>
            <w:u w:val="single"/>
          </w:rPr>
          <w:t>https://doi.org/10.5958/0975-6906.2017.00009.8</w:t>
        </w:r>
      </w:hyperlink>
    </w:p>
    <w:p w14:paraId="101D6CB7" w14:textId="77777777" w:rsidR="0002261B" w:rsidRPr="0012457E" w:rsidRDefault="00000000">
      <w:pPr>
        <w:spacing w:after="0" w:line="240" w:lineRule="auto"/>
        <w:ind w:left="540" w:hanging="540"/>
        <w:jc w:val="both"/>
      </w:pPr>
      <w:r w:rsidRPr="0012457E">
        <w:t>Burton, G. W., &amp; DeVane, E. H. (1953). Estimating heritability in tall fescue (</w:t>
      </w:r>
      <w:r w:rsidRPr="0012457E">
        <w:rPr>
          <w:i/>
        </w:rPr>
        <w:t>Festuca arundinacea</w:t>
      </w:r>
      <w:r w:rsidRPr="0012457E">
        <w:t xml:space="preserve">) from replicated clonal material. </w:t>
      </w:r>
      <w:r w:rsidRPr="0012457E">
        <w:rPr>
          <w:i/>
        </w:rPr>
        <w:t>Agronomy Journal, 45</w:t>
      </w:r>
      <w:r w:rsidRPr="0012457E">
        <w:t xml:space="preserve">(10), 478–481. </w:t>
      </w:r>
      <w:hyperlink r:id="rId14">
        <w:r w:rsidRPr="0012457E">
          <w:rPr>
            <w:color w:val="0563C1"/>
            <w:u w:val="single"/>
          </w:rPr>
          <w:t>https://doi.org/10.2134/agronj1953.00021962004500100005x</w:t>
        </w:r>
      </w:hyperlink>
    </w:p>
    <w:p w14:paraId="53E06266" w14:textId="77777777" w:rsidR="0002261B" w:rsidRPr="0012457E" w:rsidRDefault="00000000">
      <w:pPr>
        <w:spacing w:after="0" w:line="240" w:lineRule="auto"/>
        <w:ind w:left="540" w:hanging="540"/>
        <w:jc w:val="both"/>
      </w:pPr>
      <w:r w:rsidRPr="0012457E">
        <w:rPr>
          <w:b/>
        </w:rPr>
        <w:t xml:space="preserve">Gangashetty, P. I., Yadav, C. B., Riyazaddin, M., Vermula, A., Asungre, P. A., Angarawai, I., Mur, L. A. J., &amp; Yadav, R. S. (2023). Genotype-by-environment interactions for starch, mineral, and agronomic traits in pearl millet hybrids evaluated across five locations in West Africa. </w:t>
      </w:r>
      <w:r w:rsidRPr="0012457E">
        <w:rPr>
          <w:b/>
          <w:i/>
        </w:rPr>
        <w:t>Frontiers in Plant Science, 14</w:t>
      </w:r>
      <w:r w:rsidRPr="0012457E">
        <w:rPr>
          <w:b/>
        </w:rPr>
        <w:t xml:space="preserve">, Article 1171773. </w:t>
      </w:r>
      <w:hyperlink r:id="rId15">
        <w:r w:rsidRPr="0012457E">
          <w:rPr>
            <w:b/>
            <w:color w:val="0563C1"/>
            <w:u w:val="single"/>
          </w:rPr>
          <w:t>https://doi.org/10.3389/fpls.2023.1171773</w:t>
        </w:r>
      </w:hyperlink>
    </w:p>
    <w:p w14:paraId="622BCC8D" w14:textId="77777777" w:rsidR="0002261B" w:rsidRPr="0012457E" w:rsidRDefault="00000000">
      <w:pPr>
        <w:spacing w:after="0" w:line="240" w:lineRule="auto"/>
        <w:ind w:left="540" w:hanging="540"/>
        <w:jc w:val="both"/>
      </w:pPr>
      <w:r w:rsidRPr="0012457E">
        <w:t xml:space="preserve">Govindaraj, M., Rai, K. N., Kanatti, A., Upadhyaya, H. D., Shivade, H., &amp; Rao, A. S. (2020). Exploring the genetic variability and diversity of pearl millet core collection germplasm for grain nutritional traits improvement. </w:t>
      </w:r>
      <w:r w:rsidRPr="0012457E">
        <w:rPr>
          <w:i/>
        </w:rPr>
        <w:t>Scientific Reports, 10</w:t>
      </w:r>
      <w:r w:rsidRPr="0012457E">
        <w:t xml:space="preserve">, Article 21177. </w:t>
      </w:r>
      <w:hyperlink r:id="rId16">
        <w:r w:rsidRPr="0012457E">
          <w:rPr>
            <w:color w:val="0563C1"/>
            <w:u w:val="single"/>
          </w:rPr>
          <w:t>https://doi.org/10.1038/s41598-020-77818-0</w:t>
        </w:r>
      </w:hyperlink>
    </w:p>
    <w:p w14:paraId="455333D6" w14:textId="77777777" w:rsidR="0002261B" w:rsidRPr="0012457E" w:rsidRDefault="00000000">
      <w:pPr>
        <w:spacing w:after="0" w:line="240" w:lineRule="auto"/>
        <w:ind w:left="540" w:hanging="540"/>
        <w:jc w:val="both"/>
      </w:pPr>
      <w:r w:rsidRPr="0012457E">
        <w:t xml:space="preserve">Hanson, C. H., Robinson, H. F., &amp; Comstock, R. E. (1956). Biometrical studies of yield in segregating populations of Korean lespedeza. </w:t>
      </w:r>
      <w:r w:rsidRPr="0012457E">
        <w:rPr>
          <w:i/>
        </w:rPr>
        <w:t>Agronomy Journal, 48</w:t>
      </w:r>
      <w:r w:rsidRPr="0012457E">
        <w:t xml:space="preserve">(6), 268–272. </w:t>
      </w:r>
      <w:hyperlink r:id="rId17">
        <w:r w:rsidRPr="0012457E">
          <w:rPr>
            <w:color w:val="0563C1"/>
            <w:u w:val="single"/>
          </w:rPr>
          <w:t>https://doi.org/10.2134/agronj1956.00021962004800060008x</w:t>
        </w:r>
      </w:hyperlink>
    </w:p>
    <w:p w14:paraId="23F860D3" w14:textId="77777777" w:rsidR="0002261B" w:rsidRPr="0012457E" w:rsidRDefault="00000000">
      <w:pPr>
        <w:spacing w:after="0" w:line="240" w:lineRule="auto"/>
        <w:ind w:left="540" w:hanging="540"/>
        <w:jc w:val="both"/>
      </w:pPr>
      <w:r w:rsidRPr="0012457E">
        <w:rPr>
          <w:b/>
        </w:rPr>
        <w:t>Jat, G. P., Dhayal, L. S., Shekhawat, A. S., Sain, R. S., Yadav, I. R., &amp; Jat, M. K. (2025). Assessment of genotype–environment interactions for identification of stable and high-performing pearl millet [</w:t>
      </w:r>
      <w:r w:rsidRPr="0012457E">
        <w:rPr>
          <w:b/>
          <w:i/>
        </w:rPr>
        <w:t>Pennisetum glaucum</w:t>
      </w:r>
      <w:r w:rsidRPr="0012457E">
        <w:rPr>
          <w:b/>
        </w:rPr>
        <w:t xml:space="preserve"> (L.) R. Br.] hybrids. </w:t>
      </w:r>
      <w:r w:rsidRPr="0012457E">
        <w:rPr>
          <w:b/>
          <w:i/>
        </w:rPr>
        <w:t>Plant Cell Biotechnology and Molecular Biology, 26</w:t>
      </w:r>
      <w:r w:rsidRPr="0012457E">
        <w:rPr>
          <w:b/>
        </w:rPr>
        <w:t xml:space="preserve">(11–12), 10–19. </w:t>
      </w:r>
      <w:hyperlink r:id="rId18">
        <w:r w:rsidRPr="0012457E">
          <w:rPr>
            <w:b/>
            <w:color w:val="0563C1"/>
            <w:u w:val="single"/>
          </w:rPr>
          <w:t>https://doi.org/10.56557/pcbmb/2025/v26i11-129929</w:t>
        </w:r>
      </w:hyperlink>
    </w:p>
    <w:p w14:paraId="0AA74E74" w14:textId="77777777" w:rsidR="0002261B" w:rsidRPr="0012457E" w:rsidRDefault="00000000">
      <w:pPr>
        <w:spacing w:after="0" w:line="240" w:lineRule="auto"/>
        <w:ind w:left="540" w:hanging="540"/>
        <w:jc w:val="both"/>
      </w:pPr>
      <w:r w:rsidRPr="0012457E">
        <w:t xml:space="preserve">Johnson, H. W., Robinson, H. F., &amp; Comstock, R. E. (1955). Estimates of genetic and environmental variability in soybeans. </w:t>
      </w:r>
      <w:r w:rsidRPr="0012457E">
        <w:rPr>
          <w:i/>
        </w:rPr>
        <w:t>Agronomy Journal, 47</w:t>
      </w:r>
      <w:r w:rsidRPr="0012457E">
        <w:t xml:space="preserve">(7), 314–318. </w:t>
      </w:r>
      <w:hyperlink r:id="rId19">
        <w:r w:rsidRPr="0012457E">
          <w:rPr>
            <w:color w:val="0563C1"/>
            <w:u w:val="single"/>
          </w:rPr>
          <w:t>https://doi.org/10.2134/agronj1955.00021962004700070009x</w:t>
        </w:r>
      </w:hyperlink>
    </w:p>
    <w:p w14:paraId="4F797CC6" w14:textId="77777777" w:rsidR="0002261B" w:rsidRPr="0012457E" w:rsidRDefault="00000000">
      <w:pPr>
        <w:spacing w:after="0" w:line="240" w:lineRule="auto"/>
        <w:ind w:left="540" w:hanging="540"/>
        <w:jc w:val="both"/>
      </w:pPr>
      <w:r w:rsidRPr="0012457E">
        <w:rPr>
          <w:b/>
        </w:rPr>
        <w:lastRenderedPageBreak/>
        <w:t xml:space="preserve">Kandarkar, K., Palaniappan, V., Gupta, P. C., Rajasekaran, R., Prabhakaran, J., Sevugapperumal, N., &amp; Gupta, S. K. (2023). Identification of promising three-way hybrids of pearl millet for drought-prone environments of north-western India. </w:t>
      </w:r>
      <w:r w:rsidRPr="0012457E">
        <w:rPr>
          <w:b/>
          <w:i/>
        </w:rPr>
        <w:t>Agronomy, 13</w:t>
      </w:r>
      <w:r w:rsidRPr="0012457E">
        <w:rPr>
          <w:b/>
        </w:rPr>
        <w:t xml:space="preserve">(11), Article 2813. </w:t>
      </w:r>
      <w:hyperlink r:id="rId20">
        <w:r w:rsidRPr="0012457E">
          <w:rPr>
            <w:b/>
            <w:color w:val="0563C1"/>
            <w:u w:val="single"/>
          </w:rPr>
          <w:t>https://doi.org/10.3390/agronomy13112813</w:t>
        </w:r>
      </w:hyperlink>
    </w:p>
    <w:p w14:paraId="02B4A075" w14:textId="77777777" w:rsidR="0002261B" w:rsidRPr="0012457E" w:rsidRDefault="00000000">
      <w:pPr>
        <w:spacing w:after="0" w:line="240" w:lineRule="auto"/>
        <w:ind w:left="540" w:hanging="540"/>
        <w:jc w:val="both"/>
      </w:pPr>
      <w:r w:rsidRPr="0012457E">
        <w:t>Kumari, N., Sharma, N. K., &amp; Gupta, S. K. (2018). Studies on variability, character association and genetic diversity in maintainer lines of pearl millet [</w:t>
      </w:r>
      <w:r w:rsidRPr="0012457E">
        <w:rPr>
          <w:i/>
        </w:rPr>
        <w:t>Pennisetum glaucum</w:t>
      </w:r>
      <w:r w:rsidRPr="0012457E">
        <w:t xml:space="preserve"> (L.) R. Br.]. </w:t>
      </w:r>
      <w:r w:rsidRPr="0012457E">
        <w:rPr>
          <w:i/>
        </w:rPr>
        <w:t>Annals of Arid Zone, 56</w:t>
      </w:r>
      <w:r w:rsidRPr="0012457E">
        <w:t xml:space="preserve">(3–4). </w:t>
      </w:r>
      <w:hyperlink r:id="rId21">
        <w:r w:rsidRPr="0012457E">
          <w:rPr>
            <w:color w:val="0563C1"/>
            <w:u w:val="single"/>
          </w:rPr>
          <w:t>https://doi.org/10.56093/aaz.v56i3-4.78857</w:t>
        </w:r>
      </w:hyperlink>
    </w:p>
    <w:p w14:paraId="667C6AE3" w14:textId="77777777" w:rsidR="0002261B" w:rsidRPr="0012457E" w:rsidRDefault="00000000">
      <w:pPr>
        <w:spacing w:after="0" w:line="240" w:lineRule="auto"/>
        <w:ind w:left="540" w:hanging="540"/>
        <w:jc w:val="both"/>
      </w:pPr>
      <w:r w:rsidRPr="0012457E">
        <w:t xml:space="preserve">Panse, V. G., &amp; Sukhatme, P. V. (1985). </w:t>
      </w:r>
      <w:r w:rsidRPr="0012457E">
        <w:rPr>
          <w:i/>
        </w:rPr>
        <w:t>Statistical methods for agricultural workers</w:t>
      </w:r>
      <w:r w:rsidRPr="0012457E">
        <w:t xml:space="preserve"> (4th ed.). Indian Council of Agricultural Research. </w:t>
      </w:r>
      <w:hyperlink r:id="rId22">
        <w:r w:rsidRPr="0012457E">
          <w:rPr>
            <w:color w:val="0563C1"/>
            <w:u w:val="single"/>
          </w:rPr>
          <w:t>https://iimsucat.iimb.ac.in/bib/344845</w:t>
        </w:r>
      </w:hyperlink>
    </w:p>
    <w:p w14:paraId="4E1D841F" w14:textId="77777777" w:rsidR="0002261B" w:rsidRPr="0012457E" w:rsidRDefault="00000000">
      <w:pPr>
        <w:spacing w:after="0" w:line="240" w:lineRule="auto"/>
        <w:ind w:left="540" w:hanging="540"/>
        <w:jc w:val="both"/>
      </w:pPr>
      <w:r w:rsidRPr="0012457E">
        <w:rPr>
          <w:b/>
        </w:rPr>
        <w:t xml:space="preserve">Puttamadanayaka, S., Sannagoudar, M. S., Siddaiah, C. N., Kumar, V., Mehta, B. K., Kumar, A., Dwivedi, K. K., Ponnaiah, G., &amp; Gupta, S. K. (2026). Multi-environment evaluation and stability analysis for the selection of elite pearl millet genotypes with better fodder yield and quality component traits. </w:t>
      </w:r>
      <w:r w:rsidRPr="0012457E">
        <w:rPr>
          <w:b/>
          <w:i/>
        </w:rPr>
        <w:t>Plants, 15</w:t>
      </w:r>
      <w:r w:rsidRPr="0012457E">
        <w:rPr>
          <w:b/>
        </w:rPr>
        <w:t xml:space="preserve">(7), Article 1034. </w:t>
      </w:r>
      <w:hyperlink r:id="rId23">
        <w:r w:rsidRPr="0012457E">
          <w:rPr>
            <w:b/>
            <w:color w:val="0563C1"/>
            <w:u w:val="single"/>
          </w:rPr>
          <w:t>https://doi.org/10.3390/plants15071034</w:t>
        </w:r>
      </w:hyperlink>
    </w:p>
    <w:p w14:paraId="5D627B31" w14:textId="77777777" w:rsidR="0002261B" w:rsidRPr="0012457E" w:rsidRDefault="00000000">
      <w:pPr>
        <w:spacing w:after="0" w:line="240" w:lineRule="auto"/>
        <w:ind w:left="540" w:hanging="540"/>
        <w:jc w:val="both"/>
      </w:pPr>
      <w:r w:rsidRPr="0012457E">
        <w:t xml:space="preserve">Sanjana Reddy, P., Satyavathi, C. T., Khandelwal, V., Patil, H. T., Gupta, P. C., Sharma, L. D., Mungra, K. D., Singh, S. P., Narasimhulu, R., Bhadarge, H. H., Iyanar, K., Tripathi, M. K., Yadav, D., Bhardwaj, R., Talwar, A. M., Tiwari, V. K., Kachole, U. G., Sravanti, K., Shanthi Priya, M., … Tonapi, V. A. (2021). Performance and stability of pearl millet varieties for grain yield and micronutrients in arid and semi-arid regions of India. </w:t>
      </w:r>
      <w:r w:rsidRPr="0012457E">
        <w:rPr>
          <w:i/>
        </w:rPr>
        <w:t>Frontiers in Plant Science, 12</w:t>
      </w:r>
      <w:r w:rsidRPr="0012457E">
        <w:t xml:space="preserve">, Article 670201. </w:t>
      </w:r>
      <w:hyperlink r:id="rId24">
        <w:r w:rsidRPr="0012457E">
          <w:rPr>
            <w:color w:val="0563C1"/>
            <w:u w:val="single"/>
          </w:rPr>
          <w:t>https://doi.org/10.3389/fpls.2021.670201</w:t>
        </w:r>
      </w:hyperlink>
    </w:p>
    <w:p w14:paraId="261CF027" w14:textId="77777777" w:rsidR="0002261B" w:rsidRPr="0012457E" w:rsidRDefault="00000000">
      <w:pPr>
        <w:spacing w:after="0" w:line="240" w:lineRule="auto"/>
        <w:ind w:left="540" w:hanging="540"/>
        <w:jc w:val="both"/>
      </w:pPr>
      <w:r w:rsidRPr="0012457E">
        <w:rPr>
          <w:b/>
        </w:rPr>
        <w:t>Singh, A. K., &amp; Chaudhary, A. K. (2026). Genetic variability, character association, and path coefficient analysis for yield and micronutrients (zinc and iron) traits in pearl millet (</w:t>
      </w:r>
      <w:r w:rsidRPr="0012457E">
        <w:rPr>
          <w:b/>
          <w:i/>
        </w:rPr>
        <w:t>Pennisetum glaucum</w:t>
      </w:r>
      <w:r w:rsidRPr="0012457E">
        <w:rPr>
          <w:b/>
        </w:rPr>
        <w:t xml:space="preserve"> L.). </w:t>
      </w:r>
      <w:r w:rsidRPr="0012457E">
        <w:rPr>
          <w:b/>
          <w:i/>
        </w:rPr>
        <w:t>Journal of Experimental Agriculture International, 48</w:t>
      </w:r>
      <w:r w:rsidRPr="0012457E">
        <w:rPr>
          <w:b/>
        </w:rPr>
        <w:t xml:space="preserve">(4), 452–460. </w:t>
      </w:r>
      <w:hyperlink r:id="rId25">
        <w:r w:rsidRPr="0012457E">
          <w:rPr>
            <w:b/>
            <w:color w:val="0563C1"/>
            <w:u w:val="single"/>
          </w:rPr>
          <w:t>https://doi.org/10.9734/jeai/2026/v48i44175</w:t>
        </w:r>
      </w:hyperlink>
    </w:p>
    <w:p w14:paraId="3F35CA7B" w14:textId="77777777" w:rsidR="0002261B" w:rsidRPr="0012457E" w:rsidRDefault="00000000">
      <w:pPr>
        <w:spacing w:after="0" w:line="240" w:lineRule="auto"/>
        <w:ind w:left="540" w:hanging="540"/>
        <w:jc w:val="both"/>
      </w:pPr>
      <w:r w:rsidRPr="0012457E">
        <w:t>Sumathi, P., &amp; Revathi, S. (2017). Heterosis and variability studies for yield and yield component traits in pearl millet [</w:t>
      </w:r>
      <w:r w:rsidRPr="0012457E">
        <w:rPr>
          <w:i/>
        </w:rPr>
        <w:t>Pennisetum glaucum</w:t>
      </w:r>
      <w:r w:rsidRPr="0012457E">
        <w:t xml:space="preserve"> (L.) R. Br.]. </w:t>
      </w:r>
      <w:r w:rsidRPr="0012457E">
        <w:rPr>
          <w:i/>
        </w:rPr>
        <w:t>Electronic Journal of Plant Breeding, 8</w:t>
      </w:r>
      <w:r w:rsidRPr="0012457E">
        <w:t xml:space="preserve">(2), 528–533. </w:t>
      </w:r>
      <w:hyperlink r:id="rId26">
        <w:r w:rsidRPr="0012457E">
          <w:rPr>
            <w:color w:val="0563C1"/>
            <w:u w:val="single"/>
          </w:rPr>
          <w:t>https://doi.org/10.5958/0975-928X.2017.00079.5</w:t>
        </w:r>
      </w:hyperlink>
    </w:p>
    <w:p w14:paraId="0DA5A103" w14:textId="77777777" w:rsidR="0002261B" w:rsidRPr="0012457E" w:rsidRDefault="00000000">
      <w:pPr>
        <w:spacing w:after="0" w:line="240" w:lineRule="auto"/>
        <w:ind w:left="540" w:hanging="540"/>
        <w:jc w:val="both"/>
      </w:pPr>
      <w:r w:rsidRPr="0012457E">
        <w:t xml:space="preserve">Thomas, A. M., Babu, C., &amp; Iyanar, K. (2018). Genetic variability and association studies in pearl millet for green fodder yield and quality traits. </w:t>
      </w:r>
      <w:r w:rsidRPr="0012457E">
        <w:rPr>
          <w:i/>
        </w:rPr>
        <w:t>Electronic Journal of Plant Breeding, 9</w:t>
      </w:r>
      <w:r w:rsidRPr="0012457E">
        <w:t xml:space="preserve">(3), 1263–1271. </w:t>
      </w:r>
      <w:hyperlink r:id="rId27">
        <w:r w:rsidRPr="0012457E">
          <w:rPr>
            <w:color w:val="0563C1"/>
            <w:u w:val="single"/>
          </w:rPr>
          <w:t>https://doi.org/10.5958/0975-928X.2018.00158.8</w:t>
        </w:r>
      </w:hyperlink>
    </w:p>
    <w:p w14:paraId="261E98C7" w14:textId="77777777" w:rsidR="0002261B" w:rsidRDefault="00000000">
      <w:pPr>
        <w:spacing w:after="0" w:line="240" w:lineRule="auto"/>
        <w:ind w:left="540" w:hanging="540"/>
        <w:jc w:val="both"/>
      </w:pPr>
      <w:r w:rsidRPr="0012457E">
        <w:t xml:space="preserve">Yadav, O. P., Gupta, S. K., Govindaraj, M., Sharma, R., Varshney, R. K., Srivastava, R. K., Rathore, A., &amp; Mahala, R. S. (2021). Genetic gains in pearl millet in India: Insights into historic breeding strategies and future perspectives. </w:t>
      </w:r>
      <w:r w:rsidRPr="0012457E">
        <w:rPr>
          <w:i/>
        </w:rPr>
        <w:t>Frontiers in Plant Science, 12</w:t>
      </w:r>
      <w:r w:rsidRPr="0012457E">
        <w:t xml:space="preserve">, Article 645038. </w:t>
      </w:r>
      <w:hyperlink r:id="rId28">
        <w:r w:rsidRPr="0012457E">
          <w:rPr>
            <w:color w:val="0563C1"/>
            <w:u w:val="single"/>
          </w:rPr>
          <w:t>https://doi.org/10.3389/fpls.2021.645038</w:t>
        </w:r>
      </w:hyperlink>
    </w:p>
    <w:sectPr w:rsidR="0002261B" w:rsidSect="002B6E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B62C" w14:textId="77777777" w:rsidR="009B07C9" w:rsidRDefault="009B07C9" w:rsidP="00C279B1">
      <w:pPr>
        <w:spacing w:after="0" w:line="240" w:lineRule="auto"/>
      </w:pPr>
      <w:r>
        <w:separator/>
      </w:r>
    </w:p>
  </w:endnote>
  <w:endnote w:type="continuationSeparator" w:id="0">
    <w:p w14:paraId="1D33B30C" w14:textId="77777777" w:rsidR="009B07C9" w:rsidRDefault="009B07C9" w:rsidP="00C2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928B" w14:textId="77777777" w:rsidR="00C279B1" w:rsidRDefault="00C27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54EF" w14:textId="77777777" w:rsidR="00C279B1" w:rsidRDefault="00C27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5906B" w14:textId="77777777" w:rsidR="00C279B1" w:rsidRDefault="00C27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BE5FB" w14:textId="77777777" w:rsidR="009B07C9" w:rsidRDefault="009B07C9" w:rsidP="00C279B1">
      <w:pPr>
        <w:spacing w:after="0" w:line="240" w:lineRule="auto"/>
      </w:pPr>
      <w:r>
        <w:separator/>
      </w:r>
    </w:p>
  </w:footnote>
  <w:footnote w:type="continuationSeparator" w:id="0">
    <w:p w14:paraId="108A5416" w14:textId="77777777" w:rsidR="009B07C9" w:rsidRDefault="009B07C9" w:rsidP="00C27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A05A" w14:textId="77777777" w:rsidR="00C279B1" w:rsidRDefault="00000000">
    <w:pPr>
      <w:pStyle w:val="Header"/>
    </w:pPr>
    <w:r>
      <w:rPr>
        <w:noProof/>
      </w:rPr>
      <w:pict w14:anchorId="3EF99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19" o:spid="_x0000_s1026" type="#_x0000_t136" style="position:absolute;margin-left:0;margin-top:0;width:656.5pt;height:123.0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6B5C7" w14:textId="77777777" w:rsidR="00C279B1" w:rsidRDefault="00000000">
    <w:pPr>
      <w:pStyle w:val="Header"/>
    </w:pPr>
    <w:r>
      <w:rPr>
        <w:noProof/>
      </w:rPr>
      <w:pict w14:anchorId="072F4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20" o:spid="_x0000_s1027" type="#_x0000_t136" style="position:absolute;margin-left:0;margin-top:0;width:656.5pt;height:123.0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98B5" w14:textId="77777777" w:rsidR="00C279B1" w:rsidRDefault="00000000">
    <w:pPr>
      <w:pStyle w:val="Header"/>
    </w:pPr>
    <w:r>
      <w:rPr>
        <w:noProof/>
      </w:rPr>
      <w:pict w14:anchorId="3B55D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18" o:spid="_x0000_s1025" type="#_x0000_t136" style="position:absolute;margin-left:0;margin-top:0;width:656.5pt;height:123.0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103B"/>
    <w:multiLevelType w:val="hybridMultilevel"/>
    <w:tmpl w:val="D9FAF2BE"/>
    <w:lvl w:ilvl="0" w:tplc="FA88EBC8">
      <w:start w:val="1"/>
      <w:numFmt w:val="decimal"/>
      <w:lvlText w:val="%1."/>
      <w:lvlJc w:val="left"/>
      <w:pPr>
        <w:ind w:left="651" w:hanging="607"/>
        <w:jc w:val="right"/>
      </w:pPr>
      <w:rPr>
        <w:rFonts w:ascii="Cambria" w:eastAsia="Cambria" w:hAnsi="Cambria" w:cs="Cambria" w:hint="default"/>
        <w:b w:val="0"/>
        <w:bCs w:val="0"/>
        <w:i w:val="0"/>
        <w:iCs w:val="0"/>
        <w:color w:val="0D0D0D"/>
        <w:spacing w:val="0"/>
        <w:w w:val="100"/>
        <w:sz w:val="18"/>
        <w:szCs w:val="18"/>
        <w:lang w:val="en-US" w:eastAsia="en-US" w:bidi="ar-SA"/>
      </w:rPr>
    </w:lvl>
    <w:lvl w:ilvl="1" w:tplc="FEC09630">
      <w:numFmt w:val="bullet"/>
      <w:lvlText w:val="•"/>
      <w:lvlJc w:val="left"/>
      <w:pPr>
        <w:ind w:left="1121" w:hanging="607"/>
      </w:pPr>
      <w:rPr>
        <w:rFonts w:hint="default"/>
        <w:lang w:val="en-US" w:eastAsia="en-US" w:bidi="ar-SA"/>
      </w:rPr>
    </w:lvl>
    <w:lvl w:ilvl="2" w:tplc="3D6E02B0">
      <w:numFmt w:val="bullet"/>
      <w:lvlText w:val="•"/>
      <w:lvlJc w:val="left"/>
      <w:pPr>
        <w:ind w:left="1582" w:hanging="607"/>
      </w:pPr>
      <w:rPr>
        <w:rFonts w:hint="default"/>
        <w:lang w:val="en-US" w:eastAsia="en-US" w:bidi="ar-SA"/>
      </w:rPr>
    </w:lvl>
    <w:lvl w:ilvl="3" w:tplc="8B6C3CD8">
      <w:numFmt w:val="bullet"/>
      <w:lvlText w:val="•"/>
      <w:lvlJc w:val="left"/>
      <w:pPr>
        <w:ind w:left="2043" w:hanging="607"/>
      </w:pPr>
      <w:rPr>
        <w:rFonts w:hint="default"/>
        <w:lang w:val="en-US" w:eastAsia="en-US" w:bidi="ar-SA"/>
      </w:rPr>
    </w:lvl>
    <w:lvl w:ilvl="4" w:tplc="8D2C3EF6">
      <w:numFmt w:val="bullet"/>
      <w:lvlText w:val="•"/>
      <w:lvlJc w:val="left"/>
      <w:pPr>
        <w:ind w:left="2504" w:hanging="607"/>
      </w:pPr>
      <w:rPr>
        <w:rFonts w:hint="default"/>
        <w:lang w:val="en-US" w:eastAsia="en-US" w:bidi="ar-SA"/>
      </w:rPr>
    </w:lvl>
    <w:lvl w:ilvl="5" w:tplc="C1A204A6">
      <w:numFmt w:val="bullet"/>
      <w:lvlText w:val="•"/>
      <w:lvlJc w:val="left"/>
      <w:pPr>
        <w:ind w:left="2966" w:hanging="607"/>
      </w:pPr>
      <w:rPr>
        <w:rFonts w:hint="default"/>
        <w:lang w:val="en-US" w:eastAsia="en-US" w:bidi="ar-SA"/>
      </w:rPr>
    </w:lvl>
    <w:lvl w:ilvl="6" w:tplc="B06E1BFE">
      <w:numFmt w:val="bullet"/>
      <w:lvlText w:val="•"/>
      <w:lvlJc w:val="left"/>
      <w:pPr>
        <w:ind w:left="3427" w:hanging="607"/>
      </w:pPr>
      <w:rPr>
        <w:rFonts w:hint="default"/>
        <w:lang w:val="en-US" w:eastAsia="en-US" w:bidi="ar-SA"/>
      </w:rPr>
    </w:lvl>
    <w:lvl w:ilvl="7" w:tplc="54B8A69C">
      <w:numFmt w:val="bullet"/>
      <w:lvlText w:val="•"/>
      <w:lvlJc w:val="left"/>
      <w:pPr>
        <w:ind w:left="3888" w:hanging="607"/>
      </w:pPr>
      <w:rPr>
        <w:rFonts w:hint="default"/>
        <w:lang w:val="en-US" w:eastAsia="en-US" w:bidi="ar-SA"/>
      </w:rPr>
    </w:lvl>
    <w:lvl w:ilvl="8" w:tplc="2FA09436">
      <w:numFmt w:val="bullet"/>
      <w:lvlText w:val="•"/>
      <w:lvlJc w:val="left"/>
      <w:pPr>
        <w:ind w:left="4349" w:hanging="607"/>
      </w:pPr>
      <w:rPr>
        <w:rFonts w:hint="default"/>
        <w:lang w:val="en-US" w:eastAsia="en-US" w:bidi="ar-SA"/>
      </w:rPr>
    </w:lvl>
  </w:abstractNum>
  <w:abstractNum w:abstractNumId="1" w15:restartNumberingAfterBreak="0">
    <w:nsid w:val="20470E6E"/>
    <w:multiLevelType w:val="hybridMultilevel"/>
    <w:tmpl w:val="0176555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7659D"/>
    <w:multiLevelType w:val="hybridMultilevel"/>
    <w:tmpl w:val="FE966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A97588"/>
    <w:multiLevelType w:val="hybridMultilevel"/>
    <w:tmpl w:val="D9FAF2BE"/>
    <w:lvl w:ilvl="0" w:tplc="FFFFFFFF">
      <w:start w:val="1"/>
      <w:numFmt w:val="decimal"/>
      <w:lvlText w:val="%1."/>
      <w:lvlJc w:val="left"/>
      <w:pPr>
        <w:ind w:left="651" w:hanging="607"/>
        <w:jc w:val="right"/>
      </w:pPr>
      <w:rPr>
        <w:rFonts w:ascii="Cambria" w:eastAsia="Cambria" w:hAnsi="Cambria" w:cs="Cambria" w:hint="default"/>
        <w:b w:val="0"/>
        <w:bCs w:val="0"/>
        <w:i w:val="0"/>
        <w:iCs w:val="0"/>
        <w:color w:val="0D0D0D"/>
        <w:spacing w:val="0"/>
        <w:w w:val="100"/>
        <w:sz w:val="18"/>
        <w:szCs w:val="18"/>
        <w:lang w:val="en-US" w:eastAsia="en-US" w:bidi="ar-SA"/>
      </w:rPr>
    </w:lvl>
    <w:lvl w:ilvl="1" w:tplc="FFFFFFFF">
      <w:numFmt w:val="bullet"/>
      <w:lvlText w:val="•"/>
      <w:lvlJc w:val="left"/>
      <w:pPr>
        <w:ind w:left="1121" w:hanging="607"/>
      </w:pPr>
      <w:rPr>
        <w:rFonts w:hint="default"/>
        <w:lang w:val="en-US" w:eastAsia="en-US" w:bidi="ar-SA"/>
      </w:rPr>
    </w:lvl>
    <w:lvl w:ilvl="2" w:tplc="FFFFFFFF">
      <w:numFmt w:val="bullet"/>
      <w:lvlText w:val="•"/>
      <w:lvlJc w:val="left"/>
      <w:pPr>
        <w:ind w:left="1582" w:hanging="607"/>
      </w:pPr>
      <w:rPr>
        <w:rFonts w:hint="default"/>
        <w:lang w:val="en-US" w:eastAsia="en-US" w:bidi="ar-SA"/>
      </w:rPr>
    </w:lvl>
    <w:lvl w:ilvl="3" w:tplc="FFFFFFFF">
      <w:numFmt w:val="bullet"/>
      <w:lvlText w:val="•"/>
      <w:lvlJc w:val="left"/>
      <w:pPr>
        <w:ind w:left="2043" w:hanging="607"/>
      </w:pPr>
      <w:rPr>
        <w:rFonts w:hint="default"/>
        <w:lang w:val="en-US" w:eastAsia="en-US" w:bidi="ar-SA"/>
      </w:rPr>
    </w:lvl>
    <w:lvl w:ilvl="4" w:tplc="FFFFFFFF">
      <w:numFmt w:val="bullet"/>
      <w:lvlText w:val="•"/>
      <w:lvlJc w:val="left"/>
      <w:pPr>
        <w:ind w:left="2504" w:hanging="607"/>
      </w:pPr>
      <w:rPr>
        <w:rFonts w:hint="default"/>
        <w:lang w:val="en-US" w:eastAsia="en-US" w:bidi="ar-SA"/>
      </w:rPr>
    </w:lvl>
    <w:lvl w:ilvl="5" w:tplc="FFFFFFFF">
      <w:numFmt w:val="bullet"/>
      <w:lvlText w:val="•"/>
      <w:lvlJc w:val="left"/>
      <w:pPr>
        <w:ind w:left="2966" w:hanging="607"/>
      </w:pPr>
      <w:rPr>
        <w:rFonts w:hint="default"/>
        <w:lang w:val="en-US" w:eastAsia="en-US" w:bidi="ar-SA"/>
      </w:rPr>
    </w:lvl>
    <w:lvl w:ilvl="6" w:tplc="FFFFFFFF">
      <w:numFmt w:val="bullet"/>
      <w:lvlText w:val="•"/>
      <w:lvlJc w:val="left"/>
      <w:pPr>
        <w:ind w:left="3427" w:hanging="607"/>
      </w:pPr>
      <w:rPr>
        <w:rFonts w:hint="default"/>
        <w:lang w:val="en-US" w:eastAsia="en-US" w:bidi="ar-SA"/>
      </w:rPr>
    </w:lvl>
    <w:lvl w:ilvl="7" w:tplc="FFFFFFFF">
      <w:numFmt w:val="bullet"/>
      <w:lvlText w:val="•"/>
      <w:lvlJc w:val="left"/>
      <w:pPr>
        <w:ind w:left="3888" w:hanging="607"/>
      </w:pPr>
      <w:rPr>
        <w:rFonts w:hint="default"/>
        <w:lang w:val="en-US" w:eastAsia="en-US" w:bidi="ar-SA"/>
      </w:rPr>
    </w:lvl>
    <w:lvl w:ilvl="8" w:tplc="FFFFFFFF">
      <w:numFmt w:val="bullet"/>
      <w:lvlText w:val="•"/>
      <w:lvlJc w:val="left"/>
      <w:pPr>
        <w:ind w:left="4349" w:hanging="607"/>
      </w:pPr>
      <w:rPr>
        <w:rFonts w:hint="default"/>
        <w:lang w:val="en-US" w:eastAsia="en-US" w:bidi="ar-SA"/>
      </w:rPr>
    </w:lvl>
  </w:abstractNum>
  <w:num w:numId="1" w16cid:durableId="1392462354">
    <w:abstractNumId w:val="0"/>
  </w:num>
  <w:num w:numId="2" w16cid:durableId="1943144475">
    <w:abstractNumId w:val="3"/>
  </w:num>
  <w:num w:numId="3" w16cid:durableId="2025553366">
    <w:abstractNumId w:val="2"/>
  </w:num>
  <w:num w:numId="4" w16cid:durableId="235625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3NDM3NjAzNjQyNrJQ0lEKTi0uzszPAykwrAUAZO5F+CwAAAA="/>
  </w:docVars>
  <w:rsids>
    <w:rsidRoot w:val="00DC429E"/>
    <w:rsid w:val="0002261B"/>
    <w:rsid w:val="00026F47"/>
    <w:rsid w:val="00047F58"/>
    <w:rsid w:val="00050384"/>
    <w:rsid w:val="0012457E"/>
    <w:rsid w:val="002221BD"/>
    <w:rsid w:val="00235269"/>
    <w:rsid w:val="002B6E0A"/>
    <w:rsid w:val="002F1E0A"/>
    <w:rsid w:val="00300EEC"/>
    <w:rsid w:val="00331488"/>
    <w:rsid w:val="00377663"/>
    <w:rsid w:val="005C282E"/>
    <w:rsid w:val="006A052F"/>
    <w:rsid w:val="007103D4"/>
    <w:rsid w:val="0073261C"/>
    <w:rsid w:val="00744658"/>
    <w:rsid w:val="007530E2"/>
    <w:rsid w:val="007E44D6"/>
    <w:rsid w:val="00856EAD"/>
    <w:rsid w:val="008A7274"/>
    <w:rsid w:val="008D23A8"/>
    <w:rsid w:val="0098443C"/>
    <w:rsid w:val="009B07C9"/>
    <w:rsid w:val="00A93C66"/>
    <w:rsid w:val="00AC3403"/>
    <w:rsid w:val="00AD4F5E"/>
    <w:rsid w:val="00AE149E"/>
    <w:rsid w:val="00B21D01"/>
    <w:rsid w:val="00B2278F"/>
    <w:rsid w:val="00B42B19"/>
    <w:rsid w:val="00B818D3"/>
    <w:rsid w:val="00BB1BBE"/>
    <w:rsid w:val="00C279B1"/>
    <w:rsid w:val="00C479E0"/>
    <w:rsid w:val="00C9538E"/>
    <w:rsid w:val="00CF5BE1"/>
    <w:rsid w:val="00DA70CE"/>
    <w:rsid w:val="00DC429E"/>
    <w:rsid w:val="00E9233C"/>
    <w:rsid w:val="00F910E2"/>
    <w:rsid w:val="00F92073"/>
    <w:rsid w:val="00FF3E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2784B15"/>
  <w15:docId w15:val="{1973C370-F2E2-400C-8C46-775656E4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E0A"/>
  </w:style>
  <w:style w:type="paragraph" w:styleId="Heading1">
    <w:name w:val="heading 1"/>
    <w:basedOn w:val="Normal"/>
    <w:next w:val="Normal"/>
    <w:link w:val="Heading1Char"/>
    <w:uiPriority w:val="9"/>
    <w:qFormat/>
    <w:rsid w:val="00DC42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2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2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2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2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2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2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2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2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2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29E"/>
    <w:rPr>
      <w:rFonts w:eastAsiaTheme="majorEastAsia" w:cstheme="majorBidi"/>
      <w:color w:val="272727" w:themeColor="text1" w:themeTint="D8"/>
    </w:rPr>
  </w:style>
  <w:style w:type="paragraph" w:styleId="Title">
    <w:name w:val="Title"/>
    <w:basedOn w:val="Normal"/>
    <w:next w:val="Normal"/>
    <w:link w:val="TitleChar"/>
    <w:uiPriority w:val="10"/>
    <w:qFormat/>
    <w:rsid w:val="00DC4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29E"/>
    <w:pPr>
      <w:spacing w:before="160"/>
      <w:jc w:val="center"/>
    </w:pPr>
    <w:rPr>
      <w:i/>
      <w:iCs/>
      <w:color w:val="404040" w:themeColor="text1" w:themeTint="BF"/>
    </w:rPr>
  </w:style>
  <w:style w:type="character" w:customStyle="1" w:styleId="QuoteChar">
    <w:name w:val="Quote Char"/>
    <w:basedOn w:val="DefaultParagraphFont"/>
    <w:link w:val="Quote"/>
    <w:uiPriority w:val="29"/>
    <w:rsid w:val="00DC429E"/>
    <w:rPr>
      <w:i/>
      <w:iCs/>
      <w:color w:val="404040" w:themeColor="text1" w:themeTint="BF"/>
    </w:rPr>
  </w:style>
  <w:style w:type="paragraph" w:styleId="ListParagraph">
    <w:name w:val="List Paragraph"/>
    <w:basedOn w:val="Normal"/>
    <w:uiPriority w:val="1"/>
    <w:qFormat/>
    <w:rsid w:val="00DC429E"/>
    <w:pPr>
      <w:ind w:left="720"/>
      <w:contextualSpacing/>
    </w:pPr>
  </w:style>
  <w:style w:type="character" w:styleId="IntenseEmphasis">
    <w:name w:val="Intense Emphasis"/>
    <w:basedOn w:val="DefaultParagraphFont"/>
    <w:uiPriority w:val="21"/>
    <w:qFormat/>
    <w:rsid w:val="00DC429E"/>
    <w:rPr>
      <w:i/>
      <w:iCs/>
      <w:color w:val="2F5496" w:themeColor="accent1" w:themeShade="BF"/>
    </w:rPr>
  </w:style>
  <w:style w:type="paragraph" w:styleId="IntenseQuote">
    <w:name w:val="Intense Quote"/>
    <w:basedOn w:val="Normal"/>
    <w:next w:val="Normal"/>
    <w:link w:val="IntenseQuoteChar"/>
    <w:uiPriority w:val="30"/>
    <w:qFormat/>
    <w:rsid w:val="00DC42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29E"/>
    <w:rPr>
      <w:i/>
      <w:iCs/>
      <w:color w:val="2F5496" w:themeColor="accent1" w:themeShade="BF"/>
    </w:rPr>
  </w:style>
  <w:style w:type="character" w:styleId="IntenseReference">
    <w:name w:val="Intense Reference"/>
    <w:basedOn w:val="DefaultParagraphFont"/>
    <w:uiPriority w:val="32"/>
    <w:qFormat/>
    <w:rsid w:val="00DC429E"/>
    <w:rPr>
      <w:b/>
      <w:bCs/>
      <w:smallCaps/>
      <w:color w:val="2F5496" w:themeColor="accent1" w:themeShade="BF"/>
      <w:spacing w:val="5"/>
    </w:rPr>
  </w:style>
  <w:style w:type="character" w:styleId="Hyperlink">
    <w:name w:val="Hyperlink"/>
    <w:basedOn w:val="DefaultParagraphFont"/>
    <w:uiPriority w:val="99"/>
    <w:unhideWhenUsed/>
    <w:rsid w:val="00DC429E"/>
    <w:rPr>
      <w:color w:val="0563C1" w:themeColor="hyperlink"/>
      <w:u w:val="single"/>
    </w:rPr>
  </w:style>
  <w:style w:type="paragraph" w:styleId="BodyText">
    <w:name w:val="Body Text"/>
    <w:basedOn w:val="Normal"/>
    <w:link w:val="BodyTextChar"/>
    <w:uiPriority w:val="1"/>
    <w:qFormat/>
    <w:rsid w:val="00DC429E"/>
    <w:pPr>
      <w:widowControl w:val="0"/>
      <w:autoSpaceDE w:val="0"/>
      <w:autoSpaceDN w:val="0"/>
      <w:spacing w:after="0" w:line="240" w:lineRule="auto"/>
    </w:pPr>
    <w:rPr>
      <w:rFonts w:ascii="Cambria" w:eastAsia="Cambria" w:hAnsi="Cambria" w:cs="Cambria"/>
      <w:kern w:val="0"/>
      <w:sz w:val="20"/>
      <w:szCs w:val="20"/>
      <w:lang w:val="en-US"/>
    </w:rPr>
  </w:style>
  <w:style w:type="character" w:customStyle="1" w:styleId="BodyTextChar">
    <w:name w:val="Body Text Char"/>
    <w:basedOn w:val="DefaultParagraphFont"/>
    <w:link w:val="BodyText"/>
    <w:uiPriority w:val="1"/>
    <w:rsid w:val="00DC429E"/>
    <w:rPr>
      <w:rFonts w:ascii="Cambria" w:eastAsia="Cambria" w:hAnsi="Cambria" w:cs="Cambria"/>
      <w:kern w:val="0"/>
      <w:sz w:val="20"/>
      <w:szCs w:val="20"/>
      <w:lang w:val="en-US"/>
    </w:rPr>
  </w:style>
  <w:style w:type="character" w:customStyle="1" w:styleId="UnresolvedMention1">
    <w:name w:val="Unresolved Mention1"/>
    <w:basedOn w:val="DefaultParagraphFont"/>
    <w:uiPriority w:val="99"/>
    <w:semiHidden/>
    <w:unhideWhenUsed/>
    <w:rsid w:val="00AD4F5E"/>
    <w:rPr>
      <w:color w:val="605E5C"/>
      <w:shd w:val="clear" w:color="auto" w:fill="E1DFDD"/>
    </w:rPr>
  </w:style>
  <w:style w:type="paragraph" w:styleId="Header">
    <w:name w:val="header"/>
    <w:basedOn w:val="Normal"/>
    <w:link w:val="HeaderChar"/>
    <w:uiPriority w:val="99"/>
    <w:unhideWhenUsed/>
    <w:rsid w:val="00C2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B1"/>
  </w:style>
  <w:style w:type="paragraph" w:styleId="Footer">
    <w:name w:val="footer"/>
    <w:basedOn w:val="Normal"/>
    <w:link w:val="FooterChar"/>
    <w:uiPriority w:val="99"/>
    <w:unhideWhenUsed/>
    <w:rsid w:val="00C2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B1"/>
  </w:style>
  <w:style w:type="character" w:styleId="CommentReference">
    <w:name w:val="annotation reference"/>
    <w:basedOn w:val="DefaultParagraphFont"/>
    <w:uiPriority w:val="99"/>
    <w:semiHidden/>
    <w:unhideWhenUsed/>
    <w:rsid w:val="002F1E0A"/>
    <w:rPr>
      <w:sz w:val="16"/>
      <w:szCs w:val="16"/>
    </w:rPr>
  </w:style>
  <w:style w:type="paragraph" w:styleId="CommentText">
    <w:name w:val="annotation text"/>
    <w:basedOn w:val="Normal"/>
    <w:link w:val="CommentTextChar"/>
    <w:uiPriority w:val="99"/>
    <w:semiHidden/>
    <w:unhideWhenUsed/>
    <w:rsid w:val="002F1E0A"/>
    <w:pPr>
      <w:spacing w:line="240" w:lineRule="auto"/>
    </w:pPr>
    <w:rPr>
      <w:sz w:val="20"/>
      <w:szCs w:val="20"/>
    </w:rPr>
  </w:style>
  <w:style w:type="character" w:customStyle="1" w:styleId="CommentTextChar">
    <w:name w:val="Comment Text Char"/>
    <w:basedOn w:val="DefaultParagraphFont"/>
    <w:link w:val="CommentText"/>
    <w:uiPriority w:val="99"/>
    <w:semiHidden/>
    <w:rsid w:val="002F1E0A"/>
    <w:rPr>
      <w:sz w:val="20"/>
      <w:szCs w:val="20"/>
    </w:rPr>
  </w:style>
  <w:style w:type="paragraph" w:styleId="CommentSubject">
    <w:name w:val="annotation subject"/>
    <w:basedOn w:val="CommentText"/>
    <w:next w:val="CommentText"/>
    <w:link w:val="CommentSubjectChar"/>
    <w:uiPriority w:val="99"/>
    <w:semiHidden/>
    <w:unhideWhenUsed/>
    <w:rsid w:val="002F1E0A"/>
    <w:rPr>
      <w:b/>
      <w:bCs/>
    </w:rPr>
  </w:style>
  <w:style w:type="character" w:customStyle="1" w:styleId="CommentSubjectChar">
    <w:name w:val="Comment Subject Char"/>
    <w:basedOn w:val="CommentTextChar"/>
    <w:link w:val="CommentSubject"/>
    <w:uiPriority w:val="99"/>
    <w:semiHidden/>
    <w:rsid w:val="002F1E0A"/>
    <w:rPr>
      <w:b/>
      <w:bCs/>
      <w:sz w:val="20"/>
      <w:szCs w:val="20"/>
    </w:rPr>
  </w:style>
  <w:style w:type="paragraph" w:styleId="BalloonText">
    <w:name w:val="Balloon Text"/>
    <w:basedOn w:val="Normal"/>
    <w:link w:val="BalloonTextChar"/>
    <w:uiPriority w:val="99"/>
    <w:semiHidden/>
    <w:unhideWhenUsed/>
    <w:rsid w:val="002F1E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E0A"/>
    <w:rPr>
      <w:rFonts w:ascii="Tahoma" w:hAnsi="Tahoma" w:cs="Tahoma"/>
      <w:sz w:val="16"/>
      <w:szCs w:val="16"/>
    </w:rPr>
  </w:style>
  <w:style w:type="character" w:styleId="Strong">
    <w:name w:val="Strong"/>
    <w:basedOn w:val="DefaultParagraphFont"/>
    <w:uiPriority w:val="22"/>
    <w:qFormat/>
    <w:rsid w:val="00026F47"/>
    <w:rPr>
      <w:b/>
      <w:bCs/>
    </w:rPr>
  </w:style>
  <w:style w:type="character" w:styleId="Emphasis">
    <w:name w:val="Emphasis"/>
    <w:basedOn w:val="DefaultParagraphFont"/>
    <w:uiPriority w:val="20"/>
    <w:qFormat/>
    <w:rsid w:val="007103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5958/0975-6906.2017.00009.8" TargetMode="External"/><Relationship Id="rId18" Type="http://schemas.openxmlformats.org/officeDocument/2006/relationships/hyperlink" Target="https://doi.org/10.56557/pcbmb/2025/v26i11-129929" TargetMode="External"/><Relationship Id="rId26" Type="http://schemas.openxmlformats.org/officeDocument/2006/relationships/hyperlink" Target="https://doi.org/10.5958/0975-928X.2017.00079.5" TargetMode="External"/><Relationship Id="rId3" Type="http://schemas.openxmlformats.org/officeDocument/2006/relationships/settings" Target="settings.xml"/><Relationship Id="rId21" Type="http://schemas.openxmlformats.org/officeDocument/2006/relationships/hyperlink" Target="https://doi.org/10.56093/aaz.v56i3-4.78857"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2134/agronj1956.00021962004800060008x" TargetMode="External"/><Relationship Id="rId25" Type="http://schemas.openxmlformats.org/officeDocument/2006/relationships/hyperlink" Target="https://doi.org/10.9734/jeai/2026/v48i44175" TargetMode="External"/><Relationship Id="rId2" Type="http://schemas.openxmlformats.org/officeDocument/2006/relationships/styles" Target="styles.xml"/><Relationship Id="rId16" Type="http://schemas.openxmlformats.org/officeDocument/2006/relationships/hyperlink" Target="https://doi.org/10.1038/s41598-020-77818-0" TargetMode="External"/><Relationship Id="rId20" Type="http://schemas.openxmlformats.org/officeDocument/2006/relationships/hyperlink" Target="https://doi.org/10.3390/agronomy1311281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3389/fpls.2021.670201" TargetMode="External"/><Relationship Id="rId5" Type="http://schemas.openxmlformats.org/officeDocument/2006/relationships/footnotes" Target="footnotes.xml"/><Relationship Id="rId15" Type="http://schemas.openxmlformats.org/officeDocument/2006/relationships/hyperlink" Target="https://doi.org/10.3389/fpls.2023.1171773" TargetMode="External"/><Relationship Id="rId23" Type="http://schemas.openxmlformats.org/officeDocument/2006/relationships/hyperlink" Target="https://doi.org/10.3390/plants15071034" TargetMode="External"/><Relationship Id="rId28" Type="http://schemas.openxmlformats.org/officeDocument/2006/relationships/hyperlink" Target="https://doi.org/10.3389/fpls.2021.645038" TargetMode="External"/><Relationship Id="rId10" Type="http://schemas.openxmlformats.org/officeDocument/2006/relationships/footer" Target="footer2.xml"/><Relationship Id="rId19" Type="http://schemas.openxmlformats.org/officeDocument/2006/relationships/hyperlink" Target="https://doi.org/10.2134/agronj1955.00021962004700070009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2134/agronj1953.00021962004500100005x" TargetMode="External"/><Relationship Id="rId22" Type="http://schemas.openxmlformats.org/officeDocument/2006/relationships/hyperlink" Target="https://iimsucat.iimb.ac.in/bib/344845" TargetMode="External"/><Relationship Id="rId27" Type="http://schemas.openxmlformats.org/officeDocument/2006/relationships/hyperlink" Target="https://doi.org/10.5958/0975-928X.2018.00158.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11</Pages>
  <Words>4570</Words>
  <Characters>26049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1020</cp:lastModifiedBy>
  <cp:revision>22</cp:revision>
  <dcterms:created xsi:type="dcterms:W3CDTF">2026-07-18T16:46:00Z</dcterms:created>
  <dcterms:modified xsi:type="dcterms:W3CDTF">2026-07-28T12:52:00Z</dcterms:modified>
</cp:coreProperties>
</file>