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5DA5B" w14:textId="77777777" w:rsidR="004C3151" w:rsidRDefault="004C3151" w:rsidP="004C3151">
      <w:pPr>
        <w:pStyle w:val="Title"/>
        <w:spacing w:after="0"/>
        <w:jc w:val="both"/>
        <w:rPr>
          <w:rFonts w:ascii="Arial" w:hAnsi="Arial" w:cs="Arial"/>
        </w:rPr>
      </w:pPr>
    </w:p>
    <w:p w14:paraId="3046C334" w14:textId="77777777" w:rsidR="004C3151" w:rsidRPr="004C3151" w:rsidRDefault="004C3151" w:rsidP="004C3151">
      <w:pPr>
        <w:jc w:val="right"/>
        <w:rPr>
          <w:rFonts w:ascii="Times New Roman" w:hAnsi="Times New Roman"/>
          <w:b/>
          <w:bCs/>
          <w:sz w:val="36"/>
          <w:szCs w:val="36"/>
        </w:rPr>
      </w:pPr>
      <w:r>
        <w:rPr>
          <w:rFonts w:ascii="Times New Roman" w:hAnsi="Times New Roman"/>
          <w:b/>
          <w:bCs/>
          <w:sz w:val="36"/>
          <w:szCs w:val="36"/>
        </w:rPr>
        <w:t>Cointegration and Causality Analysis of Human Immunodeficiency Virus and Tuberculosis Coinfection i</w:t>
      </w:r>
      <w:r w:rsidRPr="004C3151">
        <w:rPr>
          <w:rFonts w:ascii="Times New Roman" w:hAnsi="Times New Roman"/>
          <w:b/>
          <w:bCs/>
          <w:sz w:val="36"/>
          <w:szCs w:val="36"/>
        </w:rPr>
        <w:t>n Nasarawa State, Nigeria</w:t>
      </w:r>
    </w:p>
    <w:p w14:paraId="25BB7C2E" w14:textId="77777777" w:rsidR="004C3151" w:rsidRPr="00790ADA" w:rsidRDefault="004C3151" w:rsidP="004C3151">
      <w:pPr>
        <w:pStyle w:val="Author"/>
        <w:spacing w:line="240" w:lineRule="auto"/>
        <w:jc w:val="both"/>
        <w:rPr>
          <w:rFonts w:ascii="Arial" w:hAnsi="Arial" w:cs="Arial"/>
          <w:sz w:val="36"/>
        </w:rPr>
      </w:pPr>
    </w:p>
    <w:p w14:paraId="2497C5D5" w14:textId="77777777" w:rsidR="009E3237" w:rsidRPr="0083216F" w:rsidRDefault="009E3237" w:rsidP="004C3151">
      <w:pPr>
        <w:pStyle w:val="Affiliation"/>
        <w:spacing w:after="0" w:line="240" w:lineRule="auto"/>
        <w:rPr>
          <w:rFonts w:ascii="Arial" w:hAnsi="Arial" w:cs="Arial"/>
          <w:i/>
        </w:rPr>
      </w:pPr>
    </w:p>
    <w:p w14:paraId="6D8D3D0A" w14:textId="77777777" w:rsidR="004C3151" w:rsidRPr="00FB3A86" w:rsidRDefault="004C3151" w:rsidP="004C3151">
      <w:pPr>
        <w:pStyle w:val="Affiliation"/>
        <w:spacing w:after="0" w:line="240" w:lineRule="auto"/>
        <w:jc w:val="both"/>
        <w:rPr>
          <w:rFonts w:ascii="Arial" w:hAnsi="Arial" w:cs="Arial"/>
        </w:rPr>
      </w:pPr>
      <w:r>
        <w:rPr>
          <w:rFonts w:ascii="Arial" w:hAnsi="Arial" w:cs="Arial"/>
          <w:noProof/>
        </w:rPr>
        <mc:AlternateContent>
          <mc:Choice Requires="wps">
            <w:drawing>
              <wp:inline distT="0" distB="0" distL="0" distR="0" wp14:anchorId="7C6376AA" wp14:editId="0ECC62E7">
                <wp:extent cx="5303520" cy="0"/>
                <wp:effectExtent l="13335" t="10160" r="17145" b="18415"/>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527FA960" id="_x0000_t32" coordsize="21600,21600" o:spt="32" o:oned="t" path="m,l21600,21600e" filled="f">
                <v:path arrowok="t" fillok="f" o:connecttype="none"/>
                <o:lock v:ext="edit" shapetype="t"/>
              </v:shapetype>
              <v:shape id="Straight Arrow Connector 2" o:spid="_x0000_s1026" type="#_x0000_t32" style="width:417.6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" strokeweight="1.5pt">
                <w10:anchorlock/>
              </v:shape>
            </w:pict>
          </mc:Fallback>
        </mc:AlternateContent>
      </w:r>
    </w:p>
    <w:p w14:paraId="5E6B9F78" w14:textId="77777777" w:rsidR="004C3151" w:rsidRPr="00FB3A86" w:rsidRDefault="004C3151" w:rsidP="004C3151">
      <w:pPr>
        <w:pStyle w:val="Copyright"/>
        <w:spacing w:after="0" w:line="240" w:lineRule="auto"/>
        <w:jc w:val="both"/>
        <w:rPr>
          <w:rFonts w:ascii="Arial" w:hAnsi="Arial" w:cs="Arial"/>
        </w:rPr>
        <w:sectPr w:rsidR="004C3151" w:rsidRPr="00FB3A86" w:rsidSect="00FA70D0">
          <w:headerReference w:type="even" r:id="rId7"/>
          <w:headerReference w:type="default" r:id="rId8"/>
          <w:footerReference w:type="even" r:id="rId9"/>
          <w:footerReference w:type="default" r:id="rId10"/>
          <w:headerReference w:type="first" r:id="rId11"/>
          <w:footerReference w:type="first" r:id="rId12"/>
          <w:pgSz w:w="12240" w:h="15840" w:code="1"/>
          <w:pgMar w:top="1440" w:right="2016" w:bottom="2016" w:left="2016" w:header="720" w:footer="1296" w:gutter="0"/>
          <w:cols w:space="720"/>
          <w:docGrid w:linePitch="272"/>
        </w:sectPr>
      </w:pPr>
      <w:r>
        <w:rPr>
          <w:rFonts w:ascii="Arial" w:hAnsi="Arial" w:cs="Arial"/>
        </w:rPr>
        <w:t>.</w:t>
      </w:r>
    </w:p>
    <w:p w14:paraId="61D19BBA" w14:textId="77777777" w:rsidR="004C3151" w:rsidRPr="00FB3A86" w:rsidRDefault="004C3151" w:rsidP="004C3151">
      <w:pPr>
        <w:pStyle w:val="AbstHead"/>
        <w:spacing w:after="0"/>
        <w:jc w:val="center"/>
        <w:rPr>
          <w:rFonts w:ascii="Arial" w:hAnsi="Arial" w:cs="Arial"/>
        </w:rPr>
      </w:pPr>
      <w:r w:rsidRPr="00FB3A86">
        <w:rPr>
          <w:rFonts w:ascii="Arial" w:hAnsi="Arial" w:cs="Arial"/>
        </w:rPr>
        <w:t>ABSTRACT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4C3151" w:rsidRPr="001E44FE" w14:paraId="735DA820" w14:textId="77777777" w:rsidTr="00034A02">
        <w:tc>
          <w:tcPr>
            <w:tcW w:w="9576" w:type="dxa"/>
            <w:shd w:val="clear" w:color="auto" w:fill="F2F2F2"/>
          </w:tcPr>
          <w:p w14:paraId="4150264E" w14:textId="77777777" w:rsidR="001D01AC" w:rsidRPr="00A123E8" w:rsidRDefault="001D01AC" w:rsidP="00A123E8">
            <w:pPr>
              <w:pStyle w:val="pdq2pgselectionanchorcontainer"/>
              <w:spacing w:before="0" w:beforeAutospacing="0" w:after="0" w:afterAutospacing="0"/>
              <w:jc w:val="both"/>
              <w:rPr>
                <w:rFonts w:ascii="Arial" w:hAnsi="Arial" w:cs="Arial"/>
                <w:sz w:val="20"/>
                <w:szCs w:val="20"/>
              </w:rPr>
            </w:pPr>
            <w:r w:rsidRPr="00A123E8">
              <w:rPr>
                <w:rStyle w:val="Strong"/>
                <w:rFonts w:ascii="Arial" w:hAnsi="Arial" w:cs="Arial"/>
                <w:sz w:val="20"/>
                <w:szCs w:val="20"/>
              </w:rPr>
              <w:t>Aim:</w:t>
            </w:r>
            <w:r w:rsidRPr="00A123E8">
              <w:rPr>
                <w:rFonts w:ascii="Arial" w:hAnsi="Arial" w:cs="Arial"/>
                <w:sz w:val="20"/>
                <w:szCs w:val="20"/>
              </w:rPr>
              <w:t xml:space="preserve"> This study investigated the long-run and short-run dynamics of Human Immunodeficiency Virus (HIV) and tuberculosis (TB) coinfection in Nasarawa State, Nigeria, to provide empirical evidence for integrated disease prevention and control strategies.</w:t>
            </w:r>
          </w:p>
          <w:p w14:paraId="3ADA6237" w14:textId="77777777" w:rsidR="001D01AC" w:rsidRPr="00A123E8" w:rsidRDefault="001D01AC" w:rsidP="00A123E8">
            <w:pPr>
              <w:pStyle w:val="NormalWeb"/>
              <w:spacing w:before="0" w:beforeAutospacing="0" w:after="0" w:afterAutospacing="0"/>
              <w:jc w:val="both"/>
              <w:rPr>
                <w:rFonts w:ascii="Arial" w:hAnsi="Arial" w:cs="Arial"/>
                <w:sz w:val="20"/>
                <w:szCs w:val="20"/>
              </w:rPr>
            </w:pPr>
            <w:r w:rsidRPr="00A123E8">
              <w:rPr>
                <w:rStyle w:val="Strong"/>
                <w:rFonts w:ascii="Arial" w:hAnsi="Arial" w:cs="Arial"/>
                <w:sz w:val="20"/>
                <w:szCs w:val="20"/>
              </w:rPr>
              <w:t>Study Design:</w:t>
            </w:r>
            <w:r w:rsidRPr="00A123E8">
              <w:rPr>
                <w:rFonts w:ascii="Arial" w:hAnsi="Arial" w:cs="Arial"/>
                <w:sz w:val="20"/>
                <w:szCs w:val="20"/>
              </w:rPr>
              <w:t xml:space="preserve"> The study employed a retrospective longitudinal time-series research design using advanced econometric techniques, including descriptive statistics, unit root tests, Johansen cointegration, </w:t>
            </w:r>
            <w:r w:rsidR="00A123E8" w:rsidRPr="00A123E8">
              <w:rPr>
                <w:rFonts w:ascii="Arial" w:hAnsi="Arial" w:cs="Arial"/>
                <w:sz w:val="20"/>
                <w:szCs w:val="20"/>
              </w:rPr>
              <w:t>and Fully</w:t>
            </w:r>
            <w:r w:rsidRPr="00A123E8">
              <w:rPr>
                <w:rFonts w:ascii="Arial" w:hAnsi="Arial" w:cs="Arial"/>
                <w:sz w:val="20"/>
                <w:szCs w:val="20"/>
              </w:rPr>
              <w:t xml:space="preserve"> Modified Ordinary Least Squares (FMOLS), Vector Error Correction Model (VECM), and Pairwise Granger causality analysis.</w:t>
            </w:r>
          </w:p>
          <w:p w14:paraId="66F6B6B0" w14:textId="77777777" w:rsidR="001D01AC" w:rsidRPr="00A123E8" w:rsidRDefault="001D01AC" w:rsidP="00A123E8">
            <w:pPr>
              <w:pStyle w:val="NormalWeb"/>
              <w:spacing w:before="0" w:beforeAutospacing="0" w:after="0" w:afterAutospacing="0"/>
              <w:jc w:val="both"/>
              <w:rPr>
                <w:rFonts w:ascii="Arial" w:hAnsi="Arial" w:cs="Arial"/>
                <w:sz w:val="20"/>
                <w:szCs w:val="20"/>
              </w:rPr>
            </w:pPr>
            <w:r w:rsidRPr="00A123E8">
              <w:rPr>
                <w:rStyle w:val="Strong"/>
                <w:rFonts w:ascii="Arial" w:hAnsi="Arial" w:cs="Arial"/>
                <w:sz w:val="20"/>
                <w:szCs w:val="20"/>
              </w:rPr>
              <w:t>Place and Duration of Study:</w:t>
            </w:r>
            <w:r w:rsidRPr="00A123E8">
              <w:rPr>
                <w:rFonts w:ascii="Arial" w:hAnsi="Arial" w:cs="Arial"/>
                <w:sz w:val="20"/>
                <w:szCs w:val="20"/>
              </w:rPr>
              <w:t xml:space="preserve"> The study was conducted in Nasarawa State, Nigeria, using quarterly surveillance data obtained from the National Tuberculosis and Leprosy Control Programme (NTBLCP) Quarterly Reports on Case Finding. The dataset covered the period from the fourth quarter (Q4) of 2015 to the fourth quarter (Q4) of 2024.</w:t>
            </w:r>
          </w:p>
          <w:p w14:paraId="21CB6E8F" w14:textId="77777777" w:rsidR="001D01AC" w:rsidRPr="00A123E8" w:rsidRDefault="001D01AC" w:rsidP="00A123E8">
            <w:pPr>
              <w:pStyle w:val="NormalWeb"/>
              <w:spacing w:before="0" w:beforeAutospacing="0" w:after="0" w:afterAutospacing="0"/>
              <w:jc w:val="both"/>
              <w:rPr>
                <w:rFonts w:ascii="Arial" w:hAnsi="Arial" w:cs="Arial"/>
                <w:sz w:val="20"/>
                <w:szCs w:val="20"/>
              </w:rPr>
            </w:pPr>
            <w:r w:rsidRPr="00A123E8">
              <w:rPr>
                <w:rStyle w:val="Strong"/>
                <w:rFonts w:ascii="Arial" w:hAnsi="Arial" w:cs="Arial"/>
                <w:sz w:val="20"/>
                <w:szCs w:val="20"/>
              </w:rPr>
              <w:t>Methodology:</w:t>
            </w:r>
            <w:r>
              <w:rPr>
                <w:rFonts w:ascii="Arial" w:hAnsi="Arial" w:cs="Arial"/>
                <w:sz w:val="20"/>
                <w:szCs w:val="20"/>
              </w:rPr>
              <w:t xml:space="preserve"> The study </w:t>
            </w:r>
            <w:r>
              <w:rPr>
                <w:rFonts w:ascii="Arial" w:hAnsi="Arial" w:cs="Arial"/>
                <w:sz w:val="20"/>
                <w:szCs w:val="20"/>
                <w:highlight w:val="yellow"/>
              </w:rPr>
              <w:t>analysed</w:t>
            </w:r>
            <w:r>
              <w:rPr>
                <w:rFonts w:ascii="Arial" w:hAnsi="Arial" w:cs="Arial"/>
                <w:sz w:val="20"/>
                <w:szCs w:val="20"/>
              </w:rPr>
              <w:t xml:space="preserve"> 37 quarterly observations on HIV infections, TB infections, and HIV/TB coinfections. Descriptive statistics were used to </w:t>
            </w:r>
            <w:r>
              <w:rPr>
                <w:rFonts w:ascii="Arial" w:hAnsi="Arial" w:cs="Arial"/>
                <w:sz w:val="20"/>
                <w:szCs w:val="20"/>
                <w:highlight w:val="yellow"/>
              </w:rPr>
              <w:t>summarise</w:t>
            </w:r>
            <w:r>
              <w:rPr>
                <w:rFonts w:ascii="Arial" w:hAnsi="Arial" w:cs="Arial"/>
                <w:sz w:val="20"/>
                <w:szCs w:val="20"/>
              </w:rPr>
              <w:t xml:space="preserve"> the data, while Augmented Dickey-Fuller and Phillips-Perron unit root tests examined stationarity. Johansen cointegration analysis assessed long-run relationships among the variables. Long-run effects were estimated using FMOLS, short-run dynamics were examined with the VECM, and </w:t>
            </w:r>
            <w:r>
              <w:rPr>
                <w:rFonts w:ascii="Arial" w:hAnsi="Arial" w:cs="Arial"/>
                <w:sz w:val="20"/>
                <w:szCs w:val="20"/>
                <w:highlight w:val="yellow"/>
              </w:rPr>
              <w:t>pairwise Granger</w:t>
            </w:r>
            <w:r>
              <w:rPr>
                <w:rFonts w:ascii="Arial" w:hAnsi="Arial" w:cs="Arial"/>
                <w:sz w:val="20"/>
                <w:szCs w:val="20"/>
              </w:rPr>
              <w:t xml:space="preserve"> causality tests determined the direction of causal relationships.</w:t>
            </w:r>
          </w:p>
          <w:p w14:paraId="145D17A7" w14:textId="77777777" w:rsidR="001D01AC" w:rsidRPr="00A123E8" w:rsidRDefault="001D01AC" w:rsidP="00A123E8">
            <w:pPr>
              <w:pStyle w:val="NormalWeb"/>
              <w:spacing w:before="0" w:beforeAutospacing="0" w:after="0" w:afterAutospacing="0"/>
              <w:jc w:val="both"/>
              <w:rPr>
                <w:rFonts w:ascii="Arial" w:hAnsi="Arial" w:cs="Arial"/>
                <w:sz w:val="20"/>
                <w:szCs w:val="20"/>
              </w:rPr>
            </w:pPr>
            <w:r w:rsidRPr="00A123E8">
              <w:rPr>
                <w:rStyle w:val="Strong"/>
                <w:rFonts w:ascii="Arial" w:hAnsi="Arial" w:cs="Arial"/>
                <w:sz w:val="20"/>
                <w:szCs w:val="20"/>
              </w:rPr>
              <w:t>Results:</w:t>
            </w:r>
            <w:r w:rsidRPr="00A123E8">
              <w:rPr>
                <w:rFonts w:ascii="Arial" w:hAnsi="Arial" w:cs="Arial"/>
                <w:sz w:val="20"/>
                <w:szCs w:val="20"/>
              </w:rPr>
              <w:t xml:space="preserve"> Descriptive analysis showed that the mean number of HIV infections was approximately 133 cases, TB infections averaged 1,043 cases, and HIV/TB coinfection averaged 115 cases, with TB exhibiting the highest variability (SD = 536 cases). Unit root tests confirmed that all variables were integrated of order one, I(1), supporting cointegration analysis. Johansen cointegration identified three long-run equilibrium relationships among HIV, TB, and HIV/TB coinfection. FMOLS estimates revealed that a one-unit increase in HIV infection increased HIV/TB coinfection by 0.981 units, while a one-unit increase in TB infection increased HIV/TB coinfection by 0.512 units, both statistically significant at the 1% level. The VECM produced a significant error correction coefficient of −0.579, indicating that approximately 58% of deviations from long-run equilibrium were corrected within one quarter. Short-run results showed that changes in HIV infection significantly increased HIV/TB coinfection, whereas TB infection exhibited negative short-run effects. Pairwise Granger causality analysis established unidirectional causality from HIV infection to TB infection (F = 8.746, </w:t>
            </w:r>
            <w:r w:rsidRPr="00A123E8">
              <w:rPr>
                <w:rStyle w:val="Emphasis"/>
                <w:rFonts w:ascii="Arial" w:hAnsi="Arial" w:cs="Arial"/>
                <w:sz w:val="20"/>
                <w:szCs w:val="20"/>
              </w:rPr>
              <w:t>p</w:t>
            </w:r>
            <w:r w:rsidRPr="00A123E8">
              <w:rPr>
                <w:rFonts w:ascii="Arial" w:hAnsi="Arial" w:cs="Arial"/>
                <w:sz w:val="20"/>
                <w:szCs w:val="20"/>
              </w:rPr>
              <w:t xml:space="preserve"> = 0.0012), from HIV infection to HIV/TB coinfection (F = 6.826, </w:t>
            </w:r>
            <w:r w:rsidRPr="00A123E8">
              <w:rPr>
                <w:rStyle w:val="Emphasis"/>
                <w:rFonts w:ascii="Arial" w:hAnsi="Arial" w:cs="Arial"/>
                <w:sz w:val="20"/>
                <w:szCs w:val="20"/>
              </w:rPr>
              <w:t>p</w:t>
            </w:r>
            <w:r w:rsidRPr="00A123E8">
              <w:rPr>
                <w:rFonts w:ascii="Arial" w:hAnsi="Arial" w:cs="Arial"/>
                <w:sz w:val="20"/>
                <w:szCs w:val="20"/>
              </w:rPr>
              <w:t xml:space="preserve"> = 0.0074), and from TB infection to HIV/TB coinfection (F = 5.423, </w:t>
            </w:r>
            <w:r w:rsidRPr="00A123E8">
              <w:rPr>
                <w:rStyle w:val="Emphasis"/>
                <w:rFonts w:ascii="Arial" w:hAnsi="Arial" w:cs="Arial"/>
                <w:sz w:val="20"/>
                <w:szCs w:val="20"/>
              </w:rPr>
              <w:t>p</w:t>
            </w:r>
            <w:r w:rsidRPr="00A123E8">
              <w:rPr>
                <w:rFonts w:ascii="Arial" w:hAnsi="Arial" w:cs="Arial"/>
                <w:sz w:val="20"/>
                <w:szCs w:val="20"/>
              </w:rPr>
              <w:t xml:space="preserve"> = 0.0098).</w:t>
            </w:r>
          </w:p>
          <w:p w14:paraId="526121E1" w14:textId="77777777" w:rsidR="004C3151" w:rsidRPr="001D01AC" w:rsidRDefault="001D01AC" w:rsidP="00A123E8">
            <w:pPr>
              <w:pStyle w:val="NormalWeb"/>
              <w:spacing w:before="0" w:beforeAutospacing="0" w:after="0" w:afterAutospacing="0"/>
              <w:jc w:val="both"/>
            </w:pPr>
            <w:r w:rsidRPr="00A123E8">
              <w:rPr>
                <w:rStyle w:val="Strong"/>
                <w:rFonts w:ascii="Arial" w:hAnsi="Arial" w:cs="Arial"/>
                <w:sz w:val="20"/>
                <w:szCs w:val="20"/>
              </w:rPr>
              <w:t>Conclusion:</w:t>
            </w:r>
            <w:r w:rsidRPr="00A123E8">
              <w:rPr>
                <w:rFonts w:ascii="Arial" w:hAnsi="Arial" w:cs="Arial"/>
                <w:sz w:val="20"/>
                <w:szCs w:val="20"/>
              </w:rPr>
              <w:t xml:space="preserve"> HIV and TB infections exhibit strong long-run equilibrium relationships and significant short-run causal interactions in Nasarawa State, with HIV serving as the primary driver of TB infection and HIV/TB coinfection. These findings underscore the need for strengthened integrated HIV-TB surveillance, prevention, early diagnosis, treatment programmes, and sustained investment in healthcare systems to reduce the burden of coinfection.</w:t>
            </w:r>
          </w:p>
        </w:tc>
      </w:tr>
    </w:tbl>
    <w:p w14:paraId="6B07C956" w14:textId="77777777" w:rsidR="004C3151" w:rsidRDefault="004C3151" w:rsidP="004C3151">
      <w:pPr>
        <w:pStyle w:val="Body"/>
        <w:spacing w:after="0"/>
        <w:rPr>
          <w:rFonts w:ascii="Arial" w:hAnsi="Arial" w:cs="Arial"/>
          <w:i/>
        </w:rPr>
      </w:pPr>
    </w:p>
    <w:p w14:paraId="24C3CFDF" w14:textId="77777777" w:rsidR="004C3151" w:rsidRDefault="004C3151" w:rsidP="004C3151">
      <w:pPr>
        <w:pStyle w:val="NormalWeb"/>
        <w:spacing w:before="0" w:beforeAutospacing="0" w:after="0" w:afterAutospacing="0"/>
        <w:jc w:val="both"/>
      </w:pPr>
      <w:r>
        <w:rPr>
          <w:rFonts w:ascii="Arial" w:hAnsi="Arial" w:cs="Arial"/>
          <w:i/>
        </w:rPr>
        <w:t xml:space="preserve">Keywords: </w:t>
      </w:r>
      <w:r w:rsidR="000D2871" w:rsidRPr="000D2871">
        <w:rPr>
          <w:rFonts w:ascii="Arial" w:hAnsi="Arial" w:cs="Arial"/>
          <w:i/>
          <w:sz w:val="20"/>
          <w:szCs w:val="20"/>
        </w:rPr>
        <w:t>HIV infection; Tuberculosis; HIV/TB coinfection; Cointegration analysis; Granger causality</w:t>
      </w:r>
    </w:p>
    <w:p w14:paraId="070A5995" w14:textId="77777777" w:rsidR="004C3151" w:rsidRDefault="004C3151" w:rsidP="004C3151">
      <w:pPr>
        <w:pStyle w:val="Body"/>
        <w:spacing w:after="0"/>
        <w:rPr>
          <w:rFonts w:ascii="Arial" w:hAnsi="Arial" w:cs="Arial"/>
          <w:i/>
        </w:rPr>
      </w:pPr>
    </w:p>
    <w:p w14:paraId="331B6C1E" w14:textId="77777777" w:rsidR="004C3151" w:rsidRPr="00FB3A86" w:rsidRDefault="004C3151" w:rsidP="004C3151">
      <w:pPr>
        <w:pStyle w:val="AbstHead"/>
        <w:spacing w:after="0"/>
        <w:jc w:val="both"/>
        <w:rPr>
          <w:rFonts w:ascii="Arial" w:hAnsi="Arial" w:cs="Arial"/>
        </w:rPr>
      </w:pPr>
      <w:r>
        <w:rPr>
          <w:rFonts w:ascii="Arial" w:hAnsi="Arial" w:cs="Arial"/>
        </w:rPr>
        <w:lastRenderedPageBreak/>
        <w:t xml:space="preserve">1. </w:t>
      </w:r>
      <w:r w:rsidRPr="00FB3A86">
        <w:rPr>
          <w:rFonts w:ascii="Arial" w:hAnsi="Arial" w:cs="Arial"/>
        </w:rPr>
        <w:t>INTRODUCTION</w:t>
      </w:r>
      <w:r>
        <w:rPr>
          <w:rFonts w:ascii="Arial" w:hAnsi="Arial" w:cs="Arial"/>
        </w:rPr>
        <w:t xml:space="preserve"> </w:t>
      </w:r>
    </w:p>
    <w:p w14:paraId="3E0F7D36" w14:textId="77777777" w:rsidR="004C3151" w:rsidRPr="004C3151" w:rsidRDefault="004C3151" w:rsidP="004C3151">
      <w:pPr>
        <w:spacing w:before="100" w:beforeAutospacing="1" w:after="100" w:afterAutospacing="1"/>
        <w:jc w:val="both"/>
        <w:rPr>
          <w:rFonts w:ascii="Arial" w:hAnsi="Arial" w:cs="Arial"/>
        </w:rPr>
      </w:pPr>
      <w:r w:rsidRPr="004C3151">
        <w:rPr>
          <w:rFonts w:ascii="Arial" w:hAnsi="Arial" w:cs="Arial"/>
        </w:rPr>
        <w:t xml:space="preserve">Tuberculosis (TB) and Human Immunodeficiency Virus (HIV) remain among the most devastating infectious diseases worldwide, particularly in low- and middle-income countries where they continue to exert enormous public health and socioeconomic burdens. HIV weakens the immune system, thereby increasing susceptibility to opportunistic infections such as </w:t>
      </w:r>
      <w:r w:rsidRPr="004C3151">
        <w:rPr>
          <w:rFonts w:ascii="Arial" w:hAnsi="Arial" w:cs="Arial"/>
          <w:i/>
          <w:iCs/>
        </w:rPr>
        <w:t>Mycobacterium tuberculosis</w:t>
      </w:r>
      <w:r>
        <w:rPr>
          <w:rFonts w:ascii="Arial" w:hAnsi="Arial" w:cs="Arial"/>
        </w:rPr>
        <w:t xml:space="preserve">, while TB remains one of the leading causes of mortality among people living with HIV (PLHIV), demonstrating the synergistic relationship between the two diseases </w:t>
      </w:r>
      <w:r>
        <w:rPr>
          <w:rFonts w:ascii="Arial" w:hAnsi="Arial" w:cs="Arial"/>
          <w:highlight w:val="yellow"/>
        </w:rPr>
        <w:t>(Trinh et al., 2015)</w:t>
      </w:r>
      <w:r>
        <w:rPr>
          <w:rFonts w:ascii="Arial" w:hAnsi="Arial" w:cs="Arial"/>
        </w:rPr>
        <w:t xml:space="preserve">. The coexistence of HIV and TB accelerates disease progression, complicates treatment outcomes, and substantially increases mortality risk, making TB/HIV co-infection one of the greatest challenges facing health systems globally. Nigeria is recognised by the World Health Organization (WHO, 2024) as one of the countries with a high burden of TB, TB/HIV co-infection, and multidrug-resistant TB. According to the U.S. Centers for Disease Control and Prevention (CDC, 2025), the country's TB incidence in 2023 was estimated at 219 cases per 100,000 population, with approximately 4.9% of TB cases occurring among individuals living with HIV. Furthermore, a nationwide meta-analysis involving over 44,000 participants reported a pooled TB/HIV co-infection prevalence of 25.8%, indicating that nearly one out of every four TB patients in Nigeria is also infected with HIV </w:t>
      </w:r>
      <w:r>
        <w:rPr>
          <w:rFonts w:ascii="Arial" w:hAnsi="Arial" w:cs="Arial"/>
          <w:highlight w:val="yellow"/>
        </w:rPr>
        <w:t>(Reward et al., 2021)</w:t>
      </w:r>
      <w:r>
        <w:rPr>
          <w:rFonts w:ascii="Arial" w:hAnsi="Arial" w:cs="Arial"/>
        </w:rPr>
        <w:t>.</w:t>
      </w:r>
    </w:p>
    <w:p w14:paraId="734350F0" w14:textId="77777777" w:rsidR="009405CA" w:rsidRPr="00D80ECE" w:rsidRDefault="00000000">
      <w:pPr>
        <w:spacing w:before="100" w:beforeAutospacing="1" w:after="100" w:afterAutospacing="1"/>
        <w:jc w:val="both"/>
        <w:rPr>
          <w:rFonts w:ascii="Arial" w:hAnsi="Arial" w:cs="Arial"/>
          <w:bCs/>
        </w:rPr>
      </w:pPr>
      <w:r w:rsidRPr="00D80ECE">
        <w:rPr>
          <w:bCs/>
          <w:color w:val="000000"/>
          <w:highlight w:val="yellow"/>
        </w:rPr>
        <w:t>Recent global time-trend evidence also indicates that HIV-associated tuberculosis remains heterogeneously distributed across regions and over time, supporting the value of longitudinal analyses for understanding changes in coinfection burden (Zhang et al., 2024).</w:t>
      </w:r>
    </w:p>
    <w:p w14:paraId="7884FC99" w14:textId="77777777" w:rsidR="009405CA" w:rsidRPr="00D80ECE" w:rsidRDefault="00000000">
      <w:pPr>
        <w:spacing w:before="100" w:beforeAutospacing="1" w:after="100" w:afterAutospacing="1"/>
        <w:jc w:val="both"/>
        <w:rPr>
          <w:rFonts w:ascii="Arial" w:hAnsi="Arial" w:cs="Arial"/>
          <w:bCs/>
        </w:rPr>
      </w:pPr>
      <w:r w:rsidRPr="00D80ECE">
        <w:rPr>
          <w:bCs/>
          <w:color w:val="000000"/>
          <w:highlight w:val="yellow"/>
        </w:rPr>
        <w:t>A more recent Global Burden of Disease assessment similarly documented substantial geographic variation in tuberculosis burden when stratified by HIV status, reinforcing the need for context-specific surveillance and interpretation of temporal patterns (GBD 2023 TB HIV Collaborators, 2026).</w:t>
      </w:r>
    </w:p>
    <w:p w14:paraId="20DB6BB3" w14:textId="77777777" w:rsidR="004C3151" w:rsidRPr="004C3151" w:rsidRDefault="004C3151" w:rsidP="004C3151">
      <w:pPr>
        <w:spacing w:before="100" w:beforeAutospacing="1"/>
        <w:jc w:val="both"/>
        <w:rPr>
          <w:rFonts w:ascii="Arial" w:hAnsi="Arial" w:cs="Arial"/>
        </w:rPr>
      </w:pPr>
      <w:r>
        <w:rPr>
          <w:rFonts w:ascii="Arial" w:hAnsi="Arial" w:cs="Arial"/>
        </w:rPr>
        <w:t xml:space="preserve">The burden of TB/HIV co-infection is not uniformly distributed across Nigeria, with substantial regional disparities observed. The North-Central geopolitical zone, where Nasarawa State is situated, records some of the highest co-infection rates in the country, with estimates reaching 34.3% </w:t>
      </w:r>
      <w:r>
        <w:rPr>
          <w:rFonts w:ascii="Arial" w:hAnsi="Arial" w:cs="Arial"/>
          <w:highlight w:val="yellow"/>
        </w:rPr>
        <w:t>(Reward et al., 2021)</w:t>
      </w:r>
      <w:r>
        <w:rPr>
          <w:rFonts w:ascii="Arial" w:hAnsi="Arial" w:cs="Arial"/>
        </w:rPr>
        <w:t xml:space="preserve">. </w:t>
      </w:r>
      <w:r>
        <w:rPr>
          <w:rFonts w:ascii="Arial" w:hAnsi="Arial" w:cs="Arial"/>
          <w:highlight w:val="yellow"/>
        </w:rPr>
        <w:t>Chukwuocha et al. (2024)</w:t>
      </w:r>
      <w:r>
        <w:rPr>
          <w:rFonts w:ascii="Arial" w:hAnsi="Arial" w:cs="Arial"/>
        </w:rPr>
        <w:t xml:space="preserve"> reported a TB/HIV co-infection prevalence of 33.9% among TB patients in South Eastern Nigeria, while </w:t>
      </w:r>
      <w:r>
        <w:rPr>
          <w:rFonts w:ascii="Arial" w:hAnsi="Arial" w:cs="Arial"/>
          <w:highlight w:val="yellow"/>
        </w:rPr>
        <w:t>Asuke et al. (2020)</w:t>
      </w:r>
      <w:r>
        <w:rPr>
          <w:rFonts w:ascii="Arial" w:hAnsi="Arial" w:cs="Arial"/>
        </w:rPr>
        <w:t xml:space="preserve"> documented a prevalence of 9.25% among HIV-positive patients attending a tertiary hospital in Jos over a ten-year period. In Nasarawa State specifically, evidence indicates that TB/HIV co-infection has remained persistently high for nearly two decades. A retrospective study reported a co-infection prevalence of 24.2% among HIV-positive individuals between 2007 and 2011 (Amuta et al., 2013), while more recent records from the Nasarawa State Ministry of Health revealed that of the 7,345 TB cases recorded in 2023, about 1,524 (21%) were co-infected with HIV, resulting in 117 deaths attributable to co-infection complications (Nasarawa State Ministry of Health, 2024). These findings demonstrate that despite sustained implementation of interventions such as Directly Observed Treatment Short-course (DOTS) and expanded antiretroviral therapy (ART), TB/HIV co-infection continues to pose a significant public health threat in the state.</w:t>
      </w:r>
    </w:p>
    <w:p w14:paraId="1CBF7E15" w14:textId="77777777" w:rsidR="004C3151" w:rsidRPr="004C3151" w:rsidRDefault="004C3151" w:rsidP="004C3151">
      <w:pPr>
        <w:spacing w:before="100" w:beforeAutospacing="1"/>
        <w:jc w:val="both"/>
        <w:rPr>
          <w:rFonts w:ascii="Arial" w:hAnsi="Arial" w:cs="Arial"/>
        </w:rPr>
      </w:pPr>
      <w:r>
        <w:rPr>
          <w:rFonts w:ascii="Arial" w:hAnsi="Arial" w:cs="Arial"/>
        </w:rPr>
        <w:t>Although numerous studies have investigated TB/HIV co-infection in Nigeria, most have concentrated on prevalence estimates, demographic characteristics, clinical outcomes, or treatment responses using cross-sectional and descriptive research designs (</w:t>
      </w:r>
      <w:r>
        <w:rPr>
          <w:rFonts w:ascii="Arial" w:hAnsi="Arial" w:cs="Arial"/>
          <w:highlight w:val="yellow"/>
        </w:rPr>
        <w:t>Chukwuocha et al., 2024</w:t>
      </w:r>
      <w:r>
        <w:rPr>
          <w:rFonts w:ascii="Arial" w:hAnsi="Arial" w:cs="Arial"/>
        </w:rPr>
        <w:t xml:space="preserve">; </w:t>
      </w:r>
      <w:r>
        <w:rPr>
          <w:rFonts w:ascii="Arial" w:hAnsi="Arial" w:cs="Arial"/>
          <w:highlight w:val="yellow"/>
        </w:rPr>
        <w:t>Asuke et al., 2020</w:t>
      </w:r>
      <w:r>
        <w:rPr>
          <w:rFonts w:ascii="Arial" w:hAnsi="Arial" w:cs="Arial"/>
        </w:rPr>
        <w:t>). Consequently, there remains limited understanding of the temporal interactions between HIV and TB or how changes in one disease may influence the occurrence of the other over time. Existing approaches provide little evidence on whether the two diseases share a stable long-run equilibrium relationship or whether fluctuations in one disease can predict future changes in the other. This methodological limitation restricts policymakers' ability to formulate integrated and evidence-based interventions capable of addressing the persistent burden of TB/HIV co-infection in Nasarawa State. The absence of longitudinal econometric analyses therefore represents an important knowledge gap requiring rigorous investigation.</w:t>
      </w:r>
    </w:p>
    <w:p w14:paraId="7954AD1D" w14:textId="77777777" w:rsidR="004C3151" w:rsidRPr="004C3151" w:rsidRDefault="004C3151" w:rsidP="004C3151">
      <w:pPr>
        <w:spacing w:before="100" w:beforeAutospacing="1"/>
        <w:jc w:val="both"/>
        <w:rPr>
          <w:rFonts w:ascii="Arial" w:hAnsi="Arial" w:cs="Arial"/>
        </w:rPr>
      </w:pPr>
      <w:r>
        <w:rPr>
          <w:rFonts w:ascii="Arial" w:hAnsi="Arial" w:cs="Arial"/>
        </w:rPr>
        <w:lastRenderedPageBreak/>
        <w:t xml:space="preserve">Advanced econometric techniques provide a useful framework for addressing these limitations by examining both the long-run and short-run dynamics between HIV and TB. Cointegration analysis enables researchers to determine whether HIV and TB indicators move together over time and maintain a stable long-run equilibrium relationship despite short-term fluctuations (Engle &amp; Granger, 1987). Complementing this, </w:t>
      </w:r>
      <w:r>
        <w:rPr>
          <w:rFonts w:ascii="Arial" w:hAnsi="Arial" w:cs="Arial"/>
          <w:highlight w:val="yellow"/>
        </w:rPr>
        <w:t>Granger causality analysis (Granger, 1969) identifies</w:t>
      </w:r>
      <w:r>
        <w:rPr>
          <w:rFonts w:ascii="Arial" w:hAnsi="Arial" w:cs="Arial"/>
        </w:rPr>
        <w:t xml:space="preserve"> the direction of predictive influence between the diseases, thereby revealing whether changes in HIV burden precede changes in TB incidence or vice versa. Such evidence is useful for forecasting disease trends and identifying predictive temporal ordering. For instance, if HIV prevalence Granger-causes TB incidence, past HIV prevalence contains predictive information about future TB incidence; however, Granger causality alone does not establish biological causation (Shojaie &amp; Fox, 2022).</w:t>
      </w:r>
      <w:r w:rsidRPr="004C3151">
        <w:rPr>
          <w:rFonts w:ascii="Arial" w:hAnsi="Arial" w:cs="Arial"/>
        </w:rPr>
        <w:t xml:space="preserve"> Despite the usefulness of these methods, no known study has applied cointegration and causality analysis to investigate HIV/TB co-infection dynamics in Nasarawa State.</w:t>
      </w:r>
    </w:p>
    <w:p w14:paraId="4082284C" w14:textId="77777777" w:rsidR="004C3151" w:rsidRPr="004C3151" w:rsidRDefault="004C3151" w:rsidP="004C3151">
      <w:pPr>
        <w:spacing w:before="100" w:beforeAutospacing="1"/>
        <w:jc w:val="both"/>
        <w:rPr>
          <w:rFonts w:ascii="Arial" w:hAnsi="Arial" w:cs="Arial"/>
        </w:rPr>
      </w:pPr>
      <w:r>
        <w:rPr>
          <w:rFonts w:ascii="Arial" w:hAnsi="Arial" w:cs="Arial"/>
        </w:rPr>
        <w:t xml:space="preserve">This study is therefore designed to bridge this important methodological and empirical gap by examining the long-run relationship and causal interactions between HIV and tuberculosis in Nasarawa State using econometric techniques. Specifically, the study investigates the trend patterns of HIV and TB over the study period, tests for long-run cointegration between the two diseases, estimates their short-run and long-run dynamic relationships using the Vector Error Correction Model (VECM), and determines the direction of causality through Granger causality analysis. By moving beyond descriptive epidemiology, the study provides a more comprehensive understanding of the temporal dynamics underlying TB/HIV co-infection. The findings are expected to support evidence-based public health planning, improve integrated disease surveillance, </w:t>
      </w:r>
      <w:r>
        <w:rPr>
          <w:rFonts w:ascii="Arial" w:hAnsi="Arial" w:cs="Arial"/>
          <w:highlight w:val="yellow"/>
        </w:rPr>
        <w:t>optimise</w:t>
      </w:r>
      <w:r>
        <w:rPr>
          <w:rFonts w:ascii="Arial" w:hAnsi="Arial" w:cs="Arial"/>
        </w:rPr>
        <w:t xml:space="preserve"> resource allocation, strengthen programme coordination, and contribute to the achievement of national and global TB/HIV control targets. Furthermore, the study enriches the literature by demonstrating the application of advanced econometric methods in infectious disease epidemiology at the subnational level.</w:t>
      </w:r>
    </w:p>
    <w:p w14:paraId="5C50C1B3" w14:textId="77777777" w:rsidR="004C3151" w:rsidRPr="004C3151" w:rsidRDefault="004C3151" w:rsidP="004C3151">
      <w:pPr>
        <w:spacing w:before="100" w:beforeAutospacing="1"/>
        <w:jc w:val="both"/>
        <w:rPr>
          <w:rFonts w:ascii="Arial" w:hAnsi="Arial" w:cs="Arial"/>
        </w:rPr>
      </w:pPr>
      <w:r>
        <w:rPr>
          <w:rFonts w:ascii="Arial" w:hAnsi="Arial" w:cs="Arial"/>
        </w:rPr>
        <w:t xml:space="preserve">The study focuses on Nasarawa State, Nigeria, </w:t>
      </w:r>
      <w:r>
        <w:rPr>
          <w:rFonts w:ascii="Arial" w:hAnsi="Arial" w:cs="Arial"/>
          <w:highlight w:val="yellow"/>
        </w:rPr>
        <w:t>utilising</w:t>
      </w:r>
      <w:r>
        <w:rPr>
          <w:rFonts w:ascii="Arial" w:hAnsi="Arial" w:cs="Arial"/>
        </w:rPr>
        <w:t xml:space="preserve"> secondary epidemiological data on HIV infection, TB infection, and HIV/TB co-infection covering the period from the fourth quarter of 2015 to the fourth quarter of 2024, obtained from the Nasarawa State Ministry of Health, Lafia. Descriptive statistics, Johansen cointegration, Fully Modified Ordinary Least Squares (FMOLS), the Vector Error Correction Model (VECM), and Granger causality tests are employed to investigate temporal relationships and establish whether statistically significant long-run equilibrium and directional interactions exist between HIV and TB. While the findings are expected to provide valuable epidemiological insights for policy formulation and integrated disease control, the study is limited to </w:t>
      </w:r>
      <w:r w:rsidR="008F11A0" w:rsidRPr="004C3151">
        <w:rPr>
          <w:rFonts w:ascii="Arial" w:hAnsi="Arial" w:cs="Arial"/>
        </w:rPr>
        <w:t>aggregate</w:t>
      </w:r>
      <w:r>
        <w:rPr>
          <w:rFonts w:ascii="Arial" w:hAnsi="Arial" w:cs="Arial"/>
        </w:rPr>
        <w:t xml:space="preserve"> state-level surveillance data and does not incorporate individual-level clinical, behavioural, immunological, or socio-demographic variables. Consequently, the results should be interpreted as temporal and epidemiological associations rather than direct evidence of biological or clinical causation, and their </w:t>
      </w:r>
      <w:r>
        <w:rPr>
          <w:rFonts w:ascii="Arial" w:hAnsi="Arial" w:cs="Arial"/>
          <w:highlight w:val="yellow"/>
        </w:rPr>
        <w:t>generalisation</w:t>
      </w:r>
      <w:r>
        <w:rPr>
          <w:rFonts w:ascii="Arial" w:hAnsi="Arial" w:cs="Arial"/>
        </w:rPr>
        <w:t xml:space="preserve"> beyond Nasarawa State should be undertaken with caution.</w:t>
      </w:r>
    </w:p>
    <w:p w14:paraId="2123E4EB" w14:textId="77777777" w:rsidR="004C3151" w:rsidRPr="004C3151" w:rsidRDefault="004C3151" w:rsidP="004C3151">
      <w:pPr>
        <w:spacing w:line="276" w:lineRule="auto"/>
        <w:jc w:val="both"/>
        <w:rPr>
          <w:rFonts w:ascii="Arial" w:eastAsiaTheme="minorHAnsi" w:hAnsi="Arial" w:cs="Arial"/>
        </w:rPr>
      </w:pPr>
    </w:p>
    <w:p w14:paraId="7911CCA1" w14:textId="77777777" w:rsidR="004C3151" w:rsidRPr="004C3151" w:rsidRDefault="004C3151" w:rsidP="004C3151">
      <w:pPr>
        <w:spacing w:before="100" w:beforeAutospacing="1"/>
        <w:jc w:val="both"/>
        <w:rPr>
          <w:rFonts w:ascii="Arial" w:hAnsi="Arial" w:cs="Arial"/>
        </w:rPr>
      </w:pPr>
      <w:r>
        <w:rPr>
          <w:rFonts w:ascii="Arial" w:hAnsi="Arial" w:cs="Arial"/>
          <w:highlight w:val="yellow"/>
        </w:rPr>
        <w:t>Several empirical studies are documented in the literature on this subject. For example,</w:t>
      </w:r>
      <w:r>
        <w:rPr>
          <w:rFonts w:ascii="Arial" w:hAnsi="Arial" w:cs="Arial"/>
        </w:rPr>
        <w:t xml:space="preserve"> Kuhe and Ivande (2017) </w:t>
      </w:r>
      <w:r>
        <w:rPr>
          <w:rFonts w:ascii="Arial" w:hAnsi="Arial" w:cs="Arial"/>
          <w:highlight w:val="yellow"/>
        </w:rPr>
        <w:t>conducted a study aimed at modelling</w:t>
      </w:r>
      <w:r>
        <w:rPr>
          <w:rFonts w:ascii="Arial" w:hAnsi="Arial" w:cs="Arial"/>
        </w:rPr>
        <w:t xml:space="preserve"> the monthly dynamics of HIV and TB data from Kwande, Benue State </w:t>
      </w:r>
      <w:r>
        <w:rPr>
          <w:rFonts w:ascii="Arial" w:hAnsi="Arial" w:cs="Arial"/>
          <w:highlight w:val="yellow"/>
        </w:rPr>
        <w:t>(2007-2016). The study found</w:t>
      </w:r>
      <w:r>
        <w:rPr>
          <w:rFonts w:ascii="Arial" w:hAnsi="Arial" w:cs="Arial"/>
        </w:rPr>
        <w:t xml:space="preserve"> that HIV and TB were cointegrated and that HIV Granger-causes TB, indicating a stable long-run relationship. The study recommended integrated HIV/TB screening and awareness programmes but was limited to a single local government area. Kuhe and Agbe (2025) developed an autoregressive integrated moving average with exogenous variables (ARIMAX) model to provide short-term HIV forecasts among farmers in Benue State using opportunistic infections as exogenous predictors. The study extended time-series modelling in this population but focused primarily on prediction rather than cointegration and Granger-causality analysis.</w:t>
      </w:r>
      <w:r w:rsidRPr="0086340E">
        <w:rPr>
          <w:rFonts w:ascii="Arial" w:hAnsi="Arial" w:cs="Arial"/>
        </w:rPr>
        <w:t xml:space="preserve"> Ani et al. (2020)</w:t>
      </w:r>
      <w:r w:rsidRPr="004C3151">
        <w:rPr>
          <w:rFonts w:ascii="Arial" w:hAnsi="Arial" w:cs="Arial"/>
        </w:rPr>
        <w:t xml:space="preserve"> examined several Nigerian states and reported long-run relationships between HIV, TB, and hepatitis C in some states, with HIV Granger-causing TB. The authors advocated integrated disease surveillance but used annual data, which may have obscured short-term dynamics.</w:t>
      </w:r>
    </w:p>
    <w:p w14:paraId="3AE444B5" w14:textId="77777777" w:rsidR="004C3151" w:rsidRPr="004C3151" w:rsidRDefault="004C3151" w:rsidP="004C3151">
      <w:pPr>
        <w:spacing w:before="100" w:beforeAutospacing="1"/>
        <w:jc w:val="both"/>
        <w:rPr>
          <w:rFonts w:ascii="Arial" w:hAnsi="Arial" w:cs="Arial"/>
        </w:rPr>
      </w:pPr>
      <w:r w:rsidRPr="0086340E">
        <w:rPr>
          <w:rFonts w:ascii="Arial" w:hAnsi="Arial" w:cs="Arial"/>
        </w:rPr>
        <w:t>Nwoga et al. (2024)</w:t>
      </w:r>
      <w:r>
        <w:rPr>
          <w:rFonts w:ascii="Arial" w:hAnsi="Arial" w:cs="Arial"/>
        </w:rPr>
        <w:t xml:space="preserve"> used a retrospective hospital-based study in Enugu State and found a 29% TB/HIV coinfection prevalence. Occupation significantly predicted coinfection, while urban residence reduced the risk. </w:t>
      </w:r>
      <w:r>
        <w:rPr>
          <w:rFonts w:ascii="Arial" w:hAnsi="Arial" w:cs="Arial"/>
        </w:rPr>
        <w:lastRenderedPageBreak/>
        <w:t xml:space="preserve">The findings were limited to a single health facility. </w:t>
      </w:r>
      <w:r>
        <w:rPr>
          <w:rFonts w:ascii="Arial" w:hAnsi="Arial" w:cs="Arial"/>
          <w:highlight w:val="yellow"/>
        </w:rPr>
        <w:t>Chukwuocha et al. (2024)</w:t>
      </w:r>
      <w:r>
        <w:rPr>
          <w:rFonts w:ascii="Arial" w:hAnsi="Arial" w:cs="Arial"/>
        </w:rPr>
        <w:t xml:space="preserve"> employed a hospital-based study and reported a 33.9% TB/HIV coinfection prevalence and associated low CD4 counts with poor treatment outcomes. The authors recommended stronger HIV screening among TB patients, although the study lacked national representativeness. </w:t>
      </w:r>
      <w:r w:rsidRPr="0086340E">
        <w:rPr>
          <w:rFonts w:ascii="Arial" w:hAnsi="Arial" w:cs="Arial"/>
        </w:rPr>
        <w:t>Belay et al. (2015)</w:t>
      </w:r>
      <w:r>
        <w:rPr>
          <w:rFonts w:ascii="Arial" w:hAnsi="Arial" w:cs="Arial"/>
        </w:rPr>
        <w:t xml:space="preserve"> conducted a cross-sectional study in Ethiopia and found a substantial burden of TB/HIV coinfection </w:t>
      </w:r>
      <w:r>
        <w:rPr>
          <w:rFonts w:ascii="Arial" w:hAnsi="Arial" w:cs="Arial"/>
          <w:highlight w:val="yellow"/>
        </w:rPr>
        <w:t>and emphasised integrated screening</w:t>
      </w:r>
      <w:r>
        <w:rPr>
          <w:rFonts w:ascii="Arial" w:hAnsi="Arial" w:cs="Arial"/>
        </w:rPr>
        <w:t xml:space="preserve">. Its design, however, did not permit causal or temporal analysis. </w:t>
      </w:r>
      <w:r w:rsidRPr="0086340E">
        <w:rPr>
          <w:rFonts w:ascii="Arial" w:hAnsi="Arial" w:cs="Arial"/>
        </w:rPr>
        <w:t>Windels et al. (2024)</w:t>
      </w:r>
      <w:r>
        <w:rPr>
          <w:rFonts w:ascii="Arial" w:hAnsi="Arial" w:cs="Arial"/>
        </w:rPr>
        <w:t xml:space="preserve"> </w:t>
      </w:r>
      <w:r>
        <w:rPr>
          <w:rFonts w:ascii="Arial" w:hAnsi="Arial" w:cs="Arial"/>
          <w:highlight w:val="yellow"/>
        </w:rPr>
        <w:t>applied</w:t>
      </w:r>
      <w:r>
        <w:rPr>
          <w:rFonts w:ascii="Arial" w:hAnsi="Arial" w:cs="Arial"/>
        </w:rPr>
        <w:t xml:space="preserve"> Bayesian phylodynamic methods to show that HIV increases the risk of active TB but reduces onward TB transmission. </w:t>
      </w:r>
      <w:r>
        <w:rPr>
          <w:rFonts w:ascii="Arial" w:hAnsi="Arial" w:cs="Arial"/>
          <w:highlight w:val="yellow"/>
        </w:rPr>
        <w:t>The study, however,</w:t>
      </w:r>
      <w:r>
        <w:rPr>
          <w:rFonts w:ascii="Arial" w:hAnsi="Arial" w:cs="Arial"/>
        </w:rPr>
        <w:t xml:space="preserve"> focused on genomic transmission dynamics rather than econometric relationships.</w:t>
      </w:r>
    </w:p>
    <w:p w14:paraId="622CB648" w14:textId="77777777" w:rsidR="009405CA" w:rsidRPr="00D80ECE" w:rsidRDefault="00000000">
      <w:pPr>
        <w:spacing w:before="100" w:beforeAutospacing="1"/>
        <w:jc w:val="both"/>
        <w:rPr>
          <w:rFonts w:ascii="Arial" w:hAnsi="Arial" w:cs="Arial"/>
          <w:bCs/>
        </w:rPr>
      </w:pPr>
      <w:r w:rsidRPr="00D80ECE">
        <w:rPr>
          <w:bCs/>
          <w:color w:val="000000"/>
          <w:highlight w:val="yellow"/>
        </w:rPr>
        <w:t>A 25-year retrospective review of tuberculosis treatment outcomes in a Nigerian regional medical centre identified HIV infection as a mortality risk factor among patients with tuberculosis, underscoring the importance of integrated TB/HIV care (Alao et al., 2020).</w:t>
      </w:r>
    </w:p>
    <w:p w14:paraId="6859E2E3" w14:textId="77777777" w:rsidR="0086340E" w:rsidRDefault="004C3151" w:rsidP="004C3151">
      <w:pPr>
        <w:spacing w:before="100" w:beforeAutospacing="1"/>
        <w:jc w:val="both"/>
        <w:rPr>
          <w:rFonts w:ascii="Arial" w:hAnsi="Arial" w:cs="Arial"/>
        </w:rPr>
      </w:pPr>
      <w:r>
        <w:rPr>
          <w:rFonts w:ascii="Arial" w:hAnsi="Arial" w:cs="Arial"/>
        </w:rPr>
        <w:t xml:space="preserve">Mekonen et al. (2024) </w:t>
      </w:r>
      <w:r>
        <w:rPr>
          <w:rFonts w:ascii="Arial" w:hAnsi="Arial" w:cs="Arial"/>
          <w:highlight w:val="yellow"/>
        </w:rPr>
        <w:t>used a systematic review and meta-analysis</w:t>
      </w:r>
      <w:r>
        <w:rPr>
          <w:rFonts w:ascii="Arial" w:hAnsi="Arial" w:cs="Arial"/>
        </w:rPr>
        <w:t xml:space="preserve"> to conclude that HIV coinfection generally worsens TB treatment outcomes, including mortality and relapse. Nevertheless, it could not assess temporal causal relationships. Adejumo et al. (2017) conducted a study in Lagos State and reported a 21.6% TB/HIV coinfection prevalence and identified older age, extrapulmonary TB, and retreatment status as significant risk factors. Its hospital-based design limited broader </w:t>
      </w:r>
      <w:r>
        <w:rPr>
          <w:rFonts w:ascii="Arial" w:hAnsi="Arial" w:cs="Arial"/>
          <w:highlight w:val="yellow"/>
        </w:rPr>
        <w:t>generalisation</w:t>
      </w:r>
      <w:r>
        <w:rPr>
          <w:rFonts w:ascii="Arial" w:hAnsi="Arial" w:cs="Arial"/>
        </w:rPr>
        <w:t xml:space="preserve">. </w:t>
      </w:r>
      <w:r w:rsidRPr="0086340E">
        <w:rPr>
          <w:rFonts w:ascii="Arial" w:hAnsi="Arial" w:cs="Arial"/>
        </w:rPr>
        <w:t>Mwatenga et al.</w:t>
      </w:r>
      <w:r w:rsidR="0086340E" w:rsidRPr="0086340E">
        <w:rPr>
          <w:rFonts w:ascii="Arial" w:hAnsi="Arial" w:cs="Arial"/>
        </w:rPr>
        <w:t xml:space="preserve"> </w:t>
      </w:r>
      <w:r w:rsidRPr="0086340E">
        <w:rPr>
          <w:rFonts w:ascii="Arial" w:hAnsi="Arial" w:cs="Arial"/>
        </w:rPr>
        <w:t>(2024)</w:t>
      </w:r>
      <w:r w:rsidRPr="004C3151">
        <w:rPr>
          <w:rFonts w:ascii="Arial" w:hAnsi="Arial" w:cs="Arial"/>
        </w:rPr>
        <w:t xml:space="preserve"> investigated prisoners in Kenya and found that all TB-positive inmates were HIV-positive, with smoking, drug use, and low education predicting coinfection. The study highlighted prisons as pri</w:t>
      </w:r>
      <w:r w:rsidR="0086340E">
        <w:rPr>
          <w:rFonts w:ascii="Arial" w:hAnsi="Arial" w:cs="Arial"/>
        </w:rPr>
        <w:t xml:space="preserve">ority settings for intervention. </w:t>
      </w:r>
      <w:r w:rsidRPr="0086340E">
        <w:rPr>
          <w:rFonts w:ascii="Arial" w:hAnsi="Arial" w:cs="Arial"/>
        </w:rPr>
        <w:t>Trinh et al. (2015)</w:t>
      </w:r>
      <w:r>
        <w:rPr>
          <w:rFonts w:ascii="Arial" w:hAnsi="Arial" w:cs="Arial"/>
        </w:rPr>
        <w:t xml:space="preserve"> </w:t>
      </w:r>
      <w:r>
        <w:rPr>
          <w:rFonts w:ascii="Arial" w:hAnsi="Arial" w:cs="Arial"/>
          <w:highlight w:val="yellow"/>
        </w:rPr>
        <w:t>used a global epidemiological study</w:t>
      </w:r>
      <w:r>
        <w:rPr>
          <w:rFonts w:ascii="Arial" w:hAnsi="Arial" w:cs="Arial"/>
        </w:rPr>
        <w:t xml:space="preserve"> and estimated that approximately 12% of TB cases worldwide were HIV coinfected in 2013 </w:t>
      </w:r>
      <w:r>
        <w:rPr>
          <w:rFonts w:ascii="Arial" w:hAnsi="Arial" w:cs="Arial"/>
          <w:highlight w:val="yellow"/>
        </w:rPr>
        <w:t>and emphasised integrated TB/HIV services</w:t>
      </w:r>
      <w:r>
        <w:rPr>
          <w:rFonts w:ascii="Arial" w:hAnsi="Arial" w:cs="Arial"/>
        </w:rPr>
        <w:t xml:space="preserve">, although it did not perform subnational time-series analyses. </w:t>
      </w:r>
    </w:p>
    <w:p w14:paraId="5B620C88" w14:textId="77777777" w:rsidR="009405CA" w:rsidRPr="00D80ECE" w:rsidRDefault="00000000">
      <w:pPr>
        <w:spacing w:before="100" w:beforeAutospacing="1"/>
        <w:jc w:val="both"/>
        <w:rPr>
          <w:rFonts w:ascii="Arial" w:hAnsi="Arial" w:cs="Arial"/>
          <w:bCs/>
        </w:rPr>
      </w:pPr>
      <w:r w:rsidRPr="00D80ECE">
        <w:rPr>
          <w:bCs/>
          <w:color w:val="000000"/>
          <w:highlight w:val="yellow"/>
        </w:rPr>
        <w:t>A prospective hospital-based drug-utilization study further documented the use of antiretroviral and anti-tuberculosis therapies among patients managed for HIV and tuberculosis, highlighting the clinical-management dimension of dual-disease care (Suhail et al., 2022).</w:t>
      </w:r>
    </w:p>
    <w:p w14:paraId="5B87B717" w14:textId="77777777" w:rsidR="004C3151" w:rsidRPr="004C3151" w:rsidRDefault="004C3151" w:rsidP="004C3151">
      <w:pPr>
        <w:spacing w:before="100" w:beforeAutospacing="1"/>
        <w:jc w:val="both"/>
        <w:rPr>
          <w:rFonts w:ascii="Times New Roman" w:hAnsi="Times New Roman"/>
          <w:sz w:val="24"/>
          <w:szCs w:val="24"/>
        </w:rPr>
      </w:pPr>
      <w:r>
        <w:rPr>
          <w:rFonts w:ascii="Arial" w:hAnsi="Arial" w:cs="Arial"/>
        </w:rPr>
        <w:t xml:space="preserve">Kuhe et al. (2017) applied cointegration and Granger causality techniques and found that HIV/AIDS has a significant long-run impact on food poverty in Benue State and Granger-causes food poverty, illustrating the broader socioeconomic consequences of HIV. </w:t>
      </w:r>
      <w:r>
        <w:rPr>
          <w:rFonts w:ascii="Arial" w:hAnsi="Arial" w:cs="Arial"/>
          <w:highlight w:val="yellow"/>
        </w:rPr>
        <w:t>Hu et al. (2018)</w:t>
      </w:r>
      <w:r>
        <w:rPr>
          <w:rFonts w:ascii="Arial" w:hAnsi="Arial" w:cs="Arial"/>
        </w:rPr>
        <w:t xml:space="preserve"> </w:t>
      </w:r>
      <w:r>
        <w:rPr>
          <w:rFonts w:ascii="Arial" w:hAnsi="Arial" w:cs="Arial"/>
          <w:highlight w:val="yellow"/>
        </w:rPr>
        <w:t>used survival analysis among Kenyan HIV/TB patients and demonstrated</w:t>
      </w:r>
      <w:r>
        <w:rPr>
          <w:rFonts w:ascii="Arial" w:hAnsi="Arial" w:cs="Arial"/>
        </w:rPr>
        <w:t xml:space="preserve"> that delayed initiation of antiretroviral therapy increases mortality and recommended </w:t>
      </w:r>
      <w:r>
        <w:rPr>
          <w:rFonts w:ascii="Arial" w:hAnsi="Arial" w:cs="Arial"/>
          <w:highlight w:val="yellow"/>
        </w:rPr>
        <w:t>individualised</w:t>
      </w:r>
      <w:r>
        <w:rPr>
          <w:rFonts w:ascii="Arial" w:hAnsi="Arial" w:cs="Arial"/>
        </w:rPr>
        <w:t xml:space="preserve"> ART timing based on CD4 count. Aturinde et al. (2019) employed spatial analysis in Uganda and identified geographic hotspots of HIV and TB and recommended geographically targeted interventions, although it did not examine temporal relationships. </w:t>
      </w:r>
      <w:r>
        <w:rPr>
          <w:rFonts w:ascii="Arial" w:hAnsi="Arial" w:cs="Arial"/>
          <w:highlight w:val="yellow"/>
        </w:rPr>
        <w:t>Reward et al. (2021)</w:t>
      </w:r>
      <w:r>
        <w:rPr>
          <w:rFonts w:ascii="Arial" w:hAnsi="Arial" w:cs="Arial"/>
        </w:rPr>
        <w:t xml:space="preserve"> employed systematic review and meta-analysis and estimated Nigeria’s pooled TB/HIV coinfection prevalence at 25.8%, with the North-Central region recording the highest burden (34.3%), highlighting the need for improved surveillance. Wondmeneh and Mekonnen (2023) reviewed studies across sub-Saharan Africa and found that TB incidence remains high among people living with HIV, particularly among individuals with low CD4 counts, and recommended stronger preventive interventions</w:t>
      </w:r>
      <w:r w:rsidRPr="004C3151">
        <w:rPr>
          <w:rFonts w:ascii="Times New Roman" w:hAnsi="Times New Roman"/>
          <w:sz w:val="24"/>
          <w:szCs w:val="24"/>
        </w:rPr>
        <w:t>.</w:t>
      </w:r>
    </w:p>
    <w:p w14:paraId="0087C699" w14:textId="77777777" w:rsidR="004C3151" w:rsidRPr="004C3151" w:rsidRDefault="004C3151" w:rsidP="004C3151">
      <w:pPr>
        <w:spacing w:before="100" w:beforeAutospacing="1"/>
        <w:jc w:val="both"/>
        <w:rPr>
          <w:rFonts w:ascii="Arial" w:hAnsi="Arial" w:cs="Arial"/>
        </w:rPr>
      </w:pPr>
      <w:r w:rsidRPr="004C3151">
        <w:rPr>
          <w:rFonts w:ascii="Arial" w:hAnsi="Arial" w:cs="Arial"/>
        </w:rPr>
        <w:t>The four recent studies collectively demonstrate significant advances in understanding and managing HIV/TB coinfection through mathematical modelling, machine learning, clinical evidence synthesis, and adaptive epidemiological modelling. Raza et al. (2025) showed that integrated HIV and TB treatment strategies, supported by mathematical modelling, can substantially reduce coinfection burden through early diagnosis and impr</w:t>
      </w:r>
      <w:r w:rsidR="00B4266D">
        <w:rPr>
          <w:rFonts w:ascii="Arial" w:hAnsi="Arial" w:cs="Arial"/>
        </w:rPr>
        <w:t>oved treatment adherence. Emegano</w:t>
      </w:r>
      <w:r>
        <w:rPr>
          <w:rFonts w:ascii="Arial" w:hAnsi="Arial" w:cs="Arial"/>
        </w:rPr>
        <w:t xml:space="preserve"> et al. (2025) demonstrated that machine learning algorithms, particularly ensemble methods such as XGBoost and Random Forest, provide more accurate predictions of TB incidence and HIV/TB coinfection than conventional statistical models, thereby enhancing disease surveillance and resource allocation. Sossen et al. (2025) </w:t>
      </w:r>
      <w:r>
        <w:rPr>
          <w:rFonts w:ascii="Arial" w:hAnsi="Arial" w:cs="Arial"/>
          <w:highlight w:val="yellow"/>
        </w:rPr>
        <w:t>synthesised</w:t>
      </w:r>
      <w:r>
        <w:rPr>
          <w:rFonts w:ascii="Arial" w:hAnsi="Arial" w:cs="Arial"/>
        </w:rPr>
        <w:t xml:space="preserve"> current clinical evidence and concluded that although advances in antiretroviral therapy, preventive treatment, and rapid diagnostics have reduced HIV-associated TB mortality, substantial challenges remain, including drug-resistant TB, delayed diagnosis, and the absence of an effective vaccine. Similarly, Pari et al. (2026) reported that adaptive epidemiological modelling </w:t>
      </w:r>
      <w:r>
        <w:rPr>
          <w:rFonts w:ascii="Arial" w:hAnsi="Arial" w:cs="Arial"/>
          <w:highlight w:val="yellow"/>
        </w:rPr>
        <w:lastRenderedPageBreak/>
        <w:t>can optimise</w:t>
      </w:r>
      <w:r>
        <w:rPr>
          <w:rFonts w:ascii="Arial" w:hAnsi="Arial" w:cs="Arial"/>
        </w:rPr>
        <w:t xml:space="preserve"> HIV/TB intervention strategies by incorporating transmission dynamics, treatment costs, and host-pathogen interactions, resulting in more cost-effective disease control. Overall, </w:t>
      </w:r>
      <w:r>
        <w:rPr>
          <w:rFonts w:ascii="Arial" w:hAnsi="Arial" w:cs="Arial"/>
          <w:highlight w:val="yellow"/>
        </w:rPr>
        <w:t>these studies emphasise</w:t>
      </w:r>
      <w:r>
        <w:rPr>
          <w:rFonts w:ascii="Arial" w:hAnsi="Arial" w:cs="Arial"/>
        </w:rPr>
        <w:t xml:space="preserve"> the growing importance of advanced analytical approaches, integrated HIV/TB management, predictive modelling, and evidence-based policy interventions in reducing the burden of HIV/TB coinfection.</w:t>
      </w:r>
    </w:p>
    <w:p w14:paraId="73DA9BDE" w14:textId="77777777" w:rsidR="004C3151" w:rsidRPr="004C3151" w:rsidRDefault="004C3151" w:rsidP="004C3151">
      <w:pPr>
        <w:spacing w:before="100" w:beforeAutospacing="1"/>
        <w:jc w:val="both"/>
        <w:rPr>
          <w:rFonts w:ascii="Arial" w:hAnsi="Arial" w:cs="Arial"/>
        </w:rPr>
      </w:pPr>
      <w:r w:rsidRPr="004C3151">
        <w:rPr>
          <w:rFonts w:ascii="Arial" w:hAnsi="Arial" w:cs="Arial"/>
        </w:rPr>
        <w:t>The reviewed studies consistently demonstrate that HIV is a major determinant of TB incidence, coinfection, treatment outcomes, and mortality across Nigeria and other high-burden countries. Time-series econometric studies generally support a long-run relationship between HIV and TB and frequently identify HIV as Granger-causing TB, while clinical and epidemiological studies report persistently high coinfection prevalence and identify key risk factors such as low CD4 count, older age, retreatment, occupation, and socioeconomic conditions. However, many existing studies are limited by cross-sectional or hospital-based designs, restricted geographical coverage, annual data, or the absence of advanced econometric modelling. Furthermore, few studies have simultaneously examined long-run equilibrium and causal interactions between HIV and TB at the subnational level. These gaps justify the present study, which applies cointegration and Granger causality analysis to investigate the dynamic relationship between HIV and TB in Nasarawa State, Nigeria.</w:t>
      </w:r>
    </w:p>
    <w:p w14:paraId="249A8E02" w14:textId="77777777" w:rsidR="009405CA" w:rsidRDefault="00000000">
      <w:pPr>
        <w:spacing w:before="100" w:beforeAutospacing="1"/>
        <w:jc w:val="both"/>
        <w:rPr>
          <w:rFonts w:ascii="Arial" w:hAnsi="Arial" w:cs="Arial"/>
        </w:rPr>
      </w:pPr>
      <w:r>
        <w:rPr>
          <w:b/>
          <w:color w:val="000000"/>
          <w:highlight w:val="yellow"/>
        </w:rPr>
        <w:t>Study Objective</w:t>
      </w:r>
    </w:p>
    <w:p w14:paraId="5846B991" w14:textId="77777777" w:rsidR="009405CA" w:rsidRPr="00D80ECE" w:rsidRDefault="00000000">
      <w:pPr>
        <w:spacing w:before="100" w:beforeAutospacing="1"/>
        <w:jc w:val="both"/>
        <w:rPr>
          <w:rFonts w:ascii="Arial" w:hAnsi="Arial" w:cs="Arial"/>
          <w:bCs/>
        </w:rPr>
      </w:pPr>
      <w:r w:rsidRPr="00D80ECE">
        <w:rPr>
          <w:bCs/>
          <w:color w:val="000000"/>
          <w:highlight w:val="yellow"/>
        </w:rPr>
        <w:t>The objective of this study is to examine the temporal relationship among HIV infection, tuberculosis infection, and HIV/TB coinfection in Nasarawa State by describing their trends, testing for long-run cointegration, estimating short-run and long-run dynamics using the Vector Error Correction Model, and determining the direction of predictive causality using Granger causality analysis.</w:t>
      </w:r>
    </w:p>
    <w:p w14:paraId="2C49DD86" w14:textId="77777777" w:rsidR="004C3151" w:rsidRPr="00BB1CDB" w:rsidRDefault="004C3151" w:rsidP="004C3151">
      <w:pPr>
        <w:pBdr>
          <w:top w:val="single" w:sz="6" w:space="1" w:color="auto"/>
        </w:pBdr>
        <w:jc w:val="both"/>
        <w:rPr>
          <w:rFonts w:ascii="Arial" w:hAnsi="Arial" w:cs="Arial"/>
          <w:vanish/>
        </w:rPr>
      </w:pPr>
      <w:r w:rsidRPr="00BB1CDB">
        <w:rPr>
          <w:rFonts w:ascii="Arial" w:hAnsi="Arial" w:cs="Arial"/>
          <w:vanish/>
        </w:rPr>
        <w:t>Bottom of Form</w:t>
      </w:r>
    </w:p>
    <w:p w14:paraId="28C41C19" w14:textId="77777777" w:rsidR="004C3151" w:rsidRPr="00BB1CDB" w:rsidRDefault="004C3151" w:rsidP="004C3151">
      <w:pPr>
        <w:pStyle w:val="AbstHead"/>
        <w:spacing w:after="0"/>
        <w:jc w:val="both"/>
        <w:rPr>
          <w:rFonts w:ascii="Arial" w:hAnsi="Arial" w:cs="Arial"/>
          <w:sz w:val="20"/>
        </w:rPr>
      </w:pPr>
    </w:p>
    <w:p w14:paraId="0676AA53" w14:textId="77777777" w:rsidR="004C3151" w:rsidRPr="00FB3A86" w:rsidRDefault="004C3151" w:rsidP="004C3151">
      <w:pPr>
        <w:pStyle w:val="AbstHead"/>
        <w:spacing w:after="0"/>
        <w:jc w:val="both"/>
        <w:rPr>
          <w:rFonts w:ascii="Arial" w:hAnsi="Arial" w:cs="Arial"/>
        </w:rPr>
      </w:pPr>
      <w:r>
        <w:rPr>
          <w:rFonts w:ascii="Arial" w:hAnsi="Arial" w:cs="Arial"/>
        </w:rPr>
        <w:t xml:space="preserve">2. material and methods </w:t>
      </w:r>
    </w:p>
    <w:p w14:paraId="1170F152" w14:textId="77777777" w:rsidR="00034A02" w:rsidRPr="00034A02" w:rsidRDefault="00034A02" w:rsidP="00034A02">
      <w:pPr>
        <w:jc w:val="both"/>
        <w:rPr>
          <w:rFonts w:ascii="Arial" w:hAnsi="Arial" w:cs="Arial"/>
          <w:b/>
        </w:rPr>
      </w:pPr>
      <w:r w:rsidRPr="00034A02">
        <w:rPr>
          <w:rFonts w:ascii="Arial" w:hAnsi="Arial" w:cs="Arial"/>
          <w:b/>
        </w:rPr>
        <w:t>2.1 Data Source</w:t>
      </w:r>
    </w:p>
    <w:p w14:paraId="34E68EFC" w14:textId="77777777" w:rsidR="00034A02" w:rsidRPr="00034A02" w:rsidRDefault="00034A02" w:rsidP="00034A02">
      <w:pPr>
        <w:jc w:val="both"/>
        <w:rPr>
          <w:rFonts w:ascii="Arial" w:hAnsi="Arial" w:cs="Arial"/>
        </w:rPr>
      </w:pPr>
      <w:r>
        <w:rPr>
          <w:rFonts w:ascii="Arial" w:hAnsi="Arial" w:cs="Arial"/>
        </w:rPr>
        <w:t xml:space="preserve">The data used in this work comprised </w:t>
      </w:r>
      <w:r>
        <w:rPr>
          <w:rFonts w:ascii="Arial" w:hAnsi="Arial" w:cs="Arial"/>
          <w:highlight w:val="yellow"/>
        </w:rPr>
        <w:t>quarterly secondary time-series data</w:t>
      </w:r>
      <w:r>
        <w:rPr>
          <w:rFonts w:ascii="Arial" w:hAnsi="Arial" w:cs="Arial"/>
        </w:rPr>
        <w:t xml:space="preserve"> </w:t>
      </w:r>
      <w:r>
        <w:rPr>
          <w:rFonts w:ascii="Arial" w:hAnsi="Arial" w:cs="Arial"/>
          <w:highlight w:val="yellow"/>
        </w:rPr>
        <w:t>on the number of people coinfected with HIV/TB, the number of people infected with HIV, and the number of people infected with tuberculosis (TB), obtained from</w:t>
      </w:r>
      <w:r>
        <w:rPr>
          <w:rFonts w:ascii="Arial" w:hAnsi="Arial" w:cs="Arial"/>
        </w:rPr>
        <w:t xml:space="preserve"> National Tuberculosis and Leprosy Control Programme Quarterly Report on Case Finding (</w:t>
      </w:r>
      <w:r>
        <w:rPr>
          <w:rFonts w:ascii="Arial" w:hAnsi="Arial" w:cs="Arial"/>
          <w:highlight w:val="yellow"/>
        </w:rPr>
        <w:t>Nasarawa State Report</w:t>
      </w:r>
      <w:r>
        <w:rPr>
          <w:rFonts w:ascii="Arial" w:hAnsi="Arial" w:cs="Arial"/>
        </w:rPr>
        <w:t xml:space="preserve">). </w:t>
      </w:r>
      <w:r>
        <w:rPr>
          <w:rFonts w:ascii="Arial" w:hAnsi="Arial" w:cs="Arial"/>
          <w:highlight w:val="yellow"/>
        </w:rPr>
        <w:t>The data spanned from the fourth quarter of 2015 to the fourth quarter of 2024 and were obtained</w:t>
      </w:r>
      <w:r>
        <w:rPr>
          <w:rFonts w:ascii="Arial" w:hAnsi="Arial" w:cs="Arial"/>
        </w:rPr>
        <w:t xml:space="preserve"> from Nasarawa State Ministry of Health, Lafia. </w:t>
      </w:r>
    </w:p>
    <w:p w14:paraId="0C083C3B" w14:textId="77777777" w:rsidR="00034A02" w:rsidRPr="00034A02" w:rsidRDefault="00034A02" w:rsidP="00034A02">
      <w:pPr>
        <w:jc w:val="both"/>
        <w:rPr>
          <w:rFonts w:ascii="Arial" w:hAnsi="Arial" w:cs="Arial"/>
          <w:b/>
        </w:rPr>
      </w:pPr>
      <w:r w:rsidRPr="00034A02">
        <w:rPr>
          <w:rFonts w:ascii="Arial" w:hAnsi="Arial" w:cs="Arial"/>
          <w:b/>
        </w:rPr>
        <w:t>2.2 Methods of Data Analysis</w:t>
      </w:r>
    </w:p>
    <w:p w14:paraId="32FB5F61" w14:textId="77777777" w:rsidR="00034A02" w:rsidRPr="00034A02" w:rsidRDefault="00034A02" w:rsidP="00034A02">
      <w:pPr>
        <w:jc w:val="both"/>
        <w:rPr>
          <w:rFonts w:ascii="Arial" w:hAnsi="Arial" w:cs="Arial"/>
        </w:rPr>
      </w:pPr>
      <w:r>
        <w:rPr>
          <w:rFonts w:ascii="Arial" w:hAnsi="Arial" w:cs="Arial"/>
        </w:rPr>
        <w:t xml:space="preserve">The following statistical tools </w:t>
      </w:r>
      <w:r>
        <w:rPr>
          <w:rFonts w:ascii="Arial" w:hAnsi="Arial" w:cs="Arial"/>
          <w:highlight w:val="yellow"/>
        </w:rPr>
        <w:t>were employed</w:t>
      </w:r>
      <w:r>
        <w:rPr>
          <w:rFonts w:ascii="Arial" w:hAnsi="Arial" w:cs="Arial"/>
        </w:rPr>
        <w:t xml:space="preserve"> in the analysis of data in this work.</w:t>
      </w:r>
    </w:p>
    <w:p w14:paraId="7086CBB3" w14:textId="77777777" w:rsidR="00034A02" w:rsidRPr="00034A02" w:rsidRDefault="00034A02" w:rsidP="00034A02">
      <w:pPr>
        <w:jc w:val="both"/>
        <w:rPr>
          <w:rFonts w:ascii="Arial" w:hAnsi="Arial" w:cs="Arial"/>
          <w:b/>
        </w:rPr>
      </w:pPr>
      <w:r w:rsidRPr="00034A02">
        <w:rPr>
          <w:rFonts w:ascii="Arial" w:hAnsi="Arial" w:cs="Arial"/>
          <w:b/>
        </w:rPr>
        <w:t>2.2.1 Descriptive statistics and normality measures</w:t>
      </w:r>
    </w:p>
    <w:p w14:paraId="7E418C75" w14:textId="77777777" w:rsidR="00034A02" w:rsidRPr="00034A02" w:rsidRDefault="00034A02" w:rsidP="00034A02">
      <w:pPr>
        <w:jc w:val="both"/>
        <w:rPr>
          <w:rFonts w:ascii="Arial" w:hAnsi="Arial" w:cs="Arial"/>
        </w:rPr>
      </w:pPr>
      <w:r w:rsidRPr="00034A02">
        <w:rPr>
          <w:rFonts w:ascii="Arial" w:hAnsi="Arial" w:cs="Arial"/>
        </w:rPr>
        <w:t>The mean of any given set of data is computed as:</w:t>
      </w:r>
    </w:p>
    <w:p w14:paraId="33B65D37" w14:textId="77777777" w:rsidR="00034A02" w:rsidRPr="00034A02" w:rsidRDefault="00000000" w:rsidP="00034A02">
      <w:pPr>
        <w:jc w:val="both"/>
        <w:rPr>
          <w:rFonts w:ascii="Arial" w:eastAsiaTheme="minorEastAsia" w:hAnsi="Arial" w:cs="Arial"/>
        </w:rPr>
      </w:pPr>
      <m:oMathPara>
        <m:oMath>
          <m:acc>
            <m:accPr>
              <m:chr m:val="̅"/>
              <m:ctrlPr>
                <w:rPr>
                  <w:rFonts w:ascii="Cambria Math" w:eastAsiaTheme="minorEastAsia" w:hAnsi="Cambria Math" w:cs="Arial"/>
                  <w:i/>
                </w:rPr>
              </m:ctrlPr>
            </m:accPr>
            <m:e>
              <m:r>
                <w:rPr>
                  <w:rFonts w:ascii="Cambria Math" w:eastAsiaTheme="minorEastAsia" w:hAnsi="Cambria Math" w:cs="Arial"/>
                </w:rPr>
                <m:t>y</m:t>
              </m:r>
            </m:e>
          </m:acc>
          <m:r>
            <w:rPr>
              <w:rFonts w:ascii="Cambria Math" w:eastAsiaTheme="minorEastAsia" w:hAnsi="Cambria Math" w:cs="Arial"/>
            </w:rPr>
            <m:t>=</m:t>
          </m:r>
          <m:f>
            <m:fPr>
              <m:ctrlPr>
                <w:rPr>
                  <w:rFonts w:ascii="Cambria Math" w:eastAsiaTheme="minorEastAsia" w:hAnsi="Cambria Math" w:cs="Arial"/>
                  <w:i/>
                </w:rPr>
              </m:ctrlPr>
            </m:fPr>
            <m:num>
              <m:r>
                <w:rPr>
                  <w:rFonts w:ascii="Cambria Math" w:eastAsiaTheme="minorEastAsia" w:hAnsi="Cambria Math" w:cs="Arial"/>
                </w:rPr>
                <m:t>1</m:t>
              </m:r>
            </m:num>
            <m:den>
              <m:r>
                <w:rPr>
                  <w:rFonts w:ascii="Cambria Math" w:eastAsiaTheme="minorEastAsia" w:hAnsi="Cambria Math" w:cs="Arial"/>
                </w:rPr>
                <m:t>n</m:t>
              </m:r>
            </m:den>
          </m:f>
          <m:nary>
            <m:naryPr>
              <m:chr m:val="∑"/>
              <m:limLoc m:val="undOvr"/>
              <m:ctrlPr>
                <w:rPr>
                  <w:rFonts w:ascii="Cambria Math" w:eastAsiaTheme="minorEastAsia" w:hAnsi="Cambria Math" w:cs="Arial"/>
                  <w:i/>
                </w:rPr>
              </m:ctrlPr>
            </m:naryPr>
            <m:sub>
              <m:r>
                <w:rPr>
                  <w:rFonts w:ascii="Cambria Math" w:eastAsiaTheme="minorEastAsia" w:hAnsi="Cambria Math" w:cs="Arial"/>
                </w:rPr>
                <m:t>i=1</m:t>
              </m:r>
            </m:sub>
            <m:sup>
              <m:r>
                <w:rPr>
                  <w:rFonts w:ascii="Cambria Math" w:eastAsiaTheme="minorEastAsia" w:hAnsi="Cambria Math" w:cs="Arial"/>
                </w:rPr>
                <m:t>n</m:t>
              </m:r>
            </m:sup>
            <m:e>
              <m:sSub>
                <m:sSubPr>
                  <m:ctrlPr>
                    <w:rPr>
                      <w:rFonts w:ascii="Cambria Math" w:eastAsiaTheme="minorEastAsia" w:hAnsi="Cambria Math" w:cs="Arial"/>
                      <w:i/>
                    </w:rPr>
                  </m:ctrlPr>
                </m:sSubPr>
                <m:e>
                  <m:r>
                    <w:rPr>
                      <w:rFonts w:ascii="Cambria Math" w:eastAsiaTheme="minorEastAsia" w:hAnsi="Cambria Math" w:cs="Arial"/>
                    </w:rPr>
                    <m:t>y</m:t>
                  </m:r>
                </m:e>
                <m:sub>
                  <m:r>
                    <w:rPr>
                      <w:rFonts w:ascii="Cambria Math" w:eastAsiaTheme="minorEastAsia" w:hAnsi="Cambria Math" w:cs="Arial"/>
                    </w:rPr>
                    <m:t>i</m:t>
                  </m:r>
                </m:sub>
              </m:sSub>
            </m:e>
          </m:nary>
          <m:r>
            <w:rPr>
              <w:rFonts w:ascii="Cambria Math" w:eastAsiaTheme="minorEastAsia" w:hAnsi="Cambria Math" w:cs="Arial"/>
            </w:rPr>
            <m:t xml:space="preserve">                                                                                                                            (1)</m:t>
          </m:r>
        </m:oMath>
      </m:oMathPara>
    </w:p>
    <w:p w14:paraId="7622D26E" w14:textId="77777777" w:rsidR="00034A02" w:rsidRPr="00034A02" w:rsidRDefault="00034A02" w:rsidP="00034A02">
      <w:pPr>
        <w:jc w:val="both"/>
        <w:rPr>
          <w:rFonts w:ascii="Arial" w:eastAsiaTheme="minorEastAsia" w:hAnsi="Arial" w:cs="Arial"/>
        </w:rPr>
      </w:pPr>
      <w:r w:rsidRPr="00034A02">
        <w:rPr>
          <w:rFonts w:ascii="Arial" w:eastAsiaTheme="minorEastAsia" w:hAnsi="Arial" w:cs="Arial"/>
        </w:rPr>
        <w:t>The sample standard deviation of any given set of data over a given period of time is computed using the following formula:</w:t>
      </w:r>
    </w:p>
    <w:p w14:paraId="30EFC2CB" w14:textId="77777777" w:rsidR="00034A02" w:rsidRPr="00034A02" w:rsidRDefault="00000000" w:rsidP="00034A02">
      <w:pPr>
        <w:jc w:val="both"/>
        <w:rPr>
          <w:rFonts w:ascii="Arial" w:eastAsiaTheme="minorEastAsia" w:hAnsi="Arial" w:cs="Arial"/>
        </w:rPr>
      </w:pPr>
      <m:oMathPara>
        <m:oMath>
          <m:acc>
            <m:accPr>
              <m:ctrlPr>
                <w:rPr>
                  <w:rFonts w:ascii="Cambria Math" w:eastAsiaTheme="minorEastAsia" w:hAnsi="Cambria Math" w:cs="Arial"/>
                  <w:i/>
                </w:rPr>
              </m:ctrlPr>
            </m:accPr>
            <m:e>
              <m:r>
                <w:rPr>
                  <w:rFonts w:ascii="Cambria Math" w:eastAsiaTheme="minorEastAsia" w:hAnsi="Cambria Math" w:cs="Arial"/>
                </w:rPr>
                <m:t>σ</m:t>
              </m:r>
            </m:e>
          </m:acc>
          <m:r>
            <w:rPr>
              <w:rFonts w:ascii="Cambria Math" w:eastAsiaTheme="minorEastAsia" w:hAnsi="Cambria Math" w:cs="Arial"/>
            </w:rPr>
            <m:t>=</m:t>
          </m:r>
          <m:rad>
            <m:radPr>
              <m:degHide m:val="1"/>
              <m:ctrlPr>
                <w:rPr>
                  <w:rFonts w:ascii="Cambria Math" w:eastAsiaTheme="minorEastAsia" w:hAnsi="Cambria Math" w:cs="Arial"/>
                  <w:i/>
                </w:rPr>
              </m:ctrlPr>
            </m:radPr>
            <m:deg/>
            <m:e>
              <m:f>
                <m:fPr>
                  <m:ctrlPr>
                    <w:rPr>
                      <w:rFonts w:ascii="Cambria Math" w:eastAsiaTheme="minorEastAsia" w:hAnsi="Cambria Math" w:cs="Arial"/>
                      <w:i/>
                    </w:rPr>
                  </m:ctrlPr>
                </m:fPr>
                <m:num>
                  <m:r>
                    <w:rPr>
                      <w:rFonts w:ascii="Cambria Math" w:eastAsiaTheme="minorEastAsia" w:hAnsi="Cambria Math" w:cs="Arial"/>
                    </w:rPr>
                    <m:t>1</m:t>
                  </m:r>
                </m:num>
                <m:den>
                  <m:r>
                    <w:rPr>
                      <w:rFonts w:ascii="Cambria Math" w:eastAsiaTheme="minorEastAsia" w:hAnsi="Cambria Math" w:cs="Arial"/>
                    </w:rPr>
                    <m:t>n-1</m:t>
                  </m:r>
                </m:den>
              </m:f>
              <m:nary>
                <m:naryPr>
                  <m:chr m:val="∑"/>
                  <m:limLoc m:val="undOvr"/>
                  <m:ctrlPr>
                    <w:rPr>
                      <w:rFonts w:ascii="Cambria Math" w:eastAsiaTheme="minorEastAsia" w:hAnsi="Cambria Math" w:cs="Arial"/>
                      <w:i/>
                    </w:rPr>
                  </m:ctrlPr>
                </m:naryPr>
                <m:sub>
                  <m:r>
                    <w:rPr>
                      <w:rFonts w:ascii="Cambria Math" w:eastAsiaTheme="minorEastAsia" w:hAnsi="Cambria Math" w:cs="Arial"/>
                    </w:rPr>
                    <m:t>t=1</m:t>
                  </m:r>
                </m:sub>
                <m:sup>
                  <m:r>
                    <w:rPr>
                      <w:rFonts w:ascii="Cambria Math" w:eastAsiaTheme="minorEastAsia" w:hAnsi="Cambria Math" w:cs="Arial"/>
                    </w:rPr>
                    <m:t>n</m:t>
                  </m:r>
                </m:sup>
                <m:e>
                  <m:sSup>
                    <m:sSupPr>
                      <m:ctrlPr>
                        <w:rPr>
                          <w:rFonts w:ascii="Cambria Math" w:eastAsiaTheme="minorEastAsia" w:hAnsi="Cambria Math" w:cs="Arial"/>
                          <w:i/>
                        </w:rPr>
                      </m:ctrlPr>
                    </m:sSupPr>
                    <m:e>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y</m:t>
                          </m:r>
                        </m:e>
                        <m:sub>
                          <m:r>
                            <w:rPr>
                              <w:rFonts w:ascii="Cambria Math" w:eastAsiaTheme="minorEastAsia" w:hAnsi="Cambria Math" w:cs="Arial"/>
                            </w:rPr>
                            <m:t>i</m:t>
                          </m:r>
                        </m:sub>
                      </m:sSub>
                      <m:r>
                        <w:rPr>
                          <w:rFonts w:ascii="Cambria Math" w:eastAsiaTheme="minorEastAsia" w:hAnsi="Cambria Math" w:cs="Arial"/>
                        </w:rPr>
                        <m:t>-</m:t>
                      </m:r>
                      <m:acc>
                        <m:accPr>
                          <m:chr m:val="̅"/>
                          <m:ctrlPr>
                            <w:rPr>
                              <w:rFonts w:ascii="Cambria Math" w:eastAsiaTheme="minorEastAsia" w:hAnsi="Cambria Math" w:cs="Arial"/>
                              <w:i/>
                            </w:rPr>
                          </m:ctrlPr>
                        </m:accPr>
                        <m:e>
                          <m:r>
                            <w:rPr>
                              <w:rFonts w:ascii="Cambria Math" w:eastAsiaTheme="minorEastAsia" w:hAnsi="Cambria Math" w:cs="Arial"/>
                            </w:rPr>
                            <m:t>y</m:t>
                          </m:r>
                        </m:e>
                      </m:acc>
                      <m:r>
                        <w:rPr>
                          <w:rFonts w:ascii="Cambria Math" w:eastAsiaTheme="minorEastAsia" w:hAnsi="Cambria Math" w:cs="Arial"/>
                        </w:rPr>
                        <m:t>)</m:t>
                      </m:r>
                    </m:e>
                    <m:sup>
                      <m:r>
                        <w:rPr>
                          <w:rFonts w:ascii="Cambria Math" w:eastAsiaTheme="minorEastAsia" w:hAnsi="Cambria Math" w:cs="Arial"/>
                        </w:rPr>
                        <m:t>2</m:t>
                      </m:r>
                    </m:sup>
                  </m:sSup>
                </m:e>
              </m:nary>
            </m:e>
          </m:rad>
          <m:r>
            <w:rPr>
              <w:rFonts w:ascii="Cambria Math" w:eastAsiaTheme="minorEastAsia" w:hAnsi="Cambria Math" w:cs="Arial"/>
            </w:rPr>
            <m:t xml:space="preserve">                                                                                                (2)</m:t>
          </m:r>
        </m:oMath>
      </m:oMathPara>
    </w:p>
    <w:p w14:paraId="7910B0E5" w14:textId="77777777" w:rsidR="00034A02" w:rsidRPr="00034A02" w:rsidRDefault="00034A02" w:rsidP="00034A02">
      <w:pPr>
        <w:jc w:val="both"/>
        <w:rPr>
          <w:rFonts w:ascii="Arial" w:eastAsiaTheme="minorEastAsia" w:hAnsi="Arial" w:cs="Arial"/>
        </w:rPr>
      </w:pPr>
      <w:r w:rsidRPr="00034A02">
        <w:rPr>
          <w:rFonts w:ascii="Arial" w:eastAsiaTheme="minorEastAsia" w:hAnsi="Arial" w:cs="Arial"/>
        </w:rPr>
        <w:t xml:space="preserve">where </w:t>
      </w:r>
      <m:oMath>
        <m:acc>
          <m:accPr>
            <m:chr m:val="̅"/>
            <m:ctrlPr>
              <w:rPr>
                <w:rFonts w:ascii="Cambria Math" w:eastAsiaTheme="minorEastAsia" w:hAnsi="Cambria Math" w:cs="Arial"/>
                <w:i/>
              </w:rPr>
            </m:ctrlPr>
          </m:accPr>
          <m:e>
            <m:r>
              <w:rPr>
                <w:rFonts w:ascii="Cambria Math" w:eastAsiaTheme="minorEastAsia" w:hAnsi="Cambria Math" w:cs="Arial"/>
              </w:rPr>
              <m:t>y</m:t>
            </m:r>
          </m:e>
        </m:acc>
      </m:oMath>
      <w:r w:rsidRPr="00034A02">
        <w:rPr>
          <w:rFonts w:ascii="Arial" w:eastAsiaTheme="minorEastAsia" w:hAnsi="Arial" w:cs="Arial"/>
        </w:rPr>
        <w:t xml:space="preserve"> is the sample mean, </w:t>
      </w:r>
      <m:oMath>
        <m:r>
          <w:rPr>
            <w:rFonts w:ascii="Cambria Math" w:eastAsiaTheme="minorEastAsia" w:hAnsi="Cambria Math" w:cs="Arial"/>
          </w:rPr>
          <m:t>n</m:t>
        </m:r>
      </m:oMath>
      <w:r w:rsidRPr="00034A02">
        <w:rPr>
          <w:rFonts w:ascii="Arial" w:eastAsiaTheme="minorEastAsia" w:hAnsi="Arial" w:cs="Arial"/>
        </w:rPr>
        <w:t xml:space="preserve"> is the sample size.</w:t>
      </w:r>
    </w:p>
    <w:p w14:paraId="105F4884" w14:textId="77777777" w:rsidR="00034A02" w:rsidRPr="00034A02" w:rsidRDefault="00034A02" w:rsidP="00034A02">
      <w:pPr>
        <w:jc w:val="both"/>
        <w:rPr>
          <w:rFonts w:ascii="Arial" w:hAnsi="Arial" w:cs="Arial"/>
        </w:rPr>
      </w:pPr>
      <w:r>
        <w:rPr>
          <w:rFonts w:ascii="Arial" w:hAnsi="Arial" w:cs="Arial"/>
          <w:highlight w:val="yellow"/>
        </w:rPr>
        <w:t>The Jarque-Bera test is a normality test that assesses whether given sample data have skewness and kurtosis similar to those of a normal distribution.</w:t>
      </w:r>
      <w:r>
        <w:rPr>
          <w:rFonts w:ascii="Arial" w:hAnsi="Arial" w:cs="Arial"/>
        </w:rPr>
        <w:t xml:space="preserve"> The test was proposed by Jarque and Bera (1980, 1987) </w:t>
      </w:r>
      <w:r>
        <w:rPr>
          <w:rFonts w:ascii="Arial" w:hAnsi="Arial" w:cs="Arial"/>
          <w:highlight w:val="yellow"/>
        </w:rPr>
        <w:t>and tests the null hypothesis</w:t>
      </w:r>
      <w:r>
        <w:rPr>
          <w:rFonts w:ascii="Arial" w:hAnsi="Arial" w:cs="Arial"/>
        </w:rPr>
        <w:t xml:space="preserve"> that the series is normally distributed. Given any data set, </w:t>
      </w:r>
      <w:r>
        <w:rPr>
          <w:rFonts w:ascii="Arial" w:hAnsi="Arial" w:cs="Arial"/>
          <w:highlight w:val="yellow"/>
        </w:rPr>
        <w:t>the JB test statistic is defined as:</w:t>
      </w:r>
      <w:r>
        <w:rPr>
          <w:rFonts w:ascii="Arial" w:hAnsi="Arial" w:cs="Arial"/>
        </w:rPr>
        <w:t xml:space="preserve"> </w:t>
      </w:r>
    </w:p>
    <w:p w14:paraId="326DA53A" w14:textId="77777777" w:rsidR="00034A02" w:rsidRPr="00034A02" w:rsidRDefault="00034A02" w:rsidP="00034A02">
      <w:pPr>
        <w:jc w:val="both"/>
        <w:rPr>
          <w:rFonts w:ascii="Arial" w:eastAsiaTheme="minorEastAsia" w:hAnsi="Arial" w:cs="Arial"/>
        </w:rPr>
      </w:pPr>
      <m:oMathPara>
        <m:oMath>
          <m:r>
            <w:rPr>
              <w:rFonts w:ascii="Cambria Math" w:hAnsi="Cambria Math" w:cs="Arial"/>
            </w:rPr>
            <m:t>JB=</m:t>
          </m:r>
          <m:f>
            <m:fPr>
              <m:ctrlPr>
                <w:rPr>
                  <w:rFonts w:ascii="Cambria Math" w:hAnsi="Cambria Math" w:cs="Arial"/>
                  <w:i/>
                </w:rPr>
              </m:ctrlPr>
            </m:fPr>
            <m:num>
              <m:r>
                <w:rPr>
                  <w:rFonts w:ascii="Cambria Math" w:hAnsi="Cambria Math" w:cs="Arial"/>
                </w:rPr>
                <m:t>T</m:t>
              </m:r>
            </m:num>
            <m:den>
              <m:r>
                <w:rPr>
                  <w:rFonts w:ascii="Cambria Math" w:hAnsi="Cambria Math" w:cs="Arial"/>
                </w:rPr>
                <m:t>6</m:t>
              </m:r>
            </m:den>
          </m:f>
          <m:d>
            <m:dPr>
              <m:ctrlPr>
                <w:rPr>
                  <w:rFonts w:ascii="Cambria Math" w:hAnsi="Cambria Math" w:cs="Arial"/>
                  <w:i/>
                </w:rPr>
              </m:ctrlPr>
            </m:dPr>
            <m:e>
              <m:sSubSup>
                <m:sSubSupPr>
                  <m:ctrlPr>
                    <w:rPr>
                      <w:rFonts w:ascii="Cambria Math" w:hAnsi="Cambria Math" w:cs="Arial"/>
                      <w:i/>
                    </w:rPr>
                  </m:ctrlPr>
                </m:sSubSupPr>
                <m:e>
                  <m:r>
                    <w:rPr>
                      <w:rFonts w:ascii="Cambria Math" w:hAnsi="Cambria Math" w:cs="Arial"/>
                    </w:rPr>
                    <m:t>g</m:t>
                  </m:r>
                </m:e>
                <m:sub>
                  <m:r>
                    <w:rPr>
                      <w:rFonts w:ascii="Cambria Math" w:hAnsi="Cambria Math" w:cs="Arial"/>
                    </w:rPr>
                    <m:t>1</m:t>
                  </m:r>
                </m:sub>
                <m:sup>
                  <m:r>
                    <w:rPr>
                      <w:rFonts w:ascii="Cambria Math" w:hAnsi="Cambria Math" w:cs="Arial"/>
                    </w:rPr>
                    <m:t>2</m:t>
                  </m:r>
                </m:sup>
              </m:sSubSup>
              <m:r>
                <w:rPr>
                  <w:rFonts w:ascii="Cambria Math" w:hAnsi="Cambria Math" w:cs="Arial"/>
                </w:rPr>
                <m:t>+</m:t>
              </m:r>
              <m:f>
                <m:fPr>
                  <m:ctrlPr>
                    <w:rPr>
                      <w:rFonts w:ascii="Cambria Math" w:hAnsi="Cambria Math" w:cs="Arial"/>
                      <w:i/>
                    </w:rPr>
                  </m:ctrlPr>
                </m:fPr>
                <m:num>
                  <m:r>
                    <w:rPr>
                      <w:rFonts w:ascii="Cambria Math" w:hAnsi="Cambria Math" w:cs="Arial"/>
                    </w:rPr>
                    <m:t>1</m:t>
                  </m:r>
                </m:num>
                <m:den>
                  <m:r>
                    <w:rPr>
                      <w:rFonts w:ascii="Cambria Math" w:hAnsi="Cambria Math" w:cs="Arial"/>
                    </w:rPr>
                    <m:t>4</m:t>
                  </m:r>
                </m:den>
              </m:f>
              <m:r>
                <w:rPr>
                  <w:rFonts w:ascii="Cambria Math" w:hAnsi="Cambria Math" w:cs="Arial"/>
                </w:rPr>
                <m:t>(</m:t>
              </m:r>
              <m:sSub>
                <m:sSubPr>
                  <m:ctrlPr>
                    <w:rPr>
                      <w:rFonts w:ascii="Cambria Math" w:hAnsi="Cambria Math" w:cs="Arial"/>
                      <w:i/>
                    </w:rPr>
                  </m:ctrlPr>
                </m:sSubPr>
                <m:e>
                  <m:r>
                    <w:rPr>
                      <w:rFonts w:ascii="Cambria Math" w:hAnsi="Cambria Math" w:cs="Arial"/>
                    </w:rPr>
                    <m:t>g</m:t>
                  </m:r>
                </m:e>
                <m:sub>
                  <m:r>
                    <w:rPr>
                      <w:rFonts w:ascii="Cambria Math" w:hAnsi="Cambria Math" w:cs="Arial"/>
                    </w:rPr>
                    <m:t>2</m:t>
                  </m:r>
                </m:sub>
              </m:sSub>
              <m:r>
                <w:rPr>
                  <w:rFonts w:ascii="Cambria Math" w:hAnsi="Cambria Math" w:cs="Arial"/>
                </w:rPr>
                <m:t>-3</m:t>
              </m:r>
              <m:sSup>
                <m:sSupPr>
                  <m:ctrlPr>
                    <w:rPr>
                      <w:rFonts w:ascii="Cambria Math" w:hAnsi="Cambria Math" w:cs="Arial"/>
                      <w:i/>
                    </w:rPr>
                  </m:ctrlPr>
                </m:sSupPr>
                <m:e>
                  <m:r>
                    <w:rPr>
                      <w:rFonts w:ascii="Cambria Math" w:hAnsi="Cambria Math" w:cs="Arial"/>
                    </w:rPr>
                    <m:t>)</m:t>
                  </m:r>
                </m:e>
                <m:sup>
                  <m:r>
                    <w:rPr>
                      <w:rFonts w:ascii="Cambria Math" w:hAnsi="Cambria Math" w:cs="Arial"/>
                    </w:rPr>
                    <m:t>2</m:t>
                  </m:r>
                </m:sup>
              </m:sSup>
            </m:e>
          </m:d>
          <m:r>
            <w:rPr>
              <w:rFonts w:ascii="Cambria Math" w:hAnsi="Cambria Math" w:cs="Arial"/>
            </w:rPr>
            <m:t xml:space="preserve">                                                                                                        (3)</m:t>
          </m:r>
        </m:oMath>
      </m:oMathPara>
    </w:p>
    <w:p w14:paraId="33688188" w14:textId="77777777" w:rsidR="00034A02" w:rsidRPr="00034A02" w:rsidRDefault="00034A02" w:rsidP="00034A02">
      <w:pPr>
        <w:autoSpaceDE w:val="0"/>
        <w:autoSpaceDN w:val="0"/>
        <w:adjustRightInd w:val="0"/>
        <w:jc w:val="both"/>
        <w:rPr>
          <w:rFonts w:ascii="Arial" w:eastAsiaTheme="minorEastAsia" w:hAnsi="Arial" w:cs="Arial"/>
        </w:rPr>
      </w:pPr>
      <w:r w:rsidRPr="00034A02">
        <w:rPr>
          <w:rFonts w:ascii="Arial" w:eastAsiaTheme="minorEastAsia" w:hAnsi="Arial" w:cs="Arial"/>
        </w:rPr>
        <w:t xml:space="preserve">where </w:t>
      </w:r>
      <m:oMath>
        <m:sSub>
          <m:sSubPr>
            <m:ctrlPr>
              <w:rPr>
                <w:rFonts w:ascii="Cambria Math" w:eastAsiaTheme="minorEastAsia" w:hAnsi="Cambria Math" w:cs="Arial"/>
                <w:i/>
              </w:rPr>
            </m:ctrlPr>
          </m:sSubPr>
          <m:e>
            <m:r>
              <w:rPr>
                <w:rFonts w:ascii="Cambria Math" w:eastAsiaTheme="minorEastAsia" w:hAnsi="Cambria Math" w:cs="Arial"/>
              </w:rPr>
              <m:t>g</m:t>
            </m:r>
          </m:e>
          <m:sub>
            <m:r>
              <w:rPr>
                <w:rFonts w:ascii="Cambria Math" w:eastAsiaTheme="minorEastAsia" w:hAnsi="Cambria Math" w:cs="Arial"/>
              </w:rPr>
              <m:t>1</m:t>
            </m:r>
          </m:sub>
        </m:sSub>
      </m:oMath>
      <w:r w:rsidRPr="00034A02">
        <w:rPr>
          <w:rFonts w:ascii="Arial" w:eastAsiaTheme="minorEastAsia" w:hAnsi="Arial" w:cs="Arial"/>
        </w:rPr>
        <w:t xml:space="preserve"> is the sample skewness given as:</w:t>
      </w:r>
    </w:p>
    <w:p w14:paraId="4B3E019E" w14:textId="77777777" w:rsidR="00034A02" w:rsidRPr="00034A02" w:rsidRDefault="00000000" w:rsidP="00034A02">
      <w:pPr>
        <w:autoSpaceDE w:val="0"/>
        <w:autoSpaceDN w:val="0"/>
        <w:adjustRightInd w:val="0"/>
        <w:jc w:val="both"/>
        <w:rPr>
          <w:rFonts w:ascii="Arial" w:eastAsia="TimesNewRoman" w:hAnsi="Arial" w:cs="Arial"/>
          <w:b/>
          <w:color w:val="000000"/>
        </w:rPr>
      </w:pPr>
      <m:oMathPara>
        <m:oMath>
          <m:sSub>
            <m:sSubPr>
              <m:ctrlPr>
                <w:rPr>
                  <w:rFonts w:ascii="Cambria Math" w:hAnsi="Cambria Math" w:cs="Arial"/>
                  <w:i/>
                </w:rPr>
              </m:ctrlPr>
            </m:sSubPr>
            <m:e>
              <m:r>
                <w:rPr>
                  <w:rFonts w:ascii="Cambria Math" w:hAnsi="Cambria Math" w:cs="Arial"/>
                </w:rPr>
                <m:t>g</m:t>
              </m:r>
            </m:e>
            <m:sub>
              <m:r>
                <w:rPr>
                  <w:rFonts w:ascii="Cambria Math" w:hAnsi="Cambria Math" w:cs="Arial"/>
                </w:rPr>
                <m:t>1</m:t>
              </m:r>
            </m:sub>
          </m:sSub>
          <m:r>
            <w:rPr>
              <w:rFonts w:ascii="Cambria Math" w:hAnsi="Cambria Math" w:cs="Arial"/>
            </w:rPr>
            <m:t>=</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μ</m:t>
                  </m:r>
                </m:e>
                <m:sub>
                  <m:r>
                    <w:rPr>
                      <w:rFonts w:ascii="Cambria Math" w:hAnsi="Cambria Math" w:cs="Arial"/>
                    </w:rPr>
                    <m:t>3</m:t>
                  </m:r>
                </m:sub>
              </m:sSub>
            </m:num>
            <m:den>
              <m:sSubSup>
                <m:sSubSupPr>
                  <m:ctrlPr>
                    <w:rPr>
                      <w:rFonts w:ascii="Cambria Math" w:hAnsi="Cambria Math" w:cs="Arial"/>
                      <w:i/>
                    </w:rPr>
                  </m:ctrlPr>
                </m:sSubSupPr>
                <m:e>
                  <m:r>
                    <w:rPr>
                      <w:rFonts w:ascii="Cambria Math" w:hAnsi="Cambria Math" w:cs="Arial"/>
                    </w:rPr>
                    <m:t>μ</m:t>
                  </m:r>
                </m:e>
                <m:sub>
                  <m:r>
                    <w:rPr>
                      <w:rFonts w:ascii="Cambria Math" w:hAnsi="Cambria Math" w:cs="Arial"/>
                    </w:rPr>
                    <m:t>2</m:t>
                  </m:r>
                </m:sub>
                <m:sup>
                  <m:f>
                    <m:fPr>
                      <m:type m:val="lin"/>
                      <m:ctrlPr>
                        <w:rPr>
                          <w:rFonts w:ascii="Cambria Math" w:hAnsi="Cambria Math" w:cs="Arial"/>
                          <w:i/>
                        </w:rPr>
                      </m:ctrlPr>
                    </m:fPr>
                    <m:num>
                      <m:r>
                        <w:rPr>
                          <w:rFonts w:ascii="Cambria Math" w:hAnsi="Cambria Math" w:cs="Arial"/>
                        </w:rPr>
                        <m:t>3</m:t>
                      </m:r>
                    </m:num>
                    <m:den>
                      <m:r>
                        <w:rPr>
                          <w:rFonts w:ascii="Cambria Math" w:hAnsi="Cambria Math" w:cs="Arial"/>
                        </w:rPr>
                        <m:t>2</m:t>
                      </m:r>
                    </m:den>
                  </m:f>
                </m:sup>
              </m:sSubSup>
            </m:den>
          </m:f>
          <m:r>
            <m:rPr>
              <m:sty m:val="bi"/>
            </m:rPr>
            <w:rPr>
              <w:rFonts w:ascii="Cambria Math" w:eastAsia="TimesNewRoman" w:hAnsi="Cambria Math" w:cs="Arial"/>
              <w:color w:val="000000"/>
            </w:rPr>
            <m:t>=</m:t>
          </m:r>
          <m:d>
            <m:dPr>
              <m:begChr m:val="["/>
              <m:endChr m:val="]"/>
              <m:ctrlPr>
                <w:rPr>
                  <w:rFonts w:ascii="Cambria Math" w:eastAsia="TimesNewRoman" w:hAnsi="Cambria Math" w:cs="Arial"/>
                  <w:i/>
                  <w:color w:val="000000"/>
                </w:rPr>
              </m:ctrlPr>
            </m:dPr>
            <m:e>
              <m:sSup>
                <m:sSupPr>
                  <m:ctrlPr>
                    <w:rPr>
                      <w:rFonts w:ascii="Cambria Math" w:eastAsia="TimesNewRoman" w:hAnsi="Cambria Math" w:cs="Arial"/>
                      <w:i/>
                      <w:color w:val="000000"/>
                    </w:rPr>
                  </m:ctrlPr>
                </m:sSupPr>
                <m:e>
                  <m:r>
                    <w:rPr>
                      <w:rFonts w:ascii="Cambria Math" w:eastAsia="TimesNewRoman" w:hAnsi="Cambria Math" w:cs="Arial"/>
                      <w:color w:val="000000"/>
                    </w:rPr>
                    <m:t>T</m:t>
                  </m:r>
                </m:e>
                <m:sup>
                  <m:box>
                    <m:boxPr>
                      <m:ctrlPr>
                        <w:rPr>
                          <w:rFonts w:ascii="Cambria Math" w:eastAsia="TimesNewRoman" w:hAnsi="Cambria Math" w:cs="Arial"/>
                          <w:i/>
                          <w:color w:val="000000"/>
                        </w:rPr>
                      </m:ctrlPr>
                    </m:boxPr>
                    <m:e>
                      <m:argPr>
                        <m:argSz m:val="-1"/>
                      </m:argPr>
                      <m:f>
                        <m:fPr>
                          <m:ctrlPr>
                            <w:rPr>
                              <w:rFonts w:ascii="Cambria Math" w:eastAsia="TimesNewRoman" w:hAnsi="Cambria Math" w:cs="Arial"/>
                              <w:i/>
                              <w:color w:val="000000"/>
                            </w:rPr>
                          </m:ctrlPr>
                        </m:fPr>
                        <m:num>
                          <m:r>
                            <w:rPr>
                              <w:rFonts w:ascii="Cambria Math" w:eastAsia="TimesNewRoman" w:hAnsi="Cambria Math" w:cs="Arial"/>
                              <w:color w:val="000000"/>
                            </w:rPr>
                            <m:t>1</m:t>
                          </m:r>
                        </m:num>
                        <m:den>
                          <m:r>
                            <w:rPr>
                              <w:rFonts w:ascii="Cambria Math" w:eastAsia="TimesNewRoman" w:hAnsi="Cambria Math" w:cs="Arial"/>
                              <w:color w:val="000000"/>
                            </w:rPr>
                            <m:t>2</m:t>
                          </m:r>
                        </m:den>
                      </m:f>
                    </m:e>
                  </m:box>
                </m:sup>
              </m:sSup>
              <m:nary>
                <m:naryPr>
                  <m:chr m:val="∑"/>
                  <m:limLoc m:val="undOvr"/>
                  <m:ctrlPr>
                    <w:rPr>
                      <w:rFonts w:ascii="Cambria Math" w:hAnsi="Cambria Math" w:cs="Arial"/>
                      <w:i/>
                    </w:rPr>
                  </m:ctrlPr>
                </m:naryPr>
                <m:sub>
                  <m:r>
                    <w:rPr>
                      <w:rFonts w:ascii="Cambria Math" w:hAnsi="Cambria Math" w:cs="Arial"/>
                    </w:rPr>
                    <m:t>t=1</m:t>
                  </m:r>
                </m:sub>
                <m:sup>
                  <m:r>
                    <w:rPr>
                      <w:rFonts w:ascii="Cambria Math" w:hAnsi="Cambria Math" w:cs="Arial"/>
                    </w:rPr>
                    <m:t>T</m:t>
                  </m:r>
                </m:sup>
                <m:e>
                  <m:r>
                    <w:rPr>
                      <w:rFonts w:ascii="Cambria Math" w:hAnsi="Cambria Math" w:cs="Arial"/>
                    </w:rPr>
                    <m:t>(</m:t>
                  </m:r>
                  <m:sSub>
                    <m:sSubPr>
                      <m:ctrlPr>
                        <w:rPr>
                          <w:rFonts w:ascii="Cambria Math" w:hAnsi="Cambria Math" w:cs="Arial"/>
                          <w:i/>
                        </w:rPr>
                      </m:ctrlPr>
                    </m:sSubPr>
                    <m:e>
                      <m:r>
                        <w:rPr>
                          <w:rFonts w:ascii="Cambria Math" w:hAnsi="Cambria Math" w:cs="Arial"/>
                        </w:rPr>
                        <m:t>y</m:t>
                      </m:r>
                    </m:e>
                    <m:sub>
                      <m:r>
                        <w:rPr>
                          <w:rFonts w:ascii="Cambria Math" w:hAnsi="Cambria Math" w:cs="Arial"/>
                        </w:rPr>
                        <m:t>i</m:t>
                      </m:r>
                    </m:sub>
                  </m:sSub>
                  <m:r>
                    <w:rPr>
                      <w:rFonts w:ascii="Cambria Math" w:hAnsi="Cambria Math" w:cs="Arial"/>
                    </w:rPr>
                    <m:t>-</m:t>
                  </m:r>
                  <m:acc>
                    <m:accPr>
                      <m:chr m:val="̅"/>
                      <m:ctrlPr>
                        <w:rPr>
                          <w:rFonts w:ascii="Cambria Math" w:hAnsi="Cambria Math" w:cs="Arial"/>
                          <w:i/>
                        </w:rPr>
                      </m:ctrlPr>
                    </m:accPr>
                    <m:e>
                      <m:r>
                        <w:rPr>
                          <w:rFonts w:ascii="Cambria Math" w:hAnsi="Cambria Math" w:cs="Arial"/>
                        </w:rPr>
                        <m:t>y</m:t>
                      </m:r>
                    </m:e>
                  </m:acc>
                </m:e>
              </m:nary>
              <m:sSup>
                <m:sSupPr>
                  <m:ctrlPr>
                    <w:rPr>
                      <w:rFonts w:ascii="Cambria Math" w:hAnsi="Cambria Math" w:cs="Arial"/>
                      <w:i/>
                    </w:rPr>
                  </m:ctrlPr>
                </m:sSupPr>
                <m:e>
                  <m:r>
                    <w:rPr>
                      <w:rFonts w:ascii="Cambria Math" w:hAnsi="Cambria Math" w:cs="Arial"/>
                    </w:rPr>
                    <m:t>)</m:t>
                  </m:r>
                </m:e>
                <m:sup>
                  <m:r>
                    <w:rPr>
                      <w:rFonts w:ascii="Cambria Math" w:hAnsi="Cambria Math" w:cs="Arial"/>
                    </w:rPr>
                    <m:t>3</m:t>
                  </m:r>
                </m:sup>
              </m:sSup>
            </m:e>
          </m:d>
          <m:sSup>
            <m:sSupPr>
              <m:ctrlPr>
                <w:rPr>
                  <w:rFonts w:ascii="Cambria Math" w:eastAsia="TimesNewRoman" w:hAnsi="Cambria Math" w:cs="Arial"/>
                  <w:b/>
                  <w:i/>
                  <w:color w:val="000000"/>
                </w:rPr>
              </m:ctrlPr>
            </m:sSupPr>
            <m:e>
              <m:d>
                <m:dPr>
                  <m:begChr m:val="["/>
                  <m:endChr m:val="]"/>
                  <m:ctrlPr>
                    <w:rPr>
                      <w:rFonts w:ascii="Cambria Math" w:eastAsia="TimesNewRoman" w:hAnsi="Cambria Math" w:cs="Arial"/>
                      <w:b/>
                      <w:i/>
                      <w:color w:val="000000"/>
                    </w:rPr>
                  </m:ctrlPr>
                </m:dPr>
                <m:e>
                  <m:nary>
                    <m:naryPr>
                      <m:chr m:val="∑"/>
                      <m:limLoc m:val="undOvr"/>
                      <m:ctrlPr>
                        <w:rPr>
                          <w:rFonts w:ascii="Cambria Math" w:hAnsi="Cambria Math" w:cs="Arial"/>
                          <w:i/>
                        </w:rPr>
                      </m:ctrlPr>
                    </m:naryPr>
                    <m:sub>
                      <m:r>
                        <w:rPr>
                          <w:rFonts w:ascii="Cambria Math" w:hAnsi="Cambria Math" w:cs="Arial"/>
                        </w:rPr>
                        <m:t>t=1</m:t>
                      </m:r>
                    </m:sub>
                    <m:sup>
                      <m:r>
                        <w:rPr>
                          <w:rFonts w:ascii="Cambria Math" w:hAnsi="Cambria Math" w:cs="Arial"/>
                        </w:rPr>
                        <m:t>T</m:t>
                      </m:r>
                    </m:sup>
                    <m:e>
                      <m:r>
                        <w:rPr>
                          <w:rFonts w:ascii="Cambria Math" w:hAnsi="Cambria Math" w:cs="Arial"/>
                        </w:rPr>
                        <m:t>(</m:t>
                      </m:r>
                      <m:sSub>
                        <m:sSubPr>
                          <m:ctrlPr>
                            <w:rPr>
                              <w:rFonts w:ascii="Cambria Math" w:hAnsi="Cambria Math" w:cs="Arial"/>
                              <w:i/>
                            </w:rPr>
                          </m:ctrlPr>
                        </m:sSubPr>
                        <m:e>
                          <m:r>
                            <w:rPr>
                              <w:rFonts w:ascii="Cambria Math" w:hAnsi="Cambria Math" w:cs="Arial"/>
                            </w:rPr>
                            <m:t>y</m:t>
                          </m:r>
                        </m:e>
                        <m:sub>
                          <m:r>
                            <w:rPr>
                              <w:rFonts w:ascii="Cambria Math" w:hAnsi="Cambria Math" w:cs="Arial"/>
                            </w:rPr>
                            <m:t>i</m:t>
                          </m:r>
                        </m:sub>
                      </m:sSub>
                      <m:r>
                        <w:rPr>
                          <w:rFonts w:ascii="Cambria Math" w:hAnsi="Cambria Math" w:cs="Arial"/>
                        </w:rPr>
                        <m:t>-</m:t>
                      </m:r>
                      <m:acc>
                        <m:accPr>
                          <m:chr m:val="̅"/>
                          <m:ctrlPr>
                            <w:rPr>
                              <w:rFonts w:ascii="Cambria Math" w:hAnsi="Cambria Math" w:cs="Arial"/>
                              <w:i/>
                            </w:rPr>
                          </m:ctrlPr>
                        </m:accPr>
                        <m:e>
                          <m:r>
                            <w:rPr>
                              <w:rFonts w:ascii="Cambria Math" w:hAnsi="Cambria Math" w:cs="Arial"/>
                            </w:rPr>
                            <m:t>y</m:t>
                          </m:r>
                        </m:e>
                      </m:acc>
                      <m:sSup>
                        <m:sSupPr>
                          <m:ctrlPr>
                            <w:rPr>
                              <w:rFonts w:ascii="Cambria Math" w:hAnsi="Cambria Math" w:cs="Arial"/>
                              <w:i/>
                            </w:rPr>
                          </m:ctrlPr>
                        </m:sSupPr>
                        <m:e>
                          <m:r>
                            <w:rPr>
                              <w:rFonts w:ascii="Cambria Math" w:hAnsi="Cambria Math" w:cs="Arial"/>
                            </w:rPr>
                            <m:t>)</m:t>
                          </m:r>
                        </m:e>
                        <m:sup>
                          <m:r>
                            <w:rPr>
                              <w:rFonts w:ascii="Cambria Math" w:hAnsi="Cambria Math" w:cs="Arial"/>
                            </w:rPr>
                            <m:t>2</m:t>
                          </m:r>
                        </m:sup>
                      </m:sSup>
                    </m:e>
                  </m:nary>
                </m:e>
              </m:d>
            </m:e>
            <m:sup>
              <m:r>
                <w:rPr>
                  <w:rFonts w:ascii="Cambria Math" w:eastAsia="TimesNewRoman" w:hAnsi="Cambria Math" w:cs="Arial"/>
                  <w:color w:val="000000"/>
                </w:rPr>
                <m:t>-</m:t>
              </m:r>
              <m:f>
                <m:fPr>
                  <m:type m:val="lin"/>
                  <m:ctrlPr>
                    <w:rPr>
                      <w:rFonts w:ascii="Cambria Math" w:eastAsia="TimesNewRoman" w:hAnsi="Cambria Math" w:cs="Arial"/>
                      <w:i/>
                      <w:color w:val="000000"/>
                    </w:rPr>
                  </m:ctrlPr>
                </m:fPr>
                <m:num>
                  <m:r>
                    <w:rPr>
                      <w:rFonts w:ascii="Cambria Math" w:eastAsia="TimesNewRoman" w:hAnsi="Cambria Math" w:cs="Arial"/>
                      <w:color w:val="000000"/>
                    </w:rPr>
                    <m:t>3</m:t>
                  </m:r>
                </m:num>
                <m:den>
                  <m:r>
                    <w:rPr>
                      <w:rFonts w:ascii="Cambria Math" w:eastAsia="TimesNewRoman" w:hAnsi="Cambria Math" w:cs="Arial"/>
                      <w:color w:val="000000"/>
                    </w:rPr>
                    <m:t>2</m:t>
                  </m:r>
                </m:den>
              </m:f>
            </m:sup>
          </m:sSup>
          <m:r>
            <w:rPr>
              <w:rFonts w:ascii="Cambria Math" w:eastAsia="TimesNewRoman" w:hAnsi="Cambria Math" w:cs="Arial"/>
              <w:color w:val="000000"/>
            </w:rPr>
            <m:t xml:space="preserve">                                                           (4)</m:t>
          </m:r>
        </m:oMath>
      </m:oMathPara>
    </w:p>
    <w:p w14:paraId="24D0E19E" w14:textId="77777777" w:rsidR="00034A02" w:rsidRPr="00034A02" w:rsidRDefault="00034A02" w:rsidP="00034A02">
      <w:pPr>
        <w:jc w:val="both"/>
        <w:rPr>
          <w:rFonts w:ascii="Arial" w:eastAsiaTheme="minorEastAsia" w:hAnsi="Arial" w:cs="Arial"/>
        </w:rPr>
      </w:pPr>
      <w:r w:rsidRPr="00034A02">
        <w:rPr>
          <w:rFonts w:ascii="Arial" w:eastAsiaTheme="minorEastAsia" w:hAnsi="Arial" w:cs="Arial"/>
        </w:rPr>
        <w:lastRenderedPageBreak/>
        <w:t xml:space="preserve">and </w:t>
      </w:r>
      <m:oMath>
        <m:sSub>
          <m:sSubPr>
            <m:ctrlPr>
              <w:rPr>
                <w:rFonts w:ascii="Cambria Math" w:eastAsiaTheme="minorEastAsia" w:hAnsi="Cambria Math" w:cs="Arial"/>
                <w:i/>
              </w:rPr>
            </m:ctrlPr>
          </m:sSubPr>
          <m:e>
            <m:r>
              <w:rPr>
                <w:rFonts w:ascii="Cambria Math" w:eastAsiaTheme="minorEastAsia" w:hAnsi="Cambria Math" w:cs="Arial"/>
              </w:rPr>
              <m:t>g</m:t>
            </m:r>
          </m:e>
          <m:sub>
            <m:r>
              <w:rPr>
                <w:rFonts w:ascii="Cambria Math" w:eastAsiaTheme="minorEastAsia" w:hAnsi="Cambria Math" w:cs="Arial"/>
              </w:rPr>
              <m:t>2</m:t>
            </m:r>
          </m:sub>
        </m:sSub>
      </m:oMath>
      <w:r w:rsidRPr="00034A02">
        <w:rPr>
          <w:rFonts w:ascii="Arial" w:eastAsiaTheme="minorEastAsia" w:hAnsi="Arial" w:cs="Arial"/>
        </w:rPr>
        <w:t xml:space="preserve"> is the sample kurtosis defined by:</w:t>
      </w:r>
    </w:p>
    <w:p w14:paraId="7C6C2E5B" w14:textId="77777777" w:rsidR="00034A02" w:rsidRPr="00034A02" w:rsidRDefault="00000000" w:rsidP="00034A02">
      <w:pPr>
        <w:jc w:val="both"/>
        <w:rPr>
          <w:rFonts w:ascii="Arial" w:eastAsiaTheme="minorEastAsia" w:hAnsi="Arial" w:cs="Arial"/>
        </w:rPr>
      </w:pPr>
      <m:oMathPara>
        <m:oMath>
          <m:sSub>
            <m:sSubPr>
              <m:ctrlPr>
                <w:rPr>
                  <w:rFonts w:ascii="Cambria Math" w:eastAsiaTheme="minorEastAsia" w:hAnsi="Cambria Math" w:cs="Arial"/>
                  <w:i/>
                </w:rPr>
              </m:ctrlPr>
            </m:sSubPr>
            <m:e>
              <m:r>
                <w:rPr>
                  <w:rFonts w:ascii="Cambria Math" w:eastAsiaTheme="minorEastAsia" w:hAnsi="Cambria Math" w:cs="Arial"/>
                </w:rPr>
                <m:t>g</m:t>
              </m:r>
            </m:e>
            <m:sub>
              <m:r>
                <w:rPr>
                  <w:rFonts w:ascii="Cambria Math" w:eastAsiaTheme="minorEastAsia" w:hAnsi="Cambria Math" w:cs="Arial"/>
                </w:rPr>
                <m:t>2</m:t>
              </m:r>
            </m:sub>
          </m:sSub>
          <m:r>
            <w:rPr>
              <w:rFonts w:ascii="Cambria Math" w:eastAsiaTheme="minorEastAsia" w:hAnsi="Cambria Math" w:cs="Arial"/>
            </w:rPr>
            <m:t>=</m:t>
          </m:r>
          <m:f>
            <m:fPr>
              <m:ctrlPr>
                <w:rPr>
                  <w:rFonts w:ascii="Cambria Math" w:eastAsiaTheme="minorEastAsia" w:hAnsi="Cambria Math" w:cs="Arial"/>
                  <w:i/>
                </w:rPr>
              </m:ctrlPr>
            </m:fPr>
            <m:num>
              <m:sSub>
                <m:sSubPr>
                  <m:ctrlPr>
                    <w:rPr>
                      <w:rFonts w:ascii="Cambria Math" w:eastAsiaTheme="minorEastAsia" w:hAnsi="Cambria Math" w:cs="Arial"/>
                      <w:i/>
                    </w:rPr>
                  </m:ctrlPr>
                </m:sSubPr>
                <m:e>
                  <m:r>
                    <w:rPr>
                      <w:rFonts w:ascii="Cambria Math" w:eastAsiaTheme="minorEastAsia" w:hAnsi="Cambria Math" w:cs="Arial"/>
                    </w:rPr>
                    <m:t>μ</m:t>
                  </m:r>
                </m:e>
                <m:sub>
                  <m:r>
                    <w:rPr>
                      <w:rFonts w:ascii="Cambria Math" w:eastAsiaTheme="minorEastAsia" w:hAnsi="Cambria Math" w:cs="Arial"/>
                    </w:rPr>
                    <m:t>4</m:t>
                  </m:r>
                </m:sub>
              </m:sSub>
            </m:num>
            <m:den>
              <m:sSubSup>
                <m:sSubSupPr>
                  <m:ctrlPr>
                    <w:rPr>
                      <w:rFonts w:ascii="Cambria Math" w:eastAsiaTheme="minorEastAsia" w:hAnsi="Cambria Math" w:cs="Arial"/>
                      <w:i/>
                    </w:rPr>
                  </m:ctrlPr>
                </m:sSubSupPr>
                <m:e>
                  <m:r>
                    <w:rPr>
                      <w:rFonts w:ascii="Cambria Math" w:eastAsiaTheme="minorEastAsia" w:hAnsi="Cambria Math" w:cs="Arial"/>
                    </w:rPr>
                    <m:t>μ</m:t>
                  </m:r>
                </m:e>
                <m:sub>
                  <m:r>
                    <w:rPr>
                      <w:rFonts w:ascii="Cambria Math" w:eastAsiaTheme="minorEastAsia" w:hAnsi="Cambria Math" w:cs="Arial"/>
                    </w:rPr>
                    <m:t>2</m:t>
                  </m:r>
                </m:sub>
                <m:sup>
                  <m:r>
                    <w:rPr>
                      <w:rFonts w:ascii="Cambria Math" w:eastAsiaTheme="minorEastAsia" w:hAnsi="Cambria Math" w:cs="Arial"/>
                    </w:rPr>
                    <m:t>2</m:t>
                  </m:r>
                </m:sup>
              </m:sSubSup>
            </m:den>
          </m:f>
          <m:r>
            <w:rPr>
              <w:rFonts w:ascii="Cambria Math" w:eastAsiaTheme="minorEastAsia" w:hAnsi="Cambria Math" w:cs="Arial"/>
            </w:rPr>
            <m:t>=</m:t>
          </m:r>
          <m:d>
            <m:dPr>
              <m:begChr m:val="["/>
              <m:endChr m:val="]"/>
              <m:ctrlPr>
                <w:rPr>
                  <w:rFonts w:ascii="Cambria Math" w:eastAsiaTheme="minorEastAsia" w:hAnsi="Cambria Math" w:cs="Arial"/>
                  <w:i/>
                </w:rPr>
              </m:ctrlPr>
            </m:dPr>
            <m:e>
              <m:r>
                <w:rPr>
                  <w:rFonts w:ascii="Cambria Math" w:eastAsiaTheme="minorEastAsia" w:hAnsi="Cambria Math" w:cs="Arial"/>
                </w:rPr>
                <m:t>T</m:t>
              </m:r>
              <m:nary>
                <m:naryPr>
                  <m:chr m:val="∑"/>
                  <m:limLoc m:val="undOvr"/>
                  <m:ctrlPr>
                    <w:rPr>
                      <w:rFonts w:ascii="Cambria Math" w:eastAsiaTheme="minorEastAsia" w:hAnsi="Cambria Math" w:cs="Arial"/>
                      <w:i/>
                    </w:rPr>
                  </m:ctrlPr>
                </m:naryPr>
                <m:sub>
                  <m:r>
                    <w:rPr>
                      <w:rFonts w:ascii="Cambria Math" w:eastAsiaTheme="minorEastAsia" w:hAnsi="Cambria Math" w:cs="Arial"/>
                    </w:rPr>
                    <m:t>t=1</m:t>
                  </m:r>
                </m:sub>
                <m:sup>
                  <m:r>
                    <w:rPr>
                      <w:rFonts w:ascii="Cambria Math" w:eastAsiaTheme="minorEastAsia" w:hAnsi="Cambria Math" w:cs="Arial"/>
                    </w:rPr>
                    <m:t>T</m:t>
                  </m:r>
                </m:sup>
                <m:e>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y</m:t>
                      </m:r>
                    </m:e>
                    <m:sub>
                      <m:r>
                        <w:rPr>
                          <w:rFonts w:ascii="Cambria Math" w:eastAsiaTheme="minorEastAsia" w:hAnsi="Cambria Math" w:cs="Arial"/>
                        </w:rPr>
                        <m:t>i</m:t>
                      </m:r>
                    </m:sub>
                  </m:sSub>
                  <m:r>
                    <w:rPr>
                      <w:rFonts w:ascii="Cambria Math" w:eastAsiaTheme="minorEastAsia" w:hAnsi="Cambria Math" w:cs="Arial"/>
                    </w:rPr>
                    <m:t>-</m:t>
                  </m:r>
                  <m:acc>
                    <m:accPr>
                      <m:chr m:val="̅"/>
                      <m:ctrlPr>
                        <w:rPr>
                          <w:rFonts w:ascii="Cambria Math" w:eastAsiaTheme="minorEastAsia" w:hAnsi="Cambria Math" w:cs="Arial"/>
                          <w:i/>
                        </w:rPr>
                      </m:ctrlPr>
                    </m:accPr>
                    <m:e>
                      <m:r>
                        <w:rPr>
                          <w:rFonts w:ascii="Cambria Math" w:eastAsiaTheme="minorEastAsia" w:hAnsi="Cambria Math" w:cs="Arial"/>
                        </w:rPr>
                        <m:t>y</m:t>
                      </m:r>
                    </m:e>
                  </m:acc>
                </m:e>
              </m:nary>
              <m:sSup>
                <m:sSupPr>
                  <m:ctrlPr>
                    <w:rPr>
                      <w:rFonts w:ascii="Cambria Math" w:eastAsiaTheme="minorEastAsia" w:hAnsi="Cambria Math" w:cs="Arial"/>
                      <w:i/>
                    </w:rPr>
                  </m:ctrlPr>
                </m:sSupPr>
                <m:e>
                  <m:r>
                    <w:rPr>
                      <w:rFonts w:ascii="Cambria Math" w:eastAsiaTheme="minorEastAsia" w:hAnsi="Cambria Math" w:cs="Arial"/>
                    </w:rPr>
                    <m:t>)</m:t>
                  </m:r>
                </m:e>
                <m:sup>
                  <m:r>
                    <w:rPr>
                      <w:rFonts w:ascii="Cambria Math" w:eastAsiaTheme="minorEastAsia" w:hAnsi="Cambria Math" w:cs="Arial"/>
                    </w:rPr>
                    <m:t>4</m:t>
                  </m:r>
                </m:sup>
              </m:sSup>
            </m:e>
          </m:d>
          <m:sSup>
            <m:sSupPr>
              <m:ctrlPr>
                <w:rPr>
                  <w:rFonts w:ascii="Cambria Math" w:eastAsiaTheme="minorEastAsia" w:hAnsi="Cambria Math" w:cs="Arial"/>
                  <w:i/>
                </w:rPr>
              </m:ctrlPr>
            </m:sSupPr>
            <m:e>
              <m:d>
                <m:dPr>
                  <m:begChr m:val="["/>
                  <m:endChr m:val="]"/>
                  <m:ctrlPr>
                    <w:rPr>
                      <w:rFonts w:ascii="Cambria Math" w:eastAsiaTheme="minorEastAsia" w:hAnsi="Cambria Math" w:cs="Arial"/>
                      <w:i/>
                    </w:rPr>
                  </m:ctrlPr>
                </m:dPr>
                <m:e>
                  <m:nary>
                    <m:naryPr>
                      <m:chr m:val="∑"/>
                      <m:limLoc m:val="undOvr"/>
                      <m:ctrlPr>
                        <w:rPr>
                          <w:rFonts w:ascii="Cambria Math" w:eastAsiaTheme="minorEastAsia" w:hAnsi="Cambria Math" w:cs="Arial"/>
                          <w:i/>
                        </w:rPr>
                      </m:ctrlPr>
                    </m:naryPr>
                    <m:sub>
                      <m:r>
                        <w:rPr>
                          <w:rFonts w:ascii="Cambria Math" w:eastAsiaTheme="minorEastAsia" w:hAnsi="Cambria Math" w:cs="Arial"/>
                        </w:rPr>
                        <m:t>t=1</m:t>
                      </m:r>
                    </m:sub>
                    <m:sup>
                      <m:r>
                        <w:rPr>
                          <w:rFonts w:ascii="Cambria Math" w:eastAsiaTheme="minorEastAsia" w:hAnsi="Cambria Math" w:cs="Arial"/>
                        </w:rPr>
                        <m:t>T</m:t>
                      </m:r>
                    </m:sup>
                    <m:e>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y</m:t>
                          </m:r>
                        </m:e>
                        <m:sub>
                          <m:r>
                            <w:rPr>
                              <w:rFonts w:ascii="Cambria Math" w:eastAsiaTheme="minorEastAsia" w:hAnsi="Cambria Math" w:cs="Arial"/>
                            </w:rPr>
                            <m:t>i</m:t>
                          </m:r>
                        </m:sub>
                      </m:sSub>
                      <m:r>
                        <w:rPr>
                          <w:rFonts w:ascii="Cambria Math" w:eastAsiaTheme="minorEastAsia" w:hAnsi="Cambria Math" w:cs="Arial"/>
                        </w:rPr>
                        <m:t>-</m:t>
                      </m:r>
                      <m:acc>
                        <m:accPr>
                          <m:chr m:val="̅"/>
                          <m:ctrlPr>
                            <w:rPr>
                              <w:rFonts w:ascii="Cambria Math" w:eastAsiaTheme="minorEastAsia" w:hAnsi="Cambria Math" w:cs="Arial"/>
                              <w:i/>
                            </w:rPr>
                          </m:ctrlPr>
                        </m:accPr>
                        <m:e>
                          <m:r>
                            <w:rPr>
                              <w:rFonts w:ascii="Cambria Math" w:eastAsiaTheme="minorEastAsia" w:hAnsi="Cambria Math" w:cs="Arial"/>
                            </w:rPr>
                            <m:t>y</m:t>
                          </m:r>
                        </m:e>
                      </m:acc>
                    </m:e>
                  </m:nary>
                </m:e>
              </m:d>
            </m:e>
            <m:sup>
              <m:r>
                <w:rPr>
                  <w:rFonts w:ascii="Cambria Math" w:eastAsiaTheme="minorEastAsia" w:hAnsi="Cambria Math" w:cs="Arial"/>
                </w:rPr>
                <m:t>-2</m:t>
              </m:r>
            </m:sup>
          </m:sSup>
          <m:r>
            <w:rPr>
              <w:rFonts w:ascii="Cambria Math" w:eastAsiaTheme="minorEastAsia" w:hAnsi="Cambria Math" w:cs="Arial"/>
            </w:rPr>
            <m:t xml:space="preserve">                                                                       (5)</m:t>
          </m:r>
        </m:oMath>
      </m:oMathPara>
    </w:p>
    <w:p w14:paraId="5D3B4F98" w14:textId="77777777" w:rsidR="00034A02" w:rsidRPr="00034A02" w:rsidRDefault="00034A02" w:rsidP="00034A02">
      <w:pPr>
        <w:jc w:val="both"/>
        <w:rPr>
          <w:rFonts w:ascii="Arial" w:eastAsiaTheme="minorEastAsia" w:hAnsi="Arial" w:cs="Arial"/>
        </w:rPr>
      </w:pPr>
      <w:r w:rsidRPr="00034A02">
        <w:rPr>
          <w:rFonts w:ascii="Arial" w:hAnsi="Arial" w:cs="Arial"/>
        </w:rPr>
        <w:t>where T is the total number of observations</w:t>
      </w:r>
      <w:r>
        <w:rPr>
          <w:rFonts w:ascii="Arial" w:eastAsiaTheme="minorEastAsia" w:hAnsi="Arial" w:cs="Arial"/>
        </w:rPr>
        <w:t xml:space="preserve">. The JB normality test checks the following </w:t>
      </w:r>
      <w:r>
        <w:rPr>
          <w:rFonts w:ascii="Arial" w:eastAsiaTheme="minorEastAsia" w:hAnsi="Arial" w:cs="Arial"/>
          <w:highlight w:val="yellow"/>
        </w:rPr>
        <w:t>pair of hypotheses</w:t>
      </w:r>
      <w:r>
        <w:rPr>
          <w:rFonts w:ascii="Arial" w:eastAsiaTheme="minorEastAsia" w:hAnsi="Arial" w:cs="Arial"/>
        </w:rPr>
        <w:t>:</w:t>
      </w:r>
    </w:p>
    <w:p w14:paraId="476961D8" w14:textId="77777777" w:rsidR="00034A02" w:rsidRPr="00034A02" w:rsidRDefault="00000000" w:rsidP="00034A02">
      <w:pPr>
        <w:jc w:val="both"/>
        <w:rPr>
          <w:rFonts w:ascii="Arial" w:eastAsiaTheme="minorEastAsia" w:hAnsi="Arial" w:cs="Arial"/>
        </w:rPr>
      </w:pPr>
      <m:oMath>
        <m:sSub>
          <m:sSubPr>
            <m:ctrlPr>
              <w:rPr>
                <w:rFonts w:ascii="Cambria Math" w:eastAsiaTheme="minorEastAsia" w:hAnsi="Cambria Math" w:cs="Arial"/>
                <w:i/>
              </w:rPr>
            </m:ctrlPr>
          </m:sSubPr>
          <m:e>
            <m:r>
              <w:rPr>
                <w:rFonts w:ascii="Cambria Math" w:eastAsiaTheme="minorEastAsia" w:hAnsi="Cambria Math" w:cs="Arial"/>
              </w:rPr>
              <m:t>H</m:t>
            </m:r>
          </m:e>
          <m:sub>
            <m:r>
              <w:rPr>
                <w:rFonts w:ascii="Cambria Math" w:eastAsiaTheme="minorEastAsia" w:hAnsi="Cambria Math" w:cs="Arial"/>
              </w:rPr>
              <m:t>0</m:t>
            </m:r>
          </m:sub>
        </m:sSub>
        <m:r>
          <w:rPr>
            <w:rFonts w:ascii="Cambria Math" w:eastAsiaTheme="minorEastAsia" w:hAnsi="Cambria Math" w:cs="Arial"/>
          </w:rPr>
          <m:t xml:space="preserve">: </m:t>
        </m:r>
        <m:sSub>
          <m:sSubPr>
            <m:ctrlPr>
              <w:rPr>
                <w:rFonts w:ascii="Cambria Math" w:eastAsiaTheme="minorEastAsia" w:hAnsi="Cambria Math" w:cs="Arial"/>
                <w:i/>
              </w:rPr>
            </m:ctrlPr>
          </m:sSubPr>
          <m:e>
            <m:acc>
              <m:accPr>
                <m:ctrlPr>
                  <w:rPr>
                    <w:rFonts w:ascii="Cambria Math" w:eastAsiaTheme="minorEastAsia" w:hAnsi="Cambria Math" w:cs="Arial"/>
                    <w:i/>
                  </w:rPr>
                </m:ctrlPr>
              </m:accPr>
              <m:e>
                <m:r>
                  <w:rPr>
                    <w:rFonts w:ascii="Cambria Math" w:eastAsiaTheme="minorEastAsia" w:hAnsi="Cambria Math" w:cs="Arial"/>
                  </w:rPr>
                  <m:t>μ</m:t>
                </m:r>
              </m:e>
            </m:acc>
          </m:e>
          <m:sub>
            <m:r>
              <w:rPr>
                <w:rFonts w:ascii="Cambria Math" w:eastAsiaTheme="minorEastAsia" w:hAnsi="Cambria Math" w:cs="Arial"/>
              </w:rPr>
              <m:t>3</m:t>
            </m:r>
          </m:sub>
        </m:sSub>
        <m:r>
          <w:rPr>
            <w:rFonts w:ascii="Cambria Math" w:eastAsiaTheme="minorEastAsia" w:hAnsi="Cambria Math" w:cs="Arial"/>
          </w:rPr>
          <m:t xml:space="preserve">=0 </m:t>
        </m:r>
      </m:oMath>
      <w:r w:rsidR="00034A02" w:rsidRPr="00034A02">
        <w:rPr>
          <w:rFonts w:ascii="Arial" w:eastAsiaTheme="minorEastAsia" w:hAnsi="Arial" w:cs="Arial"/>
        </w:rPr>
        <w:t xml:space="preserve">and </w:t>
      </w:r>
      <m:oMath>
        <m:sSub>
          <m:sSubPr>
            <m:ctrlPr>
              <w:rPr>
                <w:rFonts w:ascii="Cambria Math" w:eastAsiaTheme="minorEastAsia" w:hAnsi="Cambria Math" w:cs="Arial"/>
                <w:i/>
              </w:rPr>
            </m:ctrlPr>
          </m:sSubPr>
          <m:e>
            <m:acc>
              <m:accPr>
                <m:ctrlPr>
                  <w:rPr>
                    <w:rFonts w:ascii="Cambria Math" w:eastAsiaTheme="minorEastAsia" w:hAnsi="Cambria Math" w:cs="Arial"/>
                    <w:i/>
                  </w:rPr>
                </m:ctrlPr>
              </m:accPr>
              <m:e>
                <m:r>
                  <w:rPr>
                    <w:rFonts w:ascii="Cambria Math" w:eastAsiaTheme="minorEastAsia" w:hAnsi="Cambria Math" w:cs="Arial"/>
                  </w:rPr>
                  <m:t>μ</m:t>
                </m:r>
              </m:e>
            </m:acc>
          </m:e>
          <m:sub>
            <m:r>
              <w:rPr>
                <w:rFonts w:ascii="Cambria Math" w:eastAsiaTheme="minorEastAsia" w:hAnsi="Cambria Math" w:cs="Arial"/>
              </w:rPr>
              <m:t>4</m:t>
            </m:r>
          </m:sub>
        </m:sSub>
        <m:r>
          <w:rPr>
            <w:rFonts w:ascii="Cambria Math" w:eastAsiaTheme="minorEastAsia" w:hAnsi="Cambria Math" w:cs="Arial"/>
          </w:rPr>
          <m:t xml:space="preserve">=0 </m:t>
        </m:r>
      </m:oMath>
      <w:r w:rsidR="00034A02" w:rsidRPr="00034A02">
        <w:rPr>
          <w:rFonts w:ascii="Arial" w:eastAsiaTheme="minorEastAsia" w:hAnsi="Arial" w:cs="Arial"/>
        </w:rPr>
        <w:t xml:space="preserve"> (i.e., </w:t>
      </w:r>
      <m:oMath>
        <m:sSub>
          <m:sSubPr>
            <m:ctrlPr>
              <w:rPr>
                <w:rFonts w:ascii="Cambria Math" w:eastAsiaTheme="minorEastAsia" w:hAnsi="Cambria Math" w:cs="Arial"/>
                <w:i/>
              </w:rPr>
            </m:ctrlPr>
          </m:sSubPr>
          <m:e>
            <m:r>
              <w:rPr>
                <w:rFonts w:ascii="Cambria Math" w:eastAsiaTheme="minorEastAsia" w:hAnsi="Cambria Math" w:cs="Arial"/>
              </w:rPr>
              <m:t>y</m:t>
            </m:r>
          </m:e>
          <m:sub>
            <m:r>
              <w:rPr>
                <w:rFonts w:ascii="Cambria Math" w:eastAsiaTheme="minorEastAsia" w:hAnsi="Cambria Math" w:cs="Arial"/>
              </w:rPr>
              <m:t>i</m:t>
            </m:r>
          </m:sub>
        </m:sSub>
      </m:oMath>
      <w:r w:rsidR="00034A02" w:rsidRPr="00034A02">
        <w:rPr>
          <w:rFonts w:ascii="Arial" w:eastAsiaTheme="minorEastAsia" w:hAnsi="Arial" w:cs="Arial"/>
        </w:rPr>
        <w:t xml:space="preserve"> follows a normal distribution) </w:t>
      </w:r>
    </w:p>
    <w:p w14:paraId="30DB7D54" w14:textId="77777777" w:rsidR="00034A02" w:rsidRPr="00034A02" w:rsidRDefault="00000000" w:rsidP="00034A02">
      <w:pPr>
        <w:jc w:val="both"/>
        <w:rPr>
          <w:rFonts w:ascii="Arial" w:eastAsiaTheme="minorEastAsia" w:hAnsi="Arial" w:cs="Arial"/>
        </w:rPr>
      </w:pPr>
      <m:oMath>
        <m:sSub>
          <m:sSubPr>
            <m:ctrlPr>
              <w:rPr>
                <w:rFonts w:ascii="Cambria Math" w:eastAsiaTheme="minorEastAsia" w:hAnsi="Cambria Math" w:cs="Arial"/>
                <w:i/>
              </w:rPr>
            </m:ctrlPr>
          </m:sSubPr>
          <m:e>
            <m:r>
              <w:rPr>
                <w:rFonts w:ascii="Cambria Math" w:eastAsiaTheme="minorEastAsia" w:hAnsi="Cambria Math" w:cs="Arial"/>
              </w:rPr>
              <m:t>H</m:t>
            </m:r>
          </m:e>
          <m:sub>
            <m:r>
              <w:rPr>
                <w:rFonts w:ascii="Cambria Math" w:eastAsiaTheme="minorEastAsia" w:hAnsi="Cambria Math" w:cs="Arial"/>
              </w:rPr>
              <m:t>1</m:t>
            </m:r>
          </m:sub>
        </m:sSub>
        <m:r>
          <w:rPr>
            <w:rFonts w:ascii="Cambria Math" w:eastAsiaTheme="minorEastAsia" w:hAnsi="Cambria Math" w:cs="Arial"/>
          </w:rPr>
          <m:t xml:space="preserve">: </m:t>
        </m:r>
        <m:sSub>
          <m:sSubPr>
            <m:ctrlPr>
              <w:rPr>
                <w:rFonts w:ascii="Cambria Math" w:eastAsiaTheme="minorEastAsia" w:hAnsi="Cambria Math" w:cs="Arial"/>
                <w:i/>
              </w:rPr>
            </m:ctrlPr>
          </m:sSubPr>
          <m:e>
            <m:acc>
              <m:accPr>
                <m:ctrlPr>
                  <w:rPr>
                    <w:rFonts w:ascii="Cambria Math" w:eastAsiaTheme="minorEastAsia" w:hAnsi="Cambria Math" w:cs="Arial"/>
                    <w:i/>
                  </w:rPr>
                </m:ctrlPr>
              </m:accPr>
              <m:e>
                <m:r>
                  <w:rPr>
                    <w:rFonts w:ascii="Cambria Math" w:eastAsiaTheme="minorEastAsia" w:hAnsi="Cambria Math" w:cs="Arial"/>
                  </w:rPr>
                  <m:t>μ</m:t>
                </m:r>
              </m:e>
            </m:acc>
          </m:e>
          <m:sub>
            <m:r>
              <w:rPr>
                <w:rFonts w:ascii="Cambria Math" w:eastAsiaTheme="minorEastAsia" w:hAnsi="Cambria Math" w:cs="Arial"/>
              </w:rPr>
              <m:t>3</m:t>
            </m:r>
          </m:sub>
        </m:sSub>
        <m:r>
          <w:rPr>
            <w:rFonts w:ascii="Cambria Math" w:eastAsiaTheme="minorEastAsia" w:hAnsi="Cambria Math" w:cs="Arial"/>
          </w:rPr>
          <m:t xml:space="preserve">≠0 </m:t>
        </m:r>
      </m:oMath>
      <w:r w:rsidR="00034A02" w:rsidRPr="00034A02">
        <w:rPr>
          <w:rFonts w:ascii="Arial" w:eastAsiaTheme="minorEastAsia" w:hAnsi="Arial" w:cs="Arial"/>
        </w:rPr>
        <w:t xml:space="preserve">and </w:t>
      </w:r>
      <m:oMath>
        <m:sSub>
          <m:sSubPr>
            <m:ctrlPr>
              <w:rPr>
                <w:rFonts w:ascii="Cambria Math" w:eastAsiaTheme="minorEastAsia" w:hAnsi="Cambria Math" w:cs="Arial"/>
                <w:i/>
              </w:rPr>
            </m:ctrlPr>
          </m:sSubPr>
          <m:e>
            <m:acc>
              <m:accPr>
                <m:ctrlPr>
                  <w:rPr>
                    <w:rFonts w:ascii="Cambria Math" w:eastAsiaTheme="minorEastAsia" w:hAnsi="Cambria Math" w:cs="Arial"/>
                    <w:i/>
                  </w:rPr>
                </m:ctrlPr>
              </m:accPr>
              <m:e>
                <m:r>
                  <w:rPr>
                    <w:rFonts w:ascii="Cambria Math" w:eastAsiaTheme="minorEastAsia" w:hAnsi="Cambria Math" w:cs="Arial"/>
                  </w:rPr>
                  <m:t>μ</m:t>
                </m:r>
              </m:e>
            </m:acc>
          </m:e>
          <m:sub>
            <m:r>
              <w:rPr>
                <w:rFonts w:ascii="Cambria Math" w:eastAsiaTheme="minorEastAsia" w:hAnsi="Cambria Math" w:cs="Arial"/>
              </w:rPr>
              <m:t>4</m:t>
            </m:r>
          </m:sub>
        </m:sSub>
        <m:r>
          <w:rPr>
            <w:rFonts w:ascii="Cambria Math" w:eastAsiaTheme="minorEastAsia" w:hAnsi="Cambria Math" w:cs="Arial"/>
          </w:rPr>
          <m:t xml:space="preserve">≠0 </m:t>
        </m:r>
      </m:oMath>
      <w:r w:rsidR="00034A02" w:rsidRPr="00034A02">
        <w:rPr>
          <w:rFonts w:ascii="Arial" w:eastAsiaTheme="minorEastAsia" w:hAnsi="Arial" w:cs="Arial"/>
        </w:rPr>
        <w:t xml:space="preserve"> (i.e., </w:t>
      </w:r>
      <m:oMath>
        <m:sSub>
          <m:sSubPr>
            <m:ctrlPr>
              <w:rPr>
                <w:rFonts w:ascii="Cambria Math" w:eastAsiaTheme="minorEastAsia" w:hAnsi="Cambria Math" w:cs="Arial"/>
                <w:i/>
              </w:rPr>
            </m:ctrlPr>
          </m:sSubPr>
          <m:e>
            <m:r>
              <w:rPr>
                <w:rFonts w:ascii="Cambria Math" w:eastAsiaTheme="minorEastAsia" w:hAnsi="Cambria Math" w:cs="Arial"/>
              </w:rPr>
              <m:t>y</m:t>
            </m:r>
          </m:e>
          <m:sub>
            <m:r>
              <w:rPr>
                <w:rFonts w:ascii="Cambria Math" w:eastAsiaTheme="minorEastAsia" w:hAnsi="Cambria Math" w:cs="Arial"/>
              </w:rPr>
              <m:t>i</m:t>
            </m:r>
          </m:sub>
        </m:sSub>
      </m:oMath>
      <w:r>
        <w:rPr>
          <w:rFonts w:ascii="Arial" w:eastAsiaTheme="minorEastAsia" w:hAnsi="Arial" w:cs="Arial"/>
        </w:rPr>
        <w:t xml:space="preserve"> </w:t>
      </w:r>
      <w:r>
        <w:rPr>
          <w:rFonts w:ascii="Arial" w:eastAsiaTheme="minorEastAsia" w:hAnsi="Arial" w:cs="Arial"/>
          <w:highlight w:val="yellow"/>
        </w:rPr>
        <w:t>does not follow</w:t>
      </w:r>
      <w:r>
        <w:rPr>
          <w:rFonts w:ascii="Arial" w:eastAsiaTheme="minorEastAsia" w:hAnsi="Arial" w:cs="Arial"/>
        </w:rPr>
        <w:t xml:space="preserve"> a normal distribution). </w:t>
      </w:r>
    </w:p>
    <w:p w14:paraId="6F63BB88" w14:textId="77777777" w:rsidR="00034A02" w:rsidRPr="00034A02" w:rsidRDefault="00034A02" w:rsidP="00034A02">
      <w:pPr>
        <w:jc w:val="both"/>
        <w:rPr>
          <w:rFonts w:ascii="Arial" w:eastAsiaTheme="minorEastAsia" w:hAnsi="Arial" w:cs="Arial"/>
        </w:rPr>
      </w:pPr>
      <w:r w:rsidRPr="00034A02">
        <w:rPr>
          <w:rFonts w:ascii="Arial" w:eastAsiaTheme="minorEastAsia" w:hAnsi="Arial" w:cs="Arial"/>
        </w:rPr>
        <w:t xml:space="preserve">The test rejects the null hypothesis if the p-value of the JB test statistic is less than </w:t>
      </w:r>
      <m:oMath>
        <m:r>
          <w:rPr>
            <w:rFonts w:ascii="Cambria Math" w:eastAsiaTheme="minorEastAsia" w:hAnsi="Cambria Math" w:cs="Arial"/>
          </w:rPr>
          <m:t>α=0.05</m:t>
        </m:r>
      </m:oMath>
      <w:r>
        <w:rPr>
          <w:rFonts w:ascii="Arial" w:eastAsiaTheme="minorEastAsia" w:hAnsi="Arial" w:cs="Arial"/>
          <w:highlight w:val="yellow"/>
        </w:rPr>
        <w:t xml:space="preserve"> the level of significance.</w:t>
      </w:r>
    </w:p>
    <w:p w14:paraId="601E3D33" w14:textId="77777777" w:rsidR="00034A02" w:rsidRPr="00034A02" w:rsidRDefault="00034A02" w:rsidP="00034A02">
      <w:pPr>
        <w:jc w:val="both"/>
        <w:rPr>
          <w:rFonts w:ascii="Arial" w:hAnsi="Arial" w:cs="Arial"/>
          <w:b/>
        </w:rPr>
      </w:pPr>
      <w:r w:rsidRPr="00034A02">
        <w:rPr>
          <w:rFonts w:ascii="Arial" w:hAnsi="Arial" w:cs="Arial"/>
          <w:b/>
        </w:rPr>
        <w:t>2.2.2 Augmented Dickey-Fuller (ADF) unit root test</w:t>
      </w:r>
    </w:p>
    <w:p w14:paraId="031EC3D8" w14:textId="77777777" w:rsidR="00034A02" w:rsidRPr="00034A02" w:rsidRDefault="00034A02" w:rsidP="00034A02">
      <w:pPr>
        <w:spacing w:before="240"/>
        <w:jc w:val="both"/>
        <w:rPr>
          <w:rFonts w:ascii="Arial" w:hAnsi="Arial" w:cs="Arial"/>
        </w:rPr>
      </w:pPr>
      <w:r>
        <w:rPr>
          <w:rFonts w:ascii="Arial" w:hAnsi="Arial" w:cs="Arial"/>
        </w:rPr>
        <w:t xml:space="preserve">The Augmented Dickey-Fuller (ADF) unit root test </w:t>
      </w:r>
      <w:r>
        <w:rPr>
          <w:rFonts w:ascii="Arial" w:hAnsi="Arial" w:cs="Arial"/>
          <w:highlight w:val="yellow"/>
        </w:rPr>
        <w:t>is used to determine whether a given series contains a unit root or is stationary</w:t>
      </w:r>
      <w:r>
        <w:rPr>
          <w:rFonts w:ascii="Arial" w:hAnsi="Arial" w:cs="Arial"/>
        </w:rPr>
        <w:t xml:space="preserve"> </w:t>
      </w:r>
      <w:r>
        <w:rPr>
          <w:rFonts w:ascii="Arial" w:hAnsi="Arial" w:cs="Arial"/>
          <w:highlight w:val="yellow"/>
        </w:rPr>
        <w:t>(Dickey &amp; Fuller, 1979)</w:t>
      </w:r>
      <w:r>
        <w:rPr>
          <w:rFonts w:ascii="Arial" w:hAnsi="Arial" w:cs="Arial"/>
        </w:rPr>
        <w:t xml:space="preserve">. The Augmented Dickey-Fuller (ADF) test constructs a parametric correction for higher-order correlation by assuming that the series follows an AR( </w:t>
      </w:r>
      <m:oMath>
        <m:r>
          <w:rPr>
            <w:rFonts w:ascii="Cambria Math" w:hAnsi="Cambria Math" w:cs="Arial"/>
          </w:rPr>
          <m:t>p</m:t>
        </m:r>
      </m:oMath>
      <w:r w:rsidRPr="00034A02">
        <w:rPr>
          <w:rFonts w:ascii="Arial" w:hAnsi="Arial" w:cs="Arial"/>
        </w:rPr>
        <w:t>) process and adding lagged difference terms of the dependent variable to the right-hand side of the test regression:</w:t>
      </w:r>
    </w:p>
    <w:p w14:paraId="4E4BE1AD" w14:textId="77777777" w:rsidR="00034A02" w:rsidRPr="00034A02" w:rsidRDefault="00000000" w:rsidP="00034A02">
      <w:pPr>
        <w:jc w:val="both"/>
        <w:rPr>
          <w:rFonts w:ascii="Arial" w:hAnsi="Arial" w:cs="Arial"/>
        </w:rPr>
      </w:pPr>
      <m:oMathPara>
        <m:oMath>
          <m:sSub>
            <m:sSubPr>
              <m:ctrlPr>
                <w:rPr>
                  <w:rFonts w:ascii="Cambria Math" w:hAnsi="Cambria Math" w:cs="Arial"/>
                  <w:i/>
                </w:rPr>
              </m:ctrlPr>
            </m:sSubPr>
            <m:e>
              <m:r>
                <w:rPr>
                  <w:rFonts w:ascii="Cambria Math" w:hAnsi="Cambria Math" w:cs="Arial"/>
                </w:rPr>
                <m:t>∆Y</m:t>
              </m:r>
            </m:e>
            <m:sub>
              <m:r>
                <w:rPr>
                  <w:rFonts w:ascii="Cambria Math" w:hAnsi="Cambria Math" w:cs="Arial"/>
                </w:rPr>
                <m:t>t</m:t>
              </m:r>
            </m:sub>
          </m:sSub>
          <m:r>
            <w:rPr>
              <w:rFonts w:ascii="Cambria Math" w:hAnsi="Cambria Math" w:cs="Arial"/>
            </w:rPr>
            <m:t>=α</m:t>
          </m:r>
          <m:sSub>
            <m:sSubPr>
              <m:ctrlPr>
                <w:rPr>
                  <w:rFonts w:ascii="Cambria Math" w:hAnsi="Cambria Math" w:cs="Arial"/>
                  <w:i/>
                </w:rPr>
              </m:ctrlPr>
            </m:sSubPr>
            <m:e>
              <m:r>
                <w:rPr>
                  <w:rFonts w:ascii="Cambria Math" w:hAnsi="Cambria Math" w:cs="Arial"/>
                </w:rPr>
                <m:t>Y</m:t>
              </m:r>
            </m:e>
            <m:sub>
              <m:r>
                <w:rPr>
                  <w:rFonts w:ascii="Cambria Math" w:hAnsi="Cambria Math" w:cs="Arial"/>
                </w:rPr>
                <m:t>t-1</m:t>
              </m:r>
            </m:sub>
          </m:sSub>
          <m:r>
            <w:rPr>
              <w:rFonts w:ascii="Cambria Math" w:hAnsi="Cambria Math" w:cs="Arial"/>
            </w:rPr>
            <m:t>+</m:t>
          </m:r>
          <m:sSubSup>
            <m:sSubSupPr>
              <m:ctrlPr>
                <w:rPr>
                  <w:rFonts w:ascii="Cambria Math" w:hAnsi="Cambria Math" w:cs="Arial"/>
                  <w:i/>
                </w:rPr>
              </m:ctrlPr>
            </m:sSubSupPr>
            <m:e>
              <m:r>
                <w:rPr>
                  <w:rFonts w:ascii="Cambria Math" w:hAnsi="Cambria Math" w:cs="Arial"/>
                </w:rPr>
                <m:t>X</m:t>
              </m:r>
            </m:e>
            <m:sub>
              <m:r>
                <w:rPr>
                  <w:rFonts w:ascii="Cambria Math" w:hAnsi="Cambria Math" w:cs="Arial"/>
                </w:rPr>
                <m:t>t</m:t>
              </m:r>
            </m:sub>
            <m:sup>
              <m:r>
                <w:rPr>
                  <w:rFonts w:ascii="Cambria Math" w:hAnsi="Cambria Math" w:cs="Arial"/>
                </w:rPr>
                <m:t>'</m:t>
              </m:r>
            </m:sup>
          </m:sSubSup>
          <m:r>
            <w:rPr>
              <w:rFonts w:ascii="Cambria Math" w:hAnsi="Cambria Math" w:cs="Arial"/>
            </w:rPr>
            <m:t>δ+</m:t>
          </m:r>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r>
            <w:rPr>
              <w:rFonts w:ascii="Cambria Math" w:hAnsi="Cambria Math" w:cs="Arial"/>
            </w:rPr>
            <m:t>∆</m:t>
          </m:r>
          <m:sSub>
            <m:sSubPr>
              <m:ctrlPr>
                <w:rPr>
                  <w:rFonts w:ascii="Cambria Math" w:hAnsi="Cambria Math" w:cs="Arial"/>
                  <w:i/>
                </w:rPr>
              </m:ctrlPr>
            </m:sSubPr>
            <m:e>
              <m:r>
                <w:rPr>
                  <w:rFonts w:ascii="Cambria Math" w:hAnsi="Cambria Math" w:cs="Arial"/>
                </w:rPr>
                <m:t>Y</m:t>
              </m:r>
            </m:e>
            <m:sub>
              <m:r>
                <w:rPr>
                  <w:rFonts w:ascii="Cambria Math" w:hAnsi="Cambria Math" w:cs="Arial"/>
                </w:rPr>
                <m:t>t-1</m:t>
              </m:r>
            </m:sub>
          </m:sSub>
          <m:r>
            <w:rPr>
              <w:rFonts w:ascii="Cambria Math" w:hAnsi="Cambria Math" w:cs="Arial"/>
            </w:rPr>
            <m:t>+</m:t>
          </m:r>
          <m:sSub>
            <m:sSubPr>
              <m:ctrlPr>
                <w:rPr>
                  <w:rFonts w:ascii="Cambria Math" w:hAnsi="Cambria Math" w:cs="Arial"/>
                  <w:i/>
                </w:rPr>
              </m:ctrlPr>
            </m:sSubPr>
            <m:e>
              <m:r>
                <w:rPr>
                  <w:rFonts w:ascii="Cambria Math" w:hAnsi="Cambria Math" w:cs="Arial"/>
                </w:rPr>
                <m:t>β</m:t>
              </m:r>
            </m:e>
            <m:sub>
              <m:r>
                <w:rPr>
                  <w:rFonts w:ascii="Cambria Math" w:hAnsi="Cambria Math" w:cs="Arial"/>
                </w:rPr>
                <m:t>2</m:t>
              </m:r>
            </m:sub>
          </m:sSub>
          <m:r>
            <w:rPr>
              <w:rFonts w:ascii="Cambria Math" w:hAnsi="Cambria Math" w:cs="Arial"/>
            </w:rPr>
            <m:t>∆</m:t>
          </m:r>
          <m:sSub>
            <m:sSubPr>
              <m:ctrlPr>
                <w:rPr>
                  <w:rFonts w:ascii="Cambria Math" w:hAnsi="Cambria Math" w:cs="Arial"/>
                  <w:i/>
                </w:rPr>
              </m:ctrlPr>
            </m:sSubPr>
            <m:e>
              <m:r>
                <w:rPr>
                  <w:rFonts w:ascii="Cambria Math" w:hAnsi="Cambria Math" w:cs="Arial"/>
                </w:rPr>
                <m:t>Y</m:t>
              </m:r>
            </m:e>
            <m:sub>
              <m:r>
                <w:rPr>
                  <w:rFonts w:ascii="Cambria Math" w:hAnsi="Cambria Math" w:cs="Arial"/>
                </w:rPr>
                <m:t>t-2</m:t>
              </m:r>
            </m:sub>
          </m:sSub>
          <m:r>
            <w:rPr>
              <w:rFonts w:ascii="Cambria Math" w:hAnsi="Cambria Math" w:cs="Arial"/>
            </w:rPr>
            <m:t>+…+</m:t>
          </m:r>
          <m:sSub>
            <m:sSubPr>
              <m:ctrlPr>
                <w:rPr>
                  <w:rFonts w:ascii="Cambria Math" w:hAnsi="Cambria Math" w:cs="Arial"/>
                  <w:i/>
                </w:rPr>
              </m:ctrlPr>
            </m:sSubPr>
            <m:e>
              <m:r>
                <w:rPr>
                  <w:rFonts w:ascii="Cambria Math" w:hAnsi="Cambria Math" w:cs="Arial"/>
                </w:rPr>
                <m:t>β</m:t>
              </m:r>
            </m:e>
            <m:sub>
              <m:r>
                <w:rPr>
                  <w:rFonts w:ascii="Cambria Math" w:hAnsi="Cambria Math" w:cs="Arial"/>
                </w:rPr>
                <m:t>p</m:t>
              </m:r>
            </m:sub>
          </m:sSub>
          <m:r>
            <w:rPr>
              <w:rFonts w:ascii="Cambria Math" w:hAnsi="Cambria Math" w:cs="Arial"/>
            </w:rPr>
            <m:t>∆</m:t>
          </m:r>
          <m:sSub>
            <m:sSubPr>
              <m:ctrlPr>
                <w:rPr>
                  <w:rFonts w:ascii="Cambria Math" w:hAnsi="Cambria Math" w:cs="Arial"/>
                  <w:i/>
                </w:rPr>
              </m:ctrlPr>
            </m:sSubPr>
            <m:e>
              <m:r>
                <w:rPr>
                  <w:rFonts w:ascii="Cambria Math" w:hAnsi="Cambria Math" w:cs="Arial"/>
                </w:rPr>
                <m:t>Y</m:t>
              </m:r>
            </m:e>
            <m:sub>
              <m:r>
                <w:rPr>
                  <w:rFonts w:ascii="Cambria Math" w:hAnsi="Cambria Math" w:cs="Arial"/>
                </w:rPr>
                <m:t>t-p</m:t>
              </m:r>
            </m:sub>
          </m:sSub>
          <m:r>
            <w:rPr>
              <w:rFonts w:ascii="Cambria Math" w:hAnsi="Cambria Math" w:cs="Arial"/>
            </w:rPr>
            <m:t>+</m:t>
          </m:r>
          <m:sSub>
            <m:sSubPr>
              <m:ctrlPr>
                <w:rPr>
                  <w:rFonts w:ascii="Cambria Math" w:hAnsi="Cambria Math" w:cs="Arial"/>
                  <w:i/>
                </w:rPr>
              </m:ctrlPr>
            </m:sSubPr>
            <m:e>
              <m:r>
                <w:rPr>
                  <w:rFonts w:ascii="Cambria Math" w:hAnsi="Cambria Math" w:cs="Arial"/>
                </w:rPr>
                <m:t>ε</m:t>
              </m:r>
            </m:e>
            <m:sub>
              <m:r>
                <w:rPr>
                  <w:rFonts w:ascii="Cambria Math" w:hAnsi="Cambria Math" w:cs="Arial"/>
                </w:rPr>
                <m:t>t</m:t>
              </m:r>
            </m:sub>
          </m:sSub>
          <m:r>
            <w:rPr>
              <w:rFonts w:ascii="Cambria Math" w:hAnsi="Cambria Math" w:cs="Arial"/>
            </w:rPr>
            <m:t xml:space="preserve">                                    (8)</m:t>
          </m:r>
        </m:oMath>
      </m:oMathPara>
    </w:p>
    <w:p w14:paraId="501D8A22" w14:textId="77777777" w:rsidR="00034A02" w:rsidRPr="00034A02" w:rsidRDefault="00034A02" w:rsidP="00034A02">
      <w:pPr>
        <w:jc w:val="both"/>
        <w:rPr>
          <w:rFonts w:ascii="Arial" w:eastAsiaTheme="minorEastAsia" w:hAnsi="Arial" w:cs="Arial"/>
        </w:rPr>
      </w:pPr>
      <w:r w:rsidRPr="00034A02">
        <w:rPr>
          <w:rFonts w:ascii="Arial" w:hAnsi="Arial" w:cs="Arial"/>
        </w:rPr>
        <w:t xml:space="preserve">where </w:t>
      </w:r>
      <m:oMath>
        <m:sSub>
          <m:sSubPr>
            <m:ctrlPr>
              <w:rPr>
                <w:rFonts w:ascii="Cambria Math" w:hAnsi="Cambria Math" w:cs="Arial"/>
                <w:i/>
              </w:rPr>
            </m:ctrlPr>
          </m:sSubPr>
          <m:e>
            <m:r>
              <w:rPr>
                <w:rFonts w:ascii="Cambria Math" w:hAnsi="Cambria Math" w:cs="Arial"/>
              </w:rPr>
              <m:t>X</m:t>
            </m:r>
          </m:e>
          <m:sub>
            <m:r>
              <w:rPr>
                <w:rFonts w:ascii="Cambria Math" w:hAnsi="Cambria Math" w:cs="Arial"/>
              </w:rPr>
              <m:t>t</m:t>
            </m:r>
          </m:sub>
        </m:sSub>
      </m:oMath>
      <w:r w:rsidRPr="00034A02">
        <w:rPr>
          <w:rFonts w:ascii="Arial" w:eastAsiaTheme="minorEastAsia" w:hAnsi="Arial" w:cs="Arial"/>
        </w:rPr>
        <w:t xml:space="preserve"> </w:t>
      </w:r>
      <w:r>
        <w:rPr>
          <w:rFonts w:ascii="Arial" w:hAnsi="Arial" w:cs="Arial"/>
        </w:rPr>
        <w:t xml:space="preserve">are optional exogenous regressors </w:t>
      </w:r>
      <w:r>
        <w:rPr>
          <w:rFonts w:ascii="Arial" w:hAnsi="Arial" w:cs="Arial"/>
          <w:highlight w:val="yellow"/>
        </w:rPr>
        <w:t>which may consist of a constant, or a constant and a trend,</w:t>
      </w:r>
      <m:oMath>
        <m:r>
          <w:rPr>
            <w:rFonts w:ascii="Cambria Math" w:hAnsi="Cambria Math" w:cs="Arial"/>
          </w:rPr>
          <m:t xml:space="preserve"> α</m:t>
        </m:r>
      </m:oMath>
      <w:r w:rsidRPr="00034A02">
        <w:rPr>
          <w:rFonts w:ascii="Arial" w:hAnsi="Arial" w:cs="Arial"/>
        </w:rPr>
        <w:t xml:space="preserve"> and</w:t>
      </w:r>
      <m:oMath>
        <m:r>
          <w:rPr>
            <w:rFonts w:ascii="Cambria Math" w:hAnsi="Cambria Math" w:cs="Arial"/>
          </w:rPr>
          <m:t xml:space="preserve"> δ</m:t>
        </m:r>
      </m:oMath>
      <w:r w:rsidRPr="00034A02">
        <w:rPr>
          <w:rFonts w:ascii="Arial" w:hAnsi="Arial" w:cs="Arial"/>
        </w:rPr>
        <w:t xml:space="preserve"> are parameters to be estimated, and the </w:t>
      </w:r>
      <m:oMath>
        <m:sSub>
          <m:sSubPr>
            <m:ctrlPr>
              <w:rPr>
                <w:rFonts w:ascii="Cambria Math" w:hAnsi="Cambria Math" w:cs="Arial"/>
                <w:i/>
              </w:rPr>
            </m:ctrlPr>
          </m:sSubPr>
          <m:e>
            <m:r>
              <w:rPr>
                <w:rFonts w:ascii="Cambria Math" w:hAnsi="Cambria Math" w:cs="Arial"/>
              </w:rPr>
              <m:t>ε</m:t>
            </m:r>
          </m:e>
          <m:sub>
            <m:r>
              <w:rPr>
                <w:rFonts w:ascii="Cambria Math" w:hAnsi="Cambria Math" w:cs="Arial"/>
              </w:rPr>
              <m:t>t</m:t>
            </m:r>
          </m:sub>
        </m:sSub>
      </m:oMath>
      <w:r w:rsidRPr="00034A02">
        <w:rPr>
          <w:rFonts w:ascii="Arial" w:eastAsiaTheme="minorEastAsia" w:hAnsi="Arial" w:cs="Arial"/>
        </w:rPr>
        <w:t xml:space="preserve"> </w:t>
      </w:r>
      <w:r w:rsidRPr="00034A02">
        <w:rPr>
          <w:rFonts w:ascii="Arial" w:hAnsi="Arial" w:cs="Arial"/>
        </w:rPr>
        <w:t xml:space="preserve">are assumed to be white noise. </w:t>
      </w:r>
      <w:r w:rsidRPr="00034A02">
        <w:rPr>
          <w:rFonts w:ascii="Arial" w:eastAsiaTheme="minorEastAsia" w:hAnsi="Arial" w:cs="Arial"/>
        </w:rPr>
        <w:t>The null and alternative hypotheses are written as:</w:t>
      </w:r>
    </w:p>
    <w:p w14:paraId="1849147E" w14:textId="77777777" w:rsidR="00034A02" w:rsidRPr="00034A02" w:rsidRDefault="00000000" w:rsidP="00034A02">
      <w:pPr>
        <w:jc w:val="both"/>
        <w:rPr>
          <w:rFonts w:ascii="Arial" w:eastAsiaTheme="minorEastAsia" w:hAnsi="Arial" w:cs="Arial"/>
        </w:rPr>
      </w:pPr>
      <m:oMath>
        <m:sSub>
          <m:sSubPr>
            <m:ctrlPr>
              <w:rPr>
                <w:rFonts w:ascii="Cambria Math" w:eastAsiaTheme="minorEastAsia" w:hAnsi="Cambria Math" w:cs="Arial"/>
                <w:i/>
              </w:rPr>
            </m:ctrlPr>
          </m:sSubPr>
          <m:e>
            <m:r>
              <w:rPr>
                <w:rFonts w:ascii="Cambria Math" w:eastAsiaTheme="minorEastAsia" w:hAnsi="Cambria Math" w:cs="Arial"/>
              </w:rPr>
              <m:t>H</m:t>
            </m:r>
          </m:e>
          <m:sub>
            <m:r>
              <w:rPr>
                <w:rFonts w:ascii="Cambria Math" w:eastAsiaTheme="minorEastAsia" w:hAnsi="Cambria Math" w:cs="Arial"/>
              </w:rPr>
              <m:t>0</m:t>
            </m:r>
          </m:sub>
        </m:sSub>
        <m:r>
          <w:rPr>
            <w:rFonts w:ascii="Cambria Math" w:eastAsiaTheme="minorEastAsia" w:hAnsi="Cambria Math" w:cs="Arial"/>
          </w:rPr>
          <m:t xml:space="preserve">: α=0 </m:t>
        </m:r>
        <m:r>
          <m:rPr>
            <m:sty m:val="p"/>
          </m:rPr>
          <w:rPr>
            <w:rFonts w:ascii="Cambria Math" w:eastAsiaTheme="minorEastAsia" w:hAnsi="Cambria Math" w:cs="Arial"/>
          </w:rPr>
          <m:t xml:space="preserve">versus </m:t>
        </m:r>
        <m:sSub>
          <m:sSubPr>
            <m:ctrlPr>
              <w:rPr>
                <w:rFonts w:ascii="Cambria Math" w:eastAsiaTheme="minorEastAsia" w:hAnsi="Cambria Math" w:cs="Arial"/>
                <w:i/>
              </w:rPr>
            </m:ctrlPr>
          </m:sSubPr>
          <m:e>
            <m:r>
              <w:rPr>
                <w:rFonts w:ascii="Cambria Math" w:eastAsiaTheme="minorEastAsia" w:hAnsi="Cambria Math" w:cs="Arial"/>
              </w:rPr>
              <m:t>H</m:t>
            </m:r>
          </m:e>
          <m:sub>
            <m:r>
              <w:rPr>
                <w:rFonts w:ascii="Cambria Math" w:eastAsiaTheme="minorEastAsia" w:hAnsi="Cambria Math" w:cs="Arial"/>
              </w:rPr>
              <m:t>1</m:t>
            </m:r>
          </m:sub>
        </m:sSub>
        <m:r>
          <w:rPr>
            <w:rFonts w:ascii="Cambria Math" w:eastAsiaTheme="minorEastAsia" w:hAnsi="Cambria Math" w:cs="Arial"/>
          </w:rPr>
          <m:t>:  α&lt;0</m:t>
        </m:r>
      </m:oMath>
      <w:r w:rsidR="00034A02" w:rsidRPr="00034A02">
        <w:rPr>
          <w:rFonts w:ascii="Arial" w:eastAsiaTheme="minorEastAsia" w:hAnsi="Arial" w:cs="Arial"/>
        </w:rPr>
        <w:t xml:space="preserve">                                                                                           </w:t>
      </w:r>
      <w:r w:rsidR="00034A02">
        <w:rPr>
          <w:rFonts w:ascii="Arial" w:eastAsiaTheme="minorEastAsia" w:hAnsi="Arial" w:cs="Arial"/>
        </w:rPr>
        <w:t xml:space="preserve">                 </w:t>
      </w:r>
      <w:r w:rsidR="00034A02" w:rsidRPr="00034A02">
        <w:rPr>
          <w:rFonts w:ascii="Arial" w:eastAsiaTheme="minorEastAsia" w:hAnsi="Arial" w:cs="Arial"/>
        </w:rPr>
        <w:t xml:space="preserve"> (9)</w:t>
      </w:r>
    </w:p>
    <w:p w14:paraId="46A3ECF5" w14:textId="77777777" w:rsidR="00034A02" w:rsidRPr="00034A02" w:rsidRDefault="00034A02" w:rsidP="00034A02">
      <w:pPr>
        <w:jc w:val="both"/>
        <w:rPr>
          <w:rFonts w:ascii="Arial" w:eastAsiaTheme="minorEastAsia" w:hAnsi="Arial" w:cs="Arial"/>
        </w:rPr>
      </w:pPr>
      <w:r w:rsidRPr="00034A02">
        <w:rPr>
          <w:rFonts w:ascii="Arial" w:eastAsiaTheme="minorEastAsia" w:hAnsi="Arial" w:cs="Arial"/>
        </w:rPr>
        <w:t xml:space="preserve">and evaluated using the conventional </w:t>
      </w:r>
      <m:oMath>
        <m:r>
          <w:rPr>
            <w:rFonts w:ascii="Cambria Math" w:eastAsiaTheme="minorEastAsia" w:hAnsi="Cambria Math" w:cs="Arial"/>
          </w:rPr>
          <m:t>t-</m:t>
        </m:r>
      </m:oMath>
      <w:r w:rsidRPr="00034A02">
        <w:rPr>
          <w:rFonts w:ascii="Arial" w:eastAsiaTheme="minorEastAsia" w:hAnsi="Arial" w:cs="Arial"/>
        </w:rPr>
        <w:t xml:space="preserve">ratio for </w:t>
      </w:r>
      <m:oMath>
        <m:r>
          <w:rPr>
            <w:rFonts w:ascii="Cambria Math" w:eastAsiaTheme="minorEastAsia" w:hAnsi="Cambria Math" w:cs="Arial"/>
          </w:rPr>
          <m:t>α:</m:t>
        </m:r>
      </m:oMath>
    </w:p>
    <w:p w14:paraId="19C63BE9" w14:textId="77777777" w:rsidR="00034A02" w:rsidRPr="00034A02" w:rsidRDefault="00000000" w:rsidP="00034A02">
      <w:pPr>
        <w:jc w:val="both"/>
        <w:rPr>
          <w:rFonts w:ascii="Arial" w:eastAsiaTheme="minorEastAsia" w:hAnsi="Arial" w:cs="Arial"/>
        </w:rPr>
      </w:pPr>
      <m:oMathPara>
        <m:oMath>
          <m:sSub>
            <m:sSubPr>
              <m:ctrlPr>
                <w:rPr>
                  <w:rFonts w:ascii="Cambria Math" w:hAnsi="Cambria Math" w:cs="Arial"/>
                  <w:i/>
                </w:rPr>
              </m:ctrlPr>
            </m:sSubPr>
            <m:e>
              <m:r>
                <w:rPr>
                  <w:rFonts w:ascii="Cambria Math" w:hAnsi="Cambria Math" w:cs="Arial"/>
                </w:rPr>
                <m:t>t</m:t>
              </m:r>
            </m:e>
            <m:sub>
              <m:r>
                <w:rPr>
                  <w:rFonts w:ascii="Cambria Math" w:hAnsi="Cambria Math" w:cs="Arial"/>
                </w:rPr>
                <m:t>α</m:t>
              </m:r>
            </m:sub>
          </m:sSub>
          <m:r>
            <w:rPr>
              <w:rFonts w:ascii="Cambria Math" w:hAnsi="Cambria Math" w:cs="Arial"/>
            </w:rPr>
            <m:t>=</m:t>
          </m:r>
          <m:f>
            <m:fPr>
              <m:type m:val="lin"/>
              <m:ctrlPr>
                <w:rPr>
                  <w:rFonts w:ascii="Cambria Math" w:hAnsi="Cambria Math" w:cs="Arial"/>
                  <w:i/>
                </w:rPr>
              </m:ctrlPr>
            </m:fPr>
            <m:num>
              <m:acc>
                <m:accPr>
                  <m:ctrlPr>
                    <w:rPr>
                      <w:rFonts w:ascii="Cambria Math" w:hAnsi="Cambria Math" w:cs="Arial"/>
                      <w:i/>
                    </w:rPr>
                  </m:ctrlPr>
                </m:accPr>
                <m:e>
                  <m:r>
                    <w:rPr>
                      <w:rFonts w:ascii="Cambria Math" w:hAnsi="Cambria Math" w:cs="Arial"/>
                    </w:rPr>
                    <m:t>α</m:t>
                  </m:r>
                </m:e>
              </m:acc>
            </m:num>
            <m:den>
              <m:r>
                <w:rPr>
                  <w:rFonts w:ascii="Cambria Math" w:hAnsi="Cambria Math" w:cs="Arial"/>
                </w:rPr>
                <m:t>{</m:t>
              </m:r>
              <m:r>
                <m:rPr>
                  <m:sty m:val="p"/>
                </m:rPr>
                <w:rPr>
                  <w:rFonts w:ascii="Cambria Math" w:hAnsi="Cambria Math" w:cs="Arial"/>
                </w:rPr>
                <m:t>se</m:t>
              </m:r>
              <m:d>
                <m:dPr>
                  <m:ctrlPr>
                    <w:rPr>
                      <w:rFonts w:ascii="Cambria Math" w:hAnsi="Cambria Math" w:cs="Arial"/>
                      <w:i/>
                    </w:rPr>
                  </m:ctrlPr>
                </m:dPr>
                <m:e>
                  <m:acc>
                    <m:accPr>
                      <m:ctrlPr>
                        <w:rPr>
                          <w:rFonts w:ascii="Cambria Math" w:hAnsi="Cambria Math" w:cs="Arial"/>
                          <w:i/>
                        </w:rPr>
                      </m:ctrlPr>
                    </m:accPr>
                    <m:e>
                      <m:r>
                        <w:rPr>
                          <w:rFonts w:ascii="Cambria Math" w:hAnsi="Cambria Math" w:cs="Arial"/>
                        </w:rPr>
                        <m:t>α</m:t>
                      </m:r>
                    </m:e>
                  </m:acc>
                </m:e>
              </m:d>
              <m:r>
                <w:rPr>
                  <w:rFonts w:ascii="Cambria Math" w:hAnsi="Cambria Math" w:cs="Arial"/>
                </w:rPr>
                <m:t>}</m:t>
              </m:r>
            </m:den>
          </m:f>
          <m:r>
            <w:rPr>
              <w:rFonts w:ascii="Cambria Math" w:hAnsi="Cambria Math" w:cs="Arial"/>
            </w:rPr>
            <m:t xml:space="preserve">                                                                                                                                   (10)</m:t>
          </m:r>
        </m:oMath>
      </m:oMathPara>
    </w:p>
    <w:p w14:paraId="64F5295E" w14:textId="77777777" w:rsidR="00034A02" w:rsidRPr="00034A02" w:rsidRDefault="00034A02" w:rsidP="00034A02">
      <w:pPr>
        <w:jc w:val="both"/>
        <w:rPr>
          <w:rFonts w:ascii="Arial" w:eastAsiaTheme="minorEastAsia" w:hAnsi="Arial" w:cs="Arial"/>
        </w:rPr>
      </w:pPr>
      <w:r w:rsidRPr="00034A02">
        <w:rPr>
          <w:rFonts w:ascii="Arial" w:eastAsiaTheme="minorEastAsia" w:hAnsi="Arial" w:cs="Arial"/>
        </w:rPr>
        <w:t xml:space="preserve">where </w:t>
      </w:r>
      <m:oMath>
        <m:acc>
          <m:accPr>
            <m:ctrlPr>
              <w:rPr>
                <w:rFonts w:ascii="Cambria Math" w:eastAsiaTheme="minorEastAsia" w:hAnsi="Cambria Math" w:cs="Arial"/>
                <w:i/>
              </w:rPr>
            </m:ctrlPr>
          </m:accPr>
          <m:e>
            <m:r>
              <w:rPr>
                <w:rFonts w:ascii="Cambria Math" w:eastAsiaTheme="minorEastAsia" w:hAnsi="Cambria Math" w:cs="Arial"/>
              </w:rPr>
              <m:t>α</m:t>
            </m:r>
          </m:e>
        </m:acc>
      </m:oMath>
      <w:r w:rsidRPr="00034A02">
        <w:rPr>
          <w:rFonts w:ascii="Arial" w:eastAsiaTheme="minorEastAsia" w:hAnsi="Arial" w:cs="Arial"/>
        </w:rPr>
        <w:t xml:space="preserve"> is the estimate of </w:t>
      </w:r>
      <m:oMath>
        <m:r>
          <w:rPr>
            <w:rFonts w:ascii="Cambria Math" w:eastAsiaTheme="minorEastAsia" w:hAnsi="Cambria Math" w:cs="Arial"/>
          </w:rPr>
          <m:t>α,</m:t>
        </m:r>
      </m:oMath>
      <w:r w:rsidRPr="00034A02">
        <w:rPr>
          <w:rFonts w:ascii="Arial" w:eastAsiaTheme="minorEastAsia" w:hAnsi="Arial" w:cs="Arial"/>
        </w:rPr>
        <w:t xml:space="preserve"> and </w:t>
      </w:r>
      <m:oMath>
        <m:r>
          <m:rPr>
            <m:sty m:val="p"/>
          </m:rPr>
          <w:rPr>
            <w:rFonts w:ascii="Cambria Math" w:eastAsiaTheme="minorEastAsia" w:hAnsi="Cambria Math" w:cs="Arial"/>
          </w:rPr>
          <m:t>se</m:t>
        </m:r>
        <m:r>
          <w:rPr>
            <w:rFonts w:ascii="Cambria Math" w:eastAsiaTheme="minorEastAsia" w:hAnsi="Cambria Math" w:cs="Arial"/>
          </w:rPr>
          <m:t>(</m:t>
        </m:r>
        <m:acc>
          <m:accPr>
            <m:ctrlPr>
              <w:rPr>
                <w:rFonts w:ascii="Cambria Math" w:eastAsiaTheme="minorEastAsia" w:hAnsi="Cambria Math" w:cs="Arial"/>
                <w:i/>
              </w:rPr>
            </m:ctrlPr>
          </m:accPr>
          <m:e>
            <m:r>
              <w:rPr>
                <w:rFonts w:ascii="Cambria Math" w:eastAsiaTheme="minorEastAsia" w:hAnsi="Cambria Math" w:cs="Arial"/>
              </w:rPr>
              <m:t>α</m:t>
            </m:r>
          </m:e>
        </m:acc>
        <m:r>
          <w:rPr>
            <w:rFonts w:ascii="Cambria Math" w:eastAsiaTheme="minorEastAsia" w:hAnsi="Cambria Math" w:cs="Arial"/>
          </w:rPr>
          <m:t>)</m:t>
        </m:r>
      </m:oMath>
      <w:r w:rsidRPr="00034A02">
        <w:rPr>
          <w:rFonts w:ascii="Arial" w:eastAsiaTheme="minorEastAsia" w:hAnsi="Arial" w:cs="Arial"/>
        </w:rPr>
        <w:t xml:space="preserve"> is the coefficient standard error. </w:t>
      </w:r>
    </w:p>
    <w:p w14:paraId="2C40DF2E" w14:textId="77777777" w:rsidR="00034A02" w:rsidRPr="00034A02" w:rsidRDefault="00034A02" w:rsidP="00034A02">
      <w:pPr>
        <w:jc w:val="both"/>
        <w:rPr>
          <w:rFonts w:ascii="Arial" w:hAnsi="Arial" w:cs="Arial"/>
        </w:rPr>
      </w:pPr>
      <w:r w:rsidRPr="00034A02">
        <w:rPr>
          <w:rFonts w:ascii="Arial" w:hAnsi="Arial" w:cs="Arial"/>
          <w:b/>
        </w:rPr>
        <w:t>2.2.3 Johansen co-integration test</w:t>
      </w:r>
    </w:p>
    <w:p w14:paraId="4FBEADFE" w14:textId="77777777" w:rsidR="00034A02" w:rsidRPr="00034A02" w:rsidRDefault="00034A02" w:rsidP="00034A02">
      <w:pPr>
        <w:jc w:val="both"/>
        <w:rPr>
          <w:rFonts w:ascii="Arial" w:hAnsi="Arial" w:cs="Arial"/>
        </w:rPr>
      </w:pPr>
      <w:r>
        <w:rPr>
          <w:rFonts w:ascii="Arial" w:hAnsi="Arial" w:cs="Arial"/>
        </w:rPr>
        <w:t xml:space="preserve">Two or more non-stationary series, I(1), are said to be cointegrated if their linear combination gives a stationary series, I(0). Johansen (1991, 1995) developed a </w:t>
      </w:r>
      <w:r>
        <w:rPr>
          <w:rFonts w:ascii="Arial" w:hAnsi="Arial" w:cs="Arial"/>
          <w:highlight w:val="yellow"/>
        </w:rPr>
        <w:t>methodology for testing cointegration</w:t>
      </w:r>
      <w:r>
        <w:rPr>
          <w:rFonts w:ascii="Arial" w:hAnsi="Arial" w:cs="Arial"/>
        </w:rPr>
        <w:t xml:space="preserve"> as follows:</w:t>
      </w:r>
    </w:p>
    <w:p w14:paraId="6125D1A6" w14:textId="77777777" w:rsidR="00034A02" w:rsidRPr="00034A02" w:rsidRDefault="00034A02" w:rsidP="00034A02">
      <w:pPr>
        <w:autoSpaceDE w:val="0"/>
        <w:autoSpaceDN w:val="0"/>
        <w:adjustRightInd w:val="0"/>
        <w:jc w:val="both"/>
        <w:rPr>
          <w:rFonts w:ascii="Arial" w:eastAsiaTheme="minorEastAsia" w:hAnsi="Arial" w:cs="Arial"/>
        </w:rPr>
      </w:pPr>
      <w:r w:rsidRPr="00034A02">
        <w:rPr>
          <w:rFonts w:ascii="Arial" w:hAnsi="Arial" w:cs="Arial"/>
        </w:rPr>
        <w:t xml:space="preserve">Let </w:t>
      </w:r>
      <m:oMath>
        <m:sSub>
          <m:sSubPr>
            <m:ctrlPr>
              <w:rPr>
                <w:rFonts w:ascii="Cambria Math" w:hAnsi="Cambria Math" w:cs="Arial"/>
                <w:b/>
                <w:i/>
              </w:rPr>
            </m:ctrlPr>
          </m:sSubPr>
          <m:e>
            <m:r>
              <m:rPr>
                <m:sty m:val="bi"/>
              </m:rPr>
              <w:rPr>
                <w:rFonts w:ascii="Cambria Math" w:hAnsi="Cambria Math" w:cs="Arial"/>
              </w:rPr>
              <m:t>Y</m:t>
            </m:r>
          </m:e>
          <m:sub>
            <m:r>
              <m:rPr>
                <m:sty m:val="bi"/>
              </m:rPr>
              <w:rPr>
                <w:rFonts w:ascii="Cambria Math" w:hAnsi="Cambria Math" w:cs="Arial"/>
              </w:rPr>
              <m:t>t</m:t>
            </m:r>
          </m:sub>
        </m:sSub>
        <m:r>
          <w:rPr>
            <w:rFonts w:ascii="Cambria Math" w:hAnsi="Cambria Math" w:cs="Arial"/>
          </w:rPr>
          <m:t>=(</m:t>
        </m:r>
        <m:sSub>
          <m:sSubPr>
            <m:ctrlPr>
              <w:rPr>
                <w:rFonts w:ascii="Cambria Math" w:hAnsi="Cambria Math" w:cs="Arial"/>
                <w:i/>
              </w:rPr>
            </m:ctrlPr>
          </m:sSubPr>
          <m:e>
            <m:r>
              <w:rPr>
                <w:rFonts w:ascii="Cambria Math" w:hAnsi="Cambria Math" w:cs="Arial"/>
              </w:rPr>
              <m:t>y</m:t>
            </m:r>
          </m:e>
          <m:sub>
            <m:r>
              <w:rPr>
                <w:rFonts w:ascii="Cambria Math" w:hAnsi="Cambria Math" w:cs="Arial"/>
              </w:rPr>
              <m:t>1t</m:t>
            </m:r>
          </m:sub>
        </m:sSub>
        <m:r>
          <w:rPr>
            <w:rFonts w:ascii="Cambria Math" w:hAnsi="Cambria Math" w:cs="Arial"/>
          </w:rPr>
          <m:t xml:space="preserve">, </m:t>
        </m:r>
        <m:sSub>
          <m:sSubPr>
            <m:ctrlPr>
              <w:rPr>
                <w:rFonts w:ascii="Cambria Math" w:hAnsi="Cambria Math" w:cs="Arial"/>
                <w:i/>
              </w:rPr>
            </m:ctrlPr>
          </m:sSubPr>
          <m:e>
            <m:r>
              <w:rPr>
                <w:rFonts w:ascii="Cambria Math" w:hAnsi="Cambria Math" w:cs="Arial"/>
              </w:rPr>
              <m:t>y</m:t>
            </m:r>
          </m:e>
          <m:sub>
            <m:r>
              <w:rPr>
                <w:rFonts w:ascii="Cambria Math" w:hAnsi="Cambria Math" w:cs="Arial"/>
              </w:rPr>
              <m:t>2t</m:t>
            </m:r>
          </m:sub>
        </m:sSub>
        <m:r>
          <w:rPr>
            <w:rFonts w:ascii="Cambria Math" w:hAnsi="Cambria Math" w:cs="Arial"/>
          </w:rPr>
          <m:t xml:space="preserve">, …, </m:t>
        </m:r>
        <m:sSub>
          <m:sSubPr>
            <m:ctrlPr>
              <w:rPr>
                <w:rFonts w:ascii="Cambria Math" w:hAnsi="Cambria Math" w:cs="Arial"/>
                <w:i/>
              </w:rPr>
            </m:ctrlPr>
          </m:sSubPr>
          <m:e>
            <m:r>
              <w:rPr>
                <w:rFonts w:ascii="Cambria Math" w:hAnsi="Cambria Math" w:cs="Arial"/>
              </w:rPr>
              <m:t>y</m:t>
            </m:r>
          </m:e>
          <m:sub>
            <m:r>
              <w:rPr>
                <w:rFonts w:ascii="Cambria Math" w:hAnsi="Cambria Math" w:cs="Arial"/>
              </w:rPr>
              <m:t>nt</m:t>
            </m:r>
          </m:sub>
        </m:sSub>
        <m:sSup>
          <m:sSupPr>
            <m:ctrlPr>
              <w:rPr>
                <w:rFonts w:ascii="Cambria Math" w:hAnsi="Cambria Math" w:cs="Arial"/>
                <w:i/>
              </w:rPr>
            </m:ctrlPr>
          </m:sSupPr>
          <m:e>
            <m:r>
              <w:rPr>
                <w:rFonts w:ascii="Cambria Math" w:hAnsi="Cambria Math" w:cs="Arial"/>
              </w:rPr>
              <m:t>)</m:t>
            </m:r>
          </m:e>
          <m:sup>
            <m:r>
              <w:rPr>
                <w:rFonts w:ascii="Cambria Math" w:hAnsi="Cambria Math" w:cs="Arial"/>
              </w:rPr>
              <m:t>'</m:t>
            </m:r>
          </m:sup>
        </m:sSup>
      </m:oMath>
      <w:r w:rsidRPr="00034A02">
        <w:rPr>
          <w:rFonts w:ascii="Arial" w:eastAsiaTheme="minorEastAsia" w:hAnsi="Arial" w:cs="Arial"/>
        </w:rPr>
        <w:t xml:space="preserve"> denote an (</w:t>
      </w:r>
      <m:oMath>
        <m:r>
          <w:rPr>
            <w:rFonts w:ascii="Cambria Math" w:eastAsiaTheme="minorEastAsia" w:hAnsi="Cambria Math" w:cs="Arial"/>
          </w:rPr>
          <m:t>n×1</m:t>
        </m:r>
      </m:oMath>
      <w:r w:rsidRPr="00034A02">
        <w:rPr>
          <w:rFonts w:ascii="Arial" w:eastAsiaTheme="minorEastAsia" w:hAnsi="Arial" w:cs="Arial"/>
        </w:rPr>
        <w:t>) vector of non-stationary I(1) time series variables. The basic Vector Autoregressive Model of order p, denoted VAR(p) is defined as</w:t>
      </w:r>
    </w:p>
    <w:p w14:paraId="02E8A81F" w14:textId="77777777" w:rsidR="00034A02" w:rsidRPr="00034A02" w:rsidRDefault="00000000" w:rsidP="00034A02">
      <w:pPr>
        <w:autoSpaceDE w:val="0"/>
        <w:autoSpaceDN w:val="0"/>
        <w:adjustRightInd w:val="0"/>
        <w:jc w:val="both"/>
        <w:rPr>
          <w:rFonts w:ascii="Arial" w:eastAsiaTheme="minorEastAsia" w:hAnsi="Arial" w:cs="Arial"/>
        </w:rPr>
      </w:pPr>
      <m:oMathPara>
        <m:oMath>
          <m:sSub>
            <m:sSubPr>
              <m:ctrlPr>
                <w:rPr>
                  <w:rFonts w:ascii="Cambria Math" w:hAnsi="Cambria Math" w:cs="Arial"/>
                  <w:i/>
                </w:rPr>
              </m:ctrlPr>
            </m:sSubPr>
            <m:e>
              <m:r>
                <m:rPr>
                  <m:sty m:val="bi"/>
                </m:rPr>
                <w:rPr>
                  <w:rFonts w:ascii="Cambria Math" w:hAnsi="Cambria Math" w:cs="Arial"/>
                </w:rPr>
                <m:t>Y</m:t>
              </m:r>
            </m:e>
            <m:sub>
              <m:r>
                <w:rPr>
                  <w:rFonts w:ascii="Cambria Math" w:hAnsi="Cambria Math" w:cs="Arial"/>
                </w:rPr>
                <m:t>t</m:t>
              </m:r>
            </m:sub>
          </m:sSub>
          <m:r>
            <w:rPr>
              <w:rFonts w:ascii="Cambria Math" w:hAnsi="Cambria Math" w:cs="Arial"/>
            </w:rPr>
            <m:t>=</m:t>
          </m:r>
          <m:r>
            <m:rPr>
              <m:sty m:val="bi"/>
            </m:rPr>
            <w:rPr>
              <w:rFonts w:ascii="Cambria Math" w:hAnsi="Cambria Math" w:cs="Arial"/>
            </w:rPr>
            <m:t>α</m:t>
          </m:r>
          <m:r>
            <w:rPr>
              <w:rFonts w:ascii="Cambria Math" w:hAnsi="Cambria Math" w:cs="Arial"/>
            </w:rPr>
            <m:t>+</m:t>
          </m:r>
          <m:sSub>
            <m:sSubPr>
              <m:ctrlPr>
                <w:rPr>
                  <w:rFonts w:ascii="Cambria Math" w:hAnsi="Cambria Math" w:cs="Arial"/>
                  <w:i/>
                </w:rPr>
              </m:ctrlPr>
            </m:sSubPr>
            <m:e>
              <m:r>
                <m:rPr>
                  <m:sty m:val="bi"/>
                </m:rPr>
                <w:rPr>
                  <w:rFonts w:ascii="Cambria Math" w:hAnsi="Cambria Math" w:cs="Arial"/>
                </w:rPr>
                <m:t>ϕ</m:t>
              </m:r>
            </m:e>
            <m:sub>
              <m:r>
                <w:rPr>
                  <w:rFonts w:ascii="Cambria Math" w:hAnsi="Cambria Math" w:cs="Arial"/>
                </w:rPr>
                <m:t>1</m:t>
              </m:r>
            </m:sub>
          </m:sSub>
          <m:sSub>
            <m:sSubPr>
              <m:ctrlPr>
                <w:rPr>
                  <w:rFonts w:ascii="Cambria Math" w:hAnsi="Cambria Math" w:cs="Arial"/>
                  <w:i/>
                </w:rPr>
              </m:ctrlPr>
            </m:sSubPr>
            <m:e>
              <m:r>
                <m:rPr>
                  <m:sty m:val="bi"/>
                </m:rPr>
                <w:rPr>
                  <w:rFonts w:ascii="Cambria Math" w:hAnsi="Cambria Math" w:cs="Arial"/>
                </w:rPr>
                <m:t>Y</m:t>
              </m:r>
            </m:e>
            <m:sub>
              <m:r>
                <w:rPr>
                  <w:rFonts w:ascii="Cambria Math" w:hAnsi="Cambria Math" w:cs="Arial"/>
                </w:rPr>
                <m:t>t-1</m:t>
              </m:r>
            </m:sub>
          </m:sSub>
          <m:r>
            <w:rPr>
              <w:rFonts w:ascii="Cambria Math" w:hAnsi="Cambria Math" w:cs="Arial"/>
            </w:rPr>
            <m:t>+</m:t>
          </m:r>
          <m:sSub>
            <m:sSubPr>
              <m:ctrlPr>
                <w:rPr>
                  <w:rFonts w:ascii="Cambria Math" w:hAnsi="Cambria Math" w:cs="Arial"/>
                  <w:i/>
                </w:rPr>
              </m:ctrlPr>
            </m:sSubPr>
            <m:e>
              <m:r>
                <m:rPr>
                  <m:sty m:val="bi"/>
                </m:rPr>
                <w:rPr>
                  <w:rFonts w:ascii="Cambria Math" w:hAnsi="Cambria Math" w:cs="Arial"/>
                </w:rPr>
                <m:t>ϕ</m:t>
              </m:r>
            </m:e>
            <m:sub>
              <m:r>
                <w:rPr>
                  <w:rFonts w:ascii="Cambria Math" w:hAnsi="Cambria Math" w:cs="Arial"/>
                </w:rPr>
                <m:t>2</m:t>
              </m:r>
            </m:sub>
          </m:sSub>
          <m:sSub>
            <m:sSubPr>
              <m:ctrlPr>
                <w:rPr>
                  <w:rFonts w:ascii="Cambria Math" w:hAnsi="Cambria Math" w:cs="Arial"/>
                  <w:i/>
                </w:rPr>
              </m:ctrlPr>
            </m:sSubPr>
            <m:e>
              <m:r>
                <m:rPr>
                  <m:sty m:val="bi"/>
                </m:rPr>
                <w:rPr>
                  <w:rFonts w:ascii="Cambria Math" w:hAnsi="Cambria Math" w:cs="Arial"/>
                </w:rPr>
                <m:t>Y</m:t>
              </m:r>
            </m:e>
            <m:sub>
              <m:r>
                <w:rPr>
                  <w:rFonts w:ascii="Cambria Math" w:hAnsi="Cambria Math" w:cs="Arial"/>
                </w:rPr>
                <m:t>t-2</m:t>
              </m:r>
            </m:sub>
          </m:sSub>
          <m:r>
            <w:rPr>
              <w:rFonts w:ascii="Cambria Math" w:hAnsi="Cambria Math" w:cs="Arial"/>
            </w:rPr>
            <m:t>+…+</m:t>
          </m:r>
          <m:sSub>
            <m:sSubPr>
              <m:ctrlPr>
                <w:rPr>
                  <w:rFonts w:ascii="Cambria Math" w:hAnsi="Cambria Math" w:cs="Arial"/>
                  <w:i/>
                </w:rPr>
              </m:ctrlPr>
            </m:sSubPr>
            <m:e>
              <m:r>
                <m:rPr>
                  <m:sty m:val="bi"/>
                </m:rPr>
                <w:rPr>
                  <w:rFonts w:ascii="Cambria Math" w:hAnsi="Cambria Math" w:cs="Arial"/>
                </w:rPr>
                <m:t>ϕ</m:t>
              </m:r>
            </m:e>
            <m:sub>
              <m:r>
                <w:rPr>
                  <w:rFonts w:ascii="Cambria Math" w:hAnsi="Cambria Math" w:cs="Arial"/>
                </w:rPr>
                <m:t>p</m:t>
              </m:r>
            </m:sub>
          </m:sSub>
          <m:sSub>
            <m:sSubPr>
              <m:ctrlPr>
                <w:rPr>
                  <w:rFonts w:ascii="Cambria Math" w:hAnsi="Cambria Math" w:cs="Arial"/>
                  <w:i/>
                </w:rPr>
              </m:ctrlPr>
            </m:sSubPr>
            <m:e>
              <m:r>
                <m:rPr>
                  <m:sty m:val="bi"/>
                </m:rPr>
                <w:rPr>
                  <w:rFonts w:ascii="Cambria Math" w:hAnsi="Cambria Math" w:cs="Arial"/>
                </w:rPr>
                <m:t>Y</m:t>
              </m:r>
            </m:e>
            <m:sub>
              <m:r>
                <w:rPr>
                  <w:rFonts w:ascii="Cambria Math" w:hAnsi="Cambria Math" w:cs="Arial"/>
                </w:rPr>
                <m:t>t-p</m:t>
              </m:r>
            </m:sub>
          </m:sSub>
          <m:r>
            <w:rPr>
              <w:rFonts w:ascii="Cambria Math" w:hAnsi="Cambria Math" w:cs="Arial"/>
            </w:rPr>
            <m:t>+</m:t>
          </m:r>
          <m:r>
            <m:rPr>
              <m:sty m:val="bi"/>
            </m:rPr>
            <w:rPr>
              <w:rFonts w:ascii="Cambria Math" w:hAnsi="Cambria Math" w:cs="Arial"/>
            </w:rPr>
            <m:t>B</m:t>
          </m:r>
          <m:sSub>
            <m:sSubPr>
              <m:ctrlPr>
                <w:rPr>
                  <w:rFonts w:ascii="Cambria Math" w:hAnsi="Cambria Math" w:cs="Arial"/>
                  <w:b/>
                  <w:i/>
                </w:rPr>
              </m:ctrlPr>
            </m:sSubPr>
            <m:e>
              <m:r>
                <m:rPr>
                  <m:sty m:val="bi"/>
                </m:rPr>
                <w:rPr>
                  <w:rFonts w:ascii="Cambria Math" w:hAnsi="Cambria Math" w:cs="Arial"/>
                </w:rPr>
                <m:t>X</m:t>
              </m:r>
            </m:e>
            <m:sub>
              <m:r>
                <m:rPr>
                  <m:sty m:val="bi"/>
                </m:rPr>
                <w:rPr>
                  <w:rFonts w:ascii="Cambria Math" w:hAnsi="Cambria Math" w:cs="Arial"/>
                </w:rPr>
                <m:t>t</m:t>
              </m:r>
            </m:sub>
          </m:sSub>
          <m:r>
            <w:rPr>
              <w:rFonts w:ascii="Cambria Math" w:hAnsi="Cambria Math" w:cs="Arial"/>
            </w:rPr>
            <m:t>+</m:t>
          </m:r>
          <m:sSub>
            <m:sSubPr>
              <m:ctrlPr>
                <w:rPr>
                  <w:rFonts w:ascii="Cambria Math" w:hAnsi="Cambria Math" w:cs="Arial"/>
                  <w:i/>
                </w:rPr>
              </m:ctrlPr>
            </m:sSubPr>
            <m:e>
              <m:r>
                <w:rPr>
                  <w:rFonts w:ascii="Cambria Math" w:hAnsi="Cambria Math" w:cs="Arial"/>
                </w:rPr>
                <m:t>ε</m:t>
              </m:r>
            </m:e>
            <m:sub>
              <m:r>
                <w:rPr>
                  <w:rFonts w:ascii="Cambria Math" w:hAnsi="Cambria Math" w:cs="Arial"/>
                </w:rPr>
                <m:t>t</m:t>
              </m:r>
            </m:sub>
          </m:sSub>
          <m:r>
            <w:rPr>
              <w:rFonts w:ascii="Cambria Math" w:hAnsi="Cambria Math" w:cs="Arial"/>
            </w:rPr>
            <m:t>, t=1, 2, …, T                                        (11)</m:t>
          </m:r>
        </m:oMath>
      </m:oMathPara>
    </w:p>
    <w:p w14:paraId="3286666F" w14:textId="77777777" w:rsidR="00034A02" w:rsidRPr="00034A02" w:rsidRDefault="00034A02" w:rsidP="00034A02">
      <w:pPr>
        <w:autoSpaceDE w:val="0"/>
        <w:autoSpaceDN w:val="0"/>
        <w:adjustRightInd w:val="0"/>
        <w:jc w:val="both"/>
        <w:rPr>
          <w:rFonts w:ascii="Arial" w:eastAsiaTheme="minorEastAsia" w:hAnsi="Arial" w:cs="Arial"/>
        </w:rPr>
      </w:pPr>
      <w:r w:rsidRPr="00034A02">
        <w:rPr>
          <w:rFonts w:ascii="Arial" w:eastAsiaTheme="minorEastAsia" w:hAnsi="Arial" w:cs="Arial"/>
        </w:rPr>
        <w:t>where</w:t>
      </w:r>
    </w:p>
    <w:p w14:paraId="69147A81" w14:textId="77777777" w:rsidR="00034A02" w:rsidRPr="00034A02" w:rsidRDefault="00034A02" w:rsidP="00034A02">
      <w:pPr>
        <w:autoSpaceDE w:val="0"/>
        <w:autoSpaceDN w:val="0"/>
        <w:adjustRightInd w:val="0"/>
        <w:jc w:val="both"/>
        <w:rPr>
          <w:rFonts w:ascii="Arial" w:eastAsiaTheme="minorEastAsia" w:hAnsi="Arial" w:cs="Arial"/>
        </w:rPr>
      </w:pPr>
      <m:oMath>
        <m:r>
          <m:rPr>
            <m:sty m:val="bi"/>
          </m:rPr>
          <w:rPr>
            <w:rFonts w:ascii="Cambria Math" w:eastAsiaTheme="minorEastAsia" w:hAnsi="Cambria Math" w:cs="Arial"/>
          </w:rPr>
          <m:t>α</m:t>
        </m:r>
      </m:oMath>
      <w:r w:rsidRPr="00034A02">
        <w:rPr>
          <w:rFonts w:ascii="Arial" w:eastAsiaTheme="minorEastAsia" w:hAnsi="Arial" w:cs="Arial"/>
          <w:b/>
        </w:rPr>
        <w:t xml:space="preserve">: </w:t>
      </w:r>
      <w:r w:rsidRPr="00034A02">
        <w:rPr>
          <w:rFonts w:ascii="Arial" w:eastAsiaTheme="minorEastAsia" w:hAnsi="Arial" w:cs="Arial"/>
        </w:rPr>
        <w:t>is an (</w:t>
      </w:r>
      <m:oMath>
        <m:r>
          <w:rPr>
            <w:rFonts w:ascii="Cambria Math" w:eastAsiaTheme="minorEastAsia" w:hAnsi="Cambria Math" w:cs="Arial"/>
          </w:rPr>
          <m:t>n×1</m:t>
        </m:r>
      </m:oMath>
      <w:r w:rsidRPr="00034A02">
        <w:rPr>
          <w:rFonts w:ascii="Arial" w:eastAsiaTheme="minorEastAsia" w:hAnsi="Arial" w:cs="Arial"/>
        </w:rPr>
        <w:t>) vector of intercept</w:t>
      </w:r>
    </w:p>
    <w:p w14:paraId="51AC90F6" w14:textId="77777777" w:rsidR="00034A02" w:rsidRPr="00034A02" w:rsidRDefault="00000000" w:rsidP="00034A02">
      <w:pPr>
        <w:autoSpaceDE w:val="0"/>
        <w:autoSpaceDN w:val="0"/>
        <w:adjustRightInd w:val="0"/>
        <w:jc w:val="both"/>
        <w:rPr>
          <w:rFonts w:ascii="Arial" w:eastAsiaTheme="minorEastAsia" w:hAnsi="Arial" w:cs="Arial"/>
        </w:rPr>
      </w:pPr>
      <m:oMath>
        <m:sSub>
          <m:sSubPr>
            <m:ctrlPr>
              <w:rPr>
                <w:rFonts w:ascii="Cambria Math" w:eastAsiaTheme="minorEastAsia" w:hAnsi="Cambria Math" w:cs="Arial"/>
                <w:i/>
              </w:rPr>
            </m:ctrlPr>
          </m:sSubPr>
          <m:e>
            <m:r>
              <m:rPr>
                <m:sty m:val="bi"/>
              </m:rPr>
              <w:rPr>
                <w:rFonts w:ascii="Cambria Math" w:eastAsiaTheme="minorEastAsia" w:hAnsi="Cambria Math" w:cs="Arial"/>
              </w:rPr>
              <m:t>ϕ</m:t>
            </m:r>
          </m:e>
          <m:sub>
            <m:r>
              <w:rPr>
                <w:rFonts w:ascii="Cambria Math" w:eastAsiaTheme="minorEastAsia" w:hAnsi="Cambria Math" w:cs="Arial"/>
              </w:rPr>
              <m:t>i</m:t>
            </m:r>
          </m:sub>
        </m:sSub>
        <m:r>
          <w:rPr>
            <w:rFonts w:ascii="Cambria Math" w:eastAsiaTheme="minorEastAsia" w:hAnsi="Cambria Math" w:cs="Arial"/>
          </w:rPr>
          <m:t xml:space="preserve"> (i=1, 2, …, p)</m:t>
        </m:r>
      </m:oMath>
      <w:r w:rsidR="00034A02" w:rsidRPr="00034A02">
        <w:rPr>
          <w:rFonts w:ascii="Arial" w:eastAsiaTheme="minorEastAsia" w:hAnsi="Arial" w:cs="Arial"/>
        </w:rPr>
        <w:t xml:space="preserve">: is </w:t>
      </w:r>
      <m:oMath>
        <m:r>
          <w:rPr>
            <w:rFonts w:ascii="Cambria Math" w:eastAsiaTheme="minorEastAsia" w:hAnsi="Cambria Math" w:cs="Arial"/>
          </w:rPr>
          <m:t>(n×n)</m:t>
        </m:r>
      </m:oMath>
      <w:r w:rsidR="00034A02" w:rsidRPr="00034A02">
        <w:rPr>
          <w:rFonts w:ascii="Arial" w:eastAsiaTheme="minorEastAsia" w:hAnsi="Arial" w:cs="Arial"/>
        </w:rPr>
        <w:t xml:space="preserve"> coefficient matrices</w:t>
      </w:r>
    </w:p>
    <w:p w14:paraId="64420EFF" w14:textId="77777777" w:rsidR="00034A02" w:rsidRPr="00034A02" w:rsidRDefault="00000000" w:rsidP="00034A02">
      <w:pPr>
        <w:autoSpaceDE w:val="0"/>
        <w:autoSpaceDN w:val="0"/>
        <w:adjustRightInd w:val="0"/>
        <w:jc w:val="both"/>
        <w:rPr>
          <w:rFonts w:ascii="Arial" w:eastAsiaTheme="minorEastAsia" w:hAnsi="Arial" w:cs="Arial"/>
        </w:rPr>
      </w:pPr>
      <m:oMath>
        <m:sSub>
          <m:sSubPr>
            <m:ctrlPr>
              <w:rPr>
                <w:rFonts w:ascii="Cambria Math" w:hAnsi="Cambria Math" w:cs="Arial"/>
                <w:i/>
              </w:rPr>
            </m:ctrlPr>
          </m:sSubPr>
          <m:e>
            <m:r>
              <m:rPr>
                <m:sty m:val="bi"/>
              </m:rPr>
              <w:rPr>
                <w:rFonts w:ascii="Cambria Math" w:hAnsi="Cambria Math" w:cs="Arial"/>
              </w:rPr>
              <m:t>X</m:t>
            </m:r>
          </m:e>
          <m:sub>
            <m:r>
              <w:rPr>
                <w:rFonts w:ascii="Cambria Math" w:hAnsi="Cambria Math" w:cs="Arial"/>
              </w:rPr>
              <m:t>t</m:t>
            </m:r>
          </m:sub>
        </m:sSub>
        <m:r>
          <w:rPr>
            <w:rFonts w:ascii="Cambria Math" w:hAnsi="Cambria Math" w:cs="Arial"/>
          </w:rPr>
          <m:t>=</m:t>
        </m:r>
      </m:oMath>
      <w:r w:rsidR="00034A02" w:rsidRPr="00034A02">
        <w:rPr>
          <w:rFonts w:ascii="Arial" w:eastAsiaTheme="minorEastAsia" w:hAnsi="Arial" w:cs="Arial"/>
        </w:rPr>
        <w:t xml:space="preserve"> d-vector of deterministic variables</w:t>
      </w:r>
    </w:p>
    <w:p w14:paraId="5546407A" w14:textId="77777777" w:rsidR="00034A02" w:rsidRPr="00034A02" w:rsidRDefault="00000000" w:rsidP="00034A02">
      <w:pPr>
        <w:autoSpaceDE w:val="0"/>
        <w:autoSpaceDN w:val="0"/>
        <w:adjustRightInd w:val="0"/>
        <w:jc w:val="both"/>
        <w:rPr>
          <w:rFonts w:ascii="Arial" w:eastAsiaTheme="minorEastAsia" w:hAnsi="Arial" w:cs="Arial"/>
        </w:rPr>
      </w:pPr>
      <m:oMath>
        <m:sSub>
          <m:sSubPr>
            <m:ctrlPr>
              <w:rPr>
                <w:rFonts w:ascii="Cambria Math" w:eastAsiaTheme="minorEastAsia" w:hAnsi="Cambria Math" w:cs="Arial"/>
                <w:i/>
              </w:rPr>
            </m:ctrlPr>
          </m:sSubPr>
          <m:e>
            <m:r>
              <w:rPr>
                <w:rFonts w:ascii="Cambria Math" w:eastAsiaTheme="minorEastAsia" w:hAnsi="Cambria Math" w:cs="Arial"/>
              </w:rPr>
              <m:t>ε</m:t>
            </m:r>
          </m:e>
          <m:sub>
            <m:r>
              <w:rPr>
                <w:rFonts w:ascii="Cambria Math" w:eastAsiaTheme="minorEastAsia" w:hAnsi="Cambria Math" w:cs="Arial"/>
              </w:rPr>
              <m:t>t</m:t>
            </m:r>
          </m:sub>
        </m:sSub>
      </m:oMath>
      <w:r w:rsidR="00034A02" w:rsidRPr="00034A02">
        <w:rPr>
          <w:rFonts w:ascii="Arial" w:eastAsiaTheme="minorEastAsia" w:hAnsi="Arial" w:cs="Arial"/>
        </w:rPr>
        <w:t xml:space="preserve">: is an </w:t>
      </w:r>
      <m:oMath>
        <m:r>
          <w:rPr>
            <w:rFonts w:ascii="Cambria Math" w:eastAsiaTheme="minorEastAsia" w:hAnsi="Cambria Math" w:cs="Arial"/>
          </w:rPr>
          <m:t>(n×1)</m:t>
        </m:r>
      </m:oMath>
      <w:r w:rsidR="00034A02" w:rsidRPr="00034A02">
        <w:rPr>
          <w:rFonts w:ascii="Arial" w:eastAsiaTheme="minorEastAsia" w:hAnsi="Arial" w:cs="Arial"/>
        </w:rPr>
        <w:t xml:space="preserve"> vector of unobservable error term with zero mean (white noise).</w:t>
      </w:r>
    </w:p>
    <w:p w14:paraId="03245B1F" w14:textId="77777777" w:rsidR="00034A02" w:rsidRPr="00034A02" w:rsidRDefault="00034A02" w:rsidP="00034A02">
      <w:pPr>
        <w:jc w:val="both"/>
        <w:rPr>
          <w:rFonts w:ascii="Arial" w:eastAsiaTheme="minorEastAsia" w:hAnsi="Arial" w:cs="Arial"/>
        </w:rPr>
      </w:pPr>
      <w:r w:rsidRPr="00034A02">
        <w:rPr>
          <w:rFonts w:ascii="Arial" w:eastAsiaTheme="minorEastAsia" w:hAnsi="Arial" w:cs="Arial"/>
        </w:rPr>
        <w:t>We may rewrite this VAR as:</w:t>
      </w:r>
    </w:p>
    <w:p w14:paraId="24C85CBA" w14:textId="77777777" w:rsidR="00034A02" w:rsidRPr="00034A02" w:rsidRDefault="00034A02" w:rsidP="00034A02">
      <w:pPr>
        <w:jc w:val="both"/>
        <w:rPr>
          <w:rFonts w:ascii="Arial" w:eastAsiaTheme="minorEastAsia" w:hAnsi="Arial" w:cs="Arial"/>
        </w:rPr>
      </w:pPr>
      <m:oMathPara>
        <m:oMath>
          <m:r>
            <w:rPr>
              <w:rFonts w:ascii="Cambria Math" w:eastAsiaTheme="minorEastAsia" w:hAnsi="Cambria Math" w:cs="Arial"/>
            </w:rPr>
            <m:t>∆</m:t>
          </m:r>
          <m:sSub>
            <m:sSubPr>
              <m:ctrlPr>
                <w:rPr>
                  <w:rFonts w:ascii="Cambria Math" w:eastAsiaTheme="minorEastAsia" w:hAnsi="Cambria Math" w:cs="Arial"/>
                  <w:i/>
                </w:rPr>
              </m:ctrlPr>
            </m:sSubPr>
            <m:e>
              <m:r>
                <m:rPr>
                  <m:sty m:val="bi"/>
                </m:rPr>
                <w:rPr>
                  <w:rFonts w:ascii="Cambria Math" w:eastAsiaTheme="minorEastAsia" w:hAnsi="Cambria Math" w:cs="Arial"/>
                </w:rPr>
                <m:t>Y</m:t>
              </m:r>
            </m:e>
            <m:sub>
              <m:r>
                <w:rPr>
                  <w:rFonts w:ascii="Cambria Math" w:eastAsiaTheme="minorEastAsia" w:hAnsi="Cambria Math" w:cs="Arial"/>
                </w:rPr>
                <m:t>t</m:t>
              </m:r>
            </m:sub>
          </m:sSub>
          <m:r>
            <w:rPr>
              <w:rFonts w:ascii="Cambria Math" w:eastAsiaTheme="minorEastAsia" w:hAnsi="Cambria Math" w:cs="Arial"/>
            </w:rPr>
            <m:t>=</m:t>
          </m:r>
          <m:r>
            <m:rPr>
              <m:sty m:val="bi"/>
            </m:rPr>
            <w:rPr>
              <w:rFonts w:ascii="Cambria Math" w:eastAsiaTheme="minorEastAsia" w:hAnsi="Cambria Math" w:cs="Arial"/>
            </w:rPr>
            <m:t>Π</m:t>
          </m:r>
          <m:sSub>
            <m:sSubPr>
              <m:ctrlPr>
                <w:rPr>
                  <w:rFonts w:ascii="Cambria Math" w:hAnsi="Cambria Math" w:cs="Arial"/>
                  <w:i/>
                </w:rPr>
              </m:ctrlPr>
            </m:sSubPr>
            <m:e>
              <m:r>
                <m:rPr>
                  <m:sty m:val="bi"/>
                </m:rPr>
                <w:rPr>
                  <w:rFonts w:ascii="Cambria Math" w:hAnsi="Cambria Math" w:cs="Arial"/>
                </w:rPr>
                <m:t>Y</m:t>
              </m:r>
            </m:e>
            <m:sub>
              <m:r>
                <w:rPr>
                  <w:rFonts w:ascii="Cambria Math" w:hAnsi="Cambria Math" w:cs="Arial"/>
                </w:rPr>
                <m:t>t-1</m:t>
              </m:r>
            </m:sub>
          </m:sSub>
          <m:r>
            <w:rPr>
              <w:rFonts w:ascii="Cambria Math" w:hAnsi="Cambria Math" w:cs="Arial"/>
            </w:rPr>
            <m:t>+</m:t>
          </m:r>
          <m:nary>
            <m:naryPr>
              <m:chr m:val="∑"/>
              <m:limLoc m:val="undOvr"/>
              <m:ctrlPr>
                <w:rPr>
                  <w:rFonts w:ascii="Cambria Math" w:hAnsi="Cambria Math" w:cs="Arial"/>
                  <w:i/>
                </w:rPr>
              </m:ctrlPr>
            </m:naryPr>
            <m:sub>
              <m:r>
                <w:rPr>
                  <w:rFonts w:ascii="Cambria Math" w:hAnsi="Cambria Math" w:cs="Arial"/>
                </w:rPr>
                <m:t>i=1</m:t>
              </m:r>
            </m:sub>
            <m:sup>
              <m:r>
                <w:rPr>
                  <w:rFonts w:ascii="Cambria Math" w:hAnsi="Cambria Math" w:cs="Arial"/>
                </w:rPr>
                <m:t>p-1</m:t>
              </m:r>
            </m:sup>
            <m:e>
              <m:sSub>
                <m:sSubPr>
                  <m:ctrlPr>
                    <w:rPr>
                      <w:rFonts w:ascii="Cambria Math" w:hAnsi="Cambria Math" w:cs="Arial"/>
                      <w:i/>
                    </w:rPr>
                  </m:ctrlPr>
                </m:sSubPr>
                <m:e>
                  <m:r>
                    <w:rPr>
                      <w:rFonts w:ascii="Cambria Math" w:hAnsi="Cambria Math" w:cs="Arial"/>
                    </w:rPr>
                    <m:t>Γ</m:t>
                  </m:r>
                </m:e>
                <m:sub>
                  <m:r>
                    <w:rPr>
                      <w:rFonts w:ascii="Cambria Math" w:hAnsi="Cambria Math" w:cs="Arial"/>
                    </w:rPr>
                    <m:t>i</m:t>
                  </m:r>
                </m:sub>
              </m:sSub>
              <m:r>
                <w:rPr>
                  <w:rFonts w:ascii="Cambria Math" w:hAnsi="Cambria Math" w:cs="Arial"/>
                </w:rPr>
                <m:t>∆</m:t>
              </m:r>
              <m:sSub>
                <m:sSubPr>
                  <m:ctrlPr>
                    <w:rPr>
                      <w:rFonts w:ascii="Cambria Math" w:hAnsi="Cambria Math" w:cs="Arial"/>
                      <w:i/>
                    </w:rPr>
                  </m:ctrlPr>
                </m:sSubPr>
                <m:e>
                  <m:r>
                    <m:rPr>
                      <m:sty m:val="bi"/>
                    </m:rPr>
                    <w:rPr>
                      <w:rFonts w:ascii="Cambria Math" w:hAnsi="Cambria Math" w:cs="Arial"/>
                    </w:rPr>
                    <m:t>Y</m:t>
                  </m:r>
                </m:e>
                <m:sub>
                  <m:r>
                    <w:rPr>
                      <w:rFonts w:ascii="Cambria Math" w:hAnsi="Cambria Math" w:cs="Arial"/>
                    </w:rPr>
                    <m:t>t-i</m:t>
                  </m:r>
                </m:sub>
              </m:sSub>
              <m:r>
                <w:rPr>
                  <w:rFonts w:ascii="Cambria Math" w:hAnsi="Cambria Math" w:cs="Arial"/>
                </w:rPr>
                <m:t>+</m:t>
              </m:r>
              <m:r>
                <m:rPr>
                  <m:sty m:val="bi"/>
                </m:rPr>
                <w:rPr>
                  <w:rFonts w:ascii="Cambria Math" w:hAnsi="Cambria Math" w:cs="Arial"/>
                </w:rPr>
                <m:t>B</m:t>
              </m:r>
              <m:sSub>
                <m:sSubPr>
                  <m:ctrlPr>
                    <w:rPr>
                      <w:rFonts w:ascii="Cambria Math" w:hAnsi="Cambria Math" w:cs="Arial"/>
                      <w:b/>
                      <w:i/>
                    </w:rPr>
                  </m:ctrlPr>
                </m:sSubPr>
                <m:e>
                  <m:r>
                    <m:rPr>
                      <m:sty m:val="bi"/>
                    </m:rPr>
                    <w:rPr>
                      <w:rFonts w:ascii="Cambria Math" w:hAnsi="Cambria Math" w:cs="Arial"/>
                    </w:rPr>
                    <m:t>X</m:t>
                  </m:r>
                </m:e>
                <m:sub>
                  <m:r>
                    <w:rPr>
                      <w:rFonts w:ascii="Cambria Math" w:hAnsi="Cambria Math" w:cs="Arial"/>
                    </w:rPr>
                    <m:t>t</m:t>
                  </m:r>
                </m:sub>
              </m:sSub>
              <m:r>
                <w:rPr>
                  <w:rFonts w:ascii="Cambria Math" w:hAnsi="Cambria Math" w:cs="Arial"/>
                </w:rPr>
                <m:t>+</m:t>
              </m:r>
              <m:sSub>
                <m:sSubPr>
                  <m:ctrlPr>
                    <w:rPr>
                      <w:rFonts w:ascii="Cambria Math" w:hAnsi="Cambria Math" w:cs="Arial"/>
                      <w:i/>
                    </w:rPr>
                  </m:ctrlPr>
                </m:sSubPr>
                <m:e>
                  <m:r>
                    <w:rPr>
                      <w:rFonts w:ascii="Cambria Math" w:hAnsi="Cambria Math" w:cs="Arial"/>
                    </w:rPr>
                    <m:t>ε</m:t>
                  </m:r>
                </m:e>
                <m:sub>
                  <m:r>
                    <w:rPr>
                      <w:rFonts w:ascii="Cambria Math" w:hAnsi="Cambria Math" w:cs="Arial"/>
                    </w:rPr>
                    <m:t>t</m:t>
                  </m:r>
                </m:sub>
              </m:sSub>
            </m:e>
          </m:nary>
          <m:r>
            <w:rPr>
              <w:rFonts w:ascii="Cambria Math" w:hAnsi="Cambria Math" w:cs="Arial"/>
            </w:rPr>
            <m:t xml:space="preserve">                                                                                                               (12)</m:t>
          </m:r>
        </m:oMath>
      </m:oMathPara>
    </w:p>
    <w:p w14:paraId="359A0259" w14:textId="77777777" w:rsidR="00034A02" w:rsidRPr="00034A02" w:rsidRDefault="00034A02" w:rsidP="00034A02">
      <w:pPr>
        <w:jc w:val="both"/>
        <w:rPr>
          <w:rFonts w:ascii="Arial" w:eastAsiaTheme="minorEastAsia" w:hAnsi="Arial" w:cs="Arial"/>
        </w:rPr>
      </w:pPr>
      <w:r w:rsidRPr="00034A02">
        <w:rPr>
          <w:rFonts w:ascii="Arial" w:eastAsiaTheme="minorEastAsia" w:hAnsi="Arial" w:cs="Arial"/>
        </w:rPr>
        <w:t>where</w:t>
      </w:r>
    </w:p>
    <w:p w14:paraId="7058D257" w14:textId="77777777" w:rsidR="00034A02" w:rsidRPr="00034A02" w:rsidRDefault="00034A02" w:rsidP="00034A02">
      <w:pPr>
        <w:jc w:val="both"/>
        <w:rPr>
          <w:rFonts w:ascii="Arial" w:eastAsiaTheme="minorEastAsia" w:hAnsi="Arial" w:cs="Arial"/>
        </w:rPr>
      </w:pPr>
      <m:oMathPara>
        <m:oMath>
          <m:r>
            <m:rPr>
              <m:sty m:val="bi"/>
            </m:rPr>
            <w:rPr>
              <w:rFonts w:ascii="Cambria Math" w:eastAsiaTheme="minorEastAsia" w:hAnsi="Cambria Math" w:cs="Arial"/>
            </w:rPr>
            <m:t>Π</m:t>
          </m:r>
          <m:r>
            <w:rPr>
              <w:rFonts w:ascii="Cambria Math" w:eastAsiaTheme="minorEastAsia" w:hAnsi="Cambria Math" w:cs="Arial"/>
            </w:rPr>
            <m:t>=</m:t>
          </m:r>
          <m:nary>
            <m:naryPr>
              <m:chr m:val="∑"/>
              <m:limLoc m:val="undOvr"/>
              <m:ctrlPr>
                <w:rPr>
                  <w:rFonts w:ascii="Cambria Math" w:hAnsi="Cambria Math" w:cs="Arial"/>
                  <w:i/>
                </w:rPr>
              </m:ctrlPr>
            </m:naryPr>
            <m:sub>
              <m:r>
                <w:rPr>
                  <w:rFonts w:ascii="Cambria Math" w:hAnsi="Cambria Math" w:cs="Arial"/>
                </w:rPr>
                <m:t>i=1</m:t>
              </m:r>
            </m:sub>
            <m:sup>
              <m:r>
                <w:rPr>
                  <w:rFonts w:ascii="Cambria Math" w:hAnsi="Cambria Math" w:cs="Arial"/>
                </w:rPr>
                <m:t>p</m:t>
              </m:r>
            </m:sup>
            <m:e>
              <m:sSub>
                <m:sSubPr>
                  <m:ctrlPr>
                    <w:rPr>
                      <w:rFonts w:ascii="Cambria Math" w:hAnsi="Cambria Math" w:cs="Arial"/>
                      <w:i/>
                    </w:rPr>
                  </m:ctrlPr>
                </m:sSubPr>
                <m:e>
                  <m:r>
                    <m:rPr>
                      <m:sty m:val="bi"/>
                    </m:rPr>
                    <w:rPr>
                      <w:rFonts w:ascii="Cambria Math" w:hAnsi="Cambria Math" w:cs="Arial"/>
                    </w:rPr>
                    <m:t>ϕ</m:t>
                  </m:r>
                </m:e>
                <m:sub>
                  <m:r>
                    <w:rPr>
                      <w:rFonts w:ascii="Cambria Math" w:hAnsi="Cambria Math" w:cs="Arial"/>
                    </w:rPr>
                    <m:t>i</m:t>
                  </m:r>
                </m:sub>
              </m:sSub>
              <m:r>
                <w:rPr>
                  <w:rFonts w:ascii="Cambria Math" w:hAnsi="Cambria Math" w:cs="Arial"/>
                </w:rPr>
                <m:t>-</m:t>
              </m:r>
              <m:r>
                <m:rPr>
                  <m:sty m:val="bi"/>
                </m:rPr>
                <w:rPr>
                  <w:rFonts w:ascii="Cambria Math" w:hAnsi="Cambria Math" w:cs="Arial"/>
                </w:rPr>
                <m:t>I</m:t>
              </m:r>
            </m:e>
          </m:nary>
          <m:r>
            <w:rPr>
              <w:rFonts w:ascii="Cambria Math" w:hAnsi="Cambria Math" w:cs="Arial"/>
            </w:rPr>
            <m:t xml:space="preserve">; </m:t>
          </m:r>
          <m:sSub>
            <m:sSubPr>
              <m:ctrlPr>
                <w:rPr>
                  <w:rFonts w:ascii="Cambria Math" w:hAnsi="Cambria Math" w:cs="Arial"/>
                  <w:i/>
                </w:rPr>
              </m:ctrlPr>
            </m:sSubPr>
            <m:e>
              <m:r>
                <w:rPr>
                  <w:rFonts w:ascii="Cambria Math" w:hAnsi="Cambria Math" w:cs="Arial"/>
                </w:rPr>
                <m:t>Γ</m:t>
              </m:r>
            </m:e>
            <m:sub>
              <m:r>
                <w:rPr>
                  <w:rFonts w:ascii="Cambria Math" w:hAnsi="Cambria Math" w:cs="Arial"/>
                </w:rPr>
                <m:t>i</m:t>
              </m:r>
            </m:sub>
          </m:sSub>
          <m:r>
            <w:rPr>
              <w:rFonts w:ascii="Cambria Math" w:hAnsi="Cambria Math" w:cs="Arial"/>
            </w:rPr>
            <m:t>=-</m:t>
          </m:r>
          <m:nary>
            <m:naryPr>
              <m:chr m:val="∑"/>
              <m:limLoc m:val="undOvr"/>
              <m:ctrlPr>
                <w:rPr>
                  <w:rFonts w:ascii="Cambria Math" w:hAnsi="Cambria Math" w:cs="Arial"/>
                  <w:i/>
                </w:rPr>
              </m:ctrlPr>
            </m:naryPr>
            <m:sub>
              <m:r>
                <w:rPr>
                  <w:rFonts w:ascii="Cambria Math" w:hAnsi="Cambria Math" w:cs="Arial"/>
                </w:rPr>
                <m:t>j=i+1</m:t>
              </m:r>
            </m:sub>
            <m:sup>
              <m:r>
                <w:rPr>
                  <w:rFonts w:ascii="Cambria Math" w:hAnsi="Cambria Math" w:cs="Arial"/>
                </w:rPr>
                <m:t>p</m:t>
              </m:r>
            </m:sup>
            <m:e>
              <m:sSub>
                <m:sSubPr>
                  <m:ctrlPr>
                    <w:rPr>
                      <w:rFonts w:ascii="Cambria Math" w:hAnsi="Cambria Math" w:cs="Arial"/>
                      <w:i/>
                    </w:rPr>
                  </m:ctrlPr>
                </m:sSubPr>
                <m:e>
                  <m:r>
                    <m:rPr>
                      <m:sty m:val="bi"/>
                    </m:rPr>
                    <w:rPr>
                      <w:rFonts w:ascii="Cambria Math" w:hAnsi="Cambria Math" w:cs="Arial"/>
                    </w:rPr>
                    <m:t>ϕ</m:t>
                  </m:r>
                </m:e>
                <m:sub>
                  <m:r>
                    <w:rPr>
                      <w:rFonts w:ascii="Cambria Math" w:hAnsi="Cambria Math" w:cs="Arial"/>
                    </w:rPr>
                    <m:t>j</m:t>
                  </m:r>
                </m:sub>
              </m:sSub>
            </m:e>
          </m:nary>
          <m:r>
            <w:rPr>
              <w:rFonts w:ascii="Cambria Math" w:hAnsi="Cambria Math" w:cs="Arial"/>
            </w:rPr>
            <m:t xml:space="preserve">                                                                                                                              (13)</m:t>
          </m:r>
        </m:oMath>
      </m:oMathPara>
    </w:p>
    <w:p w14:paraId="1A8A54C9" w14:textId="77777777" w:rsidR="00034A02" w:rsidRPr="00034A02" w:rsidRDefault="00034A02" w:rsidP="00034A02">
      <w:pPr>
        <w:jc w:val="both"/>
        <w:rPr>
          <w:rFonts w:ascii="Arial" w:eastAsiaTheme="minorEastAsia" w:hAnsi="Arial" w:cs="Arial"/>
        </w:rPr>
      </w:pPr>
      <w:r w:rsidRPr="00034A02">
        <w:rPr>
          <w:rFonts w:ascii="Arial" w:eastAsiaTheme="minorEastAsia" w:hAnsi="Arial" w:cs="Arial"/>
        </w:rPr>
        <w:t xml:space="preserve">Granger’s representation theorem asserts that if the coefficient matrix </w:t>
      </w:r>
      <m:oMath>
        <m:r>
          <m:rPr>
            <m:sty m:val="bi"/>
          </m:rPr>
          <w:rPr>
            <w:rFonts w:ascii="Cambria Math" w:eastAsiaTheme="minorEastAsia" w:hAnsi="Cambria Math" w:cs="Arial"/>
          </w:rPr>
          <m:t>Π</m:t>
        </m:r>
      </m:oMath>
      <w:r w:rsidRPr="00034A02">
        <w:rPr>
          <w:rFonts w:ascii="Arial" w:eastAsiaTheme="minorEastAsia" w:hAnsi="Arial" w:cs="Arial"/>
        </w:rPr>
        <w:t xml:space="preserve"> has reduced rank </w:t>
      </w:r>
      <m:oMath>
        <m:r>
          <w:rPr>
            <w:rFonts w:ascii="Cambria Math" w:eastAsiaTheme="minorEastAsia" w:hAnsi="Cambria Math" w:cs="Arial"/>
          </w:rPr>
          <m:t>r&lt;k,</m:t>
        </m:r>
      </m:oMath>
      <w:r w:rsidRPr="00034A02">
        <w:rPr>
          <w:rFonts w:ascii="Arial" w:eastAsiaTheme="minorEastAsia" w:hAnsi="Arial" w:cs="Arial"/>
        </w:rPr>
        <w:t xml:space="preserve"> then there exist </w:t>
      </w:r>
      <m:oMath>
        <m:r>
          <w:rPr>
            <w:rFonts w:ascii="Cambria Math" w:eastAsiaTheme="minorEastAsia" w:hAnsi="Cambria Math" w:cs="Arial"/>
          </w:rPr>
          <m:t>k×r</m:t>
        </m:r>
      </m:oMath>
      <w:r w:rsidRPr="00034A02">
        <w:rPr>
          <w:rFonts w:ascii="Arial" w:eastAsiaTheme="minorEastAsia" w:hAnsi="Arial" w:cs="Arial"/>
        </w:rPr>
        <w:t xml:space="preserve"> matrices </w:t>
      </w:r>
      <m:oMath>
        <m:r>
          <w:rPr>
            <w:rFonts w:ascii="Cambria Math" w:eastAsiaTheme="minorEastAsia" w:hAnsi="Cambria Math" w:cs="Arial"/>
          </w:rPr>
          <m:t xml:space="preserve">α </m:t>
        </m:r>
        <m:r>
          <m:rPr>
            <m:sty m:val="p"/>
          </m:rPr>
          <w:rPr>
            <w:rFonts w:ascii="Cambria Math" w:eastAsiaTheme="minorEastAsia" w:hAnsi="Cambria Math" w:cs="Arial"/>
          </w:rPr>
          <m:t>and</m:t>
        </m:r>
        <m:r>
          <w:rPr>
            <w:rFonts w:ascii="Cambria Math" w:eastAsiaTheme="minorEastAsia" w:hAnsi="Cambria Math" w:cs="Arial"/>
          </w:rPr>
          <m:t xml:space="preserve"> β</m:t>
        </m:r>
      </m:oMath>
      <w:r w:rsidRPr="00034A02">
        <w:rPr>
          <w:rFonts w:ascii="Arial" w:eastAsiaTheme="minorEastAsia" w:hAnsi="Arial" w:cs="Arial"/>
        </w:rPr>
        <w:t xml:space="preserve"> each with rank </w:t>
      </w:r>
      <m:oMath>
        <m:r>
          <w:rPr>
            <w:rFonts w:ascii="Cambria Math" w:eastAsiaTheme="minorEastAsia" w:hAnsi="Cambria Math" w:cs="Arial"/>
          </w:rPr>
          <m:t>r</m:t>
        </m:r>
      </m:oMath>
      <w:r w:rsidRPr="00034A02">
        <w:rPr>
          <w:rFonts w:ascii="Arial" w:eastAsiaTheme="minorEastAsia" w:hAnsi="Arial" w:cs="Arial"/>
        </w:rPr>
        <w:t xml:space="preserve"> such that </w:t>
      </w:r>
      <m:oMath>
        <m:r>
          <m:rPr>
            <m:sty m:val="bi"/>
          </m:rPr>
          <w:rPr>
            <w:rFonts w:ascii="Cambria Math" w:eastAsiaTheme="minorEastAsia" w:hAnsi="Cambria Math" w:cs="Arial"/>
          </w:rPr>
          <m:t>Π</m:t>
        </m:r>
        <m:r>
          <w:rPr>
            <w:rFonts w:ascii="Cambria Math" w:eastAsiaTheme="minorEastAsia" w:hAnsi="Cambria Math" w:cs="Arial"/>
          </w:rPr>
          <m:t>=α</m:t>
        </m:r>
        <m:sSup>
          <m:sSupPr>
            <m:ctrlPr>
              <w:rPr>
                <w:rFonts w:ascii="Cambria Math" w:eastAsiaTheme="minorEastAsia" w:hAnsi="Cambria Math" w:cs="Arial"/>
                <w:i/>
              </w:rPr>
            </m:ctrlPr>
          </m:sSupPr>
          <m:e>
            <m:r>
              <w:rPr>
                <w:rFonts w:ascii="Cambria Math" w:eastAsiaTheme="minorEastAsia" w:hAnsi="Cambria Math" w:cs="Arial"/>
              </w:rPr>
              <m:t>β</m:t>
            </m:r>
          </m:e>
          <m:sup>
            <m:r>
              <w:rPr>
                <w:rFonts w:ascii="Cambria Math" w:eastAsiaTheme="minorEastAsia" w:hAnsi="Cambria Math" w:cs="Arial"/>
              </w:rPr>
              <m:t>'</m:t>
            </m:r>
          </m:sup>
        </m:sSup>
      </m:oMath>
      <w:r w:rsidRPr="00034A02">
        <w:rPr>
          <w:rFonts w:ascii="Arial" w:eastAsiaTheme="minorEastAsia" w:hAnsi="Arial" w:cs="Arial"/>
        </w:rPr>
        <w:t xml:space="preserve"> and </w:t>
      </w:r>
      <m:oMath>
        <m:sSup>
          <m:sSupPr>
            <m:ctrlPr>
              <w:rPr>
                <w:rFonts w:ascii="Cambria Math" w:eastAsiaTheme="minorEastAsia" w:hAnsi="Cambria Math" w:cs="Arial"/>
                <w:i/>
              </w:rPr>
            </m:ctrlPr>
          </m:sSupPr>
          <m:e>
            <m:r>
              <w:rPr>
                <w:rFonts w:ascii="Cambria Math" w:eastAsiaTheme="minorEastAsia" w:hAnsi="Cambria Math" w:cs="Arial"/>
              </w:rPr>
              <m:t>β</m:t>
            </m:r>
          </m:e>
          <m:sup>
            <m:r>
              <w:rPr>
                <w:rFonts w:ascii="Cambria Math" w:eastAsiaTheme="minorEastAsia" w:hAnsi="Cambria Math" w:cs="Arial"/>
              </w:rPr>
              <m:t>'</m:t>
            </m:r>
          </m:sup>
        </m:sSup>
        <m:sSub>
          <m:sSubPr>
            <m:ctrlPr>
              <w:rPr>
                <w:rFonts w:ascii="Cambria Math" w:eastAsiaTheme="minorEastAsia" w:hAnsi="Cambria Math" w:cs="Arial"/>
                <w:i/>
              </w:rPr>
            </m:ctrlPr>
          </m:sSubPr>
          <m:e>
            <m:r>
              <m:rPr>
                <m:sty m:val="bi"/>
              </m:rPr>
              <w:rPr>
                <w:rFonts w:ascii="Cambria Math" w:eastAsiaTheme="minorEastAsia" w:hAnsi="Cambria Math" w:cs="Arial"/>
              </w:rPr>
              <m:t>Y</m:t>
            </m:r>
          </m:e>
          <m:sub>
            <m:r>
              <w:rPr>
                <w:rFonts w:ascii="Cambria Math" w:eastAsiaTheme="minorEastAsia" w:hAnsi="Cambria Math" w:cs="Arial"/>
              </w:rPr>
              <m:t>t</m:t>
            </m:r>
          </m:sub>
        </m:sSub>
      </m:oMath>
      <w:r w:rsidRPr="00034A02">
        <w:rPr>
          <w:rFonts w:ascii="Arial" w:eastAsiaTheme="minorEastAsia" w:hAnsi="Arial" w:cs="Arial"/>
        </w:rPr>
        <w:t xml:space="preserve"> is I(0). </w:t>
      </w:r>
      <m:oMath>
        <m:r>
          <w:rPr>
            <w:rFonts w:ascii="Cambria Math" w:eastAsiaTheme="minorEastAsia" w:hAnsi="Cambria Math" w:cs="Arial"/>
          </w:rPr>
          <m:t>r</m:t>
        </m:r>
      </m:oMath>
      <w:r w:rsidRPr="00034A02">
        <w:rPr>
          <w:rFonts w:ascii="Arial" w:eastAsiaTheme="minorEastAsia" w:hAnsi="Arial" w:cs="Arial"/>
        </w:rPr>
        <w:t xml:space="preserve"> is the number of cointegrating relations (the cointegrating rank) and each column of </w:t>
      </w:r>
      <m:oMath>
        <m:r>
          <w:rPr>
            <w:rFonts w:ascii="Cambria Math" w:eastAsiaTheme="minorEastAsia" w:hAnsi="Cambria Math" w:cs="Arial"/>
          </w:rPr>
          <m:t>β</m:t>
        </m:r>
      </m:oMath>
      <w:r w:rsidRPr="00034A02">
        <w:rPr>
          <w:rFonts w:ascii="Arial" w:eastAsiaTheme="minorEastAsia" w:hAnsi="Arial" w:cs="Arial"/>
        </w:rPr>
        <w:t xml:space="preserve"> is the co-integrating vector. </w:t>
      </w:r>
      <w:r>
        <w:rPr>
          <w:rFonts w:ascii="Arial" w:hAnsi="Arial" w:cs="Arial"/>
          <w:highlight w:val="yellow"/>
        </w:rPr>
        <w:t>The Johansen cointegration test computes two statistics: the trace statistic and the maximum eigenvalue statistic. Both the trace and maximum eigenvalue test statistics are employed in this study.</w:t>
      </w:r>
      <w:r>
        <w:rPr>
          <w:rFonts w:ascii="Arial" w:hAnsi="Arial" w:cs="Arial"/>
        </w:rPr>
        <w:t xml:space="preserve"> The trace statistic for the null hypothesis of </w:t>
      </w:r>
      <m:oMath>
        <m:r>
          <w:rPr>
            <w:rFonts w:ascii="Cambria Math" w:hAnsi="Cambria Math" w:cs="Arial"/>
          </w:rPr>
          <m:t>r</m:t>
        </m:r>
      </m:oMath>
      <w:r w:rsidRPr="00034A02">
        <w:rPr>
          <w:rFonts w:ascii="Arial" w:eastAsiaTheme="minorEastAsia" w:hAnsi="Arial" w:cs="Arial"/>
        </w:rPr>
        <w:t xml:space="preserve"> cointegrating relations is computed as:</w:t>
      </w:r>
    </w:p>
    <w:p w14:paraId="47E35C31" w14:textId="77777777" w:rsidR="00034A02" w:rsidRPr="00034A02" w:rsidRDefault="00034A02" w:rsidP="00034A02">
      <w:pPr>
        <w:jc w:val="both"/>
        <w:rPr>
          <w:rFonts w:ascii="Arial" w:eastAsiaTheme="minorEastAsia" w:hAnsi="Arial" w:cs="Arial"/>
        </w:rPr>
      </w:pPr>
      <m:oMathPara>
        <m:oMath>
          <m:r>
            <w:rPr>
              <w:rFonts w:ascii="Cambria Math" w:hAnsi="Cambria Math" w:cs="Arial"/>
            </w:rPr>
            <m:t>L</m:t>
          </m:r>
          <m:sSub>
            <m:sSubPr>
              <m:ctrlPr>
                <w:rPr>
                  <w:rFonts w:ascii="Cambria Math" w:hAnsi="Cambria Math" w:cs="Arial"/>
                  <w:i/>
                </w:rPr>
              </m:ctrlPr>
            </m:sSubPr>
            <m:e>
              <m:r>
                <w:rPr>
                  <w:rFonts w:ascii="Cambria Math" w:hAnsi="Cambria Math" w:cs="Arial"/>
                </w:rPr>
                <m:t>R</m:t>
              </m:r>
            </m:e>
            <m:sub>
              <m:r>
                <w:rPr>
                  <w:rFonts w:ascii="Cambria Math" w:hAnsi="Cambria Math" w:cs="Arial"/>
                </w:rPr>
                <m:t>tr</m:t>
              </m:r>
            </m:sub>
          </m:sSub>
          <m:d>
            <m:dPr>
              <m:ctrlPr>
                <w:rPr>
                  <w:rFonts w:ascii="Cambria Math" w:hAnsi="Cambria Math" w:cs="Arial"/>
                  <w:i/>
                </w:rPr>
              </m:ctrlPr>
            </m:dPr>
            <m:e>
              <m:r>
                <w:rPr>
                  <w:rFonts w:ascii="Cambria Math" w:hAnsi="Cambria Math" w:cs="Arial"/>
                </w:rPr>
                <m:t>r</m:t>
              </m:r>
            </m:e>
            <m:e>
              <m:r>
                <w:rPr>
                  <w:rFonts w:ascii="Cambria Math" w:hAnsi="Cambria Math" w:cs="Arial"/>
                </w:rPr>
                <m:t>k</m:t>
              </m:r>
            </m:e>
          </m:d>
          <m:r>
            <w:rPr>
              <w:rFonts w:ascii="Cambria Math" w:hAnsi="Cambria Math" w:cs="Arial"/>
            </w:rPr>
            <m:t>=-T</m:t>
          </m:r>
          <m:nary>
            <m:naryPr>
              <m:chr m:val="∑"/>
              <m:limLoc m:val="undOvr"/>
              <m:ctrlPr>
                <w:rPr>
                  <w:rFonts w:ascii="Cambria Math" w:hAnsi="Cambria Math" w:cs="Arial"/>
                  <w:i/>
                </w:rPr>
              </m:ctrlPr>
            </m:naryPr>
            <m:sub>
              <m:r>
                <w:rPr>
                  <w:rFonts w:ascii="Cambria Math" w:hAnsi="Cambria Math" w:cs="Arial"/>
                </w:rPr>
                <m:t>i=r+1</m:t>
              </m:r>
            </m:sub>
            <m:sup>
              <m:r>
                <w:rPr>
                  <w:rFonts w:ascii="Cambria Math" w:hAnsi="Cambria Math" w:cs="Arial"/>
                </w:rPr>
                <m:t>k</m:t>
              </m:r>
            </m:sup>
            <m:e>
              <m:r>
                <m:rPr>
                  <m:sty m:val="p"/>
                </m:rPr>
                <w:rPr>
                  <w:rFonts w:ascii="Cambria Math" w:hAnsi="Cambria Math" w:cs="Arial"/>
                </w:rPr>
                <m:t>log⁡</m:t>
              </m:r>
              <m:r>
                <w:rPr>
                  <w:rFonts w:ascii="Cambria Math" w:hAnsi="Cambria Math" w:cs="Arial"/>
                </w:rPr>
                <m:t>(1-</m:t>
              </m:r>
              <m:sSub>
                <m:sSubPr>
                  <m:ctrlPr>
                    <w:rPr>
                      <w:rFonts w:ascii="Cambria Math" w:hAnsi="Cambria Math" w:cs="Arial"/>
                      <w:i/>
                    </w:rPr>
                  </m:ctrlPr>
                </m:sSubPr>
                <m:e>
                  <m:r>
                    <w:rPr>
                      <w:rFonts w:ascii="Cambria Math" w:hAnsi="Cambria Math" w:cs="Arial"/>
                    </w:rPr>
                    <m:t>λ</m:t>
                  </m:r>
                </m:e>
                <m:sub>
                  <m:r>
                    <w:rPr>
                      <w:rFonts w:ascii="Cambria Math" w:hAnsi="Cambria Math" w:cs="Arial"/>
                    </w:rPr>
                    <m:t>i</m:t>
                  </m:r>
                </m:sub>
              </m:sSub>
              <m:r>
                <w:rPr>
                  <w:rFonts w:ascii="Cambria Math" w:hAnsi="Cambria Math" w:cs="Arial"/>
                </w:rPr>
                <m:t>)</m:t>
              </m:r>
            </m:e>
          </m:nary>
          <m:r>
            <m:rPr>
              <m:sty m:val="p"/>
            </m:rPr>
            <w:rPr>
              <w:rFonts w:ascii="Cambria Math" w:eastAsiaTheme="minorEastAsia" w:hAnsi="Cambria Math" w:cs="Arial"/>
            </w:rPr>
            <m:t xml:space="preserve">                                                                                                                       (14)</m:t>
          </m:r>
        </m:oMath>
      </m:oMathPara>
    </w:p>
    <w:p w14:paraId="78548DFA" w14:textId="77777777" w:rsidR="00034A02" w:rsidRPr="00034A02" w:rsidRDefault="00034A02" w:rsidP="00034A02">
      <w:pPr>
        <w:jc w:val="both"/>
        <w:rPr>
          <w:rFonts w:ascii="Arial" w:eastAsiaTheme="minorEastAsia" w:hAnsi="Arial" w:cs="Arial"/>
        </w:rPr>
      </w:pPr>
      <w:r w:rsidRPr="00034A02">
        <w:rPr>
          <w:rFonts w:ascii="Arial" w:eastAsiaTheme="minorEastAsia" w:hAnsi="Arial" w:cs="Arial"/>
        </w:rPr>
        <w:t>The maximum eigenvalue test statistic is computed as:</w:t>
      </w:r>
    </w:p>
    <w:p w14:paraId="5ED7A947" w14:textId="77777777" w:rsidR="00034A02" w:rsidRPr="00034A02" w:rsidRDefault="00034A02" w:rsidP="00034A02">
      <w:pPr>
        <w:jc w:val="both"/>
        <w:rPr>
          <w:rFonts w:ascii="Arial" w:hAnsi="Arial" w:cs="Arial"/>
        </w:rPr>
      </w:pPr>
      <m:oMathPara>
        <m:oMath>
          <m:r>
            <w:rPr>
              <w:rFonts w:ascii="Cambria Math" w:hAnsi="Cambria Math" w:cs="Arial"/>
            </w:rPr>
            <m:t>L</m:t>
          </m:r>
          <m:sSub>
            <m:sSubPr>
              <m:ctrlPr>
                <w:rPr>
                  <w:rFonts w:ascii="Cambria Math" w:hAnsi="Cambria Math" w:cs="Arial"/>
                  <w:i/>
                </w:rPr>
              </m:ctrlPr>
            </m:sSubPr>
            <m:e>
              <m:r>
                <w:rPr>
                  <w:rFonts w:ascii="Cambria Math" w:hAnsi="Cambria Math" w:cs="Arial"/>
                </w:rPr>
                <m:t>R</m:t>
              </m:r>
            </m:e>
            <m:sub>
              <m:r>
                <w:rPr>
                  <w:rFonts w:ascii="Cambria Math" w:hAnsi="Cambria Math" w:cs="Arial"/>
                </w:rPr>
                <m:t>max</m:t>
              </m:r>
            </m:sub>
          </m:sSub>
          <m:d>
            <m:dPr>
              <m:ctrlPr>
                <w:rPr>
                  <w:rFonts w:ascii="Cambria Math" w:hAnsi="Cambria Math" w:cs="Arial"/>
                  <w:i/>
                </w:rPr>
              </m:ctrlPr>
            </m:dPr>
            <m:e>
              <m:r>
                <w:rPr>
                  <w:rFonts w:ascii="Cambria Math" w:hAnsi="Cambria Math" w:cs="Arial"/>
                </w:rPr>
                <m:t>r</m:t>
              </m:r>
            </m:e>
            <m:e>
              <m:r>
                <w:rPr>
                  <w:rFonts w:ascii="Cambria Math" w:hAnsi="Cambria Math" w:cs="Arial"/>
                </w:rPr>
                <m:t>r+1</m:t>
              </m:r>
            </m:e>
          </m:d>
          <m:r>
            <w:rPr>
              <w:rFonts w:ascii="Cambria Math" w:hAnsi="Cambria Math" w:cs="Arial"/>
            </w:rPr>
            <m:t>=-Tlog</m:t>
          </m:r>
          <m:d>
            <m:dPr>
              <m:ctrlPr>
                <w:rPr>
                  <w:rFonts w:ascii="Cambria Math" w:hAnsi="Cambria Math" w:cs="Arial"/>
                  <w:i/>
                </w:rPr>
              </m:ctrlPr>
            </m:dPr>
            <m:e>
              <m:r>
                <w:rPr>
                  <w:rFonts w:ascii="Cambria Math" w:hAnsi="Cambria Math" w:cs="Arial"/>
                </w:rPr>
                <m:t>1-</m:t>
              </m:r>
              <m:sSub>
                <m:sSubPr>
                  <m:ctrlPr>
                    <w:rPr>
                      <w:rFonts w:ascii="Cambria Math" w:hAnsi="Cambria Math" w:cs="Arial"/>
                      <w:i/>
                    </w:rPr>
                  </m:ctrlPr>
                </m:sSubPr>
                <m:e>
                  <m:r>
                    <w:rPr>
                      <w:rFonts w:ascii="Cambria Math" w:hAnsi="Cambria Math" w:cs="Arial"/>
                    </w:rPr>
                    <m:t>λ</m:t>
                  </m:r>
                </m:e>
                <m:sub>
                  <m:r>
                    <w:rPr>
                      <w:rFonts w:ascii="Cambria Math" w:hAnsi="Cambria Math" w:cs="Arial"/>
                    </w:rPr>
                    <m:t>r+1</m:t>
                  </m:r>
                </m:sub>
              </m:sSub>
            </m:e>
          </m:d>
          <m:r>
            <w:rPr>
              <w:rFonts w:ascii="Cambria Math" w:hAnsi="Cambria Math" w:cs="Arial"/>
            </w:rPr>
            <m:t>=L</m:t>
          </m:r>
          <m:sSub>
            <m:sSubPr>
              <m:ctrlPr>
                <w:rPr>
                  <w:rFonts w:ascii="Cambria Math" w:hAnsi="Cambria Math" w:cs="Arial"/>
                  <w:i/>
                </w:rPr>
              </m:ctrlPr>
            </m:sSubPr>
            <m:e>
              <m:r>
                <w:rPr>
                  <w:rFonts w:ascii="Cambria Math" w:hAnsi="Cambria Math" w:cs="Arial"/>
                </w:rPr>
                <m:t>R</m:t>
              </m:r>
            </m:e>
            <m:sub>
              <m:r>
                <w:rPr>
                  <w:rFonts w:ascii="Cambria Math" w:hAnsi="Cambria Math" w:cs="Arial"/>
                </w:rPr>
                <m:t>tr</m:t>
              </m:r>
            </m:sub>
          </m:sSub>
          <m:d>
            <m:dPr>
              <m:ctrlPr>
                <w:rPr>
                  <w:rFonts w:ascii="Cambria Math" w:hAnsi="Cambria Math" w:cs="Arial"/>
                  <w:i/>
                </w:rPr>
              </m:ctrlPr>
            </m:dPr>
            <m:e>
              <m:r>
                <w:rPr>
                  <w:rFonts w:ascii="Cambria Math" w:hAnsi="Cambria Math" w:cs="Arial"/>
                </w:rPr>
                <m:t>r</m:t>
              </m:r>
            </m:e>
            <m:e>
              <m:r>
                <w:rPr>
                  <w:rFonts w:ascii="Cambria Math" w:hAnsi="Cambria Math" w:cs="Arial"/>
                </w:rPr>
                <m:t>k</m:t>
              </m:r>
            </m:e>
          </m:d>
          <m:r>
            <w:rPr>
              <w:rFonts w:ascii="Cambria Math" w:hAnsi="Cambria Math" w:cs="Arial"/>
            </w:rPr>
            <m:t>-L</m:t>
          </m:r>
          <m:sSub>
            <m:sSubPr>
              <m:ctrlPr>
                <w:rPr>
                  <w:rFonts w:ascii="Cambria Math" w:hAnsi="Cambria Math" w:cs="Arial"/>
                  <w:i/>
                </w:rPr>
              </m:ctrlPr>
            </m:sSubPr>
            <m:e>
              <m:r>
                <w:rPr>
                  <w:rFonts w:ascii="Cambria Math" w:hAnsi="Cambria Math" w:cs="Arial"/>
                </w:rPr>
                <m:t>R</m:t>
              </m:r>
            </m:e>
            <m:sub>
              <m:r>
                <w:rPr>
                  <w:rFonts w:ascii="Cambria Math" w:hAnsi="Cambria Math" w:cs="Arial"/>
                </w:rPr>
                <m:t>tr</m:t>
              </m:r>
            </m:sub>
          </m:sSub>
          <m:d>
            <m:dPr>
              <m:ctrlPr>
                <w:rPr>
                  <w:rFonts w:ascii="Cambria Math" w:hAnsi="Cambria Math" w:cs="Arial"/>
                  <w:i/>
                </w:rPr>
              </m:ctrlPr>
            </m:dPr>
            <m:e>
              <m:r>
                <w:rPr>
                  <w:rFonts w:ascii="Cambria Math" w:hAnsi="Cambria Math" w:cs="Arial"/>
                </w:rPr>
                <m:t>r+1</m:t>
              </m:r>
            </m:e>
            <m:e>
              <m:r>
                <w:rPr>
                  <w:rFonts w:ascii="Cambria Math" w:hAnsi="Cambria Math" w:cs="Arial"/>
                </w:rPr>
                <m:t>k</m:t>
              </m:r>
            </m:e>
          </m:d>
          <m:r>
            <w:rPr>
              <w:rFonts w:ascii="Cambria Math" w:hAnsi="Cambria Math" w:cs="Arial"/>
            </w:rPr>
            <m:t xml:space="preserve">                                                             (15)</m:t>
          </m:r>
        </m:oMath>
      </m:oMathPara>
    </w:p>
    <w:p w14:paraId="1285F392" w14:textId="77777777" w:rsidR="00034A02" w:rsidRPr="00034A02" w:rsidRDefault="00034A02" w:rsidP="00034A02">
      <w:pPr>
        <w:spacing w:before="240"/>
        <w:jc w:val="both"/>
        <w:rPr>
          <w:rFonts w:ascii="Arial" w:eastAsiaTheme="minorEastAsia" w:hAnsi="Arial" w:cs="Arial"/>
        </w:rPr>
      </w:pPr>
      <w:r w:rsidRPr="00034A02">
        <w:rPr>
          <w:rFonts w:ascii="Arial" w:eastAsiaTheme="minorEastAsia" w:hAnsi="Arial" w:cs="Arial"/>
        </w:rPr>
        <w:lastRenderedPageBreak/>
        <w:t>where</w:t>
      </w:r>
      <m:oMath>
        <m:sSub>
          <m:sSubPr>
            <m:ctrlPr>
              <w:rPr>
                <w:rFonts w:ascii="Cambria Math" w:hAnsi="Cambria Math" w:cs="Arial"/>
                <w:i/>
              </w:rPr>
            </m:ctrlPr>
          </m:sSubPr>
          <m:e>
            <m:r>
              <w:rPr>
                <w:rFonts w:ascii="Cambria Math" w:hAnsi="Cambria Math" w:cs="Arial"/>
              </w:rPr>
              <m:t xml:space="preserve"> λ</m:t>
            </m:r>
          </m:e>
          <m:sub>
            <m:r>
              <w:rPr>
                <w:rFonts w:ascii="Cambria Math" w:hAnsi="Cambria Math" w:cs="Arial"/>
              </w:rPr>
              <m:t>i</m:t>
            </m:r>
          </m:sub>
        </m:sSub>
        <m:r>
          <m:rPr>
            <m:sty m:val="p"/>
          </m:rPr>
          <w:rPr>
            <w:rFonts w:ascii="Cambria Math" w:hAnsi="Cambria Math" w:cs="Arial"/>
          </w:rPr>
          <m:t xml:space="preserve"> is the </m:t>
        </m:r>
        <m:r>
          <w:rPr>
            <w:rFonts w:ascii="Cambria Math" w:hAnsi="Cambria Math" w:cs="Arial"/>
          </w:rPr>
          <m:t>i</m:t>
        </m:r>
      </m:oMath>
      <w:r w:rsidRPr="00034A02">
        <w:rPr>
          <w:rFonts w:ascii="Arial" w:eastAsiaTheme="minorEastAsia" w:hAnsi="Arial" w:cs="Arial"/>
        </w:rPr>
        <w:t xml:space="preserve">-th largest eigenvalue of the </w:t>
      </w:r>
      <m:oMath>
        <m:r>
          <m:rPr>
            <m:sty m:val="bi"/>
          </m:rPr>
          <w:rPr>
            <w:rFonts w:ascii="Cambria Math" w:hAnsi="Cambria Math" w:cs="Arial"/>
          </w:rPr>
          <m:t>Π</m:t>
        </m:r>
      </m:oMath>
      <w:r w:rsidRPr="00034A02">
        <w:rPr>
          <w:rFonts w:ascii="Arial" w:eastAsiaTheme="minorEastAsia" w:hAnsi="Arial" w:cs="Arial"/>
        </w:rPr>
        <w:t xml:space="preserve"> matrix in Equation (13), </w:t>
      </w:r>
      <m:oMath>
        <m:r>
          <w:rPr>
            <w:rFonts w:ascii="Cambria Math" w:hAnsi="Cambria Math" w:cs="Arial"/>
          </w:rPr>
          <m:t>r=</m:t>
        </m:r>
      </m:oMath>
      <w:r w:rsidRPr="00034A02">
        <w:rPr>
          <w:rFonts w:ascii="Arial" w:eastAsiaTheme="minorEastAsia" w:hAnsi="Arial" w:cs="Arial"/>
        </w:rPr>
        <w:t xml:space="preserve"> 0</w:t>
      </w:r>
      <m:oMath>
        <m:r>
          <w:rPr>
            <w:rFonts w:ascii="Cambria Math" w:eastAsiaTheme="minorEastAsia" w:hAnsi="Cambria Math" w:cs="Arial"/>
          </w:rPr>
          <m:t>, 1, 2, …, k-1.</m:t>
        </m:r>
      </m:oMath>
    </w:p>
    <w:p w14:paraId="37DDD54C" w14:textId="77777777" w:rsidR="00034A02" w:rsidRPr="009D1375" w:rsidRDefault="00034A02" w:rsidP="009D1375">
      <w:pPr>
        <w:spacing w:before="240"/>
        <w:jc w:val="both"/>
        <w:rPr>
          <w:rFonts w:ascii="Arial" w:eastAsiaTheme="minorEastAsia" w:hAnsi="Arial" w:cs="Arial"/>
          <w:b/>
        </w:rPr>
      </w:pPr>
      <w:r w:rsidRPr="009D1375">
        <w:rPr>
          <w:rFonts w:ascii="Arial" w:eastAsiaTheme="minorEastAsia" w:hAnsi="Arial" w:cs="Arial"/>
          <w:b/>
        </w:rPr>
        <w:t>2.2.4 Multiple co-integrating regression model specification</w:t>
      </w:r>
    </w:p>
    <w:p w14:paraId="544C935C" w14:textId="77777777" w:rsidR="00034A02" w:rsidRPr="009D1375" w:rsidRDefault="00034A02" w:rsidP="009D1375">
      <w:pPr>
        <w:jc w:val="both"/>
        <w:rPr>
          <w:rFonts w:ascii="Arial" w:eastAsiaTheme="minorEastAsia" w:hAnsi="Arial" w:cs="Arial"/>
        </w:rPr>
      </w:pPr>
      <w:r>
        <w:rPr>
          <w:rFonts w:ascii="Arial" w:eastAsiaTheme="minorEastAsia" w:hAnsi="Arial" w:cs="Arial"/>
        </w:rPr>
        <w:t xml:space="preserve">To investigate the impact of HIV-TB coinfection on HIV and TB patients in </w:t>
      </w:r>
      <w:r>
        <w:rPr>
          <w:rFonts w:ascii="Arial" w:eastAsiaTheme="minorEastAsia" w:hAnsi="Arial" w:cs="Arial"/>
          <w:highlight w:val="yellow"/>
        </w:rPr>
        <w:t>Nasarawa State</w:t>
      </w:r>
      <w:r>
        <w:rPr>
          <w:rFonts w:ascii="Arial" w:eastAsiaTheme="minorEastAsia" w:hAnsi="Arial" w:cs="Arial"/>
        </w:rPr>
        <w:t>, the study employs a multiple linear regression model using fully modified ordinary least squares (FMOLS). The model is specified as follows:</w:t>
      </w:r>
    </w:p>
    <w:p w14:paraId="18BE0698" w14:textId="77777777" w:rsidR="00034A02" w:rsidRPr="009D1375" w:rsidRDefault="00034A02" w:rsidP="009D1375">
      <w:pPr>
        <w:jc w:val="both"/>
        <w:rPr>
          <w:rFonts w:ascii="Arial" w:eastAsiaTheme="minorEastAsia" w:hAnsi="Arial" w:cs="Arial"/>
        </w:rPr>
      </w:pPr>
      <m:oMathPara>
        <m:oMath>
          <m:r>
            <w:rPr>
              <w:rFonts w:ascii="Cambria Math" w:eastAsiaTheme="minorEastAsia" w:hAnsi="Cambria Math" w:cs="Arial"/>
            </w:rPr>
            <m:t>HIV/TB=f</m:t>
          </m:r>
          <m:d>
            <m:dPr>
              <m:begChr m:val="["/>
              <m:endChr m:val="]"/>
              <m:ctrlPr>
                <w:rPr>
                  <w:rFonts w:ascii="Cambria Math" w:eastAsiaTheme="minorEastAsia" w:hAnsi="Cambria Math" w:cs="Arial"/>
                  <w:i/>
                </w:rPr>
              </m:ctrlPr>
            </m:dPr>
            <m:e>
              <m:r>
                <w:rPr>
                  <w:rFonts w:ascii="Cambria Math" w:eastAsiaTheme="minorEastAsia" w:hAnsi="Cambria Math" w:cs="Arial"/>
                </w:rPr>
                <m:t>HIV, TB</m:t>
              </m:r>
            </m:e>
          </m:d>
          <m:r>
            <w:rPr>
              <w:rFonts w:ascii="Cambria Math" w:eastAsiaTheme="minorEastAsia" w:hAnsi="Cambria Math" w:cs="Arial"/>
            </w:rPr>
            <m:t xml:space="preserve">                                                                                            (16)</m:t>
          </m:r>
        </m:oMath>
      </m:oMathPara>
    </w:p>
    <w:p w14:paraId="4D0FA459" w14:textId="77777777" w:rsidR="00034A02" w:rsidRPr="009D1375" w:rsidRDefault="00034A02" w:rsidP="009D1375">
      <w:pPr>
        <w:jc w:val="both"/>
        <w:rPr>
          <w:rFonts w:ascii="Arial" w:eastAsiaTheme="minorEastAsia" w:hAnsi="Arial" w:cs="Arial"/>
        </w:rPr>
      </w:pPr>
      <w:r w:rsidRPr="009D1375">
        <w:rPr>
          <w:rFonts w:ascii="Arial" w:eastAsiaTheme="minorEastAsia" w:hAnsi="Arial" w:cs="Arial"/>
        </w:rPr>
        <w:t xml:space="preserve">HIV-TB coinfection is a function of </w:t>
      </w:r>
      <w:r w:rsidRPr="009D1375">
        <w:rPr>
          <w:rFonts w:ascii="Arial" w:hAnsi="Arial" w:cs="Arial"/>
        </w:rPr>
        <w:t xml:space="preserve">HIV and Tuberculosis (TB). </w:t>
      </w:r>
      <w:r w:rsidRPr="009D1375">
        <w:rPr>
          <w:rFonts w:ascii="Arial" w:eastAsiaTheme="minorEastAsia" w:hAnsi="Arial" w:cs="Arial"/>
        </w:rPr>
        <w:t>The functional model then becomes:</w:t>
      </w:r>
    </w:p>
    <w:p w14:paraId="6C20CDD6" w14:textId="77777777" w:rsidR="00034A02" w:rsidRPr="009D1375" w:rsidRDefault="00000000" w:rsidP="009D1375">
      <w:pPr>
        <w:jc w:val="both"/>
        <w:rPr>
          <w:rFonts w:ascii="Arial" w:eastAsiaTheme="minorEastAsia" w:hAnsi="Arial" w:cs="Arial"/>
        </w:rPr>
      </w:pPr>
      <m:oMathPara>
        <m:oMath>
          <m:sSub>
            <m:sSubPr>
              <m:ctrlPr>
                <w:rPr>
                  <w:rFonts w:ascii="Cambria Math" w:eastAsiaTheme="minorEastAsia" w:hAnsi="Cambria Math" w:cs="Arial"/>
                  <w:i/>
                </w:rPr>
              </m:ctrlPr>
            </m:sSubPr>
            <m:e>
              <m:r>
                <w:rPr>
                  <w:rFonts w:ascii="Cambria Math" w:eastAsiaTheme="minorEastAsia" w:hAnsi="Cambria Math" w:cs="Arial"/>
                </w:rPr>
                <m:t>C</m:t>
              </m:r>
            </m:e>
            <m:sub>
              <m:r>
                <w:rPr>
                  <w:rFonts w:ascii="Cambria Math" w:eastAsiaTheme="minorEastAsia" w:hAnsi="Cambria Math" w:cs="Arial"/>
                </w:rPr>
                <m:t>t</m:t>
              </m:r>
            </m:sub>
          </m:sSub>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β</m:t>
              </m:r>
            </m:e>
            <m:sub>
              <m:r>
                <w:rPr>
                  <w:rFonts w:ascii="Cambria Math" w:eastAsiaTheme="minorEastAsia" w:hAnsi="Cambria Math" w:cs="Arial"/>
                </w:rPr>
                <m:t>0</m:t>
              </m:r>
            </m:sub>
          </m:sSub>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β</m:t>
              </m:r>
            </m:e>
            <m:sub>
              <m:r>
                <w:rPr>
                  <w:rFonts w:ascii="Cambria Math" w:eastAsiaTheme="minorEastAsia" w:hAnsi="Cambria Math" w:cs="Arial"/>
                </w:rPr>
                <m:t>1</m:t>
              </m:r>
            </m:sub>
          </m:sSub>
          <m:sSub>
            <m:sSubPr>
              <m:ctrlPr>
                <w:rPr>
                  <w:rFonts w:ascii="Cambria Math" w:eastAsiaTheme="minorEastAsia" w:hAnsi="Cambria Math" w:cs="Arial"/>
                  <w:i/>
                </w:rPr>
              </m:ctrlPr>
            </m:sSubPr>
            <m:e>
              <m:r>
                <w:rPr>
                  <w:rFonts w:ascii="Cambria Math" w:eastAsiaTheme="minorEastAsia" w:hAnsi="Cambria Math" w:cs="Arial"/>
                </w:rPr>
                <m:t>H</m:t>
              </m:r>
            </m:e>
            <m:sub>
              <m:r>
                <w:rPr>
                  <w:rFonts w:ascii="Cambria Math" w:eastAsiaTheme="minorEastAsia" w:hAnsi="Cambria Math" w:cs="Arial"/>
                </w:rPr>
                <m:t>t</m:t>
              </m:r>
            </m:sub>
          </m:sSub>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β</m:t>
              </m:r>
            </m:e>
            <m:sub>
              <m:r>
                <w:rPr>
                  <w:rFonts w:ascii="Cambria Math" w:eastAsiaTheme="minorEastAsia" w:hAnsi="Cambria Math" w:cs="Arial"/>
                </w:rPr>
                <m:t>2</m:t>
              </m:r>
            </m:sub>
          </m:sSub>
          <m:sSub>
            <m:sSubPr>
              <m:ctrlPr>
                <w:rPr>
                  <w:rFonts w:ascii="Cambria Math" w:eastAsiaTheme="minorEastAsia" w:hAnsi="Cambria Math" w:cs="Arial"/>
                  <w:i/>
                </w:rPr>
              </m:ctrlPr>
            </m:sSubPr>
            <m:e>
              <m:r>
                <w:rPr>
                  <w:rFonts w:ascii="Cambria Math" w:eastAsiaTheme="minorEastAsia" w:hAnsi="Cambria Math" w:cs="Arial"/>
                </w:rPr>
                <m:t>T</m:t>
              </m:r>
            </m:e>
            <m:sub>
              <m:r>
                <w:rPr>
                  <w:rFonts w:ascii="Cambria Math" w:eastAsiaTheme="minorEastAsia" w:hAnsi="Cambria Math" w:cs="Arial"/>
                </w:rPr>
                <m:t>t</m:t>
              </m:r>
            </m:sub>
          </m:sSub>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ε</m:t>
              </m:r>
            </m:e>
            <m:sub>
              <m:r>
                <w:rPr>
                  <w:rFonts w:ascii="Cambria Math" w:eastAsiaTheme="minorEastAsia" w:hAnsi="Cambria Math" w:cs="Arial"/>
                </w:rPr>
                <m:t>t</m:t>
              </m:r>
            </m:sub>
          </m:sSub>
          <m:r>
            <w:rPr>
              <w:rFonts w:ascii="Cambria Math" w:eastAsiaTheme="minorEastAsia" w:hAnsi="Cambria Math" w:cs="Arial"/>
            </w:rPr>
            <m:t xml:space="preserve">                                                                                  (17)</m:t>
          </m:r>
        </m:oMath>
      </m:oMathPara>
    </w:p>
    <w:p w14:paraId="41856CF9" w14:textId="77777777" w:rsidR="00034A02" w:rsidRPr="009D1375" w:rsidRDefault="00034A02" w:rsidP="009D1375">
      <w:pPr>
        <w:jc w:val="both"/>
        <w:rPr>
          <w:rFonts w:ascii="Arial" w:eastAsiaTheme="minorEastAsia" w:hAnsi="Arial" w:cs="Arial"/>
        </w:rPr>
      </w:pPr>
      <w:r w:rsidRPr="009D1375">
        <w:rPr>
          <w:rFonts w:ascii="Arial" w:eastAsiaTheme="minorEastAsia" w:hAnsi="Arial" w:cs="Arial"/>
        </w:rPr>
        <w:t>where</w:t>
      </w:r>
    </w:p>
    <w:p w14:paraId="36B26B64" w14:textId="77777777" w:rsidR="00034A02" w:rsidRPr="009D1375" w:rsidRDefault="00000000" w:rsidP="009D1375">
      <w:pPr>
        <w:jc w:val="both"/>
        <w:rPr>
          <w:rFonts w:ascii="Arial" w:eastAsiaTheme="minorEastAsia" w:hAnsi="Arial" w:cs="Arial"/>
        </w:rPr>
      </w:pPr>
      <m:oMath>
        <m:sSub>
          <m:sSubPr>
            <m:ctrlPr>
              <w:rPr>
                <w:rFonts w:ascii="Cambria Math" w:eastAsiaTheme="minorEastAsia" w:hAnsi="Cambria Math" w:cs="Arial"/>
                <w:i/>
              </w:rPr>
            </m:ctrlPr>
          </m:sSubPr>
          <m:e>
            <m:r>
              <w:rPr>
                <w:rFonts w:ascii="Cambria Math" w:eastAsiaTheme="minorEastAsia" w:hAnsi="Cambria Math" w:cs="Arial"/>
              </w:rPr>
              <m:t>C</m:t>
            </m:r>
          </m:e>
          <m:sub>
            <m:r>
              <w:rPr>
                <w:rFonts w:ascii="Cambria Math" w:eastAsiaTheme="minorEastAsia" w:hAnsi="Cambria Math" w:cs="Arial"/>
              </w:rPr>
              <m:t>t</m:t>
            </m:r>
          </m:sub>
        </m:sSub>
        <m:r>
          <w:rPr>
            <w:rFonts w:ascii="Cambria Math" w:eastAsiaTheme="minorEastAsia" w:hAnsi="Cambria Math" w:cs="Arial"/>
          </w:rPr>
          <m:t xml:space="preserve"> </m:t>
        </m:r>
      </m:oMath>
      <w:r w:rsidR="00034A02" w:rsidRPr="009D1375">
        <w:rPr>
          <w:rFonts w:ascii="Arial" w:eastAsiaTheme="minorEastAsia" w:hAnsi="Arial" w:cs="Arial"/>
        </w:rPr>
        <w:t xml:space="preserve">is the number of individuals coinfected with HIV/AIDS and TB at time </w:t>
      </w:r>
      <m:oMath>
        <m:r>
          <w:rPr>
            <w:rFonts w:ascii="Cambria Math" w:eastAsiaTheme="minorEastAsia" w:hAnsi="Cambria Math" w:cs="Arial"/>
          </w:rPr>
          <m:t>t</m:t>
        </m:r>
      </m:oMath>
      <w:r>
        <w:rPr>
          <w:rFonts w:ascii="Arial" w:eastAsiaTheme="minorEastAsia" w:hAnsi="Arial" w:cs="Arial"/>
          <w:highlight w:val="yellow"/>
        </w:rPr>
        <w:t xml:space="preserve"> used here as the dependent variable;</w:t>
      </w:r>
    </w:p>
    <w:p w14:paraId="75CEBA7C" w14:textId="77777777" w:rsidR="00034A02" w:rsidRPr="009D1375" w:rsidRDefault="00000000" w:rsidP="009D1375">
      <w:pPr>
        <w:jc w:val="both"/>
        <w:rPr>
          <w:rFonts w:ascii="Arial" w:eastAsiaTheme="minorEastAsia" w:hAnsi="Arial" w:cs="Arial"/>
        </w:rPr>
      </w:pPr>
      <m:oMath>
        <m:sSub>
          <m:sSubPr>
            <m:ctrlPr>
              <w:rPr>
                <w:rFonts w:ascii="Cambria Math" w:eastAsiaTheme="minorEastAsia" w:hAnsi="Cambria Math" w:cs="Arial"/>
                <w:i/>
              </w:rPr>
            </m:ctrlPr>
          </m:sSubPr>
          <m:e>
            <m:r>
              <w:rPr>
                <w:rFonts w:ascii="Cambria Math" w:eastAsiaTheme="minorEastAsia" w:hAnsi="Cambria Math" w:cs="Arial"/>
              </w:rPr>
              <m:t>H</m:t>
            </m:r>
          </m:e>
          <m:sub>
            <m:r>
              <w:rPr>
                <w:rFonts w:ascii="Cambria Math" w:eastAsiaTheme="minorEastAsia" w:hAnsi="Cambria Math" w:cs="Arial"/>
              </w:rPr>
              <m:t>t</m:t>
            </m:r>
          </m:sub>
        </m:sSub>
        <m:r>
          <w:rPr>
            <w:rFonts w:ascii="Cambria Math" w:eastAsiaTheme="minorEastAsia" w:hAnsi="Cambria Math" w:cs="Arial"/>
          </w:rPr>
          <m:t xml:space="preserve"> </m:t>
        </m:r>
      </m:oMath>
      <w:r w:rsidR="00034A02" w:rsidRPr="009D1375">
        <w:rPr>
          <w:rFonts w:ascii="Arial" w:eastAsiaTheme="minorEastAsia" w:hAnsi="Arial" w:cs="Arial"/>
        </w:rPr>
        <w:t xml:space="preserve">is the number of individuals infected with human immunodeficiency virus/Acquired immunodeficiency syndrome at time </w:t>
      </w:r>
      <m:oMath>
        <m:r>
          <w:rPr>
            <w:rFonts w:ascii="Cambria Math" w:eastAsiaTheme="minorEastAsia" w:hAnsi="Cambria Math" w:cs="Arial"/>
          </w:rPr>
          <m:t xml:space="preserve">t </m:t>
        </m:r>
      </m:oMath>
      <w:r>
        <w:rPr>
          <w:rFonts w:ascii="Arial" w:eastAsiaTheme="minorEastAsia" w:hAnsi="Arial" w:cs="Arial"/>
          <w:highlight w:val="yellow"/>
        </w:rPr>
        <w:t>used as an independent variable;</w:t>
      </w:r>
    </w:p>
    <w:p w14:paraId="16D51B1D" w14:textId="77777777" w:rsidR="00034A02" w:rsidRPr="009D1375" w:rsidRDefault="00000000" w:rsidP="009D1375">
      <w:pPr>
        <w:jc w:val="both"/>
        <w:rPr>
          <w:rFonts w:ascii="Arial" w:eastAsiaTheme="minorEastAsia" w:hAnsi="Arial" w:cs="Arial"/>
        </w:rPr>
      </w:pPr>
      <m:oMath>
        <m:sSub>
          <m:sSubPr>
            <m:ctrlPr>
              <w:rPr>
                <w:rFonts w:ascii="Cambria Math" w:eastAsiaTheme="minorEastAsia" w:hAnsi="Cambria Math" w:cs="Arial"/>
                <w:i/>
              </w:rPr>
            </m:ctrlPr>
          </m:sSubPr>
          <m:e>
            <m:r>
              <w:rPr>
                <w:rFonts w:ascii="Cambria Math" w:eastAsiaTheme="minorEastAsia" w:hAnsi="Cambria Math" w:cs="Arial"/>
              </w:rPr>
              <m:t>T</m:t>
            </m:r>
          </m:e>
          <m:sub>
            <m:r>
              <w:rPr>
                <w:rFonts w:ascii="Cambria Math" w:eastAsiaTheme="minorEastAsia" w:hAnsi="Cambria Math" w:cs="Arial"/>
              </w:rPr>
              <m:t>t</m:t>
            </m:r>
          </m:sub>
        </m:sSub>
        <m:r>
          <w:rPr>
            <w:rFonts w:ascii="Cambria Math" w:eastAsiaTheme="minorEastAsia" w:hAnsi="Cambria Math" w:cs="Arial"/>
          </w:rPr>
          <m:t xml:space="preserve"> </m:t>
        </m:r>
      </m:oMath>
      <w:r w:rsidR="00034A02" w:rsidRPr="009D1375">
        <w:rPr>
          <w:rFonts w:ascii="Arial" w:eastAsiaTheme="minorEastAsia" w:hAnsi="Arial" w:cs="Arial"/>
        </w:rPr>
        <w:t xml:space="preserve">is the number of individuals infected with tuberculosis disease at time </w:t>
      </w:r>
      <m:oMath>
        <m:r>
          <w:rPr>
            <w:rFonts w:ascii="Cambria Math" w:eastAsiaTheme="minorEastAsia" w:hAnsi="Cambria Math" w:cs="Arial"/>
          </w:rPr>
          <m:t>t</m:t>
        </m:r>
      </m:oMath>
      <w:r>
        <w:rPr>
          <w:rFonts w:ascii="Arial" w:eastAsiaTheme="minorEastAsia" w:hAnsi="Arial" w:cs="Arial"/>
          <w:highlight w:val="yellow"/>
        </w:rPr>
        <w:t xml:space="preserve"> used as an independent variable;</w:t>
      </w:r>
    </w:p>
    <w:p w14:paraId="087DE8F4" w14:textId="77777777" w:rsidR="00034A02" w:rsidRPr="009D1375" w:rsidRDefault="00000000" w:rsidP="009D1375">
      <w:pPr>
        <w:jc w:val="both"/>
        <w:rPr>
          <w:rFonts w:ascii="Arial" w:hAnsi="Arial" w:cs="Arial"/>
        </w:rPr>
      </w:pPr>
      <m:oMath>
        <m:sSub>
          <m:sSubPr>
            <m:ctrlPr>
              <w:rPr>
                <w:rFonts w:ascii="Cambria Math" w:eastAsiaTheme="minorEastAsia" w:hAnsi="Cambria Math" w:cs="Arial"/>
                <w:i/>
              </w:rPr>
            </m:ctrlPr>
          </m:sSubPr>
          <m:e>
            <m:r>
              <w:rPr>
                <w:rFonts w:ascii="Cambria Math" w:eastAsiaTheme="minorEastAsia" w:hAnsi="Cambria Math" w:cs="Arial"/>
              </w:rPr>
              <m:t>β</m:t>
            </m:r>
          </m:e>
          <m:sub>
            <m:r>
              <w:rPr>
                <w:rFonts w:ascii="Cambria Math" w:eastAsiaTheme="minorEastAsia" w:hAnsi="Cambria Math" w:cs="Arial"/>
              </w:rPr>
              <m:t>0</m:t>
            </m:r>
          </m:sub>
        </m:sSub>
        <m:r>
          <w:rPr>
            <w:rFonts w:ascii="Cambria Math" w:eastAsiaTheme="minorEastAsia" w:hAnsi="Cambria Math" w:cs="Arial"/>
          </w:rPr>
          <m:t>=</m:t>
        </m:r>
      </m:oMath>
      <w:r w:rsidR="00034A02" w:rsidRPr="009D1375">
        <w:rPr>
          <w:rFonts w:ascii="Arial" w:eastAsiaTheme="minorEastAsia" w:hAnsi="Arial" w:cs="Arial"/>
        </w:rPr>
        <w:t xml:space="preserve"> </w:t>
      </w:r>
      <w:r>
        <w:rPr>
          <w:rFonts w:ascii="Arial" w:hAnsi="Arial" w:cs="Arial"/>
        </w:rPr>
        <w:t xml:space="preserve">is the intercept of the </w:t>
      </w:r>
      <w:r>
        <w:rPr>
          <w:rFonts w:ascii="Arial" w:hAnsi="Arial" w:cs="Arial"/>
          <w:highlight w:val="yellow"/>
        </w:rPr>
        <w:t>regression model, which represents</w:t>
      </w:r>
      <w:r>
        <w:rPr>
          <w:rFonts w:ascii="Arial" w:hAnsi="Arial" w:cs="Arial"/>
        </w:rPr>
        <w:t xml:space="preserve"> the predictive value of the dependent variable when all the independent variables are kept constant;</w:t>
      </w:r>
    </w:p>
    <w:p w14:paraId="615E7BB5" w14:textId="77777777" w:rsidR="00034A02" w:rsidRPr="009D1375" w:rsidRDefault="00000000" w:rsidP="009D1375">
      <w:pPr>
        <w:jc w:val="both"/>
        <w:rPr>
          <w:rFonts w:ascii="Arial" w:eastAsiaTheme="minorEastAsia" w:hAnsi="Arial" w:cs="Arial"/>
        </w:rPr>
      </w:pPr>
      <m:oMath>
        <m:sSub>
          <m:sSubPr>
            <m:ctrlPr>
              <w:rPr>
                <w:rFonts w:ascii="Cambria Math" w:eastAsiaTheme="minorEastAsia" w:hAnsi="Cambria Math" w:cs="Arial"/>
                <w:i/>
              </w:rPr>
            </m:ctrlPr>
          </m:sSubPr>
          <m:e>
            <m:r>
              <w:rPr>
                <w:rFonts w:ascii="Cambria Math" w:eastAsiaTheme="minorEastAsia" w:hAnsi="Cambria Math" w:cs="Arial"/>
              </w:rPr>
              <m:t>β</m:t>
            </m:r>
          </m:e>
          <m:sub>
            <m:r>
              <w:rPr>
                <w:rFonts w:ascii="Cambria Math" w:eastAsiaTheme="minorEastAsia" w:hAnsi="Cambria Math" w:cs="Arial"/>
              </w:rPr>
              <m:t>1</m:t>
            </m:r>
          </m:sub>
        </m:sSub>
        <m:r>
          <w:rPr>
            <w:rFonts w:ascii="Cambria Math" w:eastAsiaTheme="minorEastAsia" w:hAnsi="Cambria Math" w:cs="Arial"/>
          </w:rPr>
          <m:t xml:space="preserve">, </m:t>
        </m:r>
        <m:sSub>
          <m:sSubPr>
            <m:ctrlPr>
              <w:rPr>
                <w:rFonts w:ascii="Cambria Math" w:eastAsiaTheme="minorEastAsia" w:hAnsi="Cambria Math" w:cs="Arial"/>
                <w:i/>
              </w:rPr>
            </m:ctrlPr>
          </m:sSubPr>
          <m:e>
            <m:r>
              <w:rPr>
                <w:rFonts w:ascii="Cambria Math" w:eastAsiaTheme="minorEastAsia" w:hAnsi="Cambria Math" w:cs="Arial"/>
              </w:rPr>
              <m:t>β</m:t>
            </m:r>
          </m:e>
          <m:sub>
            <m:r>
              <w:rPr>
                <w:rFonts w:ascii="Cambria Math" w:eastAsiaTheme="minorEastAsia" w:hAnsi="Cambria Math" w:cs="Arial"/>
              </w:rPr>
              <m:t xml:space="preserve">2 </m:t>
            </m:r>
          </m:sub>
        </m:sSub>
      </m:oMath>
      <w:r>
        <w:rPr>
          <w:rFonts w:ascii="Arial" w:eastAsiaTheme="minorEastAsia" w:hAnsi="Arial" w:cs="Arial"/>
        </w:rPr>
        <w:t xml:space="preserve">are the partial elasticity or slope coefficients of </w:t>
      </w:r>
      <w:r>
        <w:rPr>
          <w:rFonts w:ascii="Arial" w:eastAsiaTheme="minorEastAsia" w:hAnsi="Arial" w:cs="Arial"/>
          <w:highlight w:val="yellow"/>
        </w:rPr>
        <w:t>HIV and TB, respectively;</w:t>
      </w:r>
    </w:p>
    <w:p w14:paraId="00BCA8E6" w14:textId="77777777" w:rsidR="00034A02" w:rsidRPr="009D1375" w:rsidRDefault="00000000" w:rsidP="009D1375">
      <w:pPr>
        <w:jc w:val="both"/>
        <w:rPr>
          <w:rFonts w:ascii="Arial" w:hAnsi="Arial" w:cs="Arial"/>
        </w:rPr>
      </w:pPr>
      <m:oMath>
        <m:sSub>
          <m:sSubPr>
            <m:ctrlPr>
              <w:rPr>
                <w:rFonts w:ascii="Cambria Math" w:eastAsiaTheme="minorEastAsia" w:hAnsi="Cambria Math" w:cs="Arial"/>
                <w:i/>
              </w:rPr>
            </m:ctrlPr>
          </m:sSubPr>
          <m:e>
            <m:r>
              <w:rPr>
                <w:rFonts w:ascii="Cambria Math" w:eastAsiaTheme="minorEastAsia" w:hAnsi="Cambria Math" w:cs="Arial"/>
              </w:rPr>
              <m:t>ε</m:t>
            </m:r>
          </m:e>
          <m:sub>
            <m:r>
              <w:rPr>
                <w:rFonts w:ascii="Cambria Math" w:eastAsiaTheme="minorEastAsia" w:hAnsi="Cambria Math" w:cs="Arial"/>
              </w:rPr>
              <m:t>t</m:t>
            </m:r>
          </m:sub>
        </m:sSub>
        <m:r>
          <w:rPr>
            <w:rFonts w:ascii="Cambria Math" w:eastAsiaTheme="minorEastAsia" w:hAnsi="Cambria Math" w:cs="Arial"/>
          </w:rPr>
          <m:t>=</m:t>
        </m:r>
      </m:oMath>
      <w:r w:rsidR="00034A02" w:rsidRPr="009D1375">
        <w:rPr>
          <w:rFonts w:ascii="Arial" w:eastAsiaTheme="minorEastAsia" w:hAnsi="Arial" w:cs="Arial"/>
        </w:rPr>
        <w:t xml:space="preserve"> </w:t>
      </w:r>
      <w:r w:rsidR="00034A02" w:rsidRPr="009D1375">
        <w:rPr>
          <w:rFonts w:ascii="Arial" w:hAnsi="Arial" w:cs="Arial"/>
        </w:rPr>
        <w:t>is the error term assumed to be normally and independently distributed with zero mean and constant variance, which captures all other explanatory variables that influence HIV-TB coinfection but are not included in the model.</w:t>
      </w:r>
    </w:p>
    <w:p w14:paraId="60A8205F" w14:textId="77777777" w:rsidR="00034A02" w:rsidRPr="009D1375" w:rsidRDefault="009D1375" w:rsidP="009D1375">
      <w:pPr>
        <w:jc w:val="both"/>
        <w:rPr>
          <w:rFonts w:ascii="Arial" w:hAnsi="Arial" w:cs="Arial"/>
          <w:b/>
        </w:rPr>
      </w:pPr>
      <w:r w:rsidRPr="009D1375">
        <w:rPr>
          <w:rFonts w:ascii="Arial" w:hAnsi="Arial" w:cs="Arial"/>
          <w:b/>
        </w:rPr>
        <w:t>2</w:t>
      </w:r>
      <w:r w:rsidR="00034A02" w:rsidRPr="009D1375">
        <w:rPr>
          <w:rFonts w:ascii="Arial" w:hAnsi="Arial" w:cs="Arial"/>
          <w:b/>
        </w:rPr>
        <w:t xml:space="preserve">.2.5 Vector error correction model (VECM) </w:t>
      </w:r>
    </w:p>
    <w:p w14:paraId="2CEECBC8" w14:textId="77777777" w:rsidR="00034A02" w:rsidRPr="009D1375" w:rsidRDefault="00034A02" w:rsidP="009D1375">
      <w:pPr>
        <w:pStyle w:val="NormalWeb"/>
        <w:spacing w:before="0" w:beforeAutospacing="0" w:after="0" w:afterAutospacing="0"/>
        <w:jc w:val="both"/>
        <w:rPr>
          <w:rFonts w:ascii="Arial" w:hAnsi="Arial" w:cs="Arial"/>
          <w:sz w:val="20"/>
          <w:szCs w:val="20"/>
        </w:rPr>
      </w:pPr>
      <w:r>
        <w:rPr>
          <w:rFonts w:ascii="Arial" w:hAnsi="Arial" w:cs="Arial"/>
          <w:sz w:val="20"/>
          <w:szCs w:val="20"/>
        </w:rPr>
        <w:t xml:space="preserve">A vector error correction model (VECM) is a multivariate time-series model used when the variables are nonstationary but </w:t>
      </w:r>
      <w:r>
        <w:rPr>
          <w:rFonts w:ascii="Arial" w:hAnsi="Arial" w:cs="Arial"/>
          <w:sz w:val="20"/>
          <w:szCs w:val="20"/>
          <w:highlight w:val="yellow"/>
        </w:rPr>
        <w:t>are cointegrated; i.e.,</w:t>
      </w:r>
      <w:r>
        <w:rPr>
          <w:rFonts w:ascii="Arial" w:hAnsi="Arial" w:cs="Arial"/>
          <w:sz w:val="20"/>
          <w:szCs w:val="20"/>
        </w:rPr>
        <w:t xml:space="preserve"> they share one or more stable long-run relationships. The VECM separates long-run equilibrium relationships </w:t>
      </w:r>
      <w:r>
        <w:rPr>
          <w:rFonts w:ascii="Arial" w:hAnsi="Arial" w:cs="Arial"/>
          <w:sz w:val="20"/>
          <w:szCs w:val="20"/>
          <w:highlight w:val="yellow"/>
        </w:rPr>
        <w:t>(cointegration)</w:t>
      </w:r>
      <w:r>
        <w:rPr>
          <w:rFonts w:ascii="Arial" w:hAnsi="Arial" w:cs="Arial"/>
          <w:sz w:val="20"/>
          <w:szCs w:val="20"/>
        </w:rPr>
        <w:t xml:space="preserve"> from short-run dynamics (differences). It forces the system to correct short-run deviations back toward the long-run equilibrium via error-correction terms.</w:t>
      </w:r>
    </w:p>
    <w:p w14:paraId="600C92D8" w14:textId="77777777" w:rsidR="00034A02" w:rsidRPr="009D1375" w:rsidRDefault="00000000" w:rsidP="009D1375">
      <w:pPr>
        <w:jc w:val="both"/>
        <w:rPr>
          <w:rFonts w:ascii="Arial" w:eastAsiaTheme="minorEastAsia" w:hAnsi="Arial" w:cs="Arial"/>
        </w:rPr>
      </w:pPr>
      <m:oMathPara>
        <m:oMath>
          <m:sSub>
            <m:sSubPr>
              <m:ctrlPr>
                <w:rPr>
                  <w:rFonts w:ascii="Cambria Math" w:hAnsi="Cambria Math" w:cs="Arial"/>
                  <w:i/>
                </w:rPr>
              </m:ctrlPr>
            </m:sSubPr>
            <m:e>
              <m:r>
                <m:rPr>
                  <m:sty m:val="bi"/>
                </m:rPr>
                <w:rPr>
                  <w:rFonts w:ascii="Cambria Math" w:hAnsi="Cambria Math" w:cs="Arial"/>
                </w:rPr>
                <m:t>Y</m:t>
              </m:r>
            </m:e>
            <m:sub>
              <m:r>
                <w:rPr>
                  <w:rFonts w:ascii="Cambria Math" w:hAnsi="Cambria Math" w:cs="Arial"/>
                </w:rPr>
                <m:t>t</m:t>
              </m:r>
            </m:sub>
          </m:sSub>
          <m:r>
            <w:rPr>
              <w:rFonts w:ascii="Cambria Math" w:hAnsi="Cambria Math" w:cs="Arial"/>
            </w:rPr>
            <m:t>=</m:t>
          </m:r>
          <m:d>
            <m:dPr>
              <m:begChr m:val="["/>
              <m:endChr m:val="]"/>
              <m:ctrlPr>
                <w:rPr>
                  <w:rFonts w:ascii="Cambria Math" w:hAnsi="Cambria Math" w:cs="Arial"/>
                  <w:i/>
                </w:rPr>
              </m:ctrlPr>
            </m:dPr>
            <m:e>
              <m:m>
                <m:mPr>
                  <m:mcs>
                    <m:mc>
                      <m:mcPr>
                        <m:count m:val="1"/>
                        <m:mcJc m:val="center"/>
                      </m:mcPr>
                    </m:mc>
                  </m:mcs>
                  <m:ctrlPr>
                    <w:rPr>
                      <w:rFonts w:ascii="Cambria Math" w:hAnsi="Cambria Math" w:cs="Arial"/>
                      <w:i/>
                    </w:rPr>
                  </m:ctrlPr>
                </m:mPr>
                <m:mr>
                  <m:e>
                    <m:sSub>
                      <m:sSubPr>
                        <m:ctrlPr>
                          <w:rPr>
                            <w:rFonts w:ascii="Cambria Math" w:hAnsi="Cambria Math" w:cs="Arial"/>
                            <w:i/>
                          </w:rPr>
                        </m:ctrlPr>
                      </m:sSubPr>
                      <m:e>
                        <m:r>
                          <w:rPr>
                            <w:rFonts w:ascii="Cambria Math" w:hAnsi="Cambria Math" w:cs="Arial"/>
                          </w:rPr>
                          <m:t>C</m:t>
                        </m:r>
                      </m:e>
                      <m:sub>
                        <m:r>
                          <w:rPr>
                            <w:rFonts w:ascii="Cambria Math" w:hAnsi="Cambria Math" w:cs="Arial"/>
                          </w:rPr>
                          <m:t>t</m:t>
                        </m:r>
                      </m:sub>
                    </m:sSub>
                  </m:e>
                </m:mr>
                <m:mr>
                  <m:e>
                    <m:sSub>
                      <m:sSubPr>
                        <m:ctrlPr>
                          <w:rPr>
                            <w:rFonts w:ascii="Cambria Math" w:hAnsi="Cambria Math" w:cs="Arial"/>
                            <w:i/>
                          </w:rPr>
                        </m:ctrlPr>
                      </m:sSubPr>
                      <m:e>
                        <m:r>
                          <w:rPr>
                            <w:rFonts w:ascii="Cambria Math" w:hAnsi="Cambria Math" w:cs="Arial"/>
                          </w:rPr>
                          <m:t>H</m:t>
                        </m:r>
                      </m:e>
                      <m:sub>
                        <m:r>
                          <w:rPr>
                            <w:rFonts w:ascii="Cambria Math" w:hAnsi="Cambria Math" w:cs="Arial"/>
                          </w:rPr>
                          <m:t>t</m:t>
                        </m:r>
                      </m:sub>
                    </m:sSub>
                  </m:e>
                </m:mr>
                <m:mr>
                  <m:e>
                    <m:sSub>
                      <m:sSubPr>
                        <m:ctrlPr>
                          <w:rPr>
                            <w:rFonts w:ascii="Cambria Math" w:hAnsi="Cambria Math" w:cs="Arial"/>
                            <w:i/>
                          </w:rPr>
                        </m:ctrlPr>
                      </m:sSubPr>
                      <m:e>
                        <m:r>
                          <w:rPr>
                            <w:rFonts w:ascii="Cambria Math" w:hAnsi="Cambria Math" w:cs="Arial"/>
                          </w:rPr>
                          <m:t>T</m:t>
                        </m:r>
                      </m:e>
                      <m:sub>
                        <m:r>
                          <w:rPr>
                            <w:rFonts w:ascii="Cambria Math" w:hAnsi="Cambria Math" w:cs="Arial"/>
                          </w:rPr>
                          <m:t>t</m:t>
                        </m:r>
                      </m:sub>
                    </m:sSub>
                  </m:e>
                </m:mr>
              </m:m>
            </m:e>
          </m:d>
        </m:oMath>
      </m:oMathPara>
    </w:p>
    <w:p w14:paraId="5D6A447B" w14:textId="77777777" w:rsidR="00034A02" w:rsidRPr="009D1375" w:rsidRDefault="00034A02" w:rsidP="009D1375">
      <w:pPr>
        <w:jc w:val="both"/>
        <w:rPr>
          <w:rFonts w:ascii="Arial" w:hAnsi="Arial" w:cs="Arial"/>
        </w:rPr>
      </w:pPr>
      <w:r w:rsidRPr="009D1375">
        <w:rPr>
          <w:rFonts w:ascii="Arial" w:hAnsi="Arial" w:cs="Arial"/>
        </w:rPr>
        <w:t xml:space="preserve">A VECM with </w:t>
      </w:r>
      <m:oMath>
        <m:r>
          <w:rPr>
            <w:rStyle w:val="katex-mathml"/>
            <w:rFonts w:ascii="Cambria Math" w:hAnsi="Cambria Math" w:cs="Arial"/>
          </w:rPr>
          <m:t>p</m:t>
        </m:r>
      </m:oMath>
      <w:r w:rsidRPr="009D1375">
        <w:rPr>
          <w:rFonts w:ascii="Arial" w:hAnsi="Arial" w:cs="Arial"/>
        </w:rPr>
        <w:t xml:space="preserve"> lags (VAR(</w:t>
      </w:r>
      <w:r w:rsidRPr="009D1375">
        <w:rPr>
          <w:rStyle w:val="mord"/>
          <w:rFonts w:ascii="Arial" w:hAnsi="Arial" w:cs="Arial"/>
        </w:rPr>
        <w:t>p</w:t>
      </w:r>
      <w:r w:rsidRPr="009D1375">
        <w:rPr>
          <w:rFonts w:ascii="Arial" w:hAnsi="Arial" w:cs="Arial"/>
        </w:rPr>
        <w:t>) in levels) can be written as:</w:t>
      </w:r>
    </w:p>
    <w:p w14:paraId="50D1FE9F" w14:textId="77777777" w:rsidR="00034A02" w:rsidRPr="009D1375" w:rsidRDefault="00034A02" w:rsidP="009D1375">
      <w:pPr>
        <w:jc w:val="both"/>
        <w:rPr>
          <w:rFonts w:ascii="Arial" w:eastAsiaTheme="minorEastAsia" w:hAnsi="Arial" w:cs="Arial"/>
        </w:rPr>
      </w:pPr>
      <m:oMathPara>
        <m:oMath>
          <m:r>
            <w:rPr>
              <w:rFonts w:ascii="Cambria Math" w:hAnsi="Cambria Math" w:cs="Arial"/>
            </w:rPr>
            <m:t>∆</m:t>
          </m:r>
          <m:sSub>
            <m:sSubPr>
              <m:ctrlPr>
                <w:rPr>
                  <w:rFonts w:ascii="Cambria Math" w:hAnsi="Cambria Math" w:cs="Arial"/>
                  <w:i/>
                </w:rPr>
              </m:ctrlPr>
            </m:sSubPr>
            <m:e>
              <m:r>
                <m:rPr>
                  <m:sty m:val="bi"/>
                </m:rPr>
                <w:rPr>
                  <w:rFonts w:ascii="Cambria Math" w:hAnsi="Cambria Math" w:cs="Arial"/>
                </w:rPr>
                <m:t>Y</m:t>
              </m:r>
            </m:e>
            <m:sub>
              <m:r>
                <w:rPr>
                  <w:rFonts w:ascii="Cambria Math" w:hAnsi="Cambria Math" w:cs="Arial"/>
                </w:rPr>
                <m:t>t</m:t>
              </m:r>
            </m:sub>
          </m:sSub>
          <m:r>
            <w:rPr>
              <w:rFonts w:ascii="Cambria Math" w:hAnsi="Cambria Math" w:cs="Arial"/>
            </w:rPr>
            <m:t>=Π</m:t>
          </m:r>
          <m:sSub>
            <m:sSubPr>
              <m:ctrlPr>
                <w:rPr>
                  <w:rFonts w:ascii="Cambria Math" w:hAnsi="Cambria Math" w:cs="Arial"/>
                  <w:i/>
                </w:rPr>
              </m:ctrlPr>
            </m:sSubPr>
            <m:e>
              <m:r>
                <m:rPr>
                  <m:sty m:val="bi"/>
                </m:rPr>
                <w:rPr>
                  <w:rFonts w:ascii="Cambria Math" w:hAnsi="Cambria Math" w:cs="Arial"/>
                </w:rPr>
                <m:t>Y</m:t>
              </m:r>
            </m:e>
            <m:sub>
              <m:r>
                <w:rPr>
                  <w:rFonts w:ascii="Cambria Math" w:hAnsi="Cambria Math" w:cs="Arial"/>
                </w:rPr>
                <m:t>t-1</m:t>
              </m:r>
            </m:sub>
          </m:sSub>
          <m:r>
            <w:rPr>
              <w:rFonts w:ascii="Cambria Math" w:hAnsi="Cambria Math" w:cs="Arial"/>
            </w:rPr>
            <m:t>+</m:t>
          </m:r>
          <m:nary>
            <m:naryPr>
              <m:chr m:val="∑"/>
              <m:limLoc m:val="undOvr"/>
              <m:ctrlPr>
                <w:rPr>
                  <w:rFonts w:ascii="Cambria Math" w:hAnsi="Cambria Math" w:cs="Arial"/>
                  <w:i/>
                </w:rPr>
              </m:ctrlPr>
            </m:naryPr>
            <m:sub>
              <m:r>
                <w:rPr>
                  <w:rFonts w:ascii="Cambria Math" w:hAnsi="Cambria Math" w:cs="Arial"/>
                </w:rPr>
                <m:t>i=1</m:t>
              </m:r>
            </m:sub>
            <m:sup>
              <m:r>
                <w:rPr>
                  <w:rFonts w:ascii="Cambria Math" w:hAnsi="Cambria Math" w:cs="Arial"/>
                </w:rPr>
                <m:t>p-1</m:t>
              </m:r>
            </m:sup>
            <m:e>
              <m:sSub>
                <m:sSubPr>
                  <m:ctrlPr>
                    <w:rPr>
                      <w:rFonts w:ascii="Cambria Math" w:hAnsi="Cambria Math" w:cs="Arial"/>
                      <w:i/>
                    </w:rPr>
                  </m:ctrlPr>
                </m:sSubPr>
                <m:e>
                  <m:r>
                    <w:rPr>
                      <w:rFonts w:ascii="Cambria Math" w:hAnsi="Cambria Math" w:cs="Arial"/>
                    </w:rPr>
                    <m:t>Г</m:t>
                  </m:r>
                </m:e>
                <m:sub>
                  <m:r>
                    <w:rPr>
                      <w:rFonts w:ascii="Cambria Math" w:hAnsi="Cambria Math" w:cs="Arial"/>
                    </w:rPr>
                    <m:t>i</m:t>
                  </m:r>
                </m:sub>
              </m:sSub>
              <m:r>
                <w:rPr>
                  <w:rFonts w:ascii="Cambria Math" w:hAnsi="Cambria Math" w:cs="Arial"/>
                </w:rPr>
                <m:t>∆</m:t>
              </m:r>
              <m:sSub>
                <m:sSubPr>
                  <m:ctrlPr>
                    <w:rPr>
                      <w:rFonts w:ascii="Cambria Math" w:hAnsi="Cambria Math" w:cs="Arial"/>
                      <w:i/>
                    </w:rPr>
                  </m:ctrlPr>
                </m:sSubPr>
                <m:e>
                  <m:r>
                    <m:rPr>
                      <m:sty m:val="bi"/>
                    </m:rPr>
                    <w:rPr>
                      <w:rFonts w:ascii="Cambria Math" w:hAnsi="Cambria Math" w:cs="Arial"/>
                    </w:rPr>
                    <m:t>Y</m:t>
                  </m:r>
                </m:e>
                <m:sub>
                  <m:r>
                    <w:rPr>
                      <w:rFonts w:ascii="Cambria Math" w:hAnsi="Cambria Math" w:cs="Arial"/>
                    </w:rPr>
                    <m:t>t-i</m:t>
                  </m:r>
                </m:sub>
              </m:sSub>
              <m:r>
                <w:rPr>
                  <w:rFonts w:ascii="Cambria Math" w:hAnsi="Cambria Math" w:cs="Arial"/>
                </w:rPr>
                <m:t>+μ+</m:t>
              </m:r>
              <m:sSub>
                <m:sSubPr>
                  <m:ctrlPr>
                    <w:rPr>
                      <w:rFonts w:ascii="Cambria Math" w:hAnsi="Cambria Math" w:cs="Arial"/>
                      <w:i/>
                    </w:rPr>
                  </m:ctrlPr>
                </m:sSubPr>
                <m:e>
                  <m:r>
                    <w:rPr>
                      <w:rFonts w:ascii="Cambria Math" w:hAnsi="Cambria Math" w:cs="Arial"/>
                    </w:rPr>
                    <m:t>ε</m:t>
                  </m:r>
                </m:e>
                <m:sub>
                  <m:r>
                    <w:rPr>
                      <w:rFonts w:ascii="Cambria Math" w:hAnsi="Cambria Math" w:cs="Arial"/>
                    </w:rPr>
                    <m:t>t</m:t>
                  </m:r>
                </m:sub>
              </m:sSub>
            </m:e>
          </m:nary>
        </m:oMath>
      </m:oMathPara>
    </w:p>
    <w:p w14:paraId="2321EEBC" w14:textId="77777777" w:rsidR="00034A02" w:rsidRPr="009D1375" w:rsidRDefault="00034A02" w:rsidP="009D1375">
      <w:pPr>
        <w:pStyle w:val="NormalWeb"/>
        <w:spacing w:before="0" w:beforeAutospacing="0" w:after="0" w:afterAutospacing="0"/>
        <w:jc w:val="both"/>
        <w:rPr>
          <w:rFonts w:ascii="Arial" w:hAnsi="Arial" w:cs="Arial"/>
          <w:sz w:val="20"/>
          <w:szCs w:val="20"/>
        </w:rPr>
      </w:pPr>
      <w:r w:rsidRPr="009D1375">
        <w:rPr>
          <w:rFonts w:ascii="Arial" w:hAnsi="Arial" w:cs="Arial"/>
          <w:sz w:val="20"/>
          <w:szCs w:val="20"/>
        </w:rPr>
        <w:t xml:space="preserve">where </w:t>
      </w:r>
      <m:oMath>
        <m:r>
          <w:rPr>
            <w:rFonts w:ascii="Cambria Math" w:hAnsi="Cambria Math" w:cs="Arial"/>
            <w:sz w:val="20"/>
            <w:szCs w:val="20"/>
          </w:rPr>
          <m:t>∆</m:t>
        </m:r>
        <m:sSub>
          <m:sSubPr>
            <m:ctrlPr>
              <w:rPr>
                <w:rFonts w:ascii="Cambria Math" w:hAnsi="Cambria Math" w:cs="Arial"/>
                <w:i/>
                <w:sz w:val="20"/>
                <w:szCs w:val="20"/>
              </w:rPr>
            </m:ctrlPr>
          </m:sSubPr>
          <m:e>
            <m:r>
              <m:rPr>
                <m:sty m:val="bi"/>
              </m:rPr>
              <w:rPr>
                <w:rFonts w:ascii="Cambria Math" w:hAnsi="Cambria Math" w:cs="Arial"/>
                <w:sz w:val="20"/>
                <w:szCs w:val="20"/>
              </w:rPr>
              <m:t>Y</m:t>
            </m:r>
          </m:e>
          <m:sub>
            <m:r>
              <w:rPr>
                <w:rFonts w:ascii="Cambria Math" w:hAnsi="Cambria Math" w:cs="Arial"/>
                <w:sz w:val="20"/>
                <w:szCs w:val="20"/>
              </w:rPr>
              <m:t>t</m:t>
            </m:r>
          </m:sub>
        </m:sSub>
        <m:r>
          <w:rPr>
            <w:rFonts w:ascii="Cambria Math" w:hAnsi="Cambria Math" w:cs="Arial"/>
            <w:sz w:val="20"/>
            <w:szCs w:val="20"/>
          </w:rPr>
          <m:t>=</m:t>
        </m:r>
        <m:sSub>
          <m:sSubPr>
            <m:ctrlPr>
              <w:rPr>
                <w:rFonts w:ascii="Cambria Math" w:hAnsi="Cambria Math" w:cs="Arial"/>
                <w:i/>
                <w:sz w:val="20"/>
                <w:szCs w:val="20"/>
              </w:rPr>
            </m:ctrlPr>
          </m:sSubPr>
          <m:e>
            <m:r>
              <m:rPr>
                <m:sty m:val="bi"/>
              </m:rPr>
              <w:rPr>
                <w:rFonts w:ascii="Cambria Math" w:hAnsi="Cambria Math" w:cs="Arial"/>
                <w:sz w:val="20"/>
                <w:szCs w:val="20"/>
              </w:rPr>
              <m:t>Y</m:t>
            </m:r>
          </m:e>
          <m:sub>
            <m:r>
              <w:rPr>
                <w:rFonts w:ascii="Cambria Math" w:hAnsi="Cambria Math" w:cs="Arial"/>
                <w:sz w:val="20"/>
                <w:szCs w:val="20"/>
              </w:rPr>
              <m:t>t</m:t>
            </m:r>
          </m:sub>
        </m:sSub>
        <m:r>
          <w:rPr>
            <w:rFonts w:ascii="Cambria Math" w:hAnsi="Cambria Math" w:cs="Arial"/>
            <w:sz w:val="20"/>
            <w:szCs w:val="20"/>
          </w:rPr>
          <m:t>-</m:t>
        </m:r>
        <m:sSub>
          <m:sSubPr>
            <m:ctrlPr>
              <w:rPr>
                <w:rFonts w:ascii="Cambria Math" w:hAnsi="Cambria Math" w:cs="Arial"/>
                <w:i/>
                <w:sz w:val="20"/>
                <w:szCs w:val="20"/>
              </w:rPr>
            </m:ctrlPr>
          </m:sSubPr>
          <m:e>
            <m:r>
              <m:rPr>
                <m:sty m:val="bi"/>
              </m:rPr>
              <w:rPr>
                <w:rFonts w:ascii="Cambria Math" w:hAnsi="Cambria Math" w:cs="Arial"/>
                <w:sz w:val="20"/>
                <w:szCs w:val="20"/>
              </w:rPr>
              <m:t>Y</m:t>
            </m:r>
          </m:e>
          <m:sub>
            <m:r>
              <w:rPr>
                <w:rFonts w:ascii="Cambria Math" w:hAnsi="Cambria Math" w:cs="Arial"/>
                <w:sz w:val="20"/>
                <w:szCs w:val="20"/>
              </w:rPr>
              <m:t>t-1</m:t>
            </m:r>
          </m:sub>
        </m:sSub>
      </m:oMath>
      <w:r>
        <w:rPr>
          <w:rFonts w:ascii="Arial" w:hAnsi="Arial" w:cs="Arial"/>
          <w:sz w:val="20"/>
          <w:szCs w:val="20"/>
          <w:highlight w:val="yellow"/>
        </w:rPr>
        <w:t xml:space="preserve"> is the first difference,</w:t>
      </w:r>
      <w:r>
        <w:rPr>
          <w:rFonts w:ascii="Arial" w:hAnsi="Arial" w:cs="Arial"/>
          <w:sz w:val="20"/>
          <w:szCs w:val="20"/>
        </w:rPr>
        <w:t xml:space="preserve"> </w:t>
      </w:r>
      <m:oMath>
        <m:r>
          <w:rPr>
            <w:rStyle w:val="katex-mathml"/>
            <w:rFonts w:ascii="Cambria Math" w:eastAsiaTheme="majorEastAsia" w:hAnsi="Cambria Math" w:cs="Arial"/>
            <w:sz w:val="20"/>
            <w:szCs w:val="20"/>
          </w:rPr>
          <m:t>Π</m:t>
        </m:r>
      </m:oMath>
      <w:r w:rsidRPr="009D1375">
        <w:rPr>
          <w:rStyle w:val="katex-mathml"/>
          <w:rFonts w:ascii="Arial" w:eastAsiaTheme="majorEastAsia" w:hAnsi="Arial" w:cs="Arial"/>
          <w:sz w:val="20"/>
          <w:szCs w:val="20"/>
        </w:rPr>
        <w:t xml:space="preserve"> is a </w:t>
      </w:r>
      <m:oMath>
        <m:r>
          <w:rPr>
            <w:rStyle w:val="mord"/>
            <w:rFonts w:ascii="Cambria Math" w:hAnsi="Cambria Math" w:cs="Arial"/>
            <w:sz w:val="20"/>
            <w:szCs w:val="20"/>
          </w:rPr>
          <m:t>3</m:t>
        </m:r>
        <m:r>
          <w:rPr>
            <w:rStyle w:val="mbin"/>
            <w:rFonts w:ascii="Cambria Math" w:hAnsi="Cambria Math" w:cs="Arial"/>
            <w:sz w:val="20"/>
            <w:szCs w:val="20"/>
          </w:rPr>
          <m:t>×</m:t>
        </m:r>
        <m:r>
          <w:rPr>
            <w:rStyle w:val="mord"/>
            <w:rFonts w:ascii="Cambria Math" w:hAnsi="Cambria Math" w:cs="Arial"/>
            <w:sz w:val="20"/>
            <w:szCs w:val="20"/>
          </w:rPr>
          <m:t>3</m:t>
        </m:r>
      </m:oMath>
      <w:r w:rsidRPr="009D1375">
        <w:rPr>
          <w:rFonts w:ascii="Arial" w:hAnsi="Arial" w:cs="Arial"/>
          <w:sz w:val="20"/>
          <w:szCs w:val="20"/>
        </w:rPr>
        <w:t xml:space="preserve"> matrix with long-run information, </w:t>
      </w:r>
      <m:oMath>
        <m:sSub>
          <m:sSubPr>
            <m:ctrlPr>
              <w:rPr>
                <w:rFonts w:ascii="Cambria Math" w:eastAsiaTheme="minorHAnsi" w:hAnsi="Cambria Math" w:cs="Arial"/>
                <w:i/>
                <w:sz w:val="20"/>
                <w:szCs w:val="20"/>
              </w:rPr>
            </m:ctrlPr>
          </m:sSubPr>
          <m:e>
            <m:r>
              <w:rPr>
                <w:rFonts w:ascii="Cambria Math" w:hAnsi="Cambria Math" w:cs="Arial"/>
                <w:sz w:val="20"/>
                <w:szCs w:val="20"/>
              </w:rPr>
              <m:t>Г</m:t>
            </m:r>
          </m:e>
          <m:sub>
            <m:r>
              <w:rPr>
                <w:rFonts w:ascii="Cambria Math" w:hAnsi="Cambria Math" w:cs="Arial"/>
                <w:sz w:val="20"/>
                <w:szCs w:val="20"/>
              </w:rPr>
              <m:t>i</m:t>
            </m:r>
          </m:sub>
        </m:sSub>
        <m:r>
          <w:rPr>
            <w:rFonts w:ascii="Cambria Math" w:eastAsiaTheme="minorHAnsi" w:hAnsi="Cambria Math" w:cs="Arial"/>
            <w:sz w:val="20"/>
            <w:szCs w:val="20"/>
          </w:rPr>
          <m:t xml:space="preserve"> </m:t>
        </m:r>
      </m:oMath>
      <w:r w:rsidRPr="009D1375">
        <w:rPr>
          <w:rStyle w:val="katex-mathml"/>
          <w:rFonts w:ascii="Arial" w:eastAsiaTheme="majorEastAsia" w:hAnsi="Arial" w:cs="Arial"/>
          <w:sz w:val="20"/>
          <w:szCs w:val="20"/>
        </w:rPr>
        <w:t xml:space="preserve">are </w:t>
      </w:r>
      <m:oMath>
        <m:r>
          <w:rPr>
            <w:rStyle w:val="mord"/>
            <w:rFonts w:ascii="Cambria Math" w:hAnsi="Cambria Math" w:cs="Arial"/>
            <w:sz w:val="20"/>
            <w:szCs w:val="20"/>
          </w:rPr>
          <m:t>3</m:t>
        </m:r>
        <m:r>
          <w:rPr>
            <w:rStyle w:val="mbin"/>
            <w:rFonts w:ascii="Cambria Math" w:hAnsi="Cambria Math" w:cs="Arial"/>
            <w:sz w:val="20"/>
            <w:szCs w:val="20"/>
          </w:rPr>
          <m:t>×</m:t>
        </m:r>
        <m:r>
          <w:rPr>
            <w:rStyle w:val="mord"/>
            <w:rFonts w:ascii="Cambria Math" w:hAnsi="Cambria Math" w:cs="Arial"/>
            <w:sz w:val="20"/>
            <w:szCs w:val="20"/>
          </w:rPr>
          <m:t>3</m:t>
        </m:r>
      </m:oMath>
      <w:r w:rsidRPr="009D1375">
        <w:rPr>
          <w:rFonts w:ascii="Arial" w:hAnsi="Arial" w:cs="Arial"/>
          <w:sz w:val="20"/>
          <w:szCs w:val="20"/>
        </w:rPr>
        <w:t xml:space="preserve"> short-run coefficient matrices, </w:t>
      </w:r>
      <m:oMath>
        <m:r>
          <w:rPr>
            <w:rStyle w:val="mord"/>
            <w:rFonts w:ascii="Cambria Math" w:hAnsi="Cambria Math" w:cs="Arial"/>
            <w:sz w:val="20"/>
            <w:szCs w:val="20"/>
          </w:rPr>
          <m:t>μ</m:t>
        </m:r>
      </m:oMath>
      <w:r>
        <w:rPr>
          <w:rFonts w:ascii="Arial" w:hAnsi="Arial" w:cs="Arial"/>
          <w:sz w:val="20"/>
          <w:szCs w:val="20"/>
          <w:highlight w:val="yellow"/>
        </w:rPr>
        <w:t xml:space="preserve"> denotes deterministic terms,</w:t>
      </w:r>
      <m:oMath>
        <m:r>
          <w:rPr>
            <w:rFonts w:ascii="Cambria Math" w:eastAsiaTheme="minorHAnsi" w:hAnsi="Cambria Math" w:cs="Arial"/>
            <w:sz w:val="20"/>
            <w:szCs w:val="20"/>
          </w:rPr>
          <m:t xml:space="preserve"> </m:t>
        </m:r>
        <m:sSub>
          <m:sSubPr>
            <m:ctrlPr>
              <w:rPr>
                <w:rFonts w:ascii="Cambria Math" w:eastAsiaTheme="minorHAnsi" w:hAnsi="Cambria Math" w:cs="Arial"/>
                <w:i/>
                <w:sz w:val="20"/>
                <w:szCs w:val="20"/>
              </w:rPr>
            </m:ctrlPr>
          </m:sSubPr>
          <m:e>
            <m:r>
              <w:rPr>
                <w:rFonts w:ascii="Cambria Math" w:hAnsi="Cambria Math" w:cs="Arial"/>
                <w:sz w:val="20"/>
                <w:szCs w:val="20"/>
              </w:rPr>
              <m:t>ε</m:t>
            </m:r>
          </m:e>
          <m:sub>
            <m:r>
              <w:rPr>
                <w:rFonts w:ascii="Cambria Math" w:hAnsi="Cambria Math" w:cs="Arial"/>
                <w:sz w:val="20"/>
                <w:szCs w:val="20"/>
              </w:rPr>
              <m:t>t</m:t>
            </m:r>
          </m:sub>
        </m:sSub>
      </m:oMath>
      <w:r w:rsidRPr="009D1375">
        <w:rPr>
          <w:rFonts w:ascii="Arial" w:hAnsi="Arial" w:cs="Arial"/>
          <w:sz w:val="20"/>
          <w:szCs w:val="20"/>
        </w:rPr>
        <w:t xml:space="preserve"> is a </w:t>
      </w:r>
      <m:oMath>
        <m:r>
          <w:rPr>
            <w:rFonts w:ascii="Cambria Math" w:hAnsi="Cambria Math" w:cs="Arial"/>
            <w:sz w:val="20"/>
            <w:szCs w:val="20"/>
          </w:rPr>
          <m:t>3×1</m:t>
        </m:r>
      </m:oMath>
      <w:r w:rsidRPr="009D1375">
        <w:rPr>
          <w:rFonts w:ascii="Arial" w:hAnsi="Arial" w:cs="Arial"/>
          <w:sz w:val="20"/>
          <w:szCs w:val="20"/>
        </w:rPr>
        <w:t xml:space="preserve"> vector of innovations.</w:t>
      </w:r>
    </w:p>
    <w:p w14:paraId="67D05505" w14:textId="77777777" w:rsidR="00034A02" w:rsidRPr="009D1375" w:rsidRDefault="00034A02" w:rsidP="009D1375">
      <w:pPr>
        <w:jc w:val="both"/>
        <w:rPr>
          <w:rFonts w:ascii="Arial" w:eastAsiaTheme="minorEastAsia" w:hAnsi="Arial" w:cs="Arial"/>
        </w:rPr>
      </w:pPr>
      <w:r w:rsidRPr="009D1375">
        <w:rPr>
          <w:rFonts w:ascii="Arial" w:hAnsi="Arial" w:cs="Arial"/>
        </w:rPr>
        <w:t>If rank</w:t>
      </w:r>
      <m:oMath>
        <m:d>
          <m:dPr>
            <m:ctrlPr>
              <w:rPr>
                <w:rFonts w:ascii="Cambria Math" w:hAnsi="Cambria Math" w:cs="Arial"/>
                <w:i/>
              </w:rPr>
            </m:ctrlPr>
          </m:dPr>
          <m:e>
            <m:r>
              <w:rPr>
                <w:rFonts w:ascii="Cambria Math" w:hAnsi="Cambria Math" w:cs="Arial"/>
              </w:rPr>
              <m:t>Π</m:t>
            </m:r>
          </m:e>
        </m:d>
        <m:r>
          <w:rPr>
            <w:rFonts w:ascii="Cambria Math" w:hAnsi="Cambria Math" w:cs="Arial"/>
          </w:rPr>
          <m:t>=r</m:t>
        </m:r>
      </m:oMath>
      <w:r w:rsidRPr="009D1375">
        <w:rPr>
          <w:rFonts w:ascii="Arial" w:eastAsiaTheme="minorEastAsia" w:hAnsi="Arial" w:cs="Arial"/>
        </w:rPr>
        <w:t xml:space="preserve"> with </w:t>
      </w:r>
      <m:oMath>
        <m:r>
          <w:rPr>
            <w:rFonts w:ascii="Cambria Math" w:eastAsiaTheme="minorEastAsia" w:hAnsi="Cambria Math" w:cs="Arial"/>
          </w:rPr>
          <m:t>0&lt;r&lt;3</m:t>
        </m:r>
      </m:oMath>
      <w:r w:rsidRPr="009D1375">
        <w:rPr>
          <w:rFonts w:ascii="Arial" w:eastAsiaTheme="minorEastAsia" w:hAnsi="Arial" w:cs="Arial"/>
        </w:rPr>
        <w:t xml:space="preserve">, then </w:t>
      </w:r>
      <m:oMath>
        <m:r>
          <w:rPr>
            <w:rFonts w:ascii="Cambria Math" w:eastAsiaTheme="minorEastAsia" w:hAnsi="Cambria Math" w:cs="Arial"/>
          </w:rPr>
          <m:t>Π=α</m:t>
        </m:r>
        <m:sSup>
          <m:sSupPr>
            <m:ctrlPr>
              <w:rPr>
                <w:rFonts w:ascii="Cambria Math" w:eastAsiaTheme="minorEastAsia" w:hAnsi="Cambria Math" w:cs="Arial"/>
                <w:i/>
              </w:rPr>
            </m:ctrlPr>
          </m:sSupPr>
          <m:e>
            <m:r>
              <w:rPr>
                <w:rFonts w:ascii="Cambria Math" w:eastAsiaTheme="minorEastAsia" w:hAnsi="Cambria Math" w:cs="Arial"/>
              </w:rPr>
              <m:t>β</m:t>
            </m:r>
          </m:e>
          <m:sup>
            <m:r>
              <w:rPr>
                <w:rFonts w:ascii="Cambria Math" w:eastAsiaTheme="minorEastAsia" w:hAnsi="Cambria Math" w:cs="Arial"/>
              </w:rPr>
              <m:t>'</m:t>
            </m:r>
          </m:sup>
        </m:sSup>
      </m:oMath>
      <w:r w:rsidRPr="009D1375">
        <w:rPr>
          <w:rFonts w:ascii="Arial" w:eastAsiaTheme="minorEastAsia" w:hAnsi="Arial" w:cs="Arial"/>
        </w:rPr>
        <w:t xml:space="preserve"> with </w:t>
      </w:r>
      <m:oMath>
        <m:r>
          <w:rPr>
            <w:rFonts w:ascii="Cambria Math" w:eastAsiaTheme="minorEastAsia" w:hAnsi="Cambria Math" w:cs="Arial"/>
          </w:rPr>
          <m:t>β</m:t>
        </m:r>
      </m:oMath>
      <w:r w:rsidRPr="009D1375">
        <w:rPr>
          <w:rFonts w:ascii="Arial" w:eastAsiaTheme="minorEastAsia" w:hAnsi="Arial" w:cs="Arial"/>
        </w:rPr>
        <w:t xml:space="preserve"> a </w:t>
      </w:r>
      <m:oMath>
        <m:r>
          <w:rPr>
            <w:rFonts w:ascii="Cambria Math" w:eastAsiaTheme="minorEastAsia" w:hAnsi="Cambria Math" w:cs="Arial"/>
          </w:rPr>
          <m:t>3×r</m:t>
        </m:r>
      </m:oMath>
      <w:r w:rsidRPr="009D1375">
        <w:rPr>
          <w:rFonts w:ascii="Arial" w:eastAsiaTheme="minorEastAsia" w:hAnsi="Arial" w:cs="Arial"/>
        </w:rPr>
        <w:t xml:space="preserve"> matrix of cointegrating vectors and </w:t>
      </w:r>
      <m:oMath>
        <m:r>
          <w:rPr>
            <w:rFonts w:ascii="Cambria Math" w:eastAsiaTheme="minorEastAsia" w:hAnsi="Cambria Math" w:cs="Arial"/>
          </w:rPr>
          <m:t xml:space="preserve">α </m:t>
        </m:r>
      </m:oMath>
      <w:r w:rsidRPr="009D1375">
        <w:rPr>
          <w:rFonts w:ascii="Arial" w:eastAsiaTheme="minorEastAsia" w:hAnsi="Arial" w:cs="Arial"/>
        </w:rPr>
        <w:t xml:space="preserve">a </w:t>
      </w:r>
      <m:oMath>
        <m:r>
          <w:rPr>
            <w:rFonts w:ascii="Cambria Math" w:eastAsiaTheme="minorEastAsia" w:hAnsi="Cambria Math" w:cs="Arial"/>
          </w:rPr>
          <m:t>3×r</m:t>
        </m:r>
      </m:oMath>
      <w:r w:rsidRPr="009D1375">
        <w:rPr>
          <w:rFonts w:ascii="Arial" w:eastAsiaTheme="minorEastAsia" w:hAnsi="Arial" w:cs="Arial"/>
        </w:rPr>
        <w:t xml:space="preserve"> matrix of adjustment coefficients.</w:t>
      </w:r>
    </w:p>
    <w:p w14:paraId="3E5A9FE5" w14:textId="77777777" w:rsidR="00034A02" w:rsidRPr="009D1375" w:rsidRDefault="00034A02" w:rsidP="009D1375">
      <w:pPr>
        <w:jc w:val="both"/>
        <w:rPr>
          <w:rFonts w:ascii="Arial" w:hAnsi="Arial" w:cs="Arial"/>
        </w:rPr>
      </w:pPr>
      <w:r w:rsidRPr="009D1375">
        <w:rPr>
          <w:rFonts w:ascii="Arial" w:hAnsi="Arial" w:cs="Arial"/>
        </w:rPr>
        <w:t>For one cointegrating relation (</w:t>
      </w:r>
      <m:oMath>
        <m:r>
          <w:rPr>
            <w:rStyle w:val="mord"/>
            <w:rFonts w:ascii="Cambria Math" w:hAnsi="Cambria Math" w:cs="Arial"/>
          </w:rPr>
          <m:t>r</m:t>
        </m:r>
        <m:r>
          <w:rPr>
            <w:rStyle w:val="mrel"/>
            <w:rFonts w:ascii="Cambria Math" w:hAnsi="Cambria Math" w:cs="Arial"/>
          </w:rPr>
          <m:t>=</m:t>
        </m:r>
        <m:r>
          <w:rPr>
            <w:rStyle w:val="mord"/>
            <w:rFonts w:ascii="Cambria Math" w:hAnsi="Cambria Math" w:cs="Arial"/>
          </w:rPr>
          <m:t>1</m:t>
        </m:r>
      </m:oMath>
      <w:r>
        <w:rPr>
          <w:rFonts w:ascii="Arial" w:hAnsi="Arial" w:cs="Arial"/>
        </w:rPr>
        <w:t xml:space="preserve">), we </w:t>
      </w:r>
      <w:r>
        <w:rPr>
          <w:rFonts w:ascii="Arial" w:hAnsi="Arial" w:cs="Arial"/>
          <w:highlight w:val="yellow"/>
        </w:rPr>
        <w:t>normalise</w:t>
      </w:r>
      <w:r>
        <w:rPr>
          <w:rFonts w:ascii="Arial" w:hAnsi="Arial" w:cs="Arial"/>
        </w:rPr>
        <w:t xml:space="preserve"> the cointegrating vector so that it has the form:</w:t>
      </w:r>
    </w:p>
    <w:p w14:paraId="35B4F06E" w14:textId="77777777" w:rsidR="00034A02" w:rsidRPr="009D1375" w:rsidRDefault="00000000" w:rsidP="009D1375">
      <w:pPr>
        <w:jc w:val="both"/>
        <w:rPr>
          <w:rFonts w:ascii="Arial" w:eastAsiaTheme="minorEastAsia" w:hAnsi="Arial" w:cs="Arial"/>
        </w:rPr>
      </w:pPr>
      <m:oMathPara>
        <m:oMath>
          <m:sSup>
            <m:sSupPr>
              <m:ctrlPr>
                <w:rPr>
                  <w:rFonts w:ascii="Cambria Math" w:hAnsi="Cambria Math" w:cs="Arial"/>
                  <w:i/>
                </w:rPr>
              </m:ctrlPr>
            </m:sSupPr>
            <m:e>
              <m:r>
                <w:rPr>
                  <w:rFonts w:ascii="Cambria Math" w:hAnsi="Cambria Math" w:cs="Arial"/>
                </w:rPr>
                <m:t>β</m:t>
              </m:r>
            </m:e>
            <m:sup>
              <m:r>
                <w:rPr>
                  <w:rFonts w:ascii="Cambria Math" w:hAnsi="Cambria Math" w:cs="Arial"/>
                </w:rPr>
                <m:t>'</m:t>
              </m:r>
            </m:sup>
          </m:sSup>
          <m:sSub>
            <m:sSubPr>
              <m:ctrlPr>
                <w:rPr>
                  <w:rFonts w:ascii="Cambria Math" w:hAnsi="Cambria Math" w:cs="Arial"/>
                  <w:i/>
                </w:rPr>
              </m:ctrlPr>
            </m:sSubPr>
            <m:e>
              <m:r>
                <m:rPr>
                  <m:sty m:val="bi"/>
                </m:rPr>
                <w:rPr>
                  <w:rFonts w:ascii="Cambria Math" w:hAnsi="Cambria Math" w:cs="Arial"/>
                </w:rPr>
                <m:t>Y</m:t>
              </m:r>
            </m:e>
            <m:sub>
              <m:r>
                <w:rPr>
                  <w:rFonts w:ascii="Cambria Math" w:hAnsi="Cambria Math" w:cs="Arial"/>
                </w:rPr>
                <m:t>t-1</m:t>
              </m:r>
            </m:sub>
          </m:sSub>
          <m:r>
            <w:rPr>
              <w:rFonts w:ascii="Cambria Math" w:hAnsi="Cambria Math" w:cs="Arial"/>
            </w:rPr>
            <m:t>=</m:t>
          </m:r>
          <m:sSub>
            <m:sSubPr>
              <m:ctrlPr>
                <w:rPr>
                  <w:rFonts w:ascii="Cambria Math" w:hAnsi="Cambria Math" w:cs="Arial"/>
                  <w:i/>
                </w:rPr>
              </m:ctrlPr>
            </m:sSubPr>
            <m:e>
              <m:r>
                <w:rPr>
                  <w:rFonts w:ascii="Cambria Math" w:hAnsi="Cambria Math" w:cs="Arial"/>
                </w:rPr>
                <m:t>C</m:t>
              </m:r>
            </m:e>
            <m:sub>
              <m:r>
                <w:rPr>
                  <w:rFonts w:ascii="Cambria Math" w:hAnsi="Cambria Math" w:cs="Arial"/>
                </w:rPr>
                <m:t>t-1</m:t>
              </m:r>
            </m:sub>
          </m:sSub>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1</m:t>
              </m:r>
            </m:sub>
          </m:sSub>
          <m:sSub>
            <m:sSubPr>
              <m:ctrlPr>
                <w:rPr>
                  <w:rFonts w:ascii="Cambria Math" w:hAnsi="Cambria Math" w:cs="Arial"/>
                  <w:i/>
                </w:rPr>
              </m:ctrlPr>
            </m:sSubPr>
            <m:e>
              <m:r>
                <w:rPr>
                  <w:rFonts w:ascii="Cambria Math" w:hAnsi="Cambria Math" w:cs="Arial"/>
                </w:rPr>
                <m:t>H</m:t>
              </m:r>
            </m:e>
            <m:sub>
              <m:r>
                <w:rPr>
                  <w:rFonts w:ascii="Cambria Math" w:hAnsi="Cambria Math" w:cs="Arial"/>
                </w:rPr>
                <m:t>t-1</m:t>
              </m:r>
            </m:sub>
          </m:sSub>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2</m:t>
              </m:r>
            </m:sub>
          </m:sSub>
          <m:sSub>
            <m:sSubPr>
              <m:ctrlPr>
                <w:rPr>
                  <w:rFonts w:ascii="Cambria Math" w:hAnsi="Cambria Math" w:cs="Arial"/>
                  <w:i/>
                </w:rPr>
              </m:ctrlPr>
            </m:sSubPr>
            <m:e>
              <m:r>
                <w:rPr>
                  <w:rFonts w:ascii="Cambria Math" w:hAnsi="Cambria Math" w:cs="Arial"/>
                </w:rPr>
                <m:t>T</m:t>
              </m:r>
            </m:e>
            <m:sub>
              <m:r>
                <w:rPr>
                  <w:rFonts w:ascii="Cambria Math" w:hAnsi="Cambria Math" w:cs="Arial"/>
                </w:rPr>
                <m:t>t-1</m:t>
              </m:r>
            </m:sub>
          </m:sSub>
          <m:r>
            <w:rPr>
              <w:rFonts w:ascii="Cambria Math" w:hAnsi="Cambria Math" w:cs="Arial"/>
            </w:rPr>
            <m:t xml:space="preserve">                                                                (18)</m:t>
          </m:r>
        </m:oMath>
      </m:oMathPara>
    </w:p>
    <w:p w14:paraId="79787670" w14:textId="77777777" w:rsidR="00034A02" w:rsidRPr="009D1375" w:rsidRDefault="00034A02" w:rsidP="009D1375">
      <w:pPr>
        <w:jc w:val="both"/>
        <w:rPr>
          <w:rFonts w:ascii="Arial" w:hAnsi="Arial" w:cs="Arial"/>
        </w:rPr>
      </w:pPr>
      <w:r w:rsidRPr="009D1375">
        <w:rPr>
          <w:rFonts w:ascii="Arial" w:hAnsi="Arial" w:cs="Arial"/>
        </w:rPr>
        <w:t>i.e. the long-run equilibrium is</w:t>
      </w:r>
    </w:p>
    <w:p w14:paraId="1D6495A9" w14:textId="77777777" w:rsidR="00034A02" w:rsidRPr="009D1375" w:rsidRDefault="00000000" w:rsidP="009D1375">
      <w:pPr>
        <w:jc w:val="both"/>
        <w:rPr>
          <w:rFonts w:ascii="Arial" w:eastAsiaTheme="minorEastAsia" w:hAnsi="Arial" w:cs="Arial"/>
        </w:rPr>
      </w:pPr>
      <m:oMathPara>
        <m:oMath>
          <m:sSub>
            <m:sSubPr>
              <m:ctrlPr>
                <w:rPr>
                  <w:rFonts w:ascii="Cambria Math" w:hAnsi="Cambria Math" w:cs="Arial"/>
                  <w:i/>
                </w:rPr>
              </m:ctrlPr>
            </m:sSubPr>
            <m:e>
              <m:r>
                <w:rPr>
                  <w:rFonts w:ascii="Cambria Math" w:hAnsi="Cambria Math" w:cs="Arial"/>
                </w:rPr>
                <m:t>C</m:t>
              </m:r>
            </m:e>
            <m:sub>
              <m:r>
                <w:rPr>
                  <w:rFonts w:ascii="Cambria Math" w:hAnsi="Cambria Math" w:cs="Arial"/>
                </w:rPr>
                <m:t>t-1</m:t>
              </m:r>
            </m:sub>
          </m:sSub>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1</m:t>
              </m:r>
            </m:sub>
          </m:sSub>
          <m:sSub>
            <m:sSubPr>
              <m:ctrlPr>
                <w:rPr>
                  <w:rFonts w:ascii="Cambria Math" w:hAnsi="Cambria Math" w:cs="Arial"/>
                  <w:i/>
                </w:rPr>
              </m:ctrlPr>
            </m:sSubPr>
            <m:e>
              <m:r>
                <w:rPr>
                  <w:rFonts w:ascii="Cambria Math" w:hAnsi="Cambria Math" w:cs="Arial"/>
                </w:rPr>
                <m:t>H</m:t>
              </m:r>
            </m:e>
            <m:sub>
              <m:r>
                <w:rPr>
                  <w:rFonts w:ascii="Cambria Math" w:hAnsi="Cambria Math" w:cs="Arial"/>
                </w:rPr>
                <m:t>t-1</m:t>
              </m:r>
            </m:sub>
          </m:sSub>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2</m:t>
              </m:r>
            </m:sub>
          </m:sSub>
          <m:sSub>
            <m:sSubPr>
              <m:ctrlPr>
                <w:rPr>
                  <w:rFonts w:ascii="Cambria Math" w:hAnsi="Cambria Math" w:cs="Arial"/>
                  <w:i/>
                </w:rPr>
              </m:ctrlPr>
            </m:sSubPr>
            <m:e>
              <m:r>
                <w:rPr>
                  <w:rFonts w:ascii="Cambria Math" w:hAnsi="Cambria Math" w:cs="Arial"/>
                </w:rPr>
                <m:t>T</m:t>
              </m:r>
            </m:e>
            <m:sub>
              <m:r>
                <w:rPr>
                  <w:rFonts w:ascii="Cambria Math" w:hAnsi="Cambria Math" w:cs="Arial"/>
                </w:rPr>
                <m:t>t-1</m:t>
              </m:r>
            </m:sub>
          </m:sSub>
          <m:r>
            <w:rPr>
              <w:rFonts w:ascii="Cambria Math" w:hAnsi="Cambria Math" w:cs="Arial"/>
            </w:rPr>
            <m:t xml:space="preserve">                                                                               19)</m:t>
          </m:r>
        </m:oMath>
      </m:oMathPara>
    </w:p>
    <w:p w14:paraId="36CE2852" w14:textId="77777777" w:rsidR="00034A02" w:rsidRPr="009D1375" w:rsidRDefault="00034A02" w:rsidP="009D1375">
      <w:pPr>
        <w:jc w:val="both"/>
        <w:rPr>
          <w:rFonts w:ascii="Arial" w:hAnsi="Arial" w:cs="Arial"/>
        </w:rPr>
      </w:pPr>
      <w:r w:rsidRPr="009D1375">
        <w:rPr>
          <w:rFonts w:ascii="Arial" w:hAnsi="Arial" w:cs="Arial"/>
        </w:rPr>
        <w:t xml:space="preserve">Then the VECM (with </w:t>
      </w:r>
      <m:oMath>
        <m:r>
          <w:rPr>
            <w:rStyle w:val="mord"/>
            <w:rFonts w:ascii="Cambria Math" w:hAnsi="Cambria Math" w:cs="Arial"/>
          </w:rPr>
          <m:t>p</m:t>
        </m:r>
      </m:oMath>
      <w:r>
        <w:rPr>
          <w:rFonts w:ascii="Arial" w:hAnsi="Arial" w:cs="Arial"/>
        </w:rPr>
        <w:t xml:space="preserve"> lags) </w:t>
      </w:r>
      <w:r>
        <w:rPr>
          <w:rFonts w:ascii="Arial" w:hAnsi="Arial" w:cs="Arial"/>
          <w:highlight w:val="yellow"/>
        </w:rPr>
        <w:t>written equation by equation is:</w:t>
      </w:r>
    </w:p>
    <w:p w14:paraId="1DEDA6E9" w14:textId="77777777" w:rsidR="00034A02" w:rsidRPr="009D1375" w:rsidRDefault="00034A02" w:rsidP="009D1375">
      <w:pPr>
        <w:jc w:val="both"/>
        <w:rPr>
          <w:rFonts w:ascii="Arial" w:eastAsiaTheme="minorEastAsia" w:hAnsi="Arial" w:cs="Arial"/>
        </w:rPr>
      </w:pPr>
      <m:oMathPara>
        <m:oMath>
          <m:r>
            <w:rPr>
              <w:rFonts w:ascii="Cambria Math" w:hAnsi="Cambria Math" w:cs="Arial"/>
            </w:rPr>
            <m:t>∆</m:t>
          </m:r>
          <m:sSub>
            <m:sSubPr>
              <m:ctrlPr>
                <w:rPr>
                  <w:rFonts w:ascii="Cambria Math" w:hAnsi="Cambria Math" w:cs="Arial"/>
                  <w:i/>
                </w:rPr>
              </m:ctrlPr>
            </m:sSubPr>
            <m:e>
              <m:r>
                <w:rPr>
                  <w:rFonts w:ascii="Cambria Math" w:hAnsi="Cambria Math" w:cs="Arial"/>
                </w:rPr>
                <m:t>C</m:t>
              </m:r>
            </m:e>
            <m:sub>
              <m:r>
                <w:rPr>
                  <w:rFonts w:ascii="Cambria Math" w:hAnsi="Cambria Math" w:cs="Arial"/>
                </w:rPr>
                <m:t>t</m:t>
              </m:r>
            </m:sub>
          </m:sSub>
          <m:r>
            <w:rPr>
              <w:rFonts w:ascii="Cambria Math" w:hAnsi="Cambria Math" w:cs="Arial"/>
            </w:rPr>
            <m:t>=</m:t>
          </m:r>
          <m:sSub>
            <m:sSubPr>
              <m:ctrlPr>
                <w:rPr>
                  <w:rFonts w:ascii="Cambria Math" w:hAnsi="Cambria Math" w:cs="Arial"/>
                  <w:i/>
                </w:rPr>
              </m:ctrlPr>
            </m:sSubPr>
            <m:e>
              <m:r>
                <w:rPr>
                  <w:rFonts w:ascii="Cambria Math" w:hAnsi="Cambria Math" w:cs="Arial"/>
                </w:rPr>
                <m:t>α</m:t>
              </m:r>
            </m:e>
            <m:sub>
              <m:r>
                <w:rPr>
                  <w:rFonts w:ascii="Cambria Math" w:hAnsi="Cambria Math" w:cs="Arial"/>
                </w:rPr>
                <m:t>C</m:t>
              </m:r>
            </m:sub>
          </m:sSub>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C</m:t>
                  </m:r>
                </m:e>
                <m:sub>
                  <m:r>
                    <w:rPr>
                      <w:rFonts w:ascii="Cambria Math" w:hAnsi="Cambria Math" w:cs="Arial"/>
                    </w:rPr>
                    <m:t>t-1</m:t>
                  </m:r>
                </m:sub>
              </m:sSub>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1</m:t>
                  </m:r>
                </m:sub>
              </m:sSub>
              <m:sSub>
                <m:sSubPr>
                  <m:ctrlPr>
                    <w:rPr>
                      <w:rFonts w:ascii="Cambria Math" w:hAnsi="Cambria Math" w:cs="Arial"/>
                      <w:i/>
                    </w:rPr>
                  </m:ctrlPr>
                </m:sSubPr>
                <m:e>
                  <m:r>
                    <w:rPr>
                      <w:rFonts w:ascii="Cambria Math" w:hAnsi="Cambria Math" w:cs="Arial"/>
                    </w:rPr>
                    <m:t>H</m:t>
                  </m:r>
                </m:e>
                <m:sub>
                  <m:r>
                    <w:rPr>
                      <w:rFonts w:ascii="Cambria Math" w:hAnsi="Cambria Math" w:cs="Arial"/>
                    </w:rPr>
                    <m:t>t-1</m:t>
                  </m:r>
                </m:sub>
              </m:sSub>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2</m:t>
                  </m:r>
                </m:sub>
              </m:sSub>
              <m:sSub>
                <m:sSubPr>
                  <m:ctrlPr>
                    <w:rPr>
                      <w:rFonts w:ascii="Cambria Math" w:hAnsi="Cambria Math" w:cs="Arial"/>
                      <w:i/>
                    </w:rPr>
                  </m:ctrlPr>
                </m:sSubPr>
                <m:e>
                  <m:r>
                    <w:rPr>
                      <w:rFonts w:ascii="Cambria Math" w:hAnsi="Cambria Math" w:cs="Arial"/>
                    </w:rPr>
                    <m:t>T</m:t>
                  </m:r>
                </m:e>
                <m:sub>
                  <m:r>
                    <w:rPr>
                      <w:rFonts w:ascii="Cambria Math" w:hAnsi="Cambria Math" w:cs="Arial"/>
                    </w:rPr>
                    <m:t>t-1</m:t>
                  </m:r>
                </m:sub>
              </m:sSub>
            </m:e>
          </m:d>
          <m:r>
            <w:rPr>
              <w:rFonts w:ascii="Cambria Math" w:hAnsi="Cambria Math" w:cs="Arial"/>
            </w:rPr>
            <m:t>+</m:t>
          </m:r>
          <m:nary>
            <m:naryPr>
              <m:chr m:val="∑"/>
              <m:limLoc m:val="undOvr"/>
              <m:ctrlPr>
                <w:rPr>
                  <w:rFonts w:ascii="Cambria Math" w:hAnsi="Cambria Math" w:cs="Arial"/>
                  <w:i/>
                </w:rPr>
              </m:ctrlPr>
            </m:naryPr>
            <m:sub>
              <m:r>
                <w:rPr>
                  <w:rFonts w:ascii="Cambria Math" w:hAnsi="Cambria Math" w:cs="Arial"/>
                </w:rPr>
                <m:t>i=1</m:t>
              </m:r>
            </m:sub>
            <m:sup>
              <m:r>
                <w:rPr>
                  <w:rFonts w:ascii="Cambria Math" w:hAnsi="Cambria Math" w:cs="Arial"/>
                </w:rPr>
                <m:t>p-1</m:t>
              </m:r>
            </m:sup>
            <m:e>
              <m:sSubSup>
                <m:sSubSupPr>
                  <m:ctrlPr>
                    <w:rPr>
                      <w:rFonts w:ascii="Cambria Math" w:hAnsi="Cambria Math" w:cs="Arial"/>
                      <w:i/>
                    </w:rPr>
                  </m:ctrlPr>
                </m:sSubSupPr>
                <m:e>
                  <m:r>
                    <w:rPr>
                      <w:rFonts w:ascii="Cambria Math" w:hAnsi="Cambria Math" w:cs="Arial"/>
                    </w:rPr>
                    <m:t>ϕ</m:t>
                  </m:r>
                </m:e>
                <m:sub>
                  <m:r>
                    <w:rPr>
                      <w:rFonts w:ascii="Cambria Math" w:hAnsi="Cambria Math" w:cs="Arial"/>
                    </w:rPr>
                    <m:t>C, i</m:t>
                  </m:r>
                </m:sub>
                <m:sup>
                  <m:r>
                    <w:rPr>
                      <w:rFonts w:ascii="Cambria Math" w:hAnsi="Cambria Math" w:cs="Arial"/>
                    </w:rPr>
                    <m:t>'</m:t>
                  </m:r>
                </m:sup>
              </m:sSubSup>
              <m:r>
                <w:rPr>
                  <w:rFonts w:ascii="Cambria Math" w:hAnsi="Cambria Math" w:cs="Arial"/>
                </w:rPr>
                <m:t>∆</m:t>
              </m:r>
              <m:sSub>
                <m:sSubPr>
                  <m:ctrlPr>
                    <w:rPr>
                      <w:rFonts w:ascii="Cambria Math" w:hAnsi="Cambria Math" w:cs="Arial"/>
                      <w:i/>
                    </w:rPr>
                  </m:ctrlPr>
                </m:sSubPr>
                <m:e>
                  <m:r>
                    <m:rPr>
                      <m:sty m:val="bi"/>
                    </m:rPr>
                    <w:rPr>
                      <w:rFonts w:ascii="Cambria Math" w:hAnsi="Cambria Math" w:cs="Arial"/>
                    </w:rPr>
                    <m:t>Y</m:t>
                  </m:r>
                </m:e>
                <m:sub>
                  <m:r>
                    <w:rPr>
                      <w:rFonts w:ascii="Cambria Math" w:hAnsi="Cambria Math" w:cs="Arial"/>
                    </w:rPr>
                    <m:t>t-i</m:t>
                  </m:r>
                </m:sub>
              </m:sSub>
              <m:r>
                <w:rPr>
                  <w:rFonts w:ascii="Cambria Math" w:hAnsi="Cambria Math" w:cs="Arial"/>
                </w:rPr>
                <m:t>+</m:t>
              </m:r>
              <m:sSub>
                <m:sSubPr>
                  <m:ctrlPr>
                    <w:rPr>
                      <w:rFonts w:ascii="Cambria Math" w:hAnsi="Cambria Math" w:cs="Arial"/>
                      <w:i/>
                    </w:rPr>
                  </m:ctrlPr>
                </m:sSubPr>
                <m:e>
                  <m:r>
                    <w:rPr>
                      <w:rFonts w:ascii="Cambria Math" w:hAnsi="Cambria Math" w:cs="Arial"/>
                    </w:rPr>
                    <m:t>μ</m:t>
                  </m:r>
                </m:e>
                <m:sub>
                  <m:r>
                    <w:rPr>
                      <w:rFonts w:ascii="Cambria Math" w:hAnsi="Cambria Math" w:cs="Arial"/>
                    </w:rPr>
                    <m:t>C</m:t>
                  </m:r>
                </m:sub>
              </m:sSub>
              <m:r>
                <w:rPr>
                  <w:rFonts w:ascii="Cambria Math" w:hAnsi="Cambria Math" w:cs="Arial"/>
                </w:rPr>
                <m:t>+</m:t>
              </m:r>
              <m:sSub>
                <m:sSubPr>
                  <m:ctrlPr>
                    <w:rPr>
                      <w:rFonts w:ascii="Cambria Math" w:hAnsi="Cambria Math" w:cs="Arial"/>
                      <w:i/>
                    </w:rPr>
                  </m:ctrlPr>
                </m:sSubPr>
                <m:e>
                  <m:r>
                    <w:rPr>
                      <w:rFonts w:ascii="Cambria Math" w:hAnsi="Cambria Math" w:cs="Arial"/>
                    </w:rPr>
                    <m:t>ε</m:t>
                  </m:r>
                </m:e>
                <m:sub>
                  <m:r>
                    <w:rPr>
                      <w:rFonts w:ascii="Cambria Math" w:hAnsi="Cambria Math" w:cs="Arial"/>
                    </w:rPr>
                    <m:t>C, t</m:t>
                  </m:r>
                </m:sub>
              </m:sSub>
            </m:e>
          </m:nary>
          <m:r>
            <w:rPr>
              <w:rFonts w:ascii="Cambria Math" w:hAnsi="Cambria Math" w:cs="Arial"/>
            </w:rPr>
            <m:t xml:space="preserve">                  20)</m:t>
          </m:r>
        </m:oMath>
      </m:oMathPara>
    </w:p>
    <w:p w14:paraId="4128F94F" w14:textId="77777777" w:rsidR="00034A02" w:rsidRPr="009D1375" w:rsidRDefault="00034A02" w:rsidP="009D1375">
      <w:pPr>
        <w:jc w:val="both"/>
        <w:rPr>
          <w:rFonts w:ascii="Arial" w:hAnsi="Arial" w:cs="Arial"/>
        </w:rPr>
      </w:pPr>
      <m:oMathPara>
        <m:oMath>
          <m:r>
            <w:rPr>
              <w:rFonts w:ascii="Cambria Math" w:hAnsi="Cambria Math" w:cs="Arial"/>
            </w:rPr>
            <m:t>∆</m:t>
          </m:r>
          <m:sSub>
            <m:sSubPr>
              <m:ctrlPr>
                <w:rPr>
                  <w:rFonts w:ascii="Cambria Math" w:hAnsi="Cambria Math" w:cs="Arial"/>
                  <w:i/>
                </w:rPr>
              </m:ctrlPr>
            </m:sSubPr>
            <m:e>
              <m:r>
                <w:rPr>
                  <w:rFonts w:ascii="Cambria Math" w:hAnsi="Cambria Math" w:cs="Arial"/>
                </w:rPr>
                <m:t>H</m:t>
              </m:r>
            </m:e>
            <m:sub>
              <m:r>
                <w:rPr>
                  <w:rFonts w:ascii="Cambria Math" w:hAnsi="Cambria Math" w:cs="Arial"/>
                </w:rPr>
                <m:t>t</m:t>
              </m:r>
            </m:sub>
          </m:sSub>
          <m:r>
            <w:rPr>
              <w:rFonts w:ascii="Cambria Math" w:hAnsi="Cambria Math" w:cs="Arial"/>
            </w:rPr>
            <m:t>=</m:t>
          </m:r>
          <m:sSub>
            <m:sSubPr>
              <m:ctrlPr>
                <w:rPr>
                  <w:rFonts w:ascii="Cambria Math" w:hAnsi="Cambria Math" w:cs="Arial"/>
                  <w:i/>
                </w:rPr>
              </m:ctrlPr>
            </m:sSubPr>
            <m:e>
              <m:r>
                <w:rPr>
                  <w:rFonts w:ascii="Cambria Math" w:hAnsi="Cambria Math" w:cs="Arial"/>
                </w:rPr>
                <m:t>α</m:t>
              </m:r>
            </m:e>
            <m:sub>
              <m:r>
                <w:rPr>
                  <w:rFonts w:ascii="Cambria Math" w:hAnsi="Cambria Math" w:cs="Arial"/>
                </w:rPr>
                <m:t>H</m:t>
              </m:r>
            </m:sub>
          </m:sSub>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C</m:t>
                  </m:r>
                </m:e>
                <m:sub>
                  <m:r>
                    <w:rPr>
                      <w:rFonts w:ascii="Cambria Math" w:hAnsi="Cambria Math" w:cs="Arial"/>
                    </w:rPr>
                    <m:t>t-1</m:t>
                  </m:r>
                </m:sub>
              </m:sSub>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1</m:t>
                  </m:r>
                </m:sub>
              </m:sSub>
              <m:sSub>
                <m:sSubPr>
                  <m:ctrlPr>
                    <w:rPr>
                      <w:rFonts w:ascii="Cambria Math" w:hAnsi="Cambria Math" w:cs="Arial"/>
                      <w:i/>
                    </w:rPr>
                  </m:ctrlPr>
                </m:sSubPr>
                <m:e>
                  <m:r>
                    <w:rPr>
                      <w:rFonts w:ascii="Cambria Math" w:hAnsi="Cambria Math" w:cs="Arial"/>
                    </w:rPr>
                    <m:t>H</m:t>
                  </m:r>
                </m:e>
                <m:sub>
                  <m:r>
                    <w:rPr>
                      <w:rFonts w:ascii="Cambria Math" w:hAnsi="Cambria Math" w:cs="Arial"/>
                    </w:rPr>
                    <m:t>t-1</m:t>
                  </m:r>
                </m:sub>
              </m:sSub>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2</m:t>
                  </m:r>
                </m:sub>
              </m:sSub>
              <m:sSub>
                <m:sSubPr>
                  <m:ctrlPr>
                    <w:rPr>
                      <w:rFonts w:ascii="Cambria Math" w:hAnsi="Cambria Math" w:cs="Arial"/>
                      <w:i/>
                    </w:rPr>
                  </m:ctrlPr>
                </m:sSubPr>
                <m:e>
                  <m:r>
                    <w:rPr>
                      <w:rFonts w:ascii="Cambria Math" w:hAnsi="Cambria Math" w:cs="Arial"/>
                    </w:rPr>
                    <m:t>T</m:t>
                  </m:r>
                </m:e>
                <m:sub>
                  <m:r>
                    <w:rPr>
                      <w:rFonts w:ascii="Cambria Math" w:hAnsi="Cambria Math" w:cs="Arial"/>
                    </w:rPr>
                    <m:t>t-1</m:t>
                  </m:r>
                </m:sub>
              </m:sSub>
            </m:e>
          </m:d>
          <m:r>
            <w:rPr>
              <w:rFonts w:ascii="Cambria Math" w:hAnsi="Cambria Math" w:cs="Arial"/>
            </w:rPr>
            <m:t>+</m:t>
          </m:r>
          <m:nary>
            <m:naryPr>
              <m:chr m:val="∑"/>
              <m:limLoc m:val="undOvr"/>
              <m:ctrlPr>
                <w:rPr>
                  <w:rFonts w:ascii="Cambria Math" w:hAnsi="Cambria Math" w:cs="Arial"/>
                  <w:i/>
                </w:rPr>
              </m:ctrlPr>
            </m:naryPr>
            <m:sub>
              <m:r>
                <w:rPr>
                  <w:rFonts w:ascii="Cambria Math" w:hAnsi="Cambria Math" w:cs="Arial"/>
                </w:rPr>
                <m:t>i=1</m:t>
              </m:r>
            </m:sub>
            <m:sup>
              <m:r>
                <w:rPr>
                  <w:rFonts w:ascii="Cambria Math" w:hAnsi="Cambria Math" w:cs="Arial"/>
                </w:rPr>
                <m:t>p-1</m:t>
              </m:r>
            </m:sup>
            <m:e>
              <m:sSubSup>
                <m:sSubSupPr>
                  <m:ctrlPr>
                    <w:rPr>
                      <w:rFonts w:ascii="Cambria Math" w:hAnsi="Cambria Math" w:cs="Arial"/>
                      <w:i/>
                    </w:rPr>
                  </m:ctrlPr>
                </m:sSubSupPr>
                <m:e>
                  <m:r>
                    <w:rPr>
                      <w:rFonts w:ascii="Cambria Math" w:hAnsi="Cambria Math" w:cs="Arial"/>
                    </w:rPr>
                    <m:t>ϕ</m:t>
                  </m:r>
                </m:e>
                <m:sub>
                  <m:r>
                    <w:rPr>
                      <w:rFonts w:ascii="Cambria Math" w:hAnsi="Cambria Math" w:cs="Arial"/>
                    </w:rPr>
                    <m:t>H, i</m:t>
                  </m:r>
                </m:sub>
                <m:sup>
                  <m:r>
                    <w:rPr>
                      <w:rFonts w:ascii="Cambria Math" w:hAnsi="Cambria Math" w:cs="Arial"/>
                    </w:rPr>
                    <m:t>'</m:t>
                  </m:r>
                </m:sup>
              </m:sSubSup>
              <m:r>
                <w:rPr>
                  <w:rFonts w:ascii="Cambria Math" w:hAnsi="Cambria Math" w:cs="Arial"/>
                </w:rPr>
                <m:t>∆</m:t>
              </m:r>
              <m:sSub>
                <m:sSubPr>
                  <m:ctrlPr>
                    <w:rPr>
                      <w:rFonts w:ascii="Cambria Math" w:hAnsi="Cambria Math" w:cs="Arial"/>
                      <w:i/>
                    </w:rPr>
                  </m:ctrlPr>
                </m:sSubPr>
                <m:e>
                  <m:r>
                    <m:rPr>
                      <m:sty m:val="bi"/>
                    </m:rPr>
                    <w:rPr>
                      <w:rFonts w:ascii="Cambria Math" w:hAnsi="Cambria Math" w:cs="Arial"/>
                    </w:rPr>
                    <m:t>Y</m:t>
                  </m:r>
                </m:e>
                <m:sub>
                  <m:r>
                    <w:rPr>
                      <w:rFonts w:ascii="Cambria Math" w:hAnsi="Cambria Math" w:cs="Arial"/>
                    </w:rPr>
                    <m:t>t-i</m:t>
                  </m:r>
                </m:sub>
              </m:sSub>
              <m:r>
                <w:rPr>
                  <w:rFonts w:ascii="Cambria Math" w:hAnsi="Cambria Math" w:cs="Arial"/>
                </w:rPr>
                <m:t>+</m:t>
              </m:r>
              <m:sSub>
                <m:sSubPr>
                  <m:ctrlPr>
                    <w:rPr>
                      <w:rFonts w:ascii="Cambria Math" w:hAnsi="Cambria Math" w:cs="Arial"/>
                      <w:i/>
                    </w:rPr>
                  </m:ctrlPr>
                </m:sSubPr>
                <m:e>
                  <m:r>
                    <w:rPr>
                      <w:rFonts w:ascii="Cambria Math" w:hAnsi="Cambria Math" w:cs="Arial"/>
                    </w:rPr>
                    <m:t>μ</m:t>
                  </m:r>
                </m:e>
                <m:sub>
                  <m:r>
                    <w:rPr>
                      <w:rFonts w:ascii="Cambria Math" w:hAnsi="Cambria Math" w:cs="Arial"/>
                    </w:rPr>
                    <m:t>H</m:t>
                  </m:r>
                </m:sub>
              </m:sSub>
              <m:r>
                <w:rPr>
                  <w:rFonts w:ascii="Cambria Math" w:hAnsi="Cambria Math" w:cs="Arial"/>
                </w:rPr>
                <m:t>+</m:t>
              </m:r>
              <m:sSub>
                <m:sSubPr>
                  <m:ctrlPr>
                    <w:rPr>
                      <w:rFonts w:ascii="Cambria Math" w:hAnsi="Cambria Math" w:cs="Arial"/>
                      <w:i/>
                    </w:rPr>
                  </m:ctrlPr>
                </m:sSubPr>
                <m:e>
                  <m:r>
                    <w:rPr>
                      <w:rFonts w:ascii="Cambria Math" w:hAnsi="Cambria Math" w:cs="Arial"/>
                    </w:rPr>
                    <m:t>ε</m:t>
                  </m:r>
                </m:e>
                <m:sub>
                  <m:r>
                    <w:rPr>
                      <w:rFonts w:ascii="Cambria Math" w:hAnsi="Cambria Math" w:cs="Arial"/>
                    </w:rPr>
                    <m:t>H, t</m:t>
                  </m:r>
                </m:sub>
              </m:sSub>
            </m:e>
          </m:nary>
          <m:r>
            <w:rPr>
              <w:rFonts w:ascii="Cambria Math" w:hAnsi="Cambria Math" w:cs="Arial"/>
            </w:rPr>
            <m:t xml:space="preserve">                  (21)</m:t>
          </m:r>
        </m:oMath>
      </m:oMathPara>
    </w:p>
    <w:p w14:paraId="5BF11C2C" w14:textId="77777777" w:rsidR="00034A02" w:rsidRPr="009D1375" w:rsidRDefault="00034A02" w:rsidP="009D1375">
      <w:pPr>
        <w:jc w:val="both"/>
        <w:rPr>
          <w:rFonts w:ascii="Arial" w:hAnsi="Arial" w:cs="Arial"/>
        </w:rPr>
      </w:pPr>
      <m:oMathPara>
        <m:oMath>
          <m:r>
            <w:rPr>
              <w:rFonts w:ascii="Cambria Math" w:hAnsi="Cambria Math" w:cs="Arial"/>
            </w:rPr>
            <m:t>∆</m:t>
          </m:r>
          <m:sSub>
            <m:sSubPr>
              <m:ctrlPr>
                <w:rPr>
                  <w:rFonts w:ascii="Cambria Math" w:hAnsi="Cambria Math" w:cs="Arial"/>
                  <w:i/>
                </w:rPr>
              </m:ctrlPr>
            </m:sSubPr>
            <m:e>
              <m:r>
                <w:rPr>
                  <w:rFonts w:ascii="Cambria Math" w:hAnsi="Cambria Math" w:cs="Arial"/>
                </w:rPr>
                <m:t>T</m:t>
              </m:r>
            </m:e>
            <m:sub>
              <m:r>
                <w:rPr>
                  <w:rFonts w:ascii="Cambria Math" w:hAnsi="Cambria Math" w:cs="Arial"/>
                </w:rPr>
                <m:t>t</m:t>
              </m:r>
            </m:sub>
          </m:sSub>
          <m:r>
            <w:rPr>
              <w:rFonts w:ascii="Cambria Math" w:hAnsi="Cambria Math" w:cs="Arial"/>
            </w:rPr>
            <m:t>=</m:t>
          </m:r>
          <m:sSub>
            <m:sSubPr>
              <m:ctrlPr>
                <w:rPr>
                  <w:rFonts w:ascii="Cambria Math" w:hAnsi="Cambria Math" w:cs="Arial"/>
                  <w:i/>
                </w:rPr>
              </m:ctrlPr>
            </m:sSubPr>
            <m:e>
              <m:r>
                <w:rPr>
                  <w:rFonts w:ascii="Cambria Math" w:hAnsi="Cambria Math" w:cs="Arial"/>
                </w:rPr>
                <m:t>α</m:t>
              </m:r>
            </m:e>
            <m:sub>
              <m:r>
                <w:rPr>
                  <w:rFonts w:ascii="Cambria Math" w:hAnsi="Cambria Math" w:cs="Arial"/>
                </w:rPr>
                <m:t>T</m:t>
              </m:r>
            </m:sub>
          </m:sSub>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C</m:t>
                  </m:r>
                </m:e>
                <m:sub>
                  <m:r>
                    <w:rPr>
                      <w:rFonts w:ascii="Cambria Math" w:hAnsi="Cambria Math" w:cs="Arial"/>
                    </w:rPr>
                    <m:t>t-1</m:t>
                  </m:r>
                </m:sub>
              </m:sSub>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1</m:t>
                  </m:r>
                </m:sub>
              </m:sSub>
              <m:sSub>
                <m:sSubPr>
                  <m:ctrlPr>
                    <w:rPr>
                      <w:rFonts w:ascii="Cambria Math" w:hAnsi="Cambria Math" w:cs="Arial"/>
                      <w:i/>
                    </w:rPr>
                  </m:ctrlPr>
                </m:sSubPr>
                <m:e>
                  <m:r>
                    <w:rPr>
                      <w:rFonts w:ascii="Cambria Math" w:hAnsi="Cambria Math" w:cs="Arial"/>
                    </w:rPr>
                    <m:t>H</m:t>
                  </m:r>
                </m:e>
                <m:sub>
                  <m:r>
                    <w:rPr>
                      <w:rFonts w:ascii="Cambria Math" w:hAnsi="Cambria Math" w:cs="Arial"/>
                    </w:rPr>
                    <m:t>t-1</m:t>
                  </m:r>
                </m:sub>
              </m:sSub>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2</m:t>
                  </m:r>
                </m:sub>
              </m:sSub>
              <m:sSub>
                <m:sSubPr>
                  <m:ctrlPr>
                    <w:rPr>
                      <w:rFonts w:ascii="Cambria Math" w:hAnsi="Cambria Math" w:cs="Arial"/>
                      <w:i/>
                    </w:rPr>
                  </m:ctrlPr>
                </m:sSubPr>
                <m:e>
                  <m:r>
                    <w:rPr>
                      <w:rFonts w:ascii="Cambria Math" w:hAnsi="Cambria Math" w:cs="Arial"/>
                    </w:rPr>
                    <m:t>T</m:t>
                  </m:r>
                </m:e>
                <m:sub>
                  <m:r>
                    <w:rPr>
                      <w:rFonts w:ascii="Cambria Math" w:hAnsi="Cambria Math" w:cs="Arial"/>
                    </w:rPr>
                    <m:t>t-1</m:t>
                  </m:r>
                </m:sub>
              </m:sSub>
            </m:e>
          </m:d>
          <m:r>
            <w:rPr>
              <w:rFonts w:ascii="Cambria Math" w:hAnsi="Cambria Math" w:cs="Arial"/>
            </w:rPr>
            <m:t>+</m:t>
          </m:r>
          <m:nary>
            <m:naryPr>
              <m:chr m:val="∑"/>
              <m:limLoc m:val="undOvr"/>
              <m:ctrlPr>
                <w:rPr>
                  <w:rFonts w:ascii="Cambria Math" w:hAnsi="Cambria Math" w:cs="Arial"/>
                  <w:i/>
                </w:rPr>
              </m:ctrlPr>
            </m:naryPr>
            <m:sub>
              <m:r>
                <w:rPr>
                  <w:rFonts w:ascii="Cambria Math" w:hAnsi="Cambria Math" w:cs="Arial"/>
                </w:rPr>
                <m:t>i=1</m:t>
              </m:r>
            </m:sub>
            <m:sup>
              <m:r>
                <w:rPr>
                  <w:rFonts w:ascii="Cambria Math" w:hAnsi="Cambria Math" w:cs="Arial"/>
                </w:rPr>
                <m:t>p-1</m:t>
              </m:r>
            </m:sup>
            <m:e>
              <m:sSubSup>
                <m:sSubSupPr>
                  <m:ctrlPr>
                    <w:rPr>
                      <w:rFonts w:ascii="Cambria Math" w:hAnsi="Cambria Math" w:cs="Arial"/>
                      <w:i/>
                    </w:rPr>
                  </m:ctrlPr>
                </m:sSubSupPr>
                <m:e>
                  <m:r>
                    <w:rPr>
                      <w:rFonts w:ascii="Cambria Math" w:hAnsi="Cambria Math" w:cs="Arial"/>
                    </w:rPr>
                    <m:t>ϕ</m:t>
                  </m:r>
                </m:e>
                <m:sub>
                  <m:r>
                    <w:rPr>
                      <w:rFonts w:ascii="Cambria Math" w:hAnsi="Cambria Math" w:cs="Arial"/>
                    </w:rPr>
                    <m:t>T, i</m:t>
                  </m:r>
                </m:sub>
                <m:sup>
                  <m:r>
                    <w:rPr>
                      <w:rFonts w:ascii="Cambria Math" w:hAnsi="Cambria Math" w:cs="Arial"/>
                    </w:rPr>
                    <m:t>'</m:t>
                  </m:r>
                </m:sup>
              </m:sSubSup>
              <m:r>
                <w:rPr>
                  <w:rFonts w:ascii="Cambria Math" w:hAnsi="Cambria Math" w:cs="Arial"/>
                </w:rPr>
                <m:t>∆</m:t>
              </m:r>
              <m:sSub>
                <m:sSubPr>
                  <m:ctrlPr>
                    <w:rPr>
                      <w:rFonts w:ascii="Cambria Math" w:hAnsi="Cambria Math" w:cs="Arial"/>
                      <w:i/>
                    </w:rPr>
                  </m:ctrlPr>
                </m:sSubPr>
                <m:e>
                  <m:r>
                    <m:rPr>
                      <m:sty m:val="bi"/>
                    </m:rPr>
                    <w:rPr>
                      <w:rFonts w:ascii="Cambria Math" w:hAnsi="Cambria Math" w:cs="Arial"/>
                    </w:rPr>
                    <m:t>Y</m:t>
                  </m:r>
                </m:e>
                <m:sub>
                  <m:r>
                    <w:rPr>
                      <w:rFonts w:ascii="Cambria Math" w:hAnsi="Cambria Math" w:cs="Arial"/>
                    </w:rPr>
                    <m:t>t-i</m:t>
                  </m:r>
                </m:sub>
              </m:sSub>
              <m:r>
                <w:rPr>
                  <w:rFonts w:ascii="Cambria Math" w:hAnsi="Cambria Math" w:cs="Arial"/>
                </w:rPr>
                <m:t>+</m:t>
              </m:r>
              <m:sSub>
                <m:sSubPr>
                  <m:ctrlPr>
                    <w:rPr>
                      <w:rFonts w:ascii="Cambria Math" w:hAnsi="Cambria Math" w:cs="Arial"/>
                      <w:i/>
                    </w:rPr>
                  </m:ctrlPr>
                </m:sSubPr>
                <m:e>
                  <m:r>
                    <w:rPr>
                      <w:rFonts w:ascii="Cambria Math" w:hAnsi="Cambria Math" w:cs="Arial"/>
                    </w:rPr>
                    <m:t>μ</m:t>
                  </m:r>
                </m:e>
                <m:sub>
                  <m:r>
                    <w:rPr>
                      <w:rFonts w:ascii="Cambria Math" w:hAnsi="Cambria Math" w:cs="Arial"/>
                    </w:rPr>
                    <m:t>T</m:t>
                  </m:r>
                </m:sub>
              </m:sSub>
              <m:r>
                <w:rPr>
                  <w:rFonts w:ascii="Cambria Math" w:hAnsi="Cambria Math" w:cs="Arial"/>
                </w:rPr>
                <m:t>+</m:t>
              </m:r>
              <m:sSub>
                <m:sSubPr>
                  <m:ctrlPr>
                    <w:rPr>
                      <w:rFonts w:ascii="Cambria Math" w:hAnsi="Cambria Math" w:cs="Arial"/>
                      <w:i/>
                    </w:rPr>
                  </m:ctrlPr>
                </m:sSubPr>
                <m:e>
                  <m:r>
                    <w:rPr>
                      <w:rFonts w:ascii="Cambria Math" w:hAnsi="Cambria Math" w:cs="Arial"/>
                    </w:rPr>
                    <m:t>ε</m:t>
                  </m:r>
                </m:e>
                <m:sub>
                  <m:r>
                    <w:rPr>
                      <w:rFonts w:ascii="Cambria Math" w:hAnsi="Cambria Math" w:cs="Arial"/>
                    </w:rPr>
                    <m:t>T, t</m:t>
                  </m:r>
                </m:sub>
              </m:sSub>
            </m:e>
          </m:nary>
          <m:r>
            <w:rPr>
              <w:rFonts w:ascii="Cambria Math" w:hAnsi="Cambria Math" w:cs="Arial"/>
            </w:rPr>
            <m:t xml:space="preserve">                  (22)</m:t>
          </m:r>
        </m:oMath>
      </m:oMathPara>
    </w:p>
    <w:p w14:paraId="4BD2A0F8" w14:textId="77777777" w:rsidR="00034A02" w:rsidRPr="009D1375" w:rsidRDefault="00034A02" w:rsidP="009D1375">
      <w:pPr>
        <w:pStyle w:val="NormalWeb"/>
        <w:spacing w:before="0" w:beforeAutospacing="0" w:after="0" w:afterAutospacing="0"/>
        <w:jc w:val="both"/>
        <w:rPr>
          <w:rFonts w:ascii="Arial" w:hAnsi="Arial" w:cs="Arial"/>
          <w:sz w:val="20"/>
          <w:szCs w:val="20"/>
        </w:rPr>
      </w:pPr>
      <w:r w:rsidRPr="009D1375">
        <w:rPr>
          <w:rFonts w:ascii="Arial" w:hAnsi="Arial" w:cs="Arial"/>
          <w:sz w:val="20"/>
          <w:szCs w:val="20"/>
        </w:rPr>
        <w:t xml:space="preserve">where </w:t>
      </w:r>
      <m:oMath>
        <m:sSub>
          <m:sSubPr>
            <m:ctrlPr>
              <w:rPr>
                <w:rFonts w:ascii="Cambria Math" w:hAnsi="Cambria Math" w:cs="Arial"/>
                <w:i/>
                <w:sz w:val="20"/>
                <w:szCs w:val="20"/>
              </w:rPr>
            </m:ctrlPr>
          </m:sSubPr>
          <m:e>
            <m:r>
              <w:rPr>
                <w:rFonts w:ascii="Cambria Math" w:hAnsi="Cambria Math" w:cs="Arial"/>
                <w:sz w:val="20"/>
                <w:szCs w:val="20"/>
              </w:rPr>
              <m:t>α</m:t>
            </m:r>
          </m:e>
          <m:sub>
            <m:r>
              <w:rPr>
                <w:rFonts w:ascii="Cambria Math" w:hAnsi="Cambria Math" w:cs="Arial"/>
                <w:sz w:val="20"/>
                <w:szCs w:val="20"/>
              </w:rPr>
              <m:t>C</m:t>
            </m:r>
          </m:sub>
        </m:sSub>
        <m:r>
          <w:rPr>
            <w:rFonts w:ascii="Cambria Math" w:hAnsi="Cambria Math" w:cs="Arial"/>
            <w:sz w:val="20"/>
            <w:szCs w:val="20"/>
          </w:rPr>
          <m:t xml:space="preserve">, </m:t>
        </m:r>
        <m:sSub>
          <m:sSubPr>
            <m:ctrlPr>
              <w:rPr>
                <w:rFonts w:ascii="Cambria Math" w:hAnsi="Cambria Math" w:cs="Arial"/>
                <w:i/>
                <w:sz w:val="20"/>
                <w:szCs w:val="20"/>
              </w:rPr>
            </m:ctrlPr>
          </m:sSubPr>
          <m:e>
            <m:r>
              <w:rPr>
                <w:rFonts w:ascii="Cambria Math" w:hAnsi="Cambria Math" w:cs="Arial"/>
                <w:sz w:val="20"/>
                <w:szCs w:val="20"/>
              </w:rPr>
              <m:t>α</m:t>
            </m:r>
          </m:e>
          <m:sub>
            <m:r>
              <w:rPr>
                <w:rFonts w:ascii="Cambria Math" w:hAnsi="Cambria Math" w:cs="Arial"/>
                <w:sz w:val="20"/>
                <w:szCs w:val="20"/>
              </w:rPr>
              <m:t>H</m:t>
            </m:r>
          </m:sub>
        </m:sSub>
        <m:r>
          <w:rPr>
            <w:rFonts w:ascii="Cambria Math" w:hAnsi="Cambria Math" w:cs="Arial"/>
            <w:sz w:val="20"/>
            <w:szCs w:val="20"/>
          </w:rPr>
          <m:t xml:space="preserve">, </m:t>
        </m:r>
        <m:sSub>
          <m:sSubPr>
            <m:ctrlPr>
              <w:rPr>
                <w:rFonts w:ascii="Cambria Math" w:hAnsi="Cambria Math" w:cs="Arial"/>
                <w:i/>
                <w:sz w:val="20"/>
                <w:szCs w:val="20"/>
              </w:rPr>
            </m:ctrlPr>
          </m:sSubPr>
          <m:e>
            <m:r>
              <w:rPr>
                <w:rFonts w:ascii="Cambria Math" w:hAnsi="Cambria Math" w:cs="Arial"/>
                <w:sz w:val="20"/>
                <w:szCs w:val="20"/>
              </w:rPr>
              <m:t>α</m:t>
            </m:r>
          </m:e>
          <m:sub>
            <m:r>
              <w:rPr>
                <w:rFonts w:ascii="Cambria Math" w:hAnsi="Cambria Math" w:cs="Arial"/>
                <w:sz w:val="20"/>
                <w:szCs w:val="20"/>
              </w:rPr>
              <m:t>T</m:t>
            </m:r>
          </m:sub>
        </m:sSub>
      </m:oMath>
      <w:r w:rsidRPr="009D1375">
        <w:rPr>
          <w:rFonts w:ascii="Arial" w:hAnsi="Arial" w:cs="Arial"/>
          <w:sz w:val="20"/>
          <w:szCs w:val="20"/>
        </w:rPr>
        <w:t xml:space="preserve"> are the adjustment coefficients (elements of </w:t>
      </w:r>
      <m:oMath>
        <m:r>
          <w:rPr>
            <w:rStyle w:val="katex-mathml"/>
            <w:rFonts w:ascii="Cambria Math" w:eastAsiaTheme="majorEastAsia" w:hAnsi="Cambria Math" w:cs="Arial"/>
            <w:sz w:val="20"/>
            <w:szCs w:val="20"/>
          </w:rPr>
          <m:t>α</m:t>
        </m:r>
      </m:oMath>
      <w:r>
        <w:rPr>
          <w:rFonts w:ascii="Arial" w:hAnsi="Arial" w:cs="Arial"/>
          <w:sz w:val="20"/>
          <w:szCs w:val="20"/>
          <w:highlight w:val="yellow"/>
        </w:rPr>
        <w:t>), which measure how each variable responds to deviations from the long-run equilibrium,</w:t>
      </w:r>
      <w:r>
        <w:rPr>
          <w:rFonts w:ascii="Arial" w:hAnsi="Arial" w:cs="Arial"/>
          <w:sz w:val="20"/>
          <w:szCs w:val="20"/>
        </w:rPr>
        <w:t xml:space="preserve"> </w:t>
      </w:r>
      <m:oMath>
        <m:sSub>
          <m:sSubPr>
            <m:ctrlPr>
              <w:rPr>
                <w:rFonts w:ascii="Cambria Math" w:hAnsi="Cambria Math" w:cs="Arial"/>
                <w:i/>
                <w:sz w:val="20"/>
                <w:szCs w:val="20"/>
              </w:rPr>
            </m:ctrlPr>
          </m:sSubPr>
          <m:e>
            <m:r>
              <w:rPr>
                <w:rFonts w:ascii="Cambria Math" w:hAnsi="Cambria Math" w:cs="Arial"/>
                <w:sz w:val="20"/>
                <w:szCs w:val="20"/>
              </w:rPr>
              <m:t>ϕ</m:t>
            </m:r>
          </m:e>
          <m:sub>
            <m:r>
              <w:rPr>
                <w:rFonts w:ascii="Cambria Math" w:hAnsi="Cambria Math" w:cs="Arial"/>
                <w:sz w:val="20"/>
                <w:szCs w:val="20"/>
              </w:rPr>
              <m:t>C, i</m:t>
            </m:r>
          </m:sub>
        </m:sSub>
        <m:r>
          <w:rPr>
            <w:rFonts w:ascii="Cambria Math" w:hAnsi="Cambria Math" w:cs="Arial"/>
            <w:sz w:val="20"/>
            <w:szCs w:val="20"/>
          </w:rPr>
          <m:t xml:space="preserve">, </m:t>
        </m:r>
        <m:sSub>
          <m:sSubPr>
            <m:ctrlPr>
              <w:rPr>
                <w:rFonts w:ascii="Cambria Math" w:hAnsi="Cambria Math" w:cs="Arial"/>
                <w:i/>
                <w:sz w:val="20"/>
                <w:szCs w:val="20"/>
              </w:rPr>
            </m:ctrlPr>
          </m:sSubPr>
          <m:e>
            <m:r>
              <w:rPr>
                <w:rFonts w:ascii="Cambria Math" w:hAnsi="Cambria Math" w:cs="Arial"/>
                <w:sz w:val="20"/>
                <w:szCs w:val="20"/>
              </w:rPr>
              <m:t>ϕ</m:t>
            </m:r>
          </m:e>
          <m:sub>
            <m:r>
              <w:rPr>
                <w:rFonts w:ascii="Cambria Math" w:hAnsi="Cambria Math" w:cs="Arial"/>
                <w:sz w:val="20"/>
                <w:szCs w:val="20"/>
              </w:rPr>
              <m:t>H, i</m:t>
            </m:r>
          </m:sub>
        </m:sSub>
        <m:r>
          <w:rPr>
            <w:rFonts w:ascii="Cambria Math" w:hAnsi="Cambria Math" w:cs="Arial"/>
            <w:sz w:val="20"/>
            <w:szCs w:val="20"/>
          </w:rPr>
          <m:t xml:space="preserve">, </m:t>
        </m:r>
        <m:sSub>
          <m:sSubPr>
            <m:ctrlPr>
              <w:rPr>
                <w:rFonts w:ascii="Cambria Math" w:hAnsi="Cambria Math" w:cs="Arial"/>
                <w:i/>
                <w:sz w:val="20"/>
                <w:szCs w:val="20"/>
              </w:rPr>
            </m:ctrlPr>
          </m:sSubPr>
          <m:e>
            <m:r>
              <w:rPr>
                <w:rFonts w:ascii="Cambria Math" w:hAnsi="Cambria Math" w:cs="Arial"/>
                <w:sz w:val="20"/>
                <w:szCs w:val="20"/>
              </w:rPr>
              <m:t>ϕ</m:t>
            </m:r>
          </m:e>
          <m:sub>
            <m:r>
              <w:rPr>
                <w:rFonts w:ascii="Cambria Math" w:hAnsi="Cambria Math" w:cs="Arial"/>
                <w:sz w:val="20"/>
                <w:szCs w:val="20"/>
              </w:rPr>
              <m:t>T, i</m:t>
            </m:r>
          </m:sub>
        </m:sSub>
        <m:r>
          <w:rPr>
            <w:rFonts w:ascii="Cambria Math" w:hAnsi="Cambria Math" w:cs="Arial"/>
            <w:sz w:val="20"/>
            <w:szCs w:val="20"/>
          </w:rPr>
          <m:t xml:space="preserve"> </m:t>
        </m:r>
      </m:oMath>
      <w:r w:rsidRPr="009D1375">
        <w:rPr>
          <w:rFonts w:ascii="Arial" w:hAnsi="Arial" w:cs="Arial"/>
          <w:sz w:val="20"/>
          <w:szCs w:val="20"/>
        </w:rPr>
        <w:t xml:space="preserve">are the rows of </w:t>
      </w:r>
      <m:oMath>
        <m:sSub>
          <m:sSubPr>
            <m:ctrlPr>
              <w:rPr>
                <w:rFonts w:ascii="Cambria Math" w:hAnsi="Cambria Math" w:cs="Arial"/>
                <w:i/>
                <w:sz w:val="20"/>
                <w:szCs w:val="20"/>
              </w:rPr>
            </m:ctrlPr>
          </m:sSubPr>
          <m:e>
            <m:r>
              <w:rPr>
                <w:rFonts w:ascii="Cambria Math" w:hAnsi="Cambria Math" w:cs="Arial"/>
                <w:sz w:val="20"/>
                <w:szCs w:val="20"/>
              </w:rPr>
              <m:t>Г</m:t>
            </m:r>
          </m:e>
          <m:sub>
            <m:r>
              <w:rPr>
                <w:rFonts w:ascii="Cambria Math" w:hAnsi="Cambria Math" w:cs="Arial"/>
                <w:sz w:val="20"/>
                <w:szCs w:val="20"/>
              </w:rPr>
              <m:t>i</m:t>
            </m:r>
          </m:sub>
        </m:sSub>
      </m:oMath>
      <w:r w:rsidRPr="009D1375">
        <w:rPr>
          <w:rStyle w:val="vlist-s"/>
          <w:rFonts w:ascii="Arial" w:hAnsi="Arial" w:cs="Arial"/>
          <w:sz w:val="20"/>
          <w:szCs w:val="20"/>
        </w:rPr>
        <w:t>​</w:t>
      </w:r>
      <w:r w:rsidRPr="009D1375">
        <w:rPr>
          <w:rFonts w:ascii="Arial" w:hAnsi="Arial" w:cs="Arial"/>
          <w:sz w:val="20"/>
          <w:szCs w:val="20"/>
        </w:rPr>
        <w:t xml:space="preserve"> capturing short-run dynamics (effects of past changes), </w:t>
      </w:r>
      <m:oMath>
        <m:sSub>
          <m:sSubPr>
            <m:ctrlPr>
              <w:rPr>
                <w:rFonts w:ascii="Cambria Math" w:hAnsi="Cambria Math" w:cs="Arial"/>
                <w:i/>
                <w:sz w:val="20"/>
                <w:szCs w:val="20"/>
              </w:rPr>
            </m:ctrlPr>
          </m:sSubPr>
          <m:e>
            <m:r>
              <w:rPr>
                <w:rFonts w:ascii="Cambria Math" w:hAnsi="Cambria Math" w:cs="Arial"/>
                <w:sz w:val="20"/>
                <w:szCs w:val="20"/>
              </w:rPr>
              <m:t>μ</m:t>
            </m:r>
          </m:e>
          <m:sub>
            <m:r>
              <w:rPr>
                <w:rFonts w:ascii="Cambria Math" w:hAnsi="Cambria Math" w:cs="Arial"/>
                <w:sz w:val="20"/>
                <w:szCs w:val="20"/>
              </w:rPr>
              <m:t>C</m:t>
            </m:r>
          </m:sub>
        </m:sSub>
        <m:r>
          <w:rPr>
            <w:rFonts w:ascii="Cambria Math" w:hAnsi="Cambria Math" w:cs="Arial"/>
            <w:sz w:val="20"/>
            <w:szCs w:val="20"/>
          </w:rPr>
          <m:t xml:space="preserve">, </m:t>
        </m:r>
        <m:sSub>
          <m:sSubPr>
            <m:ctrlPr>
              <w:rPr>
                <w:rFonts w:ascii="Cambria Math" w:hAnsi="Cambria Math" w:cs="Arial"/>
                <w:i/>
                <w:sz w:val="20"/>
                <w:szCs w:val="20"/>
              </w:rPr>
            </m:ctrlPr>
          </m:sSubPr>
          <m:e>
            <m:r>
              <w:rPr>
                <w:rFonts w:ascii="Cambria Math" w:hAnsi="Cambria Math" w:cs="Arial"/>
                <w:sz w:val="20"/>
                <w:szCs w:val="20"/>
              </w:rPr>
              <m:t>μ</m:t>
            </m:r>
          </m:e>
          <m:sub>
            <m:r>
              <w:rPr>
                <w:rFonts w:ascii="Cambria Math" w:hAnsi="Cambria Math" w:cs="Arial"/>
                <w:sz w:val="20"/>
                <w:szCs w:val="20"/>
              </w:rPr>
              <m:t>H</m:t>
            </m:r>
          </m:sub>
        </m:sSub>
        <m:r>
          <w:rPr>
            <w:rFonts w:ascii="Cambria Math" w:hAnsi="Cambria Math" w:cs="Arial"/>
            <w:sz w:val="20"/>
            <w:szCs w:val="20"/>
          </w:rPr>
          <m:t xml:space="preserve">, </m:t>
        </m:r>
        <m:sSub>
          <m:sSubPr>
            <m:ctrlPr>
              <w:rPr>
                <w:rFonts w:ascii="Cambria Math" w:hAnsi="Cambria Math" w:cs="Arial"/>
                <w:i/>
                <w:sz w:val="20"/>
                <w:szCs w:val="20"/>
              </w:rPr>
            </m:ctrlPr>
          </m:sSubPr>
          <m:e>
            <m:r>
              <w:rPr>
                <w:rFonts w:ascii="Cambria Math" w:hAnsi="Cambria Math" w:cs="Arial"/>
                <w:sz w:val="20"/>
                <w:szCs w:val="20"/>
              </w:rPr>
              <m:t>μ</m:t>
            </m:r>
          </m:e>
          <m:sub>
            <m:r>
              <w:rPr>
                <w:rFonts w:ascii="Cambria Math" w:hAnsi="Cambria Math" w:cs="Arial"/>
                <w:sz w:val="20"/>
                <w:szCs w:val="20"/>
              </w:rPr>
              <m:t>T</m:t>
            </m:r>
          </m:sub>
        </m:sSub>
      </m:oMath>
      <w:r w:rsidRPr="009D1375">
        <w:rPr>
          <w:rStyle w:val="vlist-s"/>
          <w:rFonts w:ascii="Arial" w:hAnsi="Arial" w:cs="Arial"/>
          <w:sz w:val="20"/>
          <w:szCs w:val="20"/>
        </w:rPr>
        <w:t>​</w:t>
      </w:r>
      <w:r>
        <w:rPr>
          <w:rFonts w:ascii="Arial" w:hAnsi="Arial" w:cs="Arial"/>
          <w:sz w:val="20"/>
          <w:szCs w:val="20"/>
          <w:highlight w:val="yellow"/>
        </w:rPr>
        <w:t xml:space="preserve"> are constants (if included), and </w:t>
      </w:r>
      <m:oMath>
        <m:sSub>
          <m:sSubPr>
            <m:ctrlPr>
              <w:rPr>
                <w:rFonts w:ascii="Cambria Math" w:hAnsi="Cambria Math" w:cs="Arial"/>
                <w:i/>
                <w:sz w:val="20"/>
                <w:szCs w:val="20"/>
              </w:rPr>
            </m:ctrlPr>
          </m:sSubPr>
          <m:e>
            <m:r>
              <w:rPr>
                <w:rFonts w:ascii="Cambria Math" w:hAnsi="Cambria Math" w:cs="Arial"/>
                <w:sz w:val="20"/>
                <w:szCs w:val="20"/>
              </w:rPr>
              <m:t>ε</m:t>
            </m:r>
          </m:e>
          <m:sub>
            <m:r>
              <w:rPr>
                <w:rFonts w:ascii="Cambria Math" w:hAnsi="Cambria Math" w:cs="Arial"/>
                <w:sz w:val="20"/>
                <w:szCs w:val="20"/>
              </w:rPr>
              <m:t>., t</m:t>
            </m:r>
          </m:sub>
        </m:sSub>
      </m:oMath>
      <w:r w:rsidRPr="009D1375">
        <w:rPr>
          <w:rFonts w:ascii="Arial" w:hAnsi="Arial" w:cs="Arial"/>
          <w:sz w:val="20"/>
          <w:szCs w:val="20"/>
        </w:rPr>
        <w:t xml:space="preserve"> are disturbance terms.</w:t>
      </w:r>
    </w:p>
    <w:p w14:paraId="6A7633E4" w14:textId="77777777" w:rsidR="00034A02" w:rsidRPr="009D1375" w:rsidRDefault="00034A02" w:rsidP="009D1375">
      <w:pPr>
        <w:jc w:val="both"/>
        <w:rPr>
          <w:rFonts w:ascii="Arial" w:hAnsi="Arial" w:cs="Arial"/>
        </w:rPr>
      </w:pPr>
      <w:r w:rsidRPr="009D1375">
        <w:rPr>
          <w:rFonts w:ascii="Arial" w:hAnsi="Arial" w:cs="Arial"/>
          <w:i/>
        </w:rPr>
        <w:lastRenderedPageBreak/>
        <w:t>Interpretation:</w:t>
      </w:r>
      <w:r w:rsidRPr="009D1375">
        <w:rPr>
          <w:rFonts w:ascii="Arial" w:hAnsi="Arial" w:cs="Arial"/>
        </w:rPr>
        <w:t xml:space="preserve"> If </w:t>
      </w:r>
      <m:oMath>
        <m:sSub>
          <m:sSubPr>
            <m:ctrlPr>
              <w:rPr>
                <w:rFonts w:ascii="Cambria Math" w:hAnsi="Cambria Math" w:cs="Arial"/>
                <w:i/>
              </w:rPr>
            </m:ctrlPr>
          </m:sSubPr>
          <m:e>
            <m:r>
              <w:rPr>
                <w:rFonts w:ascii="Cambria Math" w:hAnsi="Cambria Math" w:cs="Arial"/>
              </w:rPr>
              <m:t>C</m:t>
            </m:r>
          </m:e>
          <m:sub>
            <m:r>
              <w:rPr>
                <w:rFonts w:ascii="Cambria Math" w:hAnsi="Cambria Math" w:cs="Arial"/>
              </w:rPr>
              <m:t>t-1</m:t>
            </m:r>
          </m:sub>
        </m:sSub>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1</m:t>
            </m:r>
          </m:sub>
        </m:sSub>
        <m:sSub>
          <m:sSubPr>
            <m:ctrlPr>
              <w:rPr>
                <w:rFonts w:ascii="Cambria Math" w:hAnsi="Cambria Math" w:cs="Arial"/>
                <w:i/>
              </w:rPr>
            </m:ctrlPr>
          </m:sSubPr>
          <m:e>
            <m:r>
              <w:rPr>
                <w:rFonts w:ascii="Cambria Math" w:hAnsi="Cambria Math" w:cs="Arial"/>
              </w:rPr>
              <m:t>H</m:t>
            </m:r>
          </m:e>
          <m:sub>
            <m:r>
              <w:rPr>
                <w:rFonts w:ascii="Cambria Math" w:hAnsi="Cambria Math" w:cs="Arial"/>
              </w:rPr>
              <m:t>t-1</m:t>
            </m:r>
          </m:sub>
        </m:sSub>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2</m:t>
            </m:r>
          </m:sub>
        </m:sSub>
        <m:sSub>
          <m:sSubPr>
            <m:ctrlPr>
              <w:rPr>
                <w:rFonts w:ascii="Cambria Math" w:hAnsi="Cambria Math" w:cs="Arial"/>
                <w:i/>
              </w:rPr>
            </m:ctrlPr>
          </m:sSubPr>
          <m:e>
            <m:r>
              <w:rPr>
                <w:rFonts w:ascii="Cambria Math" w:hAnsi="Cambria Math" w:cs="Arial"/>
              </w:rPr>
              <m:t>T</m:t>
            </m:r>
          </m:e>
          <m:sub>
            <m:r>
              <w:rPr>
                <w:rFonts w:ascii="Cambria Math" w:hAnsi="Cambria Math" w:cs="Arial"/>
              </w:rPr>
              <m:t>t-1</m:t>
            </m:r>
          </m:sub>
        </m:sSub>
        <m:r>
          <w:rPr>
            <w:rFonts w:ascii="Cambria Math" w:hAnsi="Cambria Math" w:cs="Arial"/>
          </w:rPr>
          <m:t>&gt;0</m:t>
        </m:r>
      </m:oMath>
      <w:r w:rsidRPr="009D1375">
        <w:rPr>
          <w:rFonts w:ascii="Arial" w:eastAsiaTheme="minorEastAsia" w:hAnsi="Arial" w:cs="Arial"/>
        </w:rPr>
        <w:t xml:space="preserve"> </w:t>
      </w:r>
      <w:r w:rsidRPr="009D1375">
        <w:rPr>
          <w:rFonts w:ascii="Arial" w:hAnsi="Arial" w:cs="Arial"/>
        </w:rPr>
        <w:t xml:space="preserve">(C is above its long-run value), then a negative </w:t>
      </w:r>
      <m:oMath>
        <m:sSub>
          <m:sSubPr>
            <m:ctrlPr>
              <w:rPr>
                <w:rFonts w:ascii="Cambria Math" w:hAnsi="Cambria Math" w:cs="Arial"/>
                <w:i/>
              </w:rPr>
            </m:ctrlPr>
          </m:sSubPr>
          <m:e>
            <m:r>
              <w:rPr>
                <w:rFonts w:ascii="Cambria Math" w:hAnsi="Cambria Math" w:cs="Arial"/>
              </w:rPr>
              <m:t>α</m:t>
            </m:r>
          </m:e>
          <m:sub>
            <m:r>
              <w:rPr>
                <w:rFonts w:ascii="Cambria Math" w:hAnsi="Cambria Math" w:cs="Arial"/>
              </w:rPr>
              <m:t>C</m:t>
            </m:r>
          </m:sub>
        </m:sSub>
      </m:oMath>
      <w:r w:rsidRPr="009D1375">
        <w:rPr>
          <w:rStyle w:val="vlist-s"/>
          <w:rFonts w:ascii="Arial" w:hAnsi="Arial" w:cs="Arial"/>
        </w:rPr>
        <w:t>​</w:t>
      </w:r>
      <w:r w:rsidRPr="009D1375">
        <w:rPr>
          <w:rFonts w:ascii="Arial" w:hAnsi="Arial" w:cs="Arial"/>
        </w:rPr>
        <w:t xml:space="preserve"> would pull </w:t>
      </w:r>
      <m:oMath>
        <m:r>
          <w:rPr>
            <w:rFonts w:ascii="Cambria Math" w:hAnsi="Cambria Math" w:cs="Arial"/>
          </w:rPr>
          <m:t>∆</m:t>
        </m:r>
        <m:sSub>
          <m:sSubPr>
            <m:ctrlPr>
              <w:rPr>
                <w:rFonts w:ascii="Cambria Math" w:hAnsi="Cambria Math" w:cs="Arial"/>
                <w:i/>
              </w:rPr>
            </m:ctrlPr>
          </m:sSubPr>
          <m:e>
            <m:r>
              <w:rPr>
                <w:rFonts w:ascii="Cambria Math" w:hAnsi="Cambria Math" w:cs="Arial"/>
              </w:rPr>
              <m:t>C</m:t>
            </m:r>
          </m:e>
          <m:sub>
            <m:r>
              <w:rPr>
                <w:rFonts w:ascii="Cambria Math" w:hAnsi="Cambria Math" w:cs="Arial"/>
              </w:rPr>
              <m:t>t</m:t>
            </m:r>
          </m:sub>
        </m:sSub>
      </m:oMath>
      <w:r w:rsidRPr="009D1375">
        <w:rPr>
          <w:rFonts w:ascii="Arial" w:eastAsiaTheme="minorEastAsia" w:hAnsi="Arial" w:cs="Arial"/>
        </w:rPr>
        <w:t xml:space="preserve"> </w:t>
      </w:r>
      <w:r w:rsidRPr="009D1375">
        <w:rPr>
          <w:rFonts w:ascii="Arial" w:hAnsi="Arial" w:cs="Arial"/>
        </w:rPr>
        <w:t>down (i.e., C tends to decrease next period), restoring equilibrium.</w:t>
      </w:r>
    </w:p>
    <w:p w14:paraId="53B19DF3" w14:textId="77777777" w:rsidR="00034A02" w:rsidRPr="009D1375" w:rsidRDefault="009D1375" w:rsidP="009D1375">
      <w:pPr>
        <w:jc w:val="both"/>
        <w:rPr>
          <w:rFonts w:ascii="Arial" w:hAnsi="Arial" w:cs="Arial"/>
          <w:b/>
        </w:rPr>
      </w:pPr>
      <w:r w:rsidRPr="009D1375">
        <w:rPr>
          <w:rFonts w:ascii="Arial" w:hAnsi="Arial" w:cs="Arial"/>
          <w:b/>
        </w:rPr>
        <w:t>2</w:t>
      </w:r>
      <w:r w:rsidR="00034A02" w:rsidRPr="009D1375">
        <w:rPr>
          <w:rFonts w:ascii="Arial" w:hAnsi="Arial" w:cs="Arial"/>
          <w:b/>
        </w:rPr>
        <w:t>.2.6 Granger causality test based on modified Wald test</w:t>
      </w:r>
    </w:p>
    <w:p w14:paraId="6005513C" w14:textId="77777777" w:rsidR="00034A02" w:rsidRPr="009D1375" w:rsidRDefault="00034A02" w:rsidP="009D1375">
      <w:pPr>
        <w:jc w:val="both"/>
        <w:rPr>
          <w:rFonts w:ascii="Arial" w:eastAsiaTheme="minorEastAsia" w:hAnsi="Arial" w:cs="Arial"/>
        </w:rPr>
      </w:pPr>
      <w:r>
        <w:rPr>
          <w:rFonts w:ascii="Arial" w:eastAsiaTheme="minorEastAsia" w:hAnsi="Arial" w:cs="Arial"/>
          <w:highlight w:val="yellow"/>
        </w:rPr>
        <w:t>The Granger causality test procedure of Toda and Yamamoto (1995) was employed in this work</w:t>
      </w:r>
      <w:r>
        <w:rPr>
          <w:rFonts w:ascii="Arial" w:eastAsiaTheme="minorEastAsia" w:hAnsi="Arial" w:cs="Arial"/>
        </w:rPr>
        <w:t xml:space="preserve"> to determine the direction of causality among the study variables. </w:t>
      </w:r>
      <w:r>
        <w:rPr>
          <w:rFonts w:ascii="Arial" w:eastAsiaTheme="minorEastAsia" w:hAnsi="Arial" w:cs="Arial"/>
          <w:highlight w:val="yellow"/>
        </w:rPr>
        <w:t>The Toda and Yamamoto procedure uses</w:t>
      </w:r>
      <w:r>
        <w:rPr>
          <w:rFonts w:ascii="Arial" w:eastAsiaTheme="minorEastAsia" w:hAnsi="Arial" w:cs="Arial"/>
        </w:rPr>
        <w:t xml:space="preserve"> a Modified Wald (MWALD) test for restrictions on the parameters of the VAR (k) model.  The model is specified as follows:</w:t>
      </w:r>
    </w:p>
    <w:p w14:paraId="470A6275" w14:textId="77777777" w:rsidR="00034A02" w:rsidRPr="009D1375" w:rsidRDefault="00000000" w:rsidP="009D1375">
      <w:pPr>
        <w:ind w:left="-270" w:firstLine="270"/>
        <w:jc w:val="both"/>
        <w:rPr>
          <w:rFonts w:ascii="Arial" w:eastAsiaTheme="minorEastAsia" w:hAnsi="Arial" w:cs="Arial"/>
        </w:rPr>
      </w:pPr>
      <m:oMathPara>
        <m:oMath>
          <m:sSub>
            <m:sSubPr>
              <m:ctrlPr>
                <w:rPr>
                  <w:rFonts w:ascii="Cambria Math" w:eastAsiaTheme="minorEastAsia" w:hAnsi="Cambria Math" w:cs="Arial"/>
                  <w:i/>
                </w:rPr>
              </m:ctrlPr>
            </m:sSubPr>
            <m:e>
              <m:r>
                <w:rPr>
                  <w:rFonts w:ascii="Cambria Math" w:eastAsiaTheme="minorEastAsia" w:hAnsi="Cambria Math" w:cs="Arial"/>
                </w:rPr>
                <m:t>C</m:t>
              </m:r>
            </m:e>
            <m:sub>
              <m:r>
                <w:rPr>
                  <w:rFonts w:ascii="Cambria Math" w:eastAsiaTheme="minorEastAsia" w:hAnsi="Cambria Math" w:cs="Arial"/>
                </w:rPr>
                <m:t>t</m:t>
              </m:r>
            </m:sub>
          </m:sSub>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α</m:t>
              </m:r>
            </m:e>
            <m:sub>
              <m:r>
                <w:rPr>
                  <w:rFonts w:ascii="Cambria Math" w:eastAsiaTheme="minorEastAsia" w:hAnsi="Cambria Math" w:cs="Arial"/>
                </w:rPr>
                <m:t>1</m:t>
              </m:r>
            </m:sub>
          </m:sSub>
          <m:r>
            <w:rPr>
              <w:rFonts w:ascii="Cambria Math" w:eastAsiaTheme="minorEastAsia" w:hAnsi="Cambria Math" w:cs="Arial"/>
            </w:rPr>
            <m:t>+</m:t>
          </m:r>
          <m:nary>
            <m:naryPr>
              <m:chr m:val="∑"/>
              <m:ctrlPr>
                <w:rPr>
                  <w:rFonts w:ascii="Cambria Math" w:eastAsiaTheme="minorEastAsia" w:hAnsi="Cambria Math" w:cs="Arial"/>
                  <w:i/>
                </w:rPr>
              </m:ctrlPr>
            </m:naryPr>
            <m:sub>
              <m:r>
                <w:rPr>
                  <w:rFonts w:ascii="Cambria Math" w:hAnsi="Cambria Math" w:cs="Arial"/>
                </w:rPr>
                <m:t>i=1</m:t>
              </m:r>
            </m:sub>
            <m:sup>
              <m:r>
                <w:rPr>
                  <w:rFonts w:ascii="Cambria Math" w:hAnsi="Cambria Math" w:cs="Arial"/>
                </w:rPr>
                <m:t>k+d</m:t>
              </m:r>
            </m:sup>
            <m:e>
              <m:sSub>
                <m:sSubPr>
                  <m:ctrlPr>
                    <w:rPr>
                      <w:rFonts w:ascii="Cambria Math" w:eastAsiaTheme="minorEastAsia" w:hAnsi="Cambria Math" w:cs="Arial"/>
                      <w:i/>
                    </w:rPr>
                  </m:ctrlPr>
                </m:sSubPr>
                <m:e>
                  <m:r>
                    <w:rPr>
                      <w:rFonts w:ascii="Cambria Math" w:eastAsiaTheme="minorEastAsia" w:hAnsi="Cambria Math" w:cs="Arial"/>
                    </w:rPr>
                    <m:t>ϕ</m:t>
                  </m:r>
                </m:e>
                <m:sub>
                  <m:r>
                    <w:rPr>
                      <w:rFonts w:ascii="Cambria Math" w:eastAsiaTheme="minorEastAsia" w:hAnsi="Cambria Math" w:cs="Arial"/>
                    </w:rPr>
                    <m:t>1i</m:t>
                  </m:r>
                </m:sub>
              </m:sSub>
              <m:sSub>
                <m:sSubPr>
                  <m:ctrlPr>
                    <w:rPr>
                      <w:rFonts w:ascii="Cambria Math" w:eastAsiaTheme="minorEastAsia" w:hAnsi="Cambria Math" w:cs="Arial"/>
                      <w:i/>
                    </w:rPr>
                  </m:ctrlPr>
                </m:sSubPr>
                <m:e>
                  <m:r>
                    <w:rPr>
                      <w:rFonts w:ascii="Cambria Math" w:eastAsiaTheme="minorEastAsia" w:hAnsi="Cambria Math" w:cs="Arial"/>
                    </w:rPr>
                    <m:t>C</m:t>
                  </m:r>
                </m:e>
                <m:sub>
                  <m:r>
                    <w:rPr>
                      <w:rFonts w:ascii="Cambria Math" w:eastAsiaTheme="minorEastAsia" w:hAnsi="Cambria Math" w:cs="Arial"/>
                    </w:rPr>
                    <m:t>t-i</m:t>
                  </m:r>
                </m:sub>
              </m:sSub>
              <m:r>
                <w:rPr>
                  <w:rFonts w:ascii="Cambria Math" w:eastAsiaTheme="minorEastAsia" w:hAnsi="Cambria Math" w:cs="Arial"/>
                </w:rPr>
                <m:t>+</m:t>
              </m:r>
              <m:nary>
                <m:naryPr>
                  <m:chr m:val="∑"/>
                  <m:ctrlPr>
                    <w:rPr>
                      <w:rFonts w:ascii="Cambria Math" w:eastAsiaTheme="minorEastAsia" w:hAnsi="Cambria Math" w:cs="Arial"/>
                      <w:i/>
                    </w:rPr>
                  </m:ctrlPr>
                </m:naryPr>
                <m:sub>
                  <m:r>
                    <w:rPr>
                      <w:rFonts w:ascii="Cambria Math" w:hAnsi="Cambria Math" w:cs="Arial"/>
                    </w:rPr>
                    <m:t>t-i</m:t>
                  </m:r>
                </m:sub>
                <m:sup>
                  <m:r>
                    <w:rPr>
                      <w:rFonts w:ascii="Cambria Math" w:hAnsi="Cambria Math" w:cs="Arial"/>
                    </w:rPr>
                    <m:t>k+d</m:t>
                  </m:r>
                </m:sup>
                <m:e>
                  <m:sSub>
                    <m:sSubPr>
                      <m:ctrlPr>
                        <w:rPr>
                          <w:rFonts w:ascii="Cambria Math" w:eastAsiaTheme="minorEastAsia" w:hAnsi="Cambria Math" w:cs="Arial"/>
                          <w:i/>
                        </w:rPr>
                      </m:ctrlPr>
                    </m:sSubPr>
                    <m:e>
                      <m:r>
                        <w:rPr>
                          <w:rFonts w:ascii="Cambria Math" w:eastAsiaTheme="minorEastAsia" w:hAnsi="Cambria Math" w:cs="Arial"/>
                        </w:rPr>
                        <m:t>ϕ</m:t>
                      </m:r>
                    </m:e>
                    <m:sub>
                      <m:r>
                        <w:rPr>
                          <w:rFonts w:ascii="Cambria Math" w:eastAsiaTheme="minorEastAsia" w:hAnsi="Cambria Math" w:cs="Arial"/>
                        </w:rPr>
                        <m:t>2i</m:t>
                      </m:r>
                    </m:sub>
                  </m:sSub>
                  <m:sSub>
                    <m:sSubPr>
                      <m:ctrlPr>
                        <w:rPr>
                          <w:rFonts w:ascii="Cambria Math" w:eastAsiaTheme="minorEastAsia" w:hAnsi="Cambria Math" w:cs="Arial"/>
                          <w:i/>
                        </w:rPr>
                      </m:ctrlPr>
                    </m:sSubPr>
                    <m:e>
                      <m:r>
                        <w:rPr>
                          <w:rFonts w:ascii="Cambria Math" w:eastAsiaTheme="minorEastAsia" w:hAnsi="Cambria Math" w:cs="Arial"/>
                        </w:rPr>
                        <m:t>H</m:t>
                      </m:r>
                    </m:e>
                    <m:sub>
                      <m:r>
                        <w:rPr>
                          <w:rFonts w:ascii="Cambria Math" w:eastAsiaTheme="minorEastAsia" w:hAnsi="Cambria Math" w:cs="Arial"/>
                        </w:rPr>
                        <m:t>t-i</m:t>
                      </m:r>
                    </m:sub>
                  </m:sSub>
                </m:e>
              </m:nary>
            </m:e>
          </m:nary>
          <m:r>
            <w:rPr>
              <w:rFonts w:ascii="Cambria Math" w:eastAsiaTheme="minorEastAsia" w:hAnsi="Cambria Math" w:cs="Arial"/>
            </w:rPr>
            <m:t>+</m:t>
          </m:r>
          <m:nary>
            <m:naryPr>
              <m:chr m:val="∑"/>
              <m:ctrlPr>
                <w:rPr>
                  <w:rFonts w:ascii="Cambria Math" w:eastAsiaTheme="minorEastAsia" w:hAnsi="Cambria Math" w:cs="Arial"/>
                  <w:i/>
                </w:rPr>
              </m:ctrlPr>
            </m:naryPr>
            <m:sub>
              <m:r>
                <w:rPr>
                  <w:rFonts w:ascii="Cambria Math" w:hAnsi="Cambria Math" w:cs="Arial"/>
                </w:rPr>
                <m:t>t-i</m:t>
              </m:r>
            </m:sub>
            <m:sup>
              <m:r>
                <w:rPr>
                  <w:rFonts w:ascii="Cambria Math" w:hAnsi="Cambria Math" w:cs="Arial"/>
                </w:rPr>
                <m:t>k+d</m:t>
              </m:r>
            </m:sup>
            <m:e>
              <m:sSub>
                <m:sSubPr>
                  <m:ctrlPr>
                    <w:rPr>
                      <w:rFonts w:ascii="Cambria Math" w:eastAsiaTheme="minorEastAsia" w:hAnsi="Cambria Math" w:cs="Arial"/>
                      <w:i/>
                    </w:rPr>
                  </m:ctrlPr>
                </m:sSubPr>
                <m:e>
                  <m:r>
                    <w:rPr>
                      <w:rFonts w:ascii="Cambria Math" w:eastAsiaTheme="minorEastAsia" w:hAnsi="Cambria Math" w:cs="Arial"/>
                    </w:rPr>
                    <m:t>ϕ</m:t>
                  </m:r>
                </m:e>
                <m:sub>
                  <m:r>
                    <w:rPr>
                      <w:rFonts w:ascii="Cambria Math" w:eastAsiaTheme="minorEastAsia" w:hAnsi="Cambria Math" w:cs="Arial"/>
                    </w:rPr>
                    <m:t>3i</m:t>
                  </m:r>
                </m:sub>
              </m:sSub>
              <m:sSub>
                <m:sSubPr>
                  <m:ctrlPr>
                    <w:rPr>
                      <w:rFonts w:ascii="Cambria Math" w:eastAsiaTheme="minorEastAsia" w:hAnsi="Cambria Math" w:cs="Arial"/>
                      <w:i/>
                    </w:rPr>
                  </m:ctrlPr>
                </m:sSubPr>
                <m:e>
                  <m:r>
                    <w:rPr>
                      <w:rFonts w:ascii="Cambria Math" w:eastAsiaTheme="minorEastAsia" w:hAnsi="Cambria Math" w:cs="Arial"/>
                    </w:rPr>
                    <m:t>T</m:t>
                  </m:r>
                </m:e>
                <m:sub>
                  <m:r>
                    <w:rPr>
                      <w:rFonts w:ascii="Cambria Math" w:eastAsiaTheme="minorEastAsia" w:hAnsi="Cambria Math" w:cs="Arial"/>
                    </w:rPr>
                    <m:t>t-i</m:t>
                  </m:r>
                </m:sub>
              </m:sSub>
            </m:e>
          </m:nary>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ε</m:t>
              </m:r>
            </m:e>
            <m:sub>
              <m:r>
                <w:rPr>
                  <w:rFonts w:ascii="Cambria Math" w:eastAsiaTheme="minorEastAsia" w:hAnsi="Cambria Math" w:cs="Arial"/>
                </w:rPr>
                <m:t>ut</m:t>
              </m:r>
            </m:sub>
          </m:sSub>
          <m:r>
            <w:rPr>
              <w:rFonts w:ascii="Cambria Math" w:eastAsiaTheme="minorEastAsia" w:hAnsi="Cambria Math" w:cs="Arial"/>
            </w:rPr>
            <m:t xml:space="preserve">           (23)</m:t>
          </m:r>
        </m:oMath>
      </m:oMathPara>
    </w:p>
    <w:p w14:paraId="746FFF6A" w14:textId="77777777" w:rsidR="00034A02" w:rsidRPr="009D1375" w:rsidRDefault="00000000" w:rsidP="009D1375">
      <w:pPr>
        <w:pStyle w:val="ListParagraph"/>
        <w:spacing w:line="240" w:lineRule="auto"/>
        <w:ind w:left="-270" w:firstLine="270"/>
        <w:jc w:val="both"/>
        <w:rPr>
          <w:rFonts w:ascii="Arial" w:eastAsiaTheme="minorEastAsia" w:hAnsi="Arial" w:cs="Arial"/>
          <w:i/>
          <w:sz w:val="20"/>
          <w:szCs w:val="20"/>
        </w:rPr>
      </w:pPr>
      <m:oMathPara>
        <m:oMath>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H</m:t>
              </m:r>
            </m:e>
            <m:sub>
              <m:r>
                <w:rPr>
                  <w:rFonts w:ascii="Cambria Math" w:eastAsiaTheme="minorEastAsia" w:hAnsi="Cambria Math" w:cs="Arial"/>
                  <w:sz w:val="20"/>
                  <w:szCs w:val="20"/>
                </w:rPr>
                <m:t>t</m:t>
              </m:r>
            </m:sub>
          </m:sSub>
          <m:r>
            <w:rPr>
              <w:rFonts w:ascii="Cambria Math" w:eastAsiaTheme="minorEastAsia" w:hAnsi="Cambria Math" w:cs="Arial"/>
              <w:sz w:val="20"/>
              <w:szCs w:val="20"/>
            </w:rPr>
            <m:t>=</m:t>
          </m:r>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α</m:t>
              </m:r>
            </m:e>
            <m:sub>
              <m:r>
                <w:rPr>
                  <w:rFonts w:ascii="Cambria Math" w:eastAsiaTheme="minorEastAsia" w:hAnsi="Cambria Math" w:cs="Arial"/>
                  <w:sz w:val="20"/>
                  <w:szCs w:val="20"/>
                </w:rPr>
                <m:t>2</m:t>
              </m:r>
            </m:sub>
          </m:sSub>
          <m:r>
            <w:rPr>
              <w:rFonts w:ascii="Cambria Math" w:eastAsiaTheme="minorEastAsia" w:hAnsi="Cambria Math" w:cs="Arial"/>
              <w:sz w:val="20"/>
              <w:szCs w:val="20"/>
            </w:rPr>
            <m:t>+</m:t>
          </m:r>
          <m:nary>
            <m:naryPr>
              <m:chr m:val="∑"/>
              <m:ctrlPr>
                <w:rPr>
                  <w:rFonts w:ascii="Cambria Math" w:eastAsiaTheme="minorEastAsia" w:hAnsi="Cambria Math" w:cs="Arial"/>
                  <w:i/>
                  <w:sz w:val="20"/>
                  <w:szCs w:val="20"/>
                </w:rPr>
              </m:ctrlPr>
            </m:naryPr>
            <m:sub>
              <m:r>
                <w:rPr>
                  <w:rFonts w:ascii="Cambria Math" w:hAnsi="Cambria Math" w:cs="Arial"/>
                  <w:sz w:val="20"/>
                  <w:szCs w:val="20"/>
                </w:rPr>
                <m:t>i=1</m:t>
              </m:r>
            </m:sub>
            <m:sup>
              <m:r>
                <w:rPr>
                  <w:rFonts w:ascii="Cambria Math" w:hAnsi="Cambria Math" w:cs="Arial"/>
                  <w:sz w:val="20"/>
                  <w:szCs w:val="20"/>
                </w:rPr>
                <m:t>k+d</m:t>
              </m:r>
            </m:sup>
            <m:e>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β</m:t>
                  </m:r>
                </m:e>
                <m:sub>
                  <m:r>
                    <w:rPr>
                      <w:rFonts w:ascii="Cambria Math" w:eastAsiaTheme="minorEastAsia" w:hAnsi="Cambria Math" w:cs="Arial"/>
                      <w:sz w:val="20"/>
                      <w:szCs w:val="20"/>
                    </w:rPr>
                    <m:t>1i</m:t>
                  </m:r>
                </m:sub>
              </m:sSub>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H</m:t>
                  </m:r>
                </m:e>
                <m:sub>
                  <m:r>
                    <w:rPr>
                      <w:rFonts w:ascii="Cambria Math" w:eastAsiaTheme="minorEastAsia" w:hAnsi="Cambria Math" w:cs="Arial"/>
                      <w:sz w:val="20"/>
                      <w:szCs w:val="20"/>
                    </w:rPr>
                    <m:t>t-i</m:t>
                  </m:r>
                </m:sub>
              </m:sSub>
              <m:r>
                <w:rPr>
                  <w:rFonts w:ascii="Cambria Math" w:eastAsiaTheme="minorEastAsia" w:hAnsi="Cambria Math" w:cs="Arial"/>
                  <w:sz w:val="20"/>
                  <w:szCs w:val="20"/>
                </w:rPr>
                <m:t>+</m:t>
              </m:r>
              <m:nary>
                <m:naryPr>
                  <m:chr m:val="∑"/>
                  <m:ctrlPr>
                    <w:rPr>
                      <w:rFonts w:ascii="Cambria Math" w:eastAsiaTheme="minorEastAsia" w:hAnsi="Cambria Math" w:cs="Arial"/>
                      <w:i/>
                      <w:sz w:val="20"/>
                      <w:szCs w:val="20"/>
                    </w:rPr>
                  </m:ctrlPr>
                </m:naryPr>
                <m:sub>
                  <m:r>
                    <w:rPr>
                      <w:rFonts w:ascii="Cambria Math" w:hAnsi="Cambria Math" w:cs="Arial"/>
                      <w:sz w:val="20"/>
                      <w:szCs w:val="20"/>
                    </w:rPr>
                    <m:t>t-i</m:t>
                  </m:r>
                </m:sub>
                <m:sup>
                  <m:r>
                    <w:rPr>
                      <w:rFonts w:ascii="Cambria Math" w:hAnsi="Cambria Math" w:cs="Arial"/>
                      <w:sz w:val="20"/>
                      <w:szCs w:val="20"/>
                    </w:rPr>
                    <m:t>k+d</m:t>
                  </m:r>
                </m:sup>
                <m:e>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β</m:t>
                      </m:r>
                    </m:e>
                    <m:sub>
                      <m:r>
                        <w:rPr>
                          <w:rFonts w:ascii="Cambria Math" w:eastAsiaTheme="minorEastAsia" w:hAnsi="Cambria Math" w:cs="Arial"/>
                          <w:sz w:val="20"/>
                          <w:szCs w:val="20"/>
                        </w:rPr>
                        <m:t>2i</m:t>
                      </m:r>
                    </m:sub>
                  </m:sSub>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C</m:t>
                      </m:r>
                    </m:e>
                    <m:sub>
                      <m:r>
                        <w:rPr>
                          <w:rFonts w:ascii="Cambria Math" w:eastAsiaTheme="minorEastAsia" w:hAnsi="Cambria Math" w:cs="Arial"/>
                          <w:sz w:val="20"/>
                          <w:szCs w:val="20"/>
                        </w:rPr>
                        <m:t>t-i</m:t>
                      </m:r>
                    </m:sub>
                  </m:sSub>
                </m:e>
              </m:nary>
            </m:e>
          </m:nary>
          <m:r>
            <w:rPr>
              <w:rFonts w:ascii="Cambria Math" w:eastAsiaTheme="minorEastAsia" w:hAnsi="Cambria Math" w:cs="Arial"/>
              <w:sz w:val="20"/>
              <w:szCs w:val="20"/>
            </w:rPr>
            <m:t>+</m:t>
          </m:r>
          <m:nary>
            <m:naryPr>
              <m:chr m:val="∑"/>
              <m:ctrlPr>
                <w:rPr>
                  <w:rFonts w:ascii="Cambria Math" w:eastAsiaTheme="minorEastAsia" w:hAnsi="Cambria Math" w:cs="Arial"/>
                  <w:i/>
                  <w:sz w:val="20"/>
                  <w:szCs w:val="20"/>
                </w:rPr>
              </m:ctrlPr>
            </m:naryPr>
            <m:sub>
              <m:r>
                <w:rPr>
                  <w:rFonts w:ascii="Cambria Math" w:hAnsi="Cambria Math" w:cs="Arial"/>
                  <w:sz w:val="20"/>
                  <w:szCs w:val="20"/>
                </w:rPr>
                <m:t>t-i</m:t>
              </m:r>
            </m:sub>
            <m:sup>
              <m:r>
                <w:rPr>
                  <w:rFonts w:ascii="Cambria Math" w:hAnsi="Cambria Math" w:cs="Arial"/>
                  <w:sz w:val="20"/>
                  <w:szCs w:val="20"/>
                </w:rPr>
                <m:t>k+d</m:t>
              </m:r>
            </m:sup>
            <m:e>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β</m:t>
                  </m:r>
                </m:e>
                <m:sub>
                  <m:r>
                    <w:rPr>
                      <w:rFonts w:ascii="Cambria Math" w:eastAsiaTheme="minorEastAsia" w:hAnsi="Cambria Math" w:cs="Arial"/>
                      <w:sz w:val="20"/>
                      <w:szCs w:val="20"/>
                    </w:rPr>
                    <m:t>3i</m:t>
                  </m:r>
                </m:sub>
              </m:sSub>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T</m:t>
                  </m:r>
                </m:e>
                <m:sub>
                  <m:r>
                    <w:rPr>
                      <w:rFonts w:ascii="Cambria Math" w:eastAsiaTheme="minorEastAsia" w:hAnsi="Cambria Math" w:cs="Arial"/>
                      <w:sz w:val="20"/>
                      <w:szCs w:val="20"/>
                    </w:rPr>
                    <m:t>t-i</m:t>
                  </m:r>
                </m:sub>
              </m:sSub>
            </m:e>
          </m:nary>
          <m:r>
            <w:rPr>
              <w:rFonts w:ascii="Cambria Math" w:eastAsiaTheme="minorEastAsia" w:hAnsi="Cambria Math" w:cs="Arial"/>
              <w:sz w:val="20"/>
              <w:szCs w:val="20"/>
            </w:rPr>
            <m:t>+</m:t>
          </m:r>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ε</m:t>
              </m:r>
            </m:e>
            <m:sub>
              <m:r>
                <w:rPr>
                  <w:rFonts w:ascii="Cambria Math" w:eastAsiaTheme="minorEastAsia" w:hAnsi="Cambria Math" w:cs="Arial"/>
                  <w:sz w:val="20"/>
                  <w:szCs w:val="20"/>
                </w:rPr>
                <m:t>vt</m:t>
              </m:r>
            </m:sub>
          </m:sSub>
          <m:r>
            <w:rPr>
              <w:rFonts w:ascii="Cambria Math" w:eastAsiaTheme="minorEastAsia" w:hAnsi="Cambria Math" w:cs="Arial"/>
              <w:sz w:val="20"/>
              <w:szCs w:val="20"/>
            </w:rPr>
            <m:t xml:space="preserve">           (24)</m:t>
          </m:r>
        </m:oMath>
      </m:oMathPara>
    </w:p>
    <w:p w14:paraId="07A66858" w14:textId="77777777" w:rsidR="00034A02" w:rsidRPr="009D1375" w:rsidRDefault="00000000" w:rsidP="009D1375">
      <w:pPr>
        <w:pStyle w:val="ListParagraph"/>
        <w:spacing w:line="240" w:lineRule="auto"/>
        <w:ind w:left="-270" w:firstLine="270"/>
        <w:jc w:val="both"/>
        <w:rPr>
          <w:rFonts w:ascii="Arial" w:eastAsiaTheme="minorEastAsia" w:hAnsi="Arial" w:cs="Arial"/>
          <w:sz w:val="20"/>
          <w:szCs w:val="20"/>
        </w:rPr>
      </w:pPr>
      <m:oMathPara>
        <m:oMath>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T</m:t>
              </m:r>
            </m:e>
            <m:sub>
              <m:r>
                <w:rPr>
                  <w:rFonts w:ascii="Cambria Math" w:eastAsiaTheme="minorEastAsia" w:hAnsi="Cambria Math" w:cs="Arial"/>
                  <w:sz w:val="20"/>
                  <w:szCs w:val="20"/>
                </w:rPr>
                <m:t>t</m:t>
              </m:r>
            </m:sub>
          </m:sSub>
          <m:r>
            <w:rPr>
              <w:rFonts w:ascii="Cambria Math" w:eastAsiaTheme="minorEastAsia" w:hAnsi="Cambria Math" w:cs="Arial"/>
              <w:sz w:val="20"/>
              <w:szCs w:val="20"/>
            </w:rPr>
            <m:t>=</m:t>
          </m:r>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α</m:t>
              </m:r>
            </m:e>
            <m:sub>
              <m:r>
                <w:rPr>
                  <w:rFonts w:ascii="Cambria Math" w:eastAsiaTheme="minorEastAsia" w:hAnsi="Cambria Math" w:cs="Arial"/>
                  <w:sz w:val="20"/>
                  <w:szCs w:val="20"/>
                </w:rPr>
                <m:t>3</m:t>
              </m:r>
            </m:sub>
          </m:sSub>
          <m:r>
            <w:rPr>
              <w:rFonts w:ascii="Cambria Math" w:eastAsiaTheme="minorEastAsia" w:hAnsi="Cambria Math" w:cs="Arial"/>
              <w:sz w:val="20"/>
              <w:szCs w:val="20"/>
            </w:rPr>
            <m:t>+</m:t>
          </m:r>
          <m:nary>
            <m:naryPr>
              <m:chr m:val="∑"/>
              <m:ctrlPr>
                <w:rPr>
                  <w:rFonts w:ascii="Cambria Math" w:eastAsiaTheme="minorEastAsia" w:hAnsi="Cambria Math" w:cs="Arial"/>
                  <w:i/>
                  <w:sz w:val="20"/>
                  <w:szCs w:val="20"/>
                </w:rPr>
              </m:ctrlPr>
            </m:naryPr>
            <m:sub>
              <m:r>
                <w:rPr>
                  <w:rFonts w:ascii="Cambria Math" w:hAnsi="Cambria Math" w:cs="Arial"/>
                  <w:sz w:val="20"/>
                  <w:szCs w:val="20"/>
                </w:rPr>
                <m:t>i=1</m:t>
              </m:r>
            </m:sub>
            <m:sup>
              <m:r>
                <w:rPr>
                  <w:rFonts w:ascii="Cambria Math" w:hAnsi="Cambria Math" w:cs="Arial"/>
                  <w:sz w:val="20"/>
                  <w:szCs w:val="20"/>
                </w:rPr>
                <m:t>k+d</m:t>
              </m:r>
            </m:sup>
            <m:e>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φ</m:t>
                  </m:r>
                </m:e>
                <m:sub>
                  <m:r>
                    <w:rPr>
                      <w:rFonts w:ascii="Cambria Math" w:eastAsiaTheme="minorEastAsia" w:hAnsi="Cambria Math" w:cs="Arial"/>
                      <w:sz w:val="20"/>
                      <w:szCs w:val="20"/>
                    </w:rPr>
                    <m:t>1i</m:t>
                  </m:r>
                </m:sub>
              </m:sSub>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T</m:t>
                  </m:r>
                </m:e>
                <m:sub>
                  <m:r>
                    <w:rPr>
                      <w:rFonts w:ascii="Cambria Math" w:eastAsiaTheme="minorEastAsia" w:hAnsi="Cambria Math" w:cs="Arial"/>
                      <w:sz w:val="20"/>
                      <w:szCs w:val="20"/>
                    </w:rPr>
                    <m:t>t-i</m:t>
                  </m:r>
                </m:sub>
              </m:sSub>
              <m:r>
                <w:rPr>
                  <w:rFonts w:ascii="Cambria Math" w:eastAsiaTheme="minorEastAsia" w:hAnsi="Cambria Math" w:cs="Arial"/>
                  <w:sz w:val="20"/>
                  <w:szCs w:val="20"/>
                </w:rPr>
                <m:t>+</m:t>
              </m:r>
              <m:nary>
                <m:naryPr>
                  <m:chr m:val="∑"/>
                  <m:ctrlPr>
                    <w:rPr>
                      <w:rFonts w:ascii="Cambria Math" w:eastAsiaTheme="minorEastAsia" w:hAnsi="Cambria Math" w:cs="Arial"/>
                      <w:i/>
                      <w:sz w:val="20"/>
                      <w:szCs w:val="20"/>
                    </w:rPr>
                  </m:ctrlPr>
                </m:naryPr>
                <m:sub>
                  <m:r>
                    <w:rPr>
                      <w:rFonts w:ascii="Cambria Math" w:hAnsi="Cambria Math" w:cs="Arial"/>
                      <w:sz w:val="20"/>
                      <w:szCs w:val="20"/>
                    </w:rPr>
                    <m:t>t-i</m:t>
                  </m:r>
                </m:sub>
                <m:sup>
                  <m:r>
                    <w:rPr>
                      <w:rFonts w:ascii="Cambria Math" w:hAnsi="Cambria Math" w:cs="Arial"/>
                      <w:sz w:val="20"/>
                      <w:szCs w:val="20"/>
                    </w:rPr>
                    <m:t>k+d</m:t>
                  </m:r>
                </m:sup>
                <m:e>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φ</m:t>
                      </m:r>
                    </m:e>
                    <m:sub>
                      <m:r>
                        <w:rPr>
                          <w:rFonts w:ascii="Cambria Math" w:eastAsiaTheme="minorEastAsia" w:hAnsi="Cambria Math" w:cs="Arial"/>
                          <w:sz w:val="20"/>
                          <w:szCs w:val="20"/>
                        </w:rPr>
                        <m:t>2i</m:t>
                      </m:r>
                    </m:sub>
                  </m:sSub>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C</m:t>
                      </m:r>
                    </m:e>
                    <m:sub>
                      <m:r>
                        <w:rPr>
                          <w:rFonts w:ascii="Cambria Math" w:eastAsiaTheme="minorEastAsia" w:hAnsi="Cambria Math" w:cs="Arial"/>
                          <w:sz w:val="20"/>
                          <w:szCs w:val="20"/>
                        </w:rPr>
                        <m:t>t-i</m:t>
                      </m:r>
                    </m:sub>
                  </m:sSub>
                </m:e>
              </m:nary>
            </m:e>
          </m:nary>
          <m:r>
            <w:rPr>
              <w:rFonts w:ascii="Cambria Math" w:eastAsiaTheme="minorEastAsia" w:hAnsi="Cambria Math" w:cs="Arial"/>
              <w:sz w:val="20"/>
              <w:szCs w:val="20"/>
            </w:rPr>
            <m:t>+</m:t>
          </m:r>
          <m:nary>
            <m:naryPr>
              <m:chr m:val="∑"/>
              <m:ctrlPr>
                <w:rPr>
                  <w:rFonts w:ascii="Cambria Math" w:eastAsiaTheme="minorEastAsia" w:hAnsi="Cambria Math" w:cs="Arial"/>
                  <w:i/>
                  <w:sz w:val="20"/>
                  <w:szCs w:val="20"/>
                </w:rPr>
              </m:ctrlPr>
            </m:naryPr>
            <m:sub>
              <m:r>
                <w:rPr>
                  <w:rFonts w:ascii="Cambria Math" w:hAnsi="Cambria Math" w:cs="Arial"/>
                  <w:sz w:val="20"/>
                  <w:szCs w:val="20"/>
                </w:rPr>
                <m:t>t-i</m:t>
              </m:r>
            </m:sub>
            <m:sup>
              <m:r>
                <w:rPr>
                  <w:rFonts w:ascii="Cambria Math" w:hAnsi="Cambria Math" w:cs="Arial"/>
                  <w:sz w:val="20"/>
                  <w:szCs w:val="20"/>
                </w:rPr>
                <m:t>k+d</m:t>
              </m:r>
            </m:sup>
            <m:e>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φ</m:t>
                  </m:r>
                </m:e>
                <m:sub>
                  <m:r>
                    <w:rPr>
                      <w:rFonts w:ascii="Cambria Math" w:eastAsiaTheme="minorEastAsia" w:hAnsi="Cambria Math" w:cs="Arial"/>
                      <w:sz w:val="20"/>
                      <w:szCs w:val="20"/>
                    </w:rPr>
                    <m:t>3i</m:t>
                  </m:r>
                </m:sub>
              </m:sSub>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H</m:t>
                  </m:r>
                </m:e>
                <m:sub>
                  <m:r>
                    <w:rPr>
                      <w:rFonts w:ascii="Cambria Math" w:eastAsiaTheme="minorEastAsia" w:hAnsi="Cambria Math" w:cs="Arial"/>
                      <w:sz w:val="20"/>
                      <w:szCs w:val="20"/>
                    </w:rPr>
                    <m:t>t-i</m:t>
                  </m:r>
                </m:sub>
              </m:sSub>
            </m:e>
          </m:nary>
          <m:r>
            <w:rPr>
              <w:rFonts w:ascii="Cambria Math" w:eastAsiaTheme="minorEastAsia" w:hAnsi="Cambria Math" w:cs="Arial"/>
              <w:sz w:val="20"/>
              <w:szCs w:val="20"/>
            </w:rPr>
            <m:t>+</m:t>
          </m:r>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ε</m:t>
              </m:r>
            </m:e>
            <m:sub>
              <m:r>
                <w:rPr>
                  <w:rFonts w:ascii="Cambria Math" w:eastAsiaTheme="minorEastAsia" w:hAnsi="Cambria Math" w:cs="Arial"/>
                  <w:sz w:val="20"/>
                  <w:szCs w:val="20"/>
                </w:rPr>
                <m:t>wt</m:t>
              </m:r>
            </m:sub>
          </m:sSub>
          <m:r>
            <w:rPr>
              <w:rFonts w:ascii="Cambria Math" w:eastAsiaTheme="minorEastAsia" w:hAnsi="Cambria Math" w:cs="Arial"/>
              <w:sz w:val="20"/>
              <w:szCs w:val="20"/>
            </w:rPr>
            <m:t xml:space="preserve">         (25)</m:t>
          </m:r>
        </m:oMath>
      </m:oMathPara>
    </w:p>
    <w:p w14:paraId="15FD9B90" w14:textId="77777777" w:rsidR="00034A02" w:rsidRPr="009D1375" w:rsidRDefault="00034A02" w:rsidP="009D1375">
      <w:pPr>
        <w:jc w:val="both"/>
        <w:rPr>
          <w:rFonts w:ascii="Arial" w:eastAsiaTheme="minorEastAsia" w:hAnsi="Arial" w:cs="Arial"/>
        </w:rPr>
      </w:pPr>
      <w:r w:rsidRPr="009D1375">
        <w:rPr>
          <w:rFonts w:ascii="Arial" w:hAnsi="Arial" w:cs="Arial"/>
        </w:rPr>
        <w:t xml:space="preserve">where </w:t>
      </w:r>
      <m:oMath>
        <m:r>
          <w:rPr>
            <w:rFonts w:ascii="Cambria Math" w:hAnsi="Cambria Math" w:cs="Arial"/>
          </w:rPr>
          <m:t>k</m:t>
        </m:r>
      </m:oMath>
      <w:r w:rsidRPr="009D1375">
        <w:rPr>
          <w:rFonts w:ascii="Arial" w:eastAsiaTheme="minorEastAsia" w:hAnsi="Arial" w:cs="Arial"/>
        </w:rPr>
        <w:t xml:space="preserve"> is the optimal lag order; </w:t>
      </w:r>
      <m:oMath>
        <m:r>
          <w:rPr>
            <w:rFonts w:ascii="Cambria Math" w:eastAsiaTheme="minorEastAsia" w:hAnsi="Cambria Math" w:cs="Arial"/>
          </w:rPr>
          <m:t>d</m:t>
        </m:r>
      </m:oMath>
      <w:r w:rsidRPr="009D1375">
        <w:rPr>
          <w:rFonts w:ascii="Arial" w:eastAsiaTheme="minorEastAsia" w:hAnsi="Arial" w:cs="Arial"/>
        </w:rPr>
        <w:t xml:space="preserve"> is the maximal order of integration of the series in the system;</w:t>
      </w:r>
      <m:oMath>
        <m:r>
          <w:rPr>
            <w:rFonts w:ascii="Cambria Math" w:eastAsiaTheme="minorEastAsia" w:hAnsi="Cambria Math" w:cs="Arial"/>
          </w:rPr>
          <m:t xml:space="preserve"> </m:t>
        </m:r>
        <m:sSub>
          <m:sSubPr>
            <m:ctrlPr>
              <w:rPr>
                <w:rFonts w:ascii="Cambria Math" w:eastAsiaTheme="minorEastAsia" w:hAnsi="Cambria Math" w:cs="Arial"/>
                <w:i/>
              </w:rPr>
            </m:ctrlPr>
          </m:sSubPr>
          <m:e>
            <m:sSub>
              <m:sSubPr>
                <m:ctrlPr>
                  <w:rPr>
                    <w:rFonts w:ascii="Cambria Math" w:eastAsiaTheme="minorEastAsia" w:hAnsi="Cambria Math" w:cs="Arial"/>
                    <w:i/>
                  </w:rPr>
                </m:ctrlPr>
              </m:sSubPr>
              <m:e>
                <m:r>
                  <w:rPr>
                    <w:rFonts w:ascii="Cambria Math" w:eastAsiaTheme="minorEastAsia" w:hAnsi="Cambria Math" w:cs="Arial"/>
                  </w:rPr>
                  <m:t>ε</m:t>
                </m:r>
              </m:e>
              <m:sub>
                <m:r>
                  <w:rPr>
                    <w:rFonts w:ascii="Cambria Math" w:eastAsiaTheme="minorEastAsia" w:hAnsi="Cambria Math" w:cs="Arial"/>
                  </w:rPr>
                  <m:t>ut</m:t>
                </m:r>
              </m:sub>
            </m:sSub>
            <m:r>
              <w:rPr>
                <w:rFonts w:ascii="Cambria Math" w:eastAsiaTheme="minorEastAsia" w:hAnsi="Cambria Math" w:cs="Arial"/>
              </w:rPr>
              <m:t>, ε</m:t>
            </m:r>
          </m:e>
          <m:sub>
            <m:r>
              <w:rPr>
                <w:rFonts w:ascii="Cambria Math" w:eastAsiaTheme="minorEastAsia" w:hAnsi="Cambria Math" w:cs="Arial"/>
              </w:rPr>
              <m:t>vt</m:t>
            </m:r>
          </m:sub>
        </m:sSub>
        <m:r>
          <w:rPr>
            <w:rFonts w:ascii="Cambria Math" w:eastAsiaTheme="minorEastAsia" w:hAnsi="Cambria Math" w:cs="Arial"/>
          </w:rPr>
          <m:t xml:space="preserve"> </m:t>
        </m:r>
      </m:oMath>
      <w:r w:rsidRPr="009D1375">
        <w:rPr>
          <w:rFonts w:ascii="Arial" w:eastAsiaTheme="minorEastAsia" w:hAnsi="Arial" w:cs="Arial"/>
        </w:rPr>
        <w:t xml:space="preserve"> and </w:t>
      </w:r>
      <m:oMath>
        <m:sSub>
          <m:sSubPr>
            <m:ctrlPr>
              <w:rPr>
                <w:rFonts w:ascii="Cambria Math" w:eastAsiaTheme="minorEastAsia" w:hAnsi="Cambria Math" w:cs="Arial"/>
                <w:i/>
              </w:rPr>
            </m:ctrlPr>
          </m:sSubPr>
          <m:e>
            <m:r>
              <w:rPr>
                <w:rFonts w:ascii="Cambria Math" w:eastAsiaTheme="minorEastAsia" w:hAnsi="Cambria Math" w:cs="Arial"/>
              </w:rPr>
              <m:t>ε</m:t>
            </m:r>
          </m:e>
          <m:sub>
            <m:r>
              <w:rPr>
                <w:rFonts w:ascii="Cambria Math" w:eastAsiaTheme="minorEastAsia" w:hAnsi="Cambria Math" w:cs="Arial"/>
              </w:rPr>
              <m:t>wt</m:t>
            </m:r>
          </m:sub>
        </m:sSub>
      </m:oMath>
      <w:r w:rsidRPr="009D1375">
        <w:rPr>
          <w:rFonts w:ascii="Arial" w:eastAsiaTheme="minorEastAsia" w:hAnsi="Arial" w:cs="Arial"/>
        </w:rPr>
        <w:t xml:space="preserve"> are error terms which are assumed to be white noise. The usual Wald test is then applied to the first </w:t>
      </w:r>
      <m:oMath>
        <m:r>
          <w:rPr>
            <w:rFonts w:ascii="Cambria Math" w:eastAsiaTheme="minorEastAsia" w:hAnsi="Cambria Math" w:cs="Arial"/>
          </w:rPr>
          <m:t>k</m:t>
        </m:r>
      </m:oMath>
      <w:r w:rsidRPr="009D1375">
        <w:rPr>
          <w:rFonts w:ascii="Arial" w:eastAsiaTheme="minorEastAsia" w:hAnsi="Arial" w:cs="Arial"/>
        </w:rPr>
        <w:t xml:space="preserve"> coefficient matrices using the standard </w:t>
      </w:r>
      <m:oMath>
        <m:sSup>
          <m:sSupPr>
            <m:ctrlPr>
              <w:rPr>
                <w:rFonts w:ascii="Cambria Math" w:eastAsiaTheme="minorEastAsia" w:hAnsi="Cambria Math" w:cs="Arial"/>
                <w:i/>
              </w:rPr>
            </m:ctrlPr>
          </m:sSupPr>
          <m:e>
            <m:r>
              <w:rPr>
                <w:rFonts w:ascii="Cambria Math" w:eastAsiaTheme="minorEastAsia" w:hAnsi="Cambria Math" w:cs="Arial"/>
              </w:rPr>
              <m:t>χ</m:t>
            </m:r>
          </m:e>
          <m:sup>
            <m:r>
              <w:rPr>
                <w:rFonts w:ascii="Cambria Math" w:eastAsiaTheme="minorEastAsia" w:hAnsi="Cambria Math" w:cs="Arial"/>
              </w:rPr>
              <m:t>2</m:t>
            </m:r>
          </m:sup>
        </m:sSup>
      </m:oMath>
      <w:r w:rsidRPr="009D1375">
        <w:rPr>
          <w:rFonts w:ascii="Arial" w:eastAsiaTheme="minorEastAsia" w:hAnsi="Arial" w:cs="Arial"/>
        </w:rPr>
        <w:t xml:space="preserve">-statistics. The test checks the following pairs of hypotheses: </w:t>
      </w:r>
      <m:oMath>
        <m:sSub>
          <m:sSubPr>
            <m:ctrlPr>
              <w:rPr>
                <w:rFonts w:ascii="Cambria Math" w:eastAsiaTheme="minorEastAsia" w:hAnsi="Cambria Math" w:cs="Arial"/>
                <w:i/>
              </w:rPr>
            </m:ctrlPr>
          </m:sSubPr>
          <m:e>
            <m:r>
              <w:rPr>
                <w:rFonts w:ascii="Cambria Math" w:eastAsiaTheme="minorEastAsia" w:hAnsi="Cambria Math" w:cs="Arial"/>
              </w:rPr>
              <m:t>C</m:t>
            </m:r>
          </m:e>
          <m:sub>
            <m:r>
              <w:rPr>
                <w:rFonts w:ascii="Cambria Math" w:eastAsiaTheme="minorEastAsia" w:hAnsi="Cambria Math" w:cs="Arial"/>
              </w:rPr>
              <m:t>t</m:t>
            </m:r>
          </m:sub>
        </m:sSub>
      </m:oMath>
      <w:r w:rsidRPr="009D1375">
        <w:rPr>
          <w:rFonts w:ascii="Arial" w:eastAsiaTheme="minorEastAsia" w:hAnsi="Arial" w:cs="Arial"/>
        </w:rPr>
        <w:t xml:space="preserve"> “Granger causes” </w:t>
      </w:r>
      <m:oMath>
        <m:sSub>
          <m:sSubPr>
            <m:ctrlPr>
              <w:rPr>
                <w:rFonts w:ascii="Cambria Math" w:eastAsiaTheme="minorEastAsia" w:hAnsi="Cambria Math" w:cs="Arial"/>
                <w:i/>
              </w:rPr>
            </m:ctrlPr>
          </m:sSubPr>
          <m:e>
            <m:r>
              <w:rPr>
                <w:rFonts w:ascii="Cambria Math" w:eastAsiaTheme="minorEastAsia" w:hAnsi="Cambria Math" w:cs="Arial"/>
              </w:rPr>
              <m:t>H</m:t>
            </m:r>
          </m:e>
          <m:sub>
            <m:r>
              <w:rPr>
                <w:rFonts w:ascii="Cambria Math" w:eastAsiaTheme="minorEastAsia" w:hAnsi="Cambria Math" w:cs="Arial"/>
              </w:rPr>
              <m:t>t</m:t>
            </m:r>
          </m:sub>
        </m:sSub>
      </m:oMath>
      <w:r w:rsidRPr="009D1375">
        <w:rPr>
          <w:rFonts w:ascii="Arial" w:eastAsiaTheme="minorEastAsia" w:hAnsi="Arial" w:cs="Arial"/>
        </w:rPr>
        <w:t xml:space="preserve"> if </w:t>
      </w:r>
      <m:oMath>
        <m:sSub>
          <m:sSubPr>
            <m:ctrlPr>
              <w:rPr>
                <w:rFonts w:ascii="Cambria Math" w:eastAsiaTheme="minorEastAsia" w:hAnsi="Cambria Math" w:cs="Arial"/>
                <w:i/>
              </w:rPr>
            </m:ctrlPr>
          </m:sSubPr>
          <m:e>
            <m:r>
              <w:rPr>
                <w:rFonts w:ascii="Cambria Math" w:eastAsiaTheme="minorEastAsia" w:hAnsi="Cambria Math" w:cs="Arial"/>
              </w:rPr>
              <m:t>ϕ</m:t>
            </m:r>
          </m:e>
          <m:sub>
            <m:r>
              <w:rPr>
                <w:rFonts w:ascii="Cambria Math" w:eastAsiaTheme="minorEastAsia" w:hAnsi="Cambria Math" w:cs="Arial"/>
              </w:rPr>
              <m:t>1i</m:t>
            </m:r>
          </m:sub>
        </m:sSub>
        <m:r>
          <w:rPr>
            <w:rFonts w:ascii="Cambria Math" w:eastAsiaTheme="minorEastAsia" w:hAnsi="Cambria Math" w:cs="Arial"/>
          </w:rPr>
          <m:t>≠0</m:t>
        </m:r>
      </m:oMath>
      <w:r w:rsidR="009D1375" w:rsidRPr="009D1375">
        <w:rPr>
          <w:rFonts w:ascii="Arial" w:eastAsiaTheme="minorEastAsia" w:hAnsi="Arial" w:cs="Arial"/>
        </w:rPr>
        <w:t xml:space="preserve"> in equation (23</w:t>
      </w:r>
      <w:r w:rsidRPr="009D1375">
        <w:rPr>
          <w:rFonts w:ascii="Arial" w:eastAsiaTheme="minorEastAsia" w:hAnsi="Arial" w:cs="Arial"/>
        </w:rPr>
        <w:t xml:space="preserve">) against </w:t>
      </w:r>
      <m:oMath>
        <m:sSub>
          <m:sSubPr>
            <m:ctrlPr>
              <w:rPr>
                <w:rFonts w:ascii="Cambria Math" w:eastAsiaTheme="minorEastAsia" w:hAnsi="Cambria Math" w:cs="Arial"/>
                <w:i/>
              </w:rPr>
            </m:ctrlPr>
          </m:sSubPr>
          <m:e>
            <m:r>
              <w:rPr>
                <w:rFonts w:ascii="Cambria Math" w:eastAsiaTheme="minorEastAsia" w:hAnsi="Cambria Math" w:cs="Arial"/>
              </w:rPr>
              <m:t>H</m:t>
            </m:r>
          </m:e>
          <m:sub>
            <m:r>
              <w:rPr>
                <w:rFonts w:ascii="Cambria Math" w:eastAsiaTheme="minorEastAsia" w:hAnsi="Cambria Math" w:cs="Arial"/>
              </w:rPr>
              <m:t>t</m:t>
            </m:r>
          </m:sub>
        </m:sSub>
      </m:oMath>
      <w:r w:rsidRPr="009D1375">
        <w:rPr>
          <w:rFonts w:ascii="Arial" w:eastAsiaTheme="minorEastAsia" w:hAnsi="Arial" w:cs="Arial"/>
        </w:rPr>
        <w:t xml:space="preserve"> “Granger causes” </w:t>
      </w:r>
      <m:oMath>
        <m:sSub>
          <m:sSubPr>
            <m:ctrlPr>
              <w:rPr>
                <w:rFonts w:ascii="Cambria Math" w:eastAsiaTheme="minorEastAsia" w:hAnsi="Cambria Math" w:cs="Arial"/>
                <w:i/>
              </w:rPr>
            </m:ctrlPr>
          </m:sSubPr>
          <m:e>
            <m:r>
              <w:rPr>
                <w:rFonts w:ascii="Cambria Math" w:eastAsiaTheme="minorEastAsia" w:hAnsi="Cambria Math" w:cs="Arial"/>
              </w:rPr>
              <m:t>C</m:t>
            </m:r>
          </m:e>
          <m:sub>
            <m:r>
              <w:rPr>
                <w:rFonts w:ascii="Cambria Math" w:eastAsiaTheme="minorEastAsia" w:hAnsi="Cambria Math" w:cs="Arial"/>
              </w:rPr>
              <m:t>t</m:t>
            </m:r>
          </m:sub>
        </m:sSub>
      </m:oMath>
      <w:r w:rsidRPr="009D1375">
        <w:rPr>
          <w:rFonts w:ascii="Arial" w:eastAsiaTheme="minorEastAsia" w:hAnsi="Arial" w:cs="Arial"/>
        </w:rPr>
        <w:t xml:space="preserve"> if </w:t>
      </w:r>
      <m:oMath>
        <m:sSub>
          <m:sSubPr>
            <m:ctrlPr>
              <w:rPr>
                <w:rFonts w:ascii="Cambria Math" w:eastAsiaTheme="minorEastAsia" w:hAnsi="Cambria Math" w:cs="Arial"/>
                <w:i/>
              </w:rPr>
            </m:ctrlPr>
          </m:sSubPr>
          <m:e>
            <m:r>
              <w:rPr>
                <w:rFonts w:ascii="Cambria Math" w:eastAsiaTheme="minorEastAsia" w:hAnsi="Cambria Math" w:cs="Arial"/>
              </w:rPr>
              <m:t>β</m:t>
            </m:r>
          </m:e>
          <m:sub>
            <m:r>
              <w:rPr>
                <w:rFonts w:ascii="Cambria Math" w:eastAsiaTheme="minorEastAsia" w:hAnsi="Cambria Math" w:cs="Arial"/>
              </w:rPr>
              <m:t>2i</m:t>
            </m:r>
          </m:sub>
        </m:sSub>
        <m:r>
          <w:rPr>
            <w:rFonts w:ascii="Cambria Math" w:eastAsiaTheme="minorEastAsia" w:hAnsi="Cambria Math" w:cs="Arial"/>
          </w:rPr>
          <m:t>≠0</m:t>
        </m:r>
      </m:oMath>
      <w:r w:rsidR="009D1375" w:rsidRPr="009D1375">
        <w:rPr>
          <w:rFonts w:ascii="Arial" w:eastAsiaTheme="minorEastAsia" w:hAnsi="Arial" w:cs="Arial"/>
        </w:rPr>
        <w:t xml:space="preserve"> in equation (24</w:t>
      </w:r>
      <w:r w:rsidRPr="009D1375">
        <w:rPr>
          <w:rFonts w:ascii="Arial" w:eastAsiaTheme="minorEastAsia" w:hAnsi="Arial" w:cs="Arial"/>
        </w:rPr>
        <w:t>) and vice versa.</w:t>
      </w:r>
    </w:p>
    <w:p w14:paraId="3D45A181" w14:textId="77777777" w:rsidR="00034A02" w:rsidRDefault="00034A02" w:rsidP="004C3151">
      <w:pPr>
        <w:pStyle w:val="Head1"/>
        <w:spacing w:after="0"/>
        <w:jc w:val="both"/>
        <w:rPr>
          <w:rFonts w:ascii="Arial" w:hAnsi="Arial" w:cs="Arial"/>
        </w:rPr>
      </w:pPr>
    </w:p>
    <w:p w14:paraId="3351A290" w14:textId="77777777" w:rsidR="004C3151" w:rsidRDefault="004C3151" w:rsidP="00596B1A">
      <w:pPr>
        <w:pStyle w:val="Head1"/>
        <w:spacing w:after="0"/>
        <w:jc w:val="both"/>
        <w:rPr>
          <w:rFonts w:ascii="Arial" w:hAnsi="Arial" w:cs="Arial"/>
        </w:rPr>
      </w:pPr>
      <w:r>
        <w:rPr>
          <w:rFonts w:ascii="Arial" w:hAnsi="Arial" w:cs="Arial"/>
        </w:rPr>
        <w:t>3. results and discussion</w:t>
      </w:r>
    </w:p>
    <w:p w14:paraId="5DD639D7" w14:textId="77777777" w:rsidR="00A3475D" w:rsidRPr="00596B1A" w:rsidRDefault="00596B1A" w:rsidP="00596B1A">
      <w:pPr>
        <w:jc w:val="both"/>
        <w:rPr>
          <w:rFonts w:ascii="Arial" w:hAnsi="Arial" w:cs="Arial"/>
          <w:b/>
        </w:rPr>
      </w:pPr>
      <w:r w:rsidRPr="00596B1A">
        <w:rPr>
          <w:rFonts w:ascii="Arial" w:hAnsi="Arial" w:cs="Arial"/>
          <w:b/>
        </w:rPr>
        <w:t>3</w:t>
      </w:r>
      <w:r>
        <w:rPr>
          <w:rFonts w:ascii="Arial" w:hAnsi="Arial" w:cs="Arial"/>
          <w:b/>
        </w:rPr>
        <w:t xml:space="preserve">.1 </w:t>
      </w:r>
      <w:r w:rsidR="00A3475D" w:rsidRPr="00596B1A">
        <w:rPr>
          <w:rFonts w:ascii="Arial" w:hAnsi="Arial" w:cs="Arial"/>
          <w:b/>
        </w:rPr>
        <w:t>Results of Preliminary Statistical Analyses</w:t>
      </w:r>
    </w:p>
    <w:p w14:paraId="7E75CA8A" w14:textId="77777777" w:rsidR="00A3475D" w:rsidRPr="00596B1A" w:rsidRDefault="00A3475D" w:rsidP="00596B1A">
      <w:pPr>
        <w:jc w:val="both"/>
        <w:rPr>
          <w:rFonts w:ascii="Arial" w:hAnsi="Arial" w:cs="Arial"/>
        </w:rPr>
      </w:pPr>
      <w:r>
        <w:rPr>
          <w:rFonts w:ascii="Arial" w:hAnsi="Arial" w:cs="Arial"/>
        </w:rPr>
        <w:t xml:space="preserve">Preliminary statistical analysis was conducted to </w:t>
      </w:r>
      <w:r>
        <w:rPr>
          <w:rFonts w:ascii="Arial" w:hAnsi="Arial" w:cs="Arial"/>
          <w:highlight w:val="yellow"/>
        </w:rPr>
        <w:t>summarise</w:t>
      </w:r>
      <w:r>
        <w:rPr>
          <w:rFonts w:ascii="Arial" w:hAnsi="Arial" w:cs="Arial"/>
        </w:rPr>
        <w:t xml:space="preserve"> the basic characteristics of HIV infection, tuberculosis (TB) infection, and HIV/TB coinfection over the study period. Descriptive and normality statistics are essential in time series and cointegration studies as they </w:t>
      </w:r>
      <w:r>
        <w:rPr>
          <w:rFonts w:ascii="Arial" w:hAnsi="Arial" w:cs="Arial"/>
          <w:highlight w:val="yellow"/>
        </w:rPr>
        <w:t>provide a deeper understanding</w:t>
      </w:r>
      <w:r>
        <w:rPr>
          <w:rFonts w:ascii="Arial" w:hAnsi="Arial" w:cs="Arial"/>
        </w:rPr>
        <w:t xml:space="preserve"> of the central tendency, dispersion, and distributional properties of the variables. The results of descriptive and normality statistics are presented in Table 1.</w:t>
      </w:r>
    </w:p>
    <w:p w14:paraId="07E7FD62" w14:textId="77777777" w:rsidR="00A3475D" w:rsidRPr="00596B1A" w:rsidRDefault="00A3475D" w:rsidP="00596B1A">
      <w:pPr>
        <w:jc w:val="both"/>
        <w:rPr>
          <w:rFonts w:ascii="Arial" w:hAnsi="Arial" w:cs="Arial"/>
          <w:b/>
        </w:rPr>
      </w:pPr>
      <w:r w:rsidRPr="00596B1A">
        <w:rPr>
          <w:rFonts w:ascii="Arial" w:hAnsi="Arial" w:cs="Arial"/>
          <w:b/>
        </w:rPr>
        <w:t>Table 1: Descriptive and Normality Statistics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908"/>
        <w:gridCol w:w="1980"/>
        <w:gridCol w:w="2070"/>
        <w:gridCol w:w="2898"/>
      </w:tblGrid>
      <w:tr w:rsidR="00A3475D" w:rsidRPr="00596B1A" w14:paraId="0BD7CC09" w14:textId="77777777" w:rsidTr="00A77D49">
        <w:tc>
          <w:tcPr>
            <w:tcW w:w="1908" w:type="dxa"/>
            <w:tcBorders>
              <w:top w:val="single" w:sz="4" w:space="0" w:color="auto"/>
              <w:bottom w:val="single" w:sz="4" w:space="0" w:color="auto"/>
            </w:tcBorders>
          </w:tcPr>
          <w:p w14:paraId="69F045C8" w14:textId="77777777" w:rsidR="00A3475D" w:rsidRPr="00596B1A" w:rsidRDefault="00A3475D" w:rsidP="00596B1A">
            <w:pPr>
              <w:rPr>
                <w:rFonts w:ascii="Arial" w:hAnsi="Arial" w:cs="Arial"/>
                <w:b/>
              </w:rPr>
            </w:pPr>
            <w:r w:rsidRPr="00596B1A">
              <w:rPr>
                <w:rFonts w:ascii="Arial" w:hAnsi="Arial" w:cs="Arial"/>
                <w:b/>
              </w:rPr>
              <w:t xml:space="preserve">Variable </w:t>
            </w:r>
          </w:p>
        </w:tc>
        <w:tc>
          <w:tcPr>
            <w:tcW w:w="1980" w:type="dxa"/>
            <w:tcBorders>
              <w:top w:val="single" w:sz="4" w:space="0" w:color="auto"/>
              <w:bottom w:val="single" w:sz="4" w:space="0" w:color="auto"/>
            </w:tcBorders>
          </w:tcPr>
          <w:p w14:paraId="41B1F7CD" w14:textId="77777777" w:rsidR="00A3475D" w:rsidRPr="00596B1A" w:rsidRDefault="00A3475D" w:rsidP="00596B1A">
            <w:pPr>
              <w:jc w:val="center"/>
              <w:rPr>
                <w:rFonts w:ascii="Arial" w:hAnsi="Arial" w:cs="Arial"/>
                <w:b/>
              </w:rPr>
            </w:pPr>
            <w:r w:rsidRPr="00596B1A">
              <w:rPr>
                <w:rFonts w:ascii="Arial" w:hAnsi="Arial" w:cs="Arial"/>
                <w:b/>
              </w:rPr>
              <w:t>HIV Infection</w:t>
            </w:r>
          </w:p>
        </w:tc>
        <w:tc>
          <w:tcPr>
            <w:tcW w:w="2070" w:type="dxa"/>
            <w:tcBorders>
              <w:top w:val="single" w:sz="4" w:space="0" w:color="auto"/>
              <w:bottom w:val="single" w:sz="4" w:space="0" w:color="auto"/>
            </w:tcBorders>
          </w:tcPr>
          <w:p w14:paraId="637C4DC2" w14:textId="77777777" w:rsidR="00A3475D" w:rsidRPr="00596B1A" w:rsidRDefault="00A3475D" w:rsidP="00596B1A">
            <w:pPr>
              <w:jc w:val="center"/>
              <w:rPr>
                <w:rFonts w:ascii="Arial" w:hAnsi="Arial" w:cs="Arial"/>
                <w:b/>
              </w:rPr>
            </w:pPr>
            <w:r w:rsidRPr="00596B1A">
              <w:rPr>
                <w:rFonts w:ascii="Arial" w:hAnsi="Arial" w:cs="Arial"/>
                <w:b/>
              </w:rPr>
              <w:t>TB Infection</w:t>
            </w:r>
          </w:p>
        </w:tc>
        <w:tc>
          <w:tcPr>
            <w:tcW w:w="2898" w:type="dxa"/>
            <w:tcBorders>
              <w:top w:val="single" w:sz="4" w:space="0" w:color="auto"/>
              <w:bottom w:val="single" w:sz="4" w:space="0" w:color="auto"/>
            </w:tcBorders>
          </w:tcPr>
          <w:p w14:paraId="32C006F6" w14:textId="77777777" w:rsidR="00A3475D" w:rsidRPr="00596B1A" w:rsidRDefault="00A3475D" w:rsidP="00596B1A">
            <w:pPr>
              <w:jc w:val="center"/>
              <w:rPr>
                <w:rFonts w:ascii="Arial" w:hAnsi="Arial" w:cs="Arial"/>
                <w:b/>
              </w:rPr>
            </w:pPr>
            <w:r w:rsidRPr="00596B1A">
              <w:rPr>
                <w:rFonts w:ascii="Arial" w:hAnsi="Arial" w:cs="Arial"/>
                <w:b/>
              </w:rPr>
              <w:t>HIV/TB Coinfection</w:t>
            </w:r>
          </w:p>
        </w:tc>
      </w:tr>
      <w:tr w:rsidR="00A3475D" w:rsidRPr="00596B1A" w14:paraId="07A2AC67" w14:textId="77777777" w:rsidTr="00A77D49">
        <w:tc>
          <w:tcPr>
            <w:tcW w:w="1908" w:type="dxa"/>
            <w:tcBorders>
              <w:top w:val="single" w:sz="4" w:space="0" w:color="auto"/>
            </w:tcBorders>
            <w:vAlign w:val="bottom"/>
          </w:tcPr>
          <w:p w14:paraId="70BB1F60" w14:textId="77777777" w:rsidR="00A3475D" w:rsidRPr="00596B1A" w:rsidRDefault="00A3475D" w:rsidP="00596B1A">
            <w:pPr>
              <w:autoSpaceDE w:val="0"/>
              <w:autoSpaceDN w:val="0"/>
              <w:adjustRightInd w:val="0"/>
              <w:rPr>
                <w:rFonts w:ascii="Arial" w:hAnsi="Arial" w:cs="Arial"/>
                <w:color w:val="000000"/>
              </w:rPr>
            </w:pPr>
            <w:r w:rsidRPr="00596B1A">
              <w:rPr>
                <w:rFonts w:ascii="Arial" w:hAnsi="Arial" w:cs="Arial"/>
                <w:color w:val="000000"/>
              </w:rPr>
              <w:t> Mean</w:t>
            </w:r>
          </w:p>
        </w:tc>
        <w:tc>
          <w:tcPr>
            <w:tcW w:w="1980" w:type="dxa"/>
            <w:tcBorders>
              <w:top w:val="single" w:sz="4" w:space="0" w:color="auto"/>
            </w:tcBorders>
            <w:vAlign w:val="bottom"/>
          </w:tcPr>
          <w:p w14:paraId="55AFA939"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132.6757</w:t>
            </w:r>
          </w:p>
        </w:tc>
        <w:tc>
          <w:tcPr>
            <w:tcW w:w="2070" w:type="dxa"/>
            <w:tcBorders>
              <w:top w:val="single" w:sz="4" w:space="0" w:color="auto"/>
            </w:tcBorders>
            <w:vAlign w:val="bottom"/>
          </w:tcPr>
          <w:p w14:paraId="4EFBD995"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1042.784</w:t>
            </w:r>
          </w:p>
        </w:tc>
        <w:tc>
          <w:tcPr>
            <w:tcW w:w="2898" w:type="dxa"/>
            <w:tcBorders>
              <w:top w:val="single" w:sz="4" w:space="0" w:color="auto"/>
            </w:tcBorders>
            <w:vAlign w:val="bottom"/>
          </w:tcPr>
          <w:p w14:paraId="2ED6F5DB"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114.7027</w:t>
            </w:r>
          </w:p>
        </w:tc>
      </w:tr>
      <w:tr w:rsidR="00A3475D" w:rsidRPr="00596B1A" w14:paraId="78E47782" w14:textId="77777777" w:rsidTr="00A77D49">
        <w:tc>
          <w:tcPr>
            <w:tcW w:w="1908" w:type="dxa"/>
            <w:vAlign w:val="bottom"/>
          </w:tcPr>
          <w:p w14:paraId="06BC96BB" w14:textId="77777777" w:rsidR="00A3475D" w:rsidRPr="00596B1A" w:rsidRDefault="00A3475D" w:rsidP="00596B1A">
            <w:pPr>
              <w:autoSpaceDE w:val="0"/>
              <w:autoSpaceDN w:val="0"/>
              <w:adjustRightInd w:val="0"/>
              <w:rPr>
                <w:rFonts w:ascii="Arial" w:hAnsi="Arial" w:cs="Arial"/>
                <w:color w:val="000000"/>
              </w:rPr>
            </w:pPr>
            <w:r w:rsidRPr="00596B1A">
              <w:rPr>
                <w:rFonts w:ascii="Arial" w:hAnsi="Arial" w:cs="Arial"/>
                <w:color w:val="000000"/>
              </w:rPr>
              <w:t> Median</w:t>
            </w:r>
          </w:p>
        </w:tc>
        <w:tc>
          <w:tcPr>
            <w:tcW w:w="1980" w:type="dxa"/>
            <w:vAlign w:val="bottom"/>
          </w:tcPr>
          <w:p w14:paraId="0BEF36F7"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131.0000</w:t>
            </w:r>
          </w:p>
        </w:tc>
        <w:tc>
          <w:tcPr>
            <w:tcW w:w="2070" w:type="dxa"/>
            <w:vAlign w:val="bottom"/>
          </w:tcPr>
          <w:p w14:paraId="731C4997"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750.0000</w:t>
            </w:r>
          </w:p>
        </w:tc>
        <w:tc>
          <w:tcPr>
            <w:tcW w:w="2898" w:type="dxa"/>
            <w:vAlign w:val="bottom"/>
          </w:tcPr>
          <w:p w14:paraId="1F4017F9"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117.0000</w:t>
            </w:r>
          </w:p>
        </w:tc>
      </w:tr>
      <w:tr w:rsidR="00A3475D" w:rsidRPr="00596B1A" w14:paraId="6BD61FDF" w14:textId="77777777" w:rsidTr="00A77D49">
        <w:tc>
          <w:tcPr>
            <w:tcW w:w="1908" w:type="dxa"/>
            <w:vAlign w:val="bottom"/>
          </w:tcPr>
          <w:p w14:paraId="6FC99E13" w14:textId="77777777" w:rsidR="00A3475D" w:rsidRPr="00596B1A" w:rsidRDefault="00A3475D" w:rsidP="00596B1A">
            <w:pPr>
              <w:autoSpaceDE w:val="0"/>
              <w:autoSpaceDN w:val="0"/>
              <w:adjustRightInd w:val="0"/>
              <w:rPr>
                <w:rFonts w:ascii="Arial" w:hAnsi="Arial" w:cs="Arial"/>
                <w:color w:val="000000"/>
              </w:rPr>
            </w:pPr>
            <w:r w:rsidRPr="00596B1A">
              <w:rPr>
                <w:rFonts w:ascii="Arial" w:hAnsi="Arial" w:cs="Arial"/>
                <w:color w:val="000000"/>
              </w:rPr>
              <w:t> Maximum</w:t>
            </w:r>
          </w:p>
        </w:tc>
        <w:tc>
          <w:tcPr>
            <w:tcW w:w="1980" w:type="dxa"/>
            <w:vAlign w:val="bottom"/>
          </w:tcPr>
          <w:p w14:paraId="24C235D1"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216.0000</w:t>
            </w:r>
          </w:p>
        </w:tc>
        <w:tc>
          <w:tcPr>
            <w:tcW w:w="2070" w:type="dxa"/>
            <w:vAlign w:val="bottom"/>
          </w:tcPr>
          <w:p w14:paraId="49975097"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2252.000</w:t>
            </w:r>
          </w:p>
        </w:tc>
        <w:tc>
          <w:tcPr>
            <w:tcW w:w="2898" w:type="dxa"/>
            <w:vAlign w:val="bottom"/>
          </w:tcPr>
          <w:p w14:paraId="4CFB9D80"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194.0000</w:t>
            </w:r>
          </w:p>
        </w:tc>
      </w:tr>
      <w:tr w:rsidR="00A3475D" w:rsidRPr="00596B1A" w14:paraId="24E69A66" w14:textId="77777777" w:rsidTr="00A77D49">
        <w:tc>
          <w:tcPr>
            <w:tcW w:w="1908" w:type="dxa"/>
            <w:vAlign w:val="bottom"/>
          </w:tcPr>
          <w:p w14:paraId="1091AF31" w14:textId="77777777" w:rsidR="00A3475D" w:rsidRPr="00596B1A" w:rsidRDefault="00A3475D" w:rsidP="00596B1A">
            <w:pPr>
              <w:autoSpaceDE w:val="0"/>
              <w:autoSpaceDN w:val="0"/>
              <w:adjustRightInd w:val="0"/>
              <w:rPr>
                <w:rFonts w:ascii="Arial" w:hAnsi="Arial" w:cs="Arial"/>
                <w:color w:val="000000"/>
              </w:rPr>
            </w:pPr>
            <w:r w:rsidRPr="00596B1A">
              <w:rPr>
                <w:rFonts w:ascii="Arial" w:hAnsi="Arial" w:cs="Arial"/>
                <w:color w:val="000000"/>
              </w:rPr>
              <w:t> Minimum</w:t>
            </w:r>
          </w:p>
        </w:tc>
        <w:tc>
          <w:tcPr>
            <w:tcW w:w="1980" w:type="dxa"/>
            <w:vAlign w:val="bottom"/>
          </w:tcPr>
          <w:p w14:paraId="3FFAA3F9"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80.00000</w:t>
            </w:r>
          </w:p>
        </w:tc>
        <w:tc>
          <w:tcPr>
            <w:tcW w:w="2070" w:type="dxa"/>
            <w:vAlign w:val="bottom"/>
          </w:tcPr>
          <w:p w14:paraId="0D7151A4"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466.0000</w:t>
            </w:r>
          </w:p>
        </w:tc>
        <w:tc>
          <w:tcPr>
            <w:tcW w:w="2898" w:type="dxa"/>
            <w:vAlign w:val="bottom"/>
          </w:tcPr>
          <w:p w14:paraId="4F55AD4F"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29.00000</w:t>
            </w:r>
          </w:p>
        </w:tc>
      </w:tr>
      <w:tr w:rsidR="00A3475D" w:rsidRPr="00596B1A" w14:paraId="7B776FB5" w14:textId="77777777" w:rsidTr="00A77D49">
        <w:tc>
          <w:tcPr>
            <w:tcW w:w="1908" w:type="dxa"/>
            <w:vAlign w:val="bottom"/>
          </w:tcPr>
          <w:p w14:paraId="3DBE07B5" w14:textId="77777777" w:rsidR="00A3475D" w:rsidRPr="00596B1A" w:rsidRDefault="00A3475D" w:rsidP="00596B1A">
            <w:pPr>
              <w:autoSpaceDE w:val="0"/>
              <w:autoSpaceDN w:val="0"/>
              <w:adjustRightInd w:val="0"/>
              <w:rPr>
                <w:rFonts w:ascii="Arial" w:hAnsi="Arial" w:cs="Arial"/>
                <w:color w:val="000000"/>
              </w:rPr>
            </w:pPr>
            <w:r w:rsidRPr="00596B1A">
              <w:rPr>
                <w:rFonts w:ascii="Arial" w:hAnsi="Arial" w:cs="Arial"/>
                <w:color w:val="000000"/>
              </w:rPr>
              <w:t> Std. Dev.</w:t>
            </w:r>
          </w:p>
        </w:tc>
        <w:tc>
          <w:tcPr>
            <w:tcW w:w="1980" w:type="dxa"/>
            <w:vAlign w:val="bottom"/>
          </w:tcPr>
          <w:p w14:paraId="3E3A7DA0"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34.04250</w:t>
            </w:r>
          </w:p>
        </w:tc>
        <w:tc>
          <w:tcPr>
            <w:tcW w:w="2070" w:type="dxa"/>
            <w:vAlign w:val="bottom"/>
          </w:tcPr>
          <w:p w14:paraId="64F238EA"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535.9922</w:t>
            </w:r>
          </w:p>
        </w:tc>
        <w:tc>
          <w:tcPr>
            <w:tcW w:w="2898" w:type="dxa"/>
            <w:vAlign w:val="bottom"/>
          </w:tcPr>
          <w:p w14:paraId="3B7E6863"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38.47356</w:t>
            </w:r>
          </w:p>
        </w:tc>
      </w:tr>
      <w:tr w:rsidR="00A3475D" w:rsidRPr="00596B1A" w14:paraId="1E698D3A" w14:textId="77777777" w:rsidTr="00A77D49">
        <w:tc>
          <w:tcPr>
            <w:tcW w:w="1908" w:type="dxa"/>
            <w:vAlign w:val="bottom"/>
          </w:tcPr>
          <w:p w14:paraId="3005797A" w14:textId="77777777" w:rsidR="00A3475D" w:rsidRPr="00596B1A" w:rsidRDefault="00A3475D" w:rsidP="00596B1A">
            <w:pPr>
              <w:autoSpaceDE w:val="0"/>
              <w:autoSpaceDN w:val="0"/>
              <w:adjustRightInd w:val="0"/>
              <w:rPr>
                <w:rFonts w:ascii="Arial" w:hAnsi="Arial" w:cs="Arial"/>
                <w:color w:val="000000"/>
              </w:rPr>
            </w:pPr>
            <w:r w:rsidRPr="00596B1A">
              <w:rPr>
                <w:rFonts w:ascii="Arial" w:hAnsi="Arial" w:cs="Arial"/>
                <w:color w:val="000000"/>
              </w:rPr>
              <w:t> Skewness</w:t>
            </w:r>
          </w:p>
        </w:tc>
        <w:tc>
          <w:tcPr>
            <w:tcW w:w="1980" w:type="dxa"/>
            <w:vAlign w:val="bottom"/>
          </w:tcPr>
          <w:p w14:paraId="5D120793"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0.690802</w:t>
            </w:r>
          </w:p>
        </w:tc>
        <w:tc>
          <w:tcPr>
            <w:tcW w:w="2070" w:type="dxa"/>
            <w:vAlign w:val="bottom"/>
          </w:tcPr>
          <w:p w14:paraId="17B96C78"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0.983081</w:t>
            </w:r>
          </w:p>
        </w:tc>
        <w:tc>
          <w:tcPr>
            <w:tcW w:w="2898" w:type="dxa"/>
            <w:vAlign w:val="bottom"/>
          </w:tcPr>
          <w:p w14:paraId="3F82F7CF"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0.055383</w:t>
            </w:r>
          </w:p>
        </w:tc>
      </w:tr>
      <w:tr w:rsidR="00A3475D" w:rsidRPr="00596B1A" w14:paraId="72BC3742" w14:textId="77777777" w:rsidTr="00A77D49">
        <w:tc>
          <w:tcPr>
            <w:tcW w:w="1908" w:type="dxa"/>
            <w:vAlign w:val="bottom"/>
          </w:tcPr>
          <w:p w14:paraId="525BB96B" w14:textId="77777777" w:rsidR="00A3475D" w:rsidRPr="00596B1A" w:rsidRDefault="00A3475D" w:rsidP="00596B1A">
            <w:pPr>
              <w:autoSpaceDE w:val="0"/>
              <w:autoSpaceDN w:val="0"/>
              <w:adjustRightInd w:val="0"/>
              <w:rPr>
                <w:rFonts w:ascii="Arial" w:hAnsi="Arial" w:cs="Arial"/>
                <w:color w:val="000000"/>
              </w:rPr>
            </w:pPr>
            <w:r w:rsidRPr="00596B1A">
              <w:rPr>
                <w:rFonts w:ascii="Arial" w:hAnsi="Arial" w:cs="Arial"/>
                <w:color w:val="000000"/>
              </w:rPr>
              <w:t> Kurtosis</w:t>
            </w:r>
          </w:p>
        </w:tc>
        <w:tc>
          <w:tcPr>
            <w:tcW w:w="1980" w:type="dxa"/>
            <w:vAlign w:val="bottom"/>
          </w:tcPr>
          <w:p w14:paraId="23E5256D"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3.009399</w:t>
            </w:r>
          </w:p>
        </w:tc>
        <w:tc>
          <w:tcPr>
            <w:tcW w:w="2070" w:type="dxa"/>
            <w:vAlign w:val="bottom"/>
          </w:tcPr>
          <w:p w14:paraId="28D97B20"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2.624326</w:t>
            </w:r>
          </w:p>
        </w:tc>
        <w:tc>
          <w:tcPr>
            <w:tcW w:w="2898" w:type="dxa"/>
            <w:vAlign w:val="bottom"/>
          </w:tcPr>
          <w:p w14:paraId="3A553AC4"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2.447094</w:t>
            </w:r>
          </w:p>
        </w:tc>
      </w:tr>
      <w:tr w:rsidR="00A3475D" w:rsidRPr="00596B1A" w14:paraId="0667234C" w14:textId="77777777" w:rsidTr="00A77D49">
        <w:tc>
          <w:tcPr>
            <w:tcW w:w="1908" w:type="dxa"/>
            <w:vAlign w:val="bottom"/>
          </w:tcPr>
          <w:p w14:paraId="39A0D8D0" w14:textId="77777777" w:rsidR="00A3475D" w:rsidRPr="00596B1A" w:rsidRDefault="00A3475D" w:rsidP="00596B1A">
            <w:pPr>
              <w:autoSpaceDE w:val="0"/>
              <w:autoSpaceDN w:val="0"/>
              <w:adjustRightInd w:val="0"/>
              <w:rPr>
                <w:rFonts w:ascii="Arial" w:hAnsi="Arial" w:cs="Arial"/>
                <w:color w:val="000000"/>
              </w:rPr>
            </w:pPr>
            <w:r w:rsidRPr="00596B1A">
              <w:rPr>
                <w:rFonts w:ascii="Arial" w:hAnsi="Arial" w:cs="Arial"/>
                <w:color w:val="000000"/>
              </w:rPr>
              <w:t> Jarque-Bera</w:t>
            </w:r>
          </w:p>
        </w:tc>
        <w:tc>
          <w:tcPr>
            <w:tcW w:w="1980" w:type="dxa"/>
            <w:vAlign w:val="bottom"/>
          </w:tcPr>
          <w:p w14:paraId="6AAA6486"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2.942919</w:t>
            </w:r>
          </w:p>
        </w:tc>
        <w:tc>
          <w:tcPr>
            <w:tcW w:w="2070" w:type="dxa"/>
            <w:vAlign w:val="bottom"/>
          </w:tcPr>
          <w:p w14:paraId="25DF5507"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6.177346</w:t>
            </w:r>
          </w:p>
        </w:tc>
        <w:tc>
          <w:tcPr>
            <w:tcW w:w="2898" w:type="dxa"/>
            <w:vAlign w:val="bottom"/>
          </w:tcPr>
          <w:p w14:paraId="03CDBA0C"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0.490211</w:t>
            </w:r>
          </w:p>
        </w:tc>
      </w:tr>
      <w:tr w:rsidR="00A3475D" w:rsidRPr="00596B1A" w14:paraId="56678552" w14:textId="77777777" w:rsidTr="00A77D49">
        <w:tc>
          <w:tcPr>
            <w:tcW w:w="1908" w:type="dxa"/>
            <w:vAlign w:val="bottom"/>
          </w:tcPr>
          <w:p w14:paraId="3DC1D248" w14:textId="77777777" w:rsidR="00A3475D" w:rsidRPr="00596B1A" w:rsidRDefault="00A3475D" w:rsidP="00596B1A">
            <w:pPr>
              <w:autoSpaceDE w:val="0"/>
              <w:autoSpaceDN w:val="0"/>
              <w:adjustRightInd w:val="0"/>
              <w:rPr>
                <w:rFonts w:ascii="Arial" w:hAnsi="Arial" w:cs="Arial"/>
                <w:color w:val="000000"/>
              </w:rPr>
            </w:pPr>
            <w:r w:rsidRPr="00596B1A">
              <w:rPr>
                <w:rFonts w:ascii="Arial" w:hAnsi="Arial" w:cs="Arial"/>
                <w:color w:val="000000"/>
              </w:rPr>
              <w:t> Probability</w:t>
            </w:r>
          </w:p>
        </w:tc>
        <w:tc>
          <w:tcPr>
            <w:tcW w:w="1980" w:type="dxa"/>
            <w:vAlign w:val="bottom"/>
          </w:tcPr>
          <w:p w14:paraId="4FACEC6C"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0.229590</w:t>
            </w:r>
          </w:p>
        </w:tc>
        <w:tc>
          <w:tcPr>
            <w:tcW w:w="2070" w:type="dxa"/>
            <w:vAlign w:val="bottom"/>
          </w:tcPr>
          <w:p w14:paraId="37F6C406"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0.045562</w:t>
            </w:r>
          </w:p>
        </w:tc>
        <w:tc>
          <w:tcPr>
            <w:tcW w:w="2898" w:type="dxa"/>
            <w:vAlign w:val="bottom"/>
          </w:tcPr>
          <w:p w14:paraId="10CAFD63"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0.782622</w:t>
            </w:r>
          </w:p>
        </w:tc>
      </w:tr>
      <w:tr w:rsidR="00A3475D" w:rsidRPr="00596B1A" w14:paraId="11A3C00B" w14:textId="77777777" w:rsidTr="00A77D49">
        <w:tc>
          <w:tcPr>
            <w:tcW w:w="1908" w:type="dxa"/>
            <w:vAlign w:val="bottom"/>
          </w:tcPr>
          <w:p w14:paraId="5C728A22" w14:textId="77777777" w:rsidR="00A3475D" w:rsidRPr="00596B1A" w:rsidRDefault="00A3475D" w:rsidP="00596B1A">
            <w:pPr>
              <w:autoSpaceDE w:val="0"/>
              <w:autoSpaceDN w:val="0"/>
              <w:adjustRightInd w:val="0"/>
              <w:rPr>
                <w:rFonts w:ascii="Arial" w:hAnsi="Arial" w:cs="Arial"/>
                <w:color w:val="000000"/>
              </w:rPr>
            </w:pPr>
            <w:r w:rsidRPr="00596B1A">
              <w:rPr>
                <w:rFonts w:ascii="Arial" w:hAnsi="Arial" w:cs="Arial"/>
                <w:color w:val="000000"/>
              </w:rPr>
              <w:t> Observations</w:t>
            </w:r>
          </w:p>
        </w:tc>
        <w:tc>
          <w:tcPr>
            <w:tcW w:w="1980" w:type="dxa"/>
            <w:vAlign w:val="bottom"/>
          </w:tcPr>
          <w:p w14:paraId="312A110B"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37</w:t>
            </w:r>
          </w:p>
        </w:tc>
        <w:tc>
          <w:tcPr>
            <w:tcW w:w="2070" w:type="dxa"/>
            <w:vAlign w:val="bottom"/>
          </w:tcPr>
          <w:p w14:paraId="35DCB2E8"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37</w:t>
            </w:r>
          </w:p>
        </w:tc>
        <w:tc>
          <w:tcPr>
            <w:tcW w:w="2898" w:type="dxa"/>
            <w:vAlign w:val="bottom"/>
          </w:tcPr>
          <w:p w14:paraId="6EC834F0"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37</w:t>
            </w:r>
          </w:p>
        </w:tc>
      </w:tr>
    </w:tbl>
    <w:p w14:paraId="520B2C5A" w14:textId="77777777" w:rsidR="00A3475D" w:rsidRPr="00596B1A" w:rsidRDefault="00A3475D" w:rsidP="00596B1A">
      <w:pPr>
        <w:pStyle w:val="NormalWeb"/>
        <w:spacing w:after="0" w:afterAutospacing="0"/>
        <w:jc w:val="both"/>
        <w:rPr>
          <w:rFonts w:ascii="Arial" w:hAnsi="Arial" w:cs="Arial"/>
          <w:sz w:val="20"/>
          <w:szCs w:val="20"/>
        </w:rPr>
      </w:pPr>
      <w:r>
        <w:rPr>
          <w:rFonts w:ascii="Arial" w:hAnsi="Arial" w:cs="Arial"/>
          <w:sz w:val="20"/>
          <w:szCs w:val="20"/>
          <w:highlight w:val="yellow"/>
        </w:rPr>
        <w:t>Table 1 presents</w:t>
      </w:r>
      <w:r>
        <w:rPr>
          <w:rFonts w:ascii="Arial" w:hAnsi="Arial" w:cs="Arial"/>
          <w:sz w:val="20"/>
          <w:szCs w:val="20"/>
        </w:rPr>
        <w:t xml:space="preserve"> the descriptive and normality statistics for HIV infection, TB infection, and HIV/TB coinfection based on 37 observations. </w:t>
      </w:r>
      <w:r w:rsidRPr="006F5C73">
        <w:rPr>
          <w:rFonts w:ascii="Arial" w:hAnsi="Arial" w:cs="Arial"/>
          <w:sz w:val="20"/>
          <w:szCs w:val="20"/>
          <w:highlight w:val="yellow"/>
        </w:rPr>
        <w:t>The mean number of HIV infections is approximately 133 cases, while TB infection exhibits a much higher average of about 1,043 cases, reflecting the heavier burden of TB relative to HIV in Nasarawa State during the study period.</w:t>
      </w:r>
      <w:r w:rsidRPr="00596B1A">
        <w:rPr>
          <w:rFonts w:ascii="Arial" w:hAnsi="Arial" w:cs="Arial"/>
          <w:sz w:val="20"/>
          <w:szCs w:val="20"/>
        </w:rPr>
        <w:t xml:space="preserve"> HIV/TB coinfection has a mean of roughly 115 cases, indicating a substantial overlap between the two diseases and underscoring the public health significance of their interaction.</w:t>
      </w:r>
      <w:r w:rsidR="00596B1A">
        <w:rPr>
          <w:rFonts w:ascii="Arial" w:hAnsi="Arial" w:cs="Arial"/>
          <w:sz w:val="20"/>
          <w:szCs w:val="20"/>
        </w:rPr>
        <w:t xml:space="preserve"> </w:t>
      </w:r>
      <w:r w:rsidRPr="00596B1A">
        <w:rPr>
          <w:rFonts w:ascii="Arial" w:hAnsi="Arial" w:cs="Arial"/>
          <w:sz w:val="20"/>
          <w:szCs w:val="20"/>
        </w:rPr>
        <w:t xml:space="preserve">The dispersion measures reveal notable variability across the series. TB infection shows the highest standard deviation (535.99), suggesting wide fluctuations in TB cases over time. In contrast, HIV infection (34.04) and HIV/TB coinfection (38.47) display relatively moderate variability. The wide range between the minimum and maximum values, especially for TB infection (466 to 2,252 cases), further indicates </w:t>
      </w:r>
      <w:r w:rsidRPr="00596B1A">
        <w:rPr>
          <w:rFonts w:ascii="Arial" w:hAnsi="Arial" w:cs="Arial"/>
          <w:sz w:val="20"/>
          <w:szCs w:val="20"/>
        </w:rPr>
        <w:lastRenderedPageBreak/>
        <w:t>pronounced temporal dynamics that may be influenced by epidemiological, programmatic, or socio-economic factors.</w:t>
      </w:r>
    </w:p>
    <w:p w14:paraId="11B1680B" w14:textId="77777777" w:rsidR="00A3475D" w:rsidRPr="00596B1A" w:rsidRDefault="00A3475D" w:rsidP="00596B1A">
      <w:pPr>
        <w:pStyle w:val="NormalWeb"/>
        <w:spacing w:after="0" w:afterAutospacing="0"/>
        <w:jc w:val="both"/>
        <w:rPr>
          <w:rFonts w:ascii="Arial" w:hAnsi="Arial" w:cs="Arial"/>
          <w:sz w:val="20"/>
          <w:szCs w:val="20"/>
        </w:rPr>
      </w:pPr>
      <w:r w:rsidRPr="00596B1A">
        <w:rPr>
          <w:rFonts w:ascii="Arial" w:hAnsi="Arial" w:cs="Arial"/>
          <w:sz w:val="20"/>
          <w:szCs w:val="20"/>
        </w:rPr>
        <w:t>The skewness statistics indicate that HIV infection (0.69) and TB infection (0.98) are moderately right-skewed, implying occasional spikes in reported cases. HIV/TB coinfection, however, has a skewness value close to zero (0.06), suggesting a nearly symmetric distribution. Kurtosis values for all three variables are close to the benchmark value of 3, implying approximately mesokurtic distributions with no extrem</w:t>
      </w:r>
      <w:r w:rsidR="00596B1A">
        <w:rPr>
          <w:rFonts w:ascii="Arial" w:hAnsi="Arial" w:cs="Arial"/>
          <w:sz w:val="20"/>
          <w:szCs w:val="20"/>
        </w:rPr>
        <w:t xml:space="preserve">e peakedness or tail heaviness. </w:t>
      </w:r>
      <w:r w:rsidRPr="00596B1A">
        <w:rPr>
          <w:rFonts w:ascii="Arial" w:hAnsi="Arial" w:cs="Arial"/>
          <w:sz w:val="20"/>
          <w:szCs w:val="20"/>
        </w:rPr>
        <w:t>Normality is assessed using the Jarque–Bera (JB) test. The JB probabilities show that HIV infection (p = 0.2296) and HIV/TB coinfection (p = 0.7826) do not significantly deviate from normality at the 5% level. However, TB infection has a JB probability of 0.0456, indicating a rejection of the null hypothesis of normality. This non-normality may be attributable to large fluctuations or episodic outbreaks in TB cases over the study period.</w:t>
      </w:r>
    </w:p>
    <w:p w14:paraId="5DF11E53" w14:textId="77777777" w:rsidR="00A3475D" w:rsidRPr="00596B1A" w:rsidRDefault="00A3475D" w:rsidP="00596B1A">
      <w:pPr>
        <w:pStyle w:val="NormalWeb"/>
        <w:spacing w:after="0" w:afterAutospacing="0"/>
        <w:jc w:val="both"/>
        <w:rPr>
          <w:rFonts w:ascii="Arial" w:hAnsi="Arial" w:cs="Arial"/>
          <w:sz w:val="20"/>
          <w:szCs w:val="20"/>
        </w:rPr>
      </w:pPr>
      <w:r w:rsidRPr="00596B1A">
        <w:rPr>
          <w:rFonts w:ascii="Arial" w:hAnsi="Arial" w:cs="Arial"/>
          <w:sz w:val="20"/>
          <w:szCs w:val="20"/>
        </w:rPr>
        <w:t>Overall, the descriptive statistics highlight the dominant burden and volatility of TB infection relative to HIV and HIV/TB coinfection, while the normality results suggest that most series are reasonably well-behaved, with the exception of TB infection. These distributional features justify the application of robust time series techniques in the subsequent cointegration and causality analysis to examine the long-run and directional relationships between HIV and TB infections in Nasarawa State.</w:t>
      </w:r>
    </w:p>
    <w:p w14:paraId="06253610" w14:textId="77777777" w:rsidR="00A3475D" w:rsidRPr="00596B1A" w:rsidRDefault="00596B1A" w:rsidP="00596B1A">
      <w:pPr>
        <w:pStyle w:val="NormalWeb"/>
        <w:spacing w:after="0" w:afterAutospacing="0"/>
        <w:jc w:val="both"/>
        <w:rPr>
          <w:rFonts w:ascii="Arial" w:hAnsi="Arial" w:cs="Arial"/>
          <w:b/>
          <w:sz w:val="20"/>
          <w:szCs w:val="20"/>
        </w:rPr>
      </w:pPr>
      <w:r w:rsidRPr="00596B1A">
        <w:rPr>
          <w:rFonts w:ascii="Arial" w:hAnsi="Arial" w:cs="Arial"/>
          <w:b/>
          <w:sz w:val="20"/>
          <w:szCs w:val="20"/>
        </w:rPr>
        <w:t>3</w:t>
      </w:r>
      <w:r w:rsidR="00A3475D" w:rsidRPr="00596B1A">
        <w:rPr>
          <w:rFonts w:ascii="Arial" w:hAnsi="Arial" w:cs="Arial"/>
          <w:b/>
          <w:sz w:val="20"/>
          <w:szCs w:val="20"/>
        </w:rPr>
        <w:t>.2</w:t>
      </w:r>
      <w:r w:rsidR="00A3475D" w:rsidRPr="00596B1A">
        <w:rPr>
          <w:rFonts w:ascii="Arial" w:hAnsi="Arial" w:cs="Arial"/>
          <w:b/>
          <w:sz w:val="20"/>
          <w:szCs w:val="20"/>
        </w:rPr>
        <w:tab/>
        <w:t>Graphical Examination of the Study Variables</w:t>
      </w:r>
    </w:p>
    <w:p w14:paraId="5C97CA78" w14:textId="77777777" w:rsidR="00A3475D" w:rsidRPr="00596B1A" w:rsidRDefault="00A3475D" w:rsidP="00596B1A">
      <w:pPr>
        <w:pStyle w:val="NormalWeb"/>
        <w:spacing w:after="0" w:afterAutospacing="0"/>
        <w:jc w:val="both"/>
        <w:rPr>
          <w:rFonts w:ascii="Arial" w:hAnsi="Arial" w:cs="Arial"/>
          <w:b/>
          <w:sz w:val="20"/>
          <w:szCs w:val="20"/>
        </w:rPr>
      </w:pPr>
      <w:r>
        <w:rPr>
          <w:rFonts w:ascii="Arial" w:hAnsi="Arial" w:cs="Arial"/>
          <w:sz w:val="20"/>
          <w:szCs w:val="20"/>
        </w:rPr>
        <w:t xml:space="preserve">Graphical analysis provides an initial visual assessment of the trends, patterns, and variability in the study variables over time. In this study, plotting Human Immunodeficiency Virus (HIV) infections, Tuberculosis (TB) infections, and HIV/TB coinfection allows for a preliminary understanding of their behaviour, seasonal fluctuations, and potential correlations before formal econometric analysis. The time series plots of HIV infections, TB infections, and HIV/TB coinfection are presented in </w:t>
      </w:r>
      <w:r>
        <w:rPr>
          <w:rFonts w:ascii="Arial" w:hAnsi="Arial" w:cs="Arial"/>
          <w:sz w:val="20"/>
          <w:szCs w:val="20"/>
          <w:highlight w:val="yellow"/>
        </w:rPr>
        <w:t>Figures 1, 2, and 3, respectively, while</w:t>
      </w:r>
      <w:r>
        <w:rPr>
          <w:rFonts w:ascii="Arial" w:hAnsi="Arial" w:cs="Arial"/>
          <w:sz w:val="20"/>
          <w:szCs w:val="20"/>
        </w:rPr>
        <w:t xml:space="preserve"> their first difference series are presented in </w:t>
      </w:r>
      <w:r>
        <w:rPr>
          <w:rFonts w:ascii="Arial" w:hAnsi="Arial" w:cs="Arial"/>
          <w:sz w:val="20"/>
          <w:szCs w:val="20"/>
          <w:highlight w:val="yellow"/>
        </w:rPr>
        <w:t>Figures 4, 5, and 6, respectively.</w:t>
      </w:r>
    </w:p>
    <w:p w14:paraId="463F4272" w14:textId="77777777" w:rsidR="00A3475D" w:rsidRDefault="00A3475D" w:rsidP="00A3475D"/>
    <w:p w14:paraId="03E4FBFD" w14:textId="77777777" w:rsidR="00A3475D" w:rsidRDefault="00A3475D" w:rsidP="00A3475D">
      <w:r>
        <w:rPr>
          <w:noProof/>
        </w:rPr>
        <w:drawing>
          <wp:inline distT="0" distB="0" distL="0" distR="0" wp14:anchorId="31CF7170" wp14:editId="7E3FA46F">
            <wp:extent cx="5485578" cy="1967789"/>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5495745" cy="1971436"/>
                    </a:xfrm>
                    <a:prstGeom prst="rect">
                      <a:avLst/>
                    </a:prstGeom>
                    <a:noFill/>
                    <a:ln w="9525">
                      <a:noFill/>
                      <a:miter lim="800000"/>
                      <a:headEnd/>
                      <a:tailEnd/>
                    </a:ln>
                  </pic:spPr>
                </pic:pic>
              </a:graphicData>
            </a:graphic>
          </wp:inline>
        </w:drawing>
      </w:r>
    </w:p>
    <w:p w14:paraId="02A3D3F5" w14:textId="77777777" w:rsidR="00A3475D" w:rsidRPr="00596B1A" w:rsidRDefault="00A3475D" w:rsidP="00A3475D">
      <w:pPr>
        <w:rPr>
          <w:rFonts w:ascii="Arial" w:hAnsi="Arial" w:cs="Arial"/>
          <w:b/>
        </w:rPr>
      </w:pPr>
      <w:r w:rsidRPr="00596B1A">
        <w:rPr>
          <w:rFonts w:ascii="Arial" w:hAnsi="Arial" w:cs="Arial"/>
          <w:b/>
        </w:rPr>
        <w:t>Figure 1: Time Series Plot of HIV Infection in Nasarawa State from 2015-2024</w:t>
      </w:r>
      <w:r w:rsidR="00596B1A" w:rsidRPr="00596B1A">
        <w:rPr>
          <w:rFonts w:ascii="Arial" w:hAnsi="Arial" w:cs="Arial"/>
          <w:b/>
        </w:rPr>
        <w:t xml:space="preserve"> (Level Series)</w:t>
      </w:r>
    </w:p>
    <w:p w14:paraId="62071693" w14:textId="77777777" w:rsidR="00A3475D" w:rsidRDefault="00A3475D" w:rsidP="00A3475D">
      <w:r>
        <w:rPr>
          <w:noProof/>
        </w:rPr>
        <w:lastRenderedPageBreak/>
        <w:drawing>
          <wp:inline distT="0" distB="0" distL="0" distR="0" wp14:anchorId="6A9432DA" wp14:editId="526FD133">
            <wp:extent cx="5486400" cy="2114093"/>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srcRect/>
                    <a:stretch>
                      <a:fillRect/>
                    </a:stretch>
                  </pic:blipFill>
                  <pic:spPr bwMode="auto">
                    <a:xfrm>
                      <a:off x="0" y="0"/>
                      <a:ext cx="5490309" cy="2115599"/>
                    </a:xfrm>
                    <a:prstGeom prst="rect">
                      <a:avLst/>
                    </a:prstGeom>
                    <a:noFill/>
                    <a:ln w="9525">
                      <a:noFill/>
                      <a:miter lim="800000"/>
                      <a:headEnd/>
                      <a:tailEnd/>
                    </a:ln>
                  </pic:spPr>
                </pic:pic>
              </a:graphicData>
            </a:graphic>
          </wp:inline>
        </w:drawing>
      </w:r>
    </w:p>
    <w:p w14:paraId="44F9E490" w14:textId="77777777" w:rsidR="00A3475D" w:rsidRPr="00596B1A" w:rsidRDefault="00A3475D" w:rsidP="00A3475D">
      <w:pPr>
        <w:rPr>
          <w:rFonts w:ascii="Arial" w:hAnsi="Arial" w:cs="Arial"/>
          <w:b/>
        </w:rPr>
      </w:pPr>
      <w:r w:rsidRPr="00596B1A">
        <w:rPr>
          <w:rFonts w:ascii="Arial" w:hAnsi="Arial" w:cs="Arial"/>
          <w:b/>
        </w:rPr>
        <w:t>Figure 2: Time Series Plot of TB Infection in Nasarawa State from 2015-2024 (Level Series)</w:t>
      </w:r>
    </w:p>
    <w:p w14:paraId="41C24D04" w14:textId="77777777" w:rsidR="00A3475D" w:rsidRPr="00D237F8" w:rsidRDefault="00A3475D" w:rsidP="00A3475D">
      <w:pPr>
        <w:rPr>
          <w:rFonts w:ascii="Times New Roman" w:hAnsi="Times New Roman"/>
          <w:b/>
          <w:sz w:val="24"/>
          <w:szCs w:val="24"/>
        </w:rPr>
      </w:pPr>
    </w:p>
    <w:p w14:paraId="56117116" w14:textId="77777777" w:rsidR="00A3475D" w:rsidRDefault="00A3475D" w:rsidP="00A3475D">
      <w:r>
        <w:rPr>
          <w:noProof/>
        </w:rPr>
        <w:drawing>
          <wp:inline distT="0" distB="0" distL="0" distR="0" wp14:anchorId="26B982F8" wp14:editId="35E23E15">
            <wp:extent cx="5486400" cy="199705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srcRect/>
                    <a:stretch>
                      <a:fillRect/>
                    </a:stretch>
                  </pic:blipFill>
                  <pic:spPr bwMode="auto">
                    <a:xfrm>
                      <a:off x="0" y="0"/>
                      <a:ext cx="5492078" cy="1999117"/>
                    </a:xfrm>
                    <a:prstGeom prst="rect">
                      <a:avLst/>
                    </a:prstGeom>
                    <a:noFill/>
                    <a:ln w="9525">
                      <a:noFill/>
                      <a:miter lim="800000"/>
                      <a:headEnd/>
                      <a:tailEnd/>
                    </a:ln>
                  </pic:spPr>
                </pic:pic>
              </a:graphicData>
            </a:graphic>
          </wp:inline>
        </w:drawing>
      </w:r>
    </w:p>
    <w:p w14:paraId="762C42A3" w14:textId="77777777" w:rsidR="00A3475D" w:rsidRPr="00596B1A" w:rsidRDefault="00A3475D" w:rsidP="00A3475D">
      <w:pPr>
        <w:rPr>
          <w:rFonts w:ascii="Arial" w:hAnsi="Arial" w:cs="Arial"/>
          <w:b/>
        </w:rPr>
      </w:pPr>
      <w:r w:rsidRPr="00596B1A">
        <w:rPr>
          <w:rFonts w:ascii="Arial" w:hAnsi="Arial" w:cs="Arial"/>
          <w:b/>
        </w:rPr>
        <w:t>Figure 3: Time Series Plot of HIV/TB Coinfection in Nasarawa State from 2015-2024 (Level Series)</w:t>
      </w:r>
    </w:p>
    <w:p w14:paraId="1B056BC4" w14:textId="77777777" w:rsidR="00A3475D" w:rsidRDefault="00A3475D" w:rsidP="00A3475D"/>
    <w:p w14:paraId="3A03FE1E" w14:textId="77777777" w:rsidR="00A3475D" w:rsidRDefault="00A3475D" w:rsidP="00A3475D">
      <w:r>
        <w:rPr>
          <w:noProof/>
        </w:rPr>
        <w:drawing>
          <wp:inline distT="0" distB="0" distL="0" distR="0" wp14:anchorId="43748B3D" wp14:editId="690E744E">
            <wp:extent cx="5486400" cy="2033626"/>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srcRect/>
                    <a:stretch>
                      <a:fillRect/>
                    </a:stretch>
                  </pic:blipFill>
                  <pic:spPr bwMode="auto">
                    <a:xfrm>
                      <a:off x="0" y="0"/>
                      <a:ext cx="5493586" cy="2036289"/>
                    </a:xfrm>
                    <a:prstGeom prst="rect">
                      <a:avLst/>
                    </a:prstGeom>
                    <a:noFill/>
                    <a:ln w="9525">
                      <a:noFill/>
                      <a:miter lim="800000"/>
                      <a:headEnd/>
                      <a:tailEnd/>
                    </a:ln>
                  </pic:spPr>
                </pic:pic>
              </a:graphicData>
            </a:graphic>
          </wp:inline>
        </w:drawing>
      </w:r>
    </w:p>
    <w:p w14:paraId="46389C6A" w14:textId="77777777" w:rsidR="00A3475D" w:rsidRPr="00596B1A" w:rsidRDefault="00A3475D" w:rsidP="00596B1A">
      <w:pPr>
        <w:jc w:val="both"/>
        <w:rPr>
          <w:rFonts w:ascii="Arial" w:hAnsi="Arial" w:cs="Arial"/>
          <w:b/>
        </w:rPr>
      </w:pPr>
      <w:r w:rsidRPr="00596B1A">
        <w:rPr>
          <w:rFonts w:ascii="Arial" w:hAnsi="Arial" w:cs="Arial"/>
          <w:b/>
        </w:rPr>
        <w:t xml:space="preserve">Figure 4: Time Series Plot of First Difference of HIV Infection in Nasarawa State from 2015-2024 </w:t>
      </w:r>
    </w:p>
    <w:p w14:paraId="04D56E58" w14:textId="77777777" w:rsidR="00A3475D" w:rsidRPr="00D237F8" w:rsidRDefault="00A3475D" w:rsidP="00A3475D">
      <w:pPr>
        <w:rPr>
          <w:rFonts w:ascii="Times New Roman" w:hAnsi="Times New Roman"/>
          <w:b/>
          <w:sz w:val="24"/>
          <w:szCs w:val="24"/>
        </w:rPr>
      </w:pPr>
    </w:p>
    <w:p w14:paraId="0AF6E5A9" w14:textId="77777777" w:rsidR="00A3475D" w:rsidRDefault="00A3475D" w:rsidP="00A3475D">
      <w:r>
        <w:rPr>
          <w:noProof/>
        </w:rPr>
        <w:lastRenderedPageBreak/>
        <w:drawing>
          <wp:inline distT="0" distB="0" distL="0" distR="0" wp14:anchorId="6A90C9AC" wp14:editId="4F95B68E">
            <wp:extent cx="5486400" cy="185074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srcRect/>
                    <a:stretch>
                      <a:fillRect/>
                    </a:stretch>
                  </pic:blipFill>
                  <pic:spPr bwMode="auto">
                    <a:xfrm>
                      <a:off x="0" y="0"/>
                      <a:ext cx="5490773" cy="1852221"/>
                    </a:xfrm>
                    <a:prstGeom prst="rect">
                      <a:avLst/>
                    </a:prstGeom>
                    <a:noFill/>
                    <a:ln w="9525">
                      <a:noFill/>
                      <a:miter lim="800000"/>
                      <a:headEnd/>
                      <a:tailEnd/>
                    </a:ln>
                  </pic:spPr>
                </pic:pic>
              </a:graphicData>
            </a:graphic>
          </wp:inline>
        </w:drawing>
      </w:r>
    </w:p>
    <w:p w14:paraId="3CD54702" w14:textId="77777777" w:rsidR="00A3475D" w:rsidRPr="00596B1A" w:rsidRDefault="00A3475D" w:rsidP="00A3475D">
      <w:pPr>
        <w:rPr>
          <w:rFonts w:ascii="Arial" w:hAnsi="Arial" w:cs="Arial"/>
          <w:b/>
        </w:rPr>
      </w:pPr>
      <w:r w:rsidRPr="00596B1A">
        <w:rPr>
          <w:rFonts w:ascii="Arial" w:hAnsi="Arial" w:cs="Arial"/>
          <w:b/>
        </w:rPr>
        <w:t>Figure 5: Time Series Plot of First Difference of TB Infection in Nasarawa State from 2015-2024</w:t>
      </w:r>
      <w:r w:rsidR="00596B1A">
        <w:rPr>
          <w:rFonts w:ascii="Arial" w:hAnsi="Arial" w:cs="Arial"/>
          <w:b/>
        </w:rPr>
        <w:t xml:space="preserve"> </w:t>
      </w:r>
    </w:p>
    <w:p w14:paraId="5D11DD8F" w14:textId="77777777" w:rsidR="00A3475D" w:rsidRDefault="00A3475D" w:rsidP="00A3475D">
      <w:r>
        <w:rPr>
          <w:noProof/>
        </w:rPr>
        <w:drawing>
          <wp:inline distT="0" distB="0" distL="0" distR="0" wp14:anchorId="3D895514" wp14:editId="5891C4E5">
            <wp:extent cx="5486400" cy="187269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srcRect/>
                    <a:stretch>
                      <a:fillRect/>
                    </a:stretch>
                  </pic:blipFill>
                  <pic:spPr bwMode="auto">
                    <a:xfrm>
                      <a:off x="0" y="0"/>
                      <a:ext cx="5495893" cy="1875932"/>
                    </a:xfrm>
                    <a:prstGeom prst="rect">
                      <a:avLst/>
                    </a:prstGeom>
                    <a:noFill/>
                    <a:ln w="9525">
                      <a:noFill/>
                      <a:miter lim="800000"/>
                      <a:headEnd/>
                      <a:tailEnd/>
                    </a:ln>
                  </pic:spPr>
                </pic:pic>
              </a:graphicData>
            </a:graphic>
          </wp:inline>
        </w:drawing>
      </w:r>
    </w:p>
    <w:p w14:paraId="116D9BE1" w14:textId="77777777" w:rsidR="00A3475D" w:rsidRPr="00596B1A" w:rsidRDefault="00A3475D" w:rsidP="00CB7B35">
      <w:pPr>
        <w:rPr>
          <w:rFonts w:ascii="Arial" w:hAnsi="Arial" w:cs="Arial"/>
          <w:b/>
        </w:rPr>
      </w:pPr>
      <w:r w:rsidRPr="00596B1A">
        <w:rPr>
          <w:rFonts w:ascii="Arial" w:hAnsi="Arial" w:cs="Arial"/>
          <w:b/>
        </w:rPr>
        <w:t xml:space="preserve">Figure 6: Time Series Plot of First Difference of HIV/TB Coinfection in Nasarawa State from 2015-2024 </w:t>
      </w:r>
    </w:p>
    <w:p w14:paraId="3501D3EA" w14:textId="77777777" w:rsidR="00A3475D" w:rsidRPr="00CB7B35" w:rsidRDefault="00A3475D" w:rsidP="00CB7B35">
      <w:pPr>
        <w:jc w:val="both"/>
        <w:rPr>
          <w:rFonts w:ascii="Arial" w:hAnsi="Arial" w:cs="Arial"/>
        </w:rPr>
      </w:pPr>
      <w:r>
        <w:rPr>
          <w:rFonts w:ascii="Arial" w:hAnsi="Arial" w:cs="Arial"/>
        </w:rPr>
        <w:t xml:space="preserve">The time series plots reported in Figures 1-3 show that </w:t>
      </w:r>
      <w:r>
        <w:rPr>
          <w:rFonts w:ascii="Arial" w:hAnsi="Arial" w:cs="Arial"/>
          <w:highlight w:val="yellow"/>
        </w:rPr>
        <w:t>the trends in the series are not smooth, which suggests</w:t>
      </w:r>
      <w:r>
        <w:rPr>
          <w:rFonts w:ascii="Arial" w:hAnsi="Arial" w:cs="Arial"/>
        </w:rPr>
        <w:t xml:space="preserve"> that the series have varying means and variances across the period under review. </w:t>
      </w:r>
      <w:r>
        <w:rPr>
          <w:rFonts w:ascii="Arial" w:hAnsi="Arial" w:cs="Arial"/>
          <w:highlight w:val="yellow"/>
        </w:rPr>
        <w:t>This indicates that the series are not covariance-stationary or weakly stationary</w:t>
      </w:r>
      <w:r>
        <w:rPr>
          <w:rFonts w:ascii="Arial" w:hAnsi="Arial" w:cs="Arial"/>
        </w:rPr>
        <w:t xml:space="preserve"> (i.e., the series contain unit roots). However, the </w:t>
      </w:r>
      <w:r>
        <w:rPr>
          <w:rFonts w:ascii="Arial" w:hAnsi="Arial" w:cs="Arial"/>
          <w:highlight w:val="yellow"/>
        </w:rPr>
        <w:t>first-difference time-series plots</w:t>
      </w:r>
      <w:r>
        <w:rPr>
          <w:rFonts w:ascii="Arial" w:hAnsi="Arial" w:cs="Arial"/>
        </w:rPr>
        <w:t xml:space="preserve"> reported in Figures 4-6 show that </w:t>
      </w:r>
      <w:r>
        <w:rPr>
          <w:rFonts w:ascii="Arial" w:hAnsi="Arial" w:cs="Arial"/>
          <w:highlight w:val="yellow"/>
        </w:rPr>
        <w:t>the series are somewhat smooth, which suggests</w:t>
      </w:r>
      <w:r>
        <w:rPr>
          <w:rFonts w:ascii="Arial" w:hAnsi="Arial" w:cs="Arial"/>
        </w:rPr>
        <w:t xml:space="preserve"> that the series have constant means and variances across the period under review. </w:t>
      </w:r>
      <w:r>
        <w:rPr>
          <w:rFonts w:ascii="Arial" w:hAnsi="Arial" w:cs="Arial"/>
          <w:highlight w:val="yellow"/>
        </w:rPr>
        <w:t>This indicates that the series are covariance-stationary or weakly stationary</w:t>
      </w:r>
      <w:r>
        <w:rPr>
          <w:rFonts w:ascii="Arial" w:hAnsi="Arial" w:cs="Arial"/>
        </w:rPr>
        <w:t xml:space="preserve"> (i.e., the series do not contain unit roots).</w:t>
      </w:r>
    </w:p>
    <w:p w14:paraId="222B954C" w14:textId="77777777" w:rsidR="00A3475D" w:rsidRPr="00CB7B35" w:rsidRDefault="00CB7B35" w:rsidP="00CB7B35">
      <w:pPr>
        <w:spacing w:before="240"/>
        <w:jc w:val="both"/>
        <w:rPr>
          <w:rFonts w:ascii="Arial" w:hAnsi="Arial" w:cs="Arial"/>
          <w:b/>
        </w:rPr>
      </w:pPr>
      <w:r w:rsidRPr="00CB7B35">
        <w:rPr>
          <w:rFonts w:ascii="Arial" w:hAnsi="Arial" w:cs="Arial"/>
          <w:b/>
        </w:rPr>
        <w:t>3</w:t>
      </w:r>
      <w:r w:rsidR="00A3475D" w:rsidRPr="00CB7B35">
        <w:rPr>
          <w:rFonts w:ascii="Arial" w:hAnsi="Arial" w:cs="Arial"/>
          <w:b/>
        </w:rPr>
        <w:t>.3</w:t>
      </w:r>
      <w:r w:rsidR="00A3475D" w:rsidRPr="00CB7B35">
        <w:rPr>
          <w:rFonts w:ascii="Arial" w:hAnsi="Arial" w:cs="Arial"/>
          <w:b/>
        </w:rPr>
        <w:tab/>
        <w:t>Augmented Dickey-Fuller (ADF) Unit Root Test Results</w:t>
      </w:r>
    </w:p>
    <w:p w14:paraId="7D0B3D8D" w14:textId="77777777" w:rsidR="00A3475D" w:rsidRPr="00CB7B35" w:rsidRDefault="00A3475D" w:rsidP="00CB7B35">
      <w:pPr>
        <w:spacing w:before="240"/>
        <w:jc w:val="both"/>
        <w:rPr>
          <w:rFonts w:ascii="Arial" w:hAnsi="Arial" w:cs="Arial"/>
        </w:rPr>
      </w:pPr>
      <w:r w:rsidRPr="00CB7B35">
        <w:rPr>
          <w:rFonts w:ascii="Arial" w:hAnsi="Arial" w:cs="Arial"/>
        </w:rPr>
        <w:t>It is essential to examine the time series properties of HIV infection, TB infection, and HIV/TB coinfection before conducting cointegration and causality analyses. The Augmented Dickey-Fuller (ADF) unit root test is employed to determine whether the series are stationary or non-stationary at levels and at first differences. Establishing the order of integration of each variable is a critical prerequisite for cointegration analysis, as long-run equilibrium relationships can only be meaningfully examined among non-stationary variables that are integrated of the same order. Table 2 presents the ADF results.</w:t>
      </w:r>
    </w:p>
    <w:p w14:paraId="33454C39" w14:textId="77777777" w:rsidR="00A3475D" w:rsidRPr="00CB7B35" w:rsidRDefault="00A3475D" w:rsidP="00CB7B35">
      <w:pPr>
        <w:jc w:val="both"/>
        <w:rPr>
          <w:rFonts w:ascii="Arial" w:hAnsi="Arial" w:cs="Arial"/>
          <w:b/>
        </w:rPr>
      </w:pPr>
      <w:r w:rsidRPr="00CB7B35">
        <w:rPr>
          <w:rFonts w:ascii="Arial" w:hAnsi="Arial" w:cs="Arial"/>
          <w:b/>
        </w:rPr>
        <w:t>Table 2: Augmented Dickey-Fuller (ADF) Unit Root Test Results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771"/>
        <w:gridCol w:w="1937"/>
        <w:gridCol w:w="1800"/>
        <w:gridCol w:w="1260"/>
        <w:gridCol w:w="2088"/>
      </w:tblGrid>
      <w:tr w:rsidR="00A3475D" w:rsidRPr="00A77D49" w14:paraId="53092381" w14:textId="77777777" w:rsidTr="00A77D49">
        <w:tc>
          <w:tcPr>
            <w:tcW w:w="1771" w:type="dxa"/>
            <w:tcBorders>
              <w:top w:val="single" w:sz="4" w:space="0" w:color="auto"/>
              <w:bottom w:val="single" w:sz="4" w:space="0" w:color="auto"/>
            </w:tcBorders>
          </w:tcPr>
          <w:p w14:paraId="048A063F" w14:textId="77777777" w:rsidR="00A3475D" w:rsidRPr="00A77D49" w:rsidRDefault="00A3475D" w:rsidP="00A77D49">
            <w:pPr>
              <w:rPr>
                <w:rFonts w:ascii="Arial" w:hAnsi="Arial" w:cs="Arial"/>
                <w:b/>
              </w:rPr>
            </w:pPr>
            <w:r w:rsidRPr="00A77D49">
              <w:rPr>
                <w:rFonts w:ascii="Arial" w:hAnsi="Arial" w:cs="Arial"/>
                <w:b/>
              </w:rPr>
              <w:t xml:space="preserve">Variable </w:t>
            </w:r>
          </w:p>
        </w:tc>
        <w:tc>
          <w:tcPr>
            <w:tcW w:w="1937" w:type="dxa"/>
            <w:tcBorders>
              <w:top w:val="single" w:sz="4" w:space="0" w:color="auto"/>
              <w:bottom w:val="single" w:sz="4" w:space="0" w:color="auto"/>
            </w:tcBorders>
          </w:tcPr>
          <w:p w14:paraId="3E1E42B4" w14:textId="77777777" w:rsidR="00A3475D" w:rsidRPr="00A77D49" w:rsidRDefault="00A3475D" w:rsidP="00A77D49">
            <w:pPr>
              <w:rPr>
                <w:rFonts w:ascii="Arial" w:hAnsi="Arial" w:cs="Arial"/>
                <w:b/>
              </w:rPr>
            </w:pPr>
            <w:r w:rsidRPr="00A77D49">
              <w:rPr>
                <w:rFonts w:ascii="Arial" w:hAnsi="Arial" w:cs="Arial"/>
                <w:b/>
              </w:rPr>
              <w:t xml:space="preserve">Option </w:t>
            </w:r>
          </w:p>
        </w:tc>
        <w:tc>
          <w:tcPr>
            <w:tcW w:w="1800" w:type="dxa"/>
            <w:tcBorders>
              <w:top w:val="single" w:sz="4" w:space="0" w:color="auto"/>
              <w:bottom w:val="single" w:sz="4" w:space="0" w:color="auto"/>
            </w:tcBorders>
          </w:tcPr>
          <w:p w14:paraId="29F1C67D" w14:textId="77777777" w:rsidR="00A3475D" w:rsidRPr="00A77D49" w:rsidRDefault="00A3475D" w:rsidP="00A77D49">
            <w:pPr>
              <w:jc w:val="center"/>
              <w:rPr>
                <w:rFonts w:ascii="Arial" w:hAnsi="Arial" w:cs="Arial"/>
                <w:b/>
              </w:rPr>
            </w:pPr>
            <w:r w:rsidRPr="00A77D49">
              <w:rPr>
                <w:rFonts w:ascii="Arial" w:hAnsi="Arial" w:cs="Arial"/>
                <w:b/>
              </w:rPr>
              <w:t>ADF Test Stat.</w:t>
            </w:r>
          </w:p>
        </w:tc>
        <w:tc>
          <w:tcPr>
            <w:tcW w:w="1260" w:type="dxa"/>
            <w:tcBorders>
              <w:top w:val="single" w:sz="4" w:space="0" w:color="auto"/>
              <w:bottom w:val="single" w:sz="4" w:space="0" w:color="auto"/>
            </w:tcBorders>
          </w:tcPr>
          <w:p w14:paraId="3B586DBF" w14:textId="77777777" w:rsidR="00A3475D" w:rsidRPr="00A77D49" w:rsidRDefault="00A3475D" w:rsidP="00A77D49">
            <w:pPr>
              <w:jc w:val="center"/>
              <w:rPr>
                <w:rFonts w:ascii="Arial" w:hAnsi="Arial" w:cs="Arial"/>
                <w:b/>
              </w:rPr>
            </w:pPr>
            <w:r w:rsidRPr="00A77D49">
              <w:rPr>
                <w:rFonts w:ascii="Arial" w:hAnsi="Arial" w:cs="Arial"/>
                <w:b/>
              </w:rPr>
              <w:t>p-value</w:t>
            </w:r>
          </w:p>
        </w:tc>
        <w:tc>
          <w:tcPr>
            <w:tcW w:w="2088" w:type="dxa"/>
            <w:tcBorders>
              <w:top w:val="single" w:sz="4" w:space="0" w:color="auto"/>
              <w:bottom w:val="single" w:sz="4" w:space="0" w:color="auto"/>
            </w:tcBorders>
          </w:tcPr>
          <w:p w14:paraId="4A77050A" w14:textId="77777777" w:rsidR="00A3475D" w:rsidRPr="00A77D49" w:rsidRDefault="00A3475D" w:rsidP="00A77D49">
            <w:pPr>
              <w:jc w:val="center"/>
              <w:rPr>
                <w:rFonts w:ascii="Arial" w:hAnsi="Arial" w:cs="Arial"/>
                <w:b/>
              </w:rPr>
            </w:pPr>
            <w:r w:rsidRPr="00A77D49">
              <w:rPr>
                <w:rFonts w:ascii="Arial" w:hAnsi="Arial" w:cs="Arial"/>
                <w:b/>
              </w:rPr>
              <w:t>5% Critical value</w:t>
            </w:r>
          </w:p>
        </w:tc>
      </w:tr>
      <w:tr w:rsidR="00A3475D" w:rsidRPr="00A77D49" w14:paraId="4A14C30C" w14:textId="77777777" w:rsidTr="00A77D49">
        <w:tc>
          <w:tcPr>
            <w:tcW w:w="8856" w:type="dxa"/>
            <w:gridSpan w:val="5"/>
            <w:tcBorders>
              <w:top w:val="single" w:sz="4" w:space="0" w:color="auto"/>
            </w:tcBorders>
          </w:tcPr>
          <w:p w14:paraId="20A3E1A9" w14:textId="77777777" w:rsidR="00A3475D" w:rsidRPr="00A77D49" w:rsidRDefault="00A3475D" w:rsidP="00A77D49">
            <w:pPr>
              <w:jc w:val="center"/>
              <w:rPr>
                <w:rFonts w:ascii="Arial" w:hAnsi="Arial" w:cs="Arial"/>
                <w:b/>
              </w:rPr>
            </w:pPr>
            <w:r w:rsidRPr="00A77D49">
              <w:rPr>
                <w:rFonts w:ascii="Arial" w:hAnsi="Arial" w:cs="Arial"/>
                <w:b/>
              </w:rPr>
              <w:t>Level Series</w:t>
            </w:r>
          </w:p>
        </w:tc>
      </w:tr>
      <w:tr w:rsidR="00A3475D" w:rsidRPr="00A77D49" w14:paraId="73F61752" w14:textId="77777777" w:rsidTr="00A77D49">
        <w:tc>
          <w:tcPr>
            <w:tcW w:w="1771" w:type="dxa"/>
            <w:vMerge w:val="restart"/>
          </w:tcPr>
          <w:p w14:paraId="198B751C" w14:textId="77777777" w:rsidR="00A3475D" w:rsidRPr="00A77D49" w:rsidRDefault="00A3475D" w:rsidP="00A77D49">
            <w:pPr>
              <w:rPr>
                <w:rFonts w:ascii="Arial" w:hAnsi="Arial" w:cs="Arial"/>
              </w:rPr>
            </w:pPr>
            <w:r w:rsidRPr="00A77D49">
              <w:rPr>
                <w:rFonts w:ascii="Arial" w:hAnsi="Arial" w:cs="Arial"/>
              </w:rPr>
              <w:t>HIV Infection</w:t>
            </w:r>
          </w:p>
        </w:tc>
        <w:tc>
          <w:tcPr>
            <w:tcW w:w="1937" w:type="dxa"/>
          </w:tcPr>
          <w:p w14:paraId="16186D2B" w14:textId="77777777" w:rsidR="00A3475D" w:rsidRPr="00A77D49" w:rsidRDefault="00A3475D" w:rsidP="00A77D49">
            <w:pPr>
              <w:rPr>
                <w:rFonts w:ascii="Arial" w:hAnsi="Arial" w:cs="Arial"/>
              </w:rPr>
            </w:pPr>
            <w:r w:rsidRPr="00A77D49">
              <w:rPr>
                <w:rFonts w:ascii="Arial" w:hAnsi="Arial" w:cs="Arial"/>
              </w:rPr>
              <w:t>Intercept only</w:t>
            </w:r>
          </w:p>
        </w:tc>
        <w:tc>
          <w:tcPr>
            <w:tcW w:w="1800" w:type="dxa"/>
          </w:tcPr>
          <w:p w14:paraId="4220D4BA" w14:textId="77777777" w:rsidR="00A3475D" w:rsidRPr="00A77D49" w:rsidRDefault="00A3475D" w:rsidP="00A77D49">
            <w:pPr>
              <w:jc w:val="center"/>
              <w:rPr>
                <w:rFonts w:ascii="Arial" w:hAnsi="Arial" w:cs="Arial"/>
              </w:rPr>
            </w:pPr>
            <w:r w:rsidRPr="00A77D49">
              <w:rPr>
                <w:rFonts w:ascii="Arial" w:hAnsi="Arial" w:cs="Arial"/>
              </w:rPr>
              <w:t>-1.598097</w:t>
            </w:r>
          </w:p>
        </w:tc>
        <w:tc>
          <w:tcPr>
            <w:tcW w:w="1260" w:type="dxa"/>
          </w:tcPr>
          <w:p w14:paraId="008DAFB4" w14:textId="77777777" w:rsidR="00A3475D" w:rsidRPr="00A77D49" w:rsidRDefault="00A3475D" w:rsidP="00A77D49">
            <w:pPr>
              <w:jc w:val="center"/>
              <w:rPr>
                <w:rFonts w:ascii="Arial" w:hAnsi="Arial" w:cs="Arial"/>
              </w:rPr>
            </w:pPr>
            <w:r w:rsidRPr="00A77D49">
              <w:rPr>
                <w:rFonts w:ascii="Arial" w:hAnsi="Arial" w:cs="Arial"/>
              </w:rPr>
              <w:t>0.4698</w:t>
            </w:r>
          </w:p>
        </w:tc>
        <w:tc>
          <w:tcPr>
            <w:tcW w:w="2088" w:type="dxa"/>
          </w:tcPr>
          <w:p w14:paraId="569A2E7B" w14:textId="77777777" w:rsidR="00A3475D" w:rsidRPr="00A77D49" w:rsidRDefault="00A3475D" w:rsidP="00A77D49">
            <w:pPr>
              <w:jc w:val="center"/>
              <w:rPr>
                <w:rFonts w:ascii="Arial" w:hAnsi="Arial" w:cs="Arial"/>
              </w:rPr>
            </w:pPr>
            <w:r w:rsidRPr="00A77D49">
              <w:rPr>
                <w:rFonts w:ascii="Arial" w:hAnsi="Arial" w:cs="Arial"/>
              </w:rPr>
              <w:t>-2.976263</w:t>
            </w:r>
          </w:p>
        </w:tc>
      </w:tr>
      <w:tr w:rsidR="00A3475D" w:rsidRPr="00A77D49" w14:paraId="5777E1E1" w14:textId="77777777" w:rsidTr="00A77D49">
        <w:tc>
          <w:tcPr>
            <w:tcW w:w="1771" w:type="dxa"/>
            <w:vMerge/>
          </w:tcPr>
          <w:p w14:paraId="42E9AD02" w14:textId="77777777" w:rsidR="00A3475D" w:rsidRPr="00A77D49" w:rsidRDefault="00A3475D" w:rsidP="00A77D49">
            <w:pPr>
              <w:rPr>
                <w:rFonts w:ascii="Arial" w:hAnsi="Arial" w:cs="Arial"/>
              </w:rPr>
            </w:pPr>
          </w:p>
        </w:tc>
        <w:tc>
          <w:tcPr>
            <w:tcW w:w="1937" w:type="dxa"/>
          </w:tcPr>
          <w:p w14:paraId="199F0843" w14:textId="77777777" w:rsidR="00A3475D" w:rsidRPr="00A77D49" w:rsidRDefault="00A3475D" w:rsidP="00A77D49">
            <w:pPr>
              <w:rPr>
                <w:rFonts w:ascii="Arial" w:hAnsi="Arial" w:cs="Arial"/>
              </w:rPr>
            </w:pPr>
            <w:r w:rsidRPr="00A77D49">
              <w:rPr>
                <w:rFonts w:ascii="Arial" w:hAnsi="Arial" w:cs="Arial"/>
              </w:rPr>
              <w:t>Intercept &amp; trend</w:t>
            </w:r>
          </w:p>
        </w:tc>
        <w:tc>
          <w:tcPr>
            <w:tcW w:w="1800" w:type="dxa"/>
            <w:vAlign w:val="bottom"/>
          </w:tcPr>
          <w:p w14:paraId="050CA05A"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-0.893836</w:t>
            </w:r>
          </w:p>
        </w:tc>
        <w:tc>
          <w:tcPr>
            <w:tcW w:w="1260" w:type="dxa"/>
            <w:vAlign w:val="bottom"/>
          </w:tcPr>
          <w:p w14:paraId="50703E0A"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0.9423</w:t>
            </w:r>
          </w:p>
        </w:tc>
        <w:tc>
          <w:tcPr>
            <w:tcW w:w="2088" w:type="dxa"/>
          </w:tcPr>
          <w:p w14:paraId="7D08D8F3" w14:textId="77777777" w:rsidR="00A3475D" w:rsidRPr="00A77D49" w:rsidRDefault="00A3475D" w:rsidP="00A77D49">
            <w:pPr>
              <w:jc w:val="center"/>
              <w:rPr>
                <w:rFonts w:ascii="Arial" w:hAnsi="Arial" w:cs="Arial"/>
              </w:rPr>
            </w:pPr>
            <w:r w:rsidRPr="00A77D49">
              <w:rPr>
                <w:rFonts w:ascii="Arial" w:hAnsi="Arial" w:cs="Arial"/>
              </w:rPr>
              <w:t>-3.587527</w:t>
            </w:r>
          </w:p>
        </w:tc>
      </w:tr>
      <w:tr w:rsidR="00A3475D" w:rsidRPr="00A77D49" w14:paraId="2A7CA1B1" w14:textId="77777777" w:rsidTr="00A77D49">
        <w:tc>
          <w:tcPr>
            <w:tcW w:w="1771" w:type="dxa"/>
            <w:vMerge w:val="restart"/>
          </w:tcPr>
          <w:p w14:paraId="2D215B77" w14:textId="77777777" w:rsidR="00A3475D" w:rsidRPr="00A77D49" w:rsidRDefault="00A3475D" w:rsidP="00A77D49">
            <w:pPr>
              <w:rPr>
                <w:rFonts w:ascii="Arial" w:hAnsi="Arial" w:cs="Arial"/>
              </w:rPr>
            </w:pPr>
            <w:r w:rsidRPr="00A77D49">
              <w:rPr>
                <w:rFonts w:ascii="Arial" w:hAnsi="Arial" w:cs="Arial"/>
              </w:rPr>
              <w:t>TB Infection</w:t>
            </w:r>
          </w:p>
        </w:tc>
        <w:tc>
          <w:tcPr>
            <w:tcW w:w="1937" w:type="dxa"/>
          </w:tcPr>
          <w:p w14:paraId="73BEBF31" w14:textId="77777777" w:rsidR="00A3475D" w:rsidRPr="00A77D49" w:rsidRDefault="00A3475D" w:rsidP="00A77D49">
            <w:pPr>
              <w:rPr>
                <w:rFonts w:ascii="Arial" w:hAnsi="Arial" w:cs="Arial"/>
              </w:rPr>
            </w:pPr>
            <w:r w:rsidRPr="00A77D49">
              <w:rPr>
                <w:rFonts w:ascii="Arial" w:hAnsi="Arial" w:cs="Arial"/>
              </w:rPr>
              <w:t>Intercept only</w:t>
            </w:r>
          </w:p>
        </w:tc>
        <w:tc>
          <w:tcPr>
            <w:tcW w:w="1800" w:type="dxa"/>
          </w:tcPr>
          <w:p w14:paraId="77B9A845" w14:textId="77777777" w:rsidR="00A3475D" w:rsidRPr="00A77D49" w:rsidRDefault="00A3475D" w:rsidP="00A77D49">
            <w:pPr>
              <w:jc w:val="center"/>
              <w:rPr>
                <w:rFonts w:ascii="Arial" w:hAnsi="Arial" w:cs="Arial"/>
              </w:rPr>
            </w:pPr>
            <w:r w:rsidRPr="00A77D49">
              <w:rPr>
                <w:rFonts w:ascii="Arial" w:hAnsi="Arial" w:cs="Arial"/>
              </w:rPr>
              <w:t>-0.407376</w:t>
            </w:r>
          </w:p>
        </w:tc>
        <w:tc>
          <w:tcPr>
            <w:tcW w:w="1260" w:type="dxa"/>
          </w:tcPr>
          <w:p w14:paraId="28794771" w14:textId="77777777" w:rsidR="00A3475D" w:rsidRPr="00A77D49" w:rsidRDefault="00A3475D" w:rsidP="00A77D49">
            <w:pPr>
              <w:jc w:val="center"/>
              <w:rPr>
                <w:rFonts w:ascii="Arial" w:hAnsi="Arial" w:cs="Arial"/>
              </w:rPr>
            </w:pPr>
            <w:r w:rsidRPr="00A77D49">
              <w:rPr>
                <w:rFonts w:ascii="Arial" w:hAnsi="Arial" w:cs="Arial"/>
              </w:rPr>
              <w:t>0.8971</w:t>
            </w:r>
          </w:p>
        </w:tc>
        <w:tc>
          <w:tcPr>
            <w:tcW w:w="2088" w:type="dxa"/>
          </w:tcPr>
          <w:p w14:paraId="4FB694F0" w14:textId="77777777" w:rsidR="00A3475D" w:rsidRPr="00A77D49" w:rsidRDefault="00A3475D" w:rsidP="00A77D49">
            <w:pPr>
              <w:jc w:val="center"/>
              <w:rPr>
                <w:rFonts w:ascii="Arial" w:hAnsi="Arial" w:cs="Arial"/>
              </w:rPr>
            </w:pPr>
            <w:r w:rsidRPr="00A77D49">
              <w:rPr>
                <w:rFonts w:ascii="Arial" w:hAnsi="Arial" w:cs="Arial"/>
              </w:rPr>
              <w:t>-2.948404</w:t>
            </w:r>
          </w:p>
        </w:tc>
      </w:tr>
      <w:tr w:rsidR="00A3475D" w:rsidRPr="00A77D49" w14:paraId="4C692008" w14:textId="77777777" w:rsidTr="00A77D49">
        <w:tc>
          <w:tcPr>
            <w:tcW w:w="1771" w:type="dxa"/>
            <w:vMerge/>
          </w:tcPr>
          <w:p w14:paraId="0A53C95D" w14:textId="77777777" w:rsidR="00A3475D" w:rsidRPr="00A77D49" w:rsidRDefault="00A3475D" w:rsidP="00A77D49">
            <w:pPr>
              <w:rPr>
                <w:rFonts w:ascii="Arial" w:hAnsi="Arial" w:cs="Arial"/>
              </w:rPr>
            </w:pPr>
          </w:p>
        </w:tc>
        <w:tc>
          <w:tcPr>
            <w:tcW w:w="1937" w:type="dxa"/>
          </w:tcPr>
          <w:p w14:paraId="4B60A1E4" w14:textId="77777777" w:rsidR="00A3475D" w:rsidRPr="00A77D49" w:rsidRDefault="00A3475D" w:rsidP="00A77D49">
            <w:pPr>
              <w:rPr>
                <w:rFonts w:ascii="Arial" w:hAnsi="Arial" w:cs="Arial"/>
              </w:rPr>
            </w:pPr>
            <w:r w:rsidRPr="00A77D49">
              <w:rPr>
                <w:rFonts w:ascii="Arial" w:hAnsi="Arial" w:cs="Arial"/>
              </w:rPr>
              <w:t>Intercept &amp; trend</w:t>
            </w:r>
          </w:p>
        </w:tc>
        <w:tc>
          <w:tcPr>
            <w:tcW w:w="1800" w:type="dxa"/>
          </w:tcPr>
          <w:p w14:paraId="552F8F01" w14:textId="77777777" w:rsidR="00A3475D" w:rsidRPr="00A77D49" w:rsidRDefault="00A3475D" w:rsidP="00A77D49">
            <w:pPr>
              <w:jc w:val="center"/>
              <w:rPr>
                <w:rFonts w:ascii="Arial" w:hAnsi="Arial" w:cs="Arial"/>
              </w:rPr>
            </w:pPr>
            <w:r w:rsidRPr="00A77D49">
              <w:rPr>
                <w:rFonts w:ascii="Arial" w:hAnsi="Arial" w:cs="Arial"/>
              </w:rPr>
              <w:t>-1.984494</w:t>
            </w:r>
          </w:p>
        </w:tc>
        <w:tc>
          <w:tcPr>
            <w:tcW w:w="1260" w:type="dxa"/>
          </w:tcPr>
          <w:p w14:paraId="1C8DF7C7" w14:textId="77777777" w:rsidR="00A3475D" w:rsidRPr="00A77D49" w:rsidRDefault="00A3475D" w:rsidP="00A77D49">
            <w:pPr>
              <w:jc w:val="center"/>
              <w:rPr>
                <w:rFonts w:ascii="Arial" w:hAnsi="Arial" w:cs="Arial"/>
              </w:rPr>
            </w:pPr>
            <w:r w:rsidRPr="00A77D49">
              <w:rPr>
                <w:rFonts w:ascii="Arial" w:hAnsi="Arial" w:cs="Arial"/>
              </w:rPr>
              <w:t>0.5892</w:t>
            </w:r>
          </w:p>
        </w:tc>
        <w:tc>
          <w:tcPr>
            <w:tcW w:w="2088" w:type="dxa"/>
          </w:tcPr>
          <w:p w14:paraId="0D673BAD" w14:textId="77777777" w:rsidR="00A3475D" w:rsidRPr="00A77D49" w:rsidRDefault="00A3475D" w:rsidP="00A77D49">
            <w:pPr>
              <w:jc w:val="center"/>
              <w:rPr>
                <w:rFonts w:ascii="Arial" w:hAnsi="Arial" w:cs="Arial"/>
              </w:rPr>
            </w:pPr>
            <w:r w:rsidRPr="00A77D49">
              <w:rPr>
                <w:rFonts w:ascii="Arial" w:hAnsi="Arial" w:cs="Arial"/>
              </w:rPr>
              <w:t>-3.544284</w:t>
            </w:r>
          </w:p>
        </w:tc>
      </w:tr>
      <w:tr w:rsidR="00A3475D" w:rsidRPr="00A77D49" w14:paraId="532DD217" w14:textId="77777777" w:rsidTr="00A77D49">
        <w:tc>
          <w:tcPr>
            <w:tcW w:w="1771" w:type="dxa"/>
            <w:vMerge w:val="restart"/>
          </w:tcPr>
          <w:p w14:paraId="77FEB7FB" w14:textId="77777777" w:rsidR="00A3475D" w:rsidRPr="00A77D49" w:rsidRDefault="00A3475D" w:rsidP="00A77D49">
            <w:pPr>
              <w:rPr>
                <w:rFonts w:ascii="Arial" w:hAnsi="Arial" w:cs="Arial"/>
              </w:rPr>
            </w:pPr>
            <w:r w:rsidRPr="00A77D49">
              <w:rPr>
                <w:rFonts w:ascii="Arial" w:hAnsi="Arial" w:cs="Arial"/>
              </w:rPr>
              <w:t>HIV/TB Coinfection</w:t>
            </w:r>
          </w:p>
        </w:tc>
        <w:tc>
          <w:tcPr>
            <w:tcW w:w="1937" w:type="dxa"/>
          </w:tcPr>
          <w:p w14:paraId="01E519AA" w14:textId="77777777" w:rsidR="00A3475D" w:rsidRPr="00A77D49" w:rsidRDefault="00A3475D" w:rsidP="00A77D49">
            <w:pPr>
              <w:rPr>
                <w:rFonts w:ascii="Arial" w:hAnsi="Arial" w:cs="Arial"/>
              </w:rPr>
            </w:pPr>
            <w:r w:rsidRPr="00A77D49">
              <w:rPr>
                <w:rFonts w:ascii="Arial" w:hAnsi="Arial" w:cs="Arial"/>
              </w:rPr>
              <w:t>Intercept only</w:t>
            </w:r>
          </w:p>
        </w:tc>
        <w:tc>
          <w:tcPr>
            <w:tcW w:w="1800" w:type="dxa"/>
            <w:vAlign w:val="bottom"/>
          </w:tcPr>
          <w:p w14:paraId="4D163D70"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-2.175925</w:t>
            </w:r>
          </w:p>
        </w:tc>
        <w:tc>
          <w:tcPr>
            <w:tcW w:w="1260" w:type="dxa"/>
            <w:vAlign w:val="bottom"/>
          </w:tcPr>
          <w:p w14:paraId="693FD1BF"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0.2182</w:t>
            </w:r>
          </w:p>
        </w:tc>
        <w:tc>
          <w:tcPr>
            <w:tcW w:w="2088" w:type="dxa"/>
          </w:tcPr>
          <w:p w14:paraId="505E77FC" w14:textId="77777777" w:rsidR="00A3475D" w:rsidRPr="00A77D49" w:rsidRDefault="00A3475D" w:rsidP="00A77D49">
            <w:pPr>
              <w:jc w:val="center"/>
              <w:rPr>
                <w:rFonts w:ascii="Arial" w:hAnsi="Arial" w:cs="Arial"/>
              </w:rPr>
            </w:pPr>
            <w:r w:rsidRPr="00A77D49">
              <w:rPr>
                <w:rFonts w:ascii="Arial" w:hAnsi="Arial" w:cs="Arial"/>
                <w:color w:val="000000"/>
              </w:rPr>
              <w:t>-2.948404</w:t>
            </w:r>
          </w:p>
        </w:tc>
      </w:tr>
      <w:tr w:rsidR="00A3475D" w:rsidRPr="00A77D49" w14:paraId="77BD8CF0" w14:textId="77777777" w:rsidTr="00A77D49">
        <w:tc>
          <w:tcPr>
            <w:tcW w:w="1771" w:type="dxa"/>
            <w:vMerge/>
          </w:tcPr>
          <w:p w14:paraId="1FE1AA81" w14:textId="77777777" w:rsidR="00A3475D" w:rsidRPr="00A77D49" w:rsidRDefault="00A3475D" w:rsidP="00A77D49">
            <w:pPr>
              <w:rPr>
                <w:rFonts w:ascii="Arial" w:hAnsi="Arial" w:cs="Arial"/>
              </w:rPr>
            </w:pPr>
          </w:p>
        </w:tc>
        <w:tc>
          <w:tcPr>
            <w:tcW w:w="1937" w:type="dxa"/>
          </w:tcPr>
          <w:p w14:paraId="2F56CACA" w14:textId="77777777" w:rsidR="00A3475D" w:rsidRPr="00A77D49" w:rsidRDefault="00A3475D" w:rsidP="00A77D49">
            <w:pPr>
              <w:rPr>
                <w:rFonts w:ascii="Arial" w:hAnsi="Arial" w:cs="Arial"/>
              </w:rPr>
            </w:pPr>
            <w:r w:rsidRPr="00A77D49">
              <w:rPr>
                <w:rFonts w:ascii="Arial" w:hAnsi="Arial" w:cs="Arial"/>
              </w:rPr>
              <w:t>Intercept &amp; trend</w:t>
            </w:r>
          </w:p>
        </w:tc>
        <w:tc>
          <w:tcPr>
            <w:tcW w:w="1800" w:type="dxa"/>
            <w:vAlign w:val="bottom"/>
          </w:tcPr>
          <w:p w14:paraId="2FAE7C81"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-1.276500</w:t>
            </w:r>
          </w:p>
        </w:tc>
        <w:tc>
          <w:tcPr>
            <w:tcW w:w="1260" w:type="dxa"/>
            <w:vAlign w:val="bottom"/>
          </w:tcPr>
          <w:p w14:paraId="53EB2187"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0.8745</w:t>
            </w:r>
          </w:p>
        </w:tc>
        <w:tc>
          <w:tcPr>
            <w:tcW w:w="2088" w:type="dxa"/>
          </w:tcPr>
          <w:p w14:paraId="7E720883" w14:textId="77777777" w:rsidR="00A3475D" w:rsidRPr="00A77D49" w:rsidRDefault="00A3475D" w:rsidP="00A77D49">
            <w:pPr>
              <w:jc w:val="center"/>
              <w:rPr>
                <w:rFonts w:ascii="Arial" w:hAnsi="Arial" w:cs="Arial"/>
              </w:rPr>
            </w:pPr>
            <w:r w:rsidRPr="00A77D49">
              <w:rPr>
                <w:rFonts w:ascii="Arial" w:hAnsi="Arial" w:cs="Arial"/>
                <w:color w:val="000000"/>
              </w:rPr>
              <w:t>-3.568379</w:t>
            </w:r>
          </w:p>
        </w:tc>
      </w:tr>
      <w:tr w:rsidR="00A3475D" w:rsidRPr="00A77D49" w14:paraId="2565DB9E" w14:textId="77777777" w:rsidTr="00A77D49">
        <w:tc>
          <w:tcPr>
            <w:tcW w:w="8856" w:type="dxa"/>
            <w:gridSpan w:val="5"/>
          </w:tcPr>
          <w:p w14:paraId="3DD4BD10" w14:textId="77777777" w:rsidR="00A3475D" w:rsidRPr="00A77D49" w:rsidRDefault="00A3475D" w:rsidP="00A77D49">
            <w:pPr>
              <w:jc w:val="center"/>
              <w:rPr>
                <w:rFonts w:ascii="Arial" w:hAnsi="Arial" w:cs="Arial"/>
                <w:b/>
                <w:color w:val="000000"/>
              </w:rPr>
            </w:pPr>
            <w:r w:rsidRPr="00A77D49">
              <w:rPr>
                <w:rFonts w:ascii="Arial" w:hAnsi="Arial" w:cs="Arial"/>
                <w:b/>
                <w:color w:val="000000"/>
              </w:rPr>
              <w:t>First Difference Series</w:t>
            </w:r>
          </w:p>
        </w:tc>
      </w:tr>
      <w:tr w:rsidR="00A3475D" w:rsidRPr="00A77D49" w14:paraId="6A76D5AD" w14:textId="77777777" w:rsidTr="00A77D49">
        <w:tc>
          <w:tcPr>
            <w:tcW w:w="1771" w:type="dxa"/>
            <w:vMerge w:val="restart"/>
          </w:tcPr>
          <w:p w14:paraId="4FA6F6D8" w14:textId="77777777" w:rsidR="00A3475D" w:rsidRPr="00A77D49" w:rsidRDefault="00A3475D" w:rsidP="00A77D49">
            <w:pPr>
              <w:rPr>
                <w:rFonts w:ascii="Arial" w:hAnsi="Arial" w:cs="Arial"/>
              </w:rPr>
            </w:pPr>
            <m:oMath>
              <m:r>
                <w:rPr>
                  <w:rFonts w:ascii="Cambria Math" w:hAnsi="Cambria Math" w:cs="Arial"/>
                </w:rPr>
                <m:t>∆</m:t>
              </m:r>
            </m:oMath>
            <w:r w:rsidRPr="00A77D49">
              <w:rPr>
                <w:rFonts w:ascii="Arial" w:hAnsi="Arial" w:cs="Arial"/>
              </w:rPr>
              <w:t>HIV Infection</w:t>
            </w:r>
          </w:p>
        </w:tc>
        <w:tc>
          <w:tcPr>
            <w:tcW w:w="1937" w:type="dxa"/>
          </w:tcPr>
          <w:p w14:paraId="53588A05" w14:textId="77777777" w:rsidR="00A3475D" w:rsidRPr="00A77D49" w:rsidRDefault="00A3475D" w:rsidP="00A77D49">
            <w:pPr>
              <w:rPr>
                <w:rFonts w:ascii="Arial" w:hAnsi="Arial" w:cs="Arial"/>
              </w:rPr>
            </w:pPr>
            <w:r w:rsidRPr="00A77D49">
              <w:rPr>
                <w:rFonts w:ascii="Arial" w:hAnsi="Arial" w:cs="Arial"/>
              </w:rPr>
              <w:t>Intercept only</w:t>
            </w:r>
          </w:p>
        </w:tc>
        <w:tc>
          <w:tcPr>
            <w:tcW w:w="1800" w:type="dxa"/>
          </w:tcPr>
          <w:p w14:paraId="06B3BB96" w14:textId="77777777" w:rsidR="00A3475D" w:rsidRPr="00A77D49" w:rsidRDefault="00A3475D" w:rsidP="00A77D49">
            <w:pPr>
              <w:jc w:val="center"/>
              <w:rPr>
                <w:rFonts w:ascii="Arial" w:hAnsi="Arial" w:cs="Arial"/>
              </w:rPr>
            </w:pPr>
            <w:r w:rsidRPr="00A77D49">
              <w:rPr>
                <w:rFonts w:ascii="Arial" w:hAnsi="Arial" w:cs="Arial"/>
              </w:rPr>
              <w:t>-6.803507</w:t>
            </w:r>
          </w:p>
        </w:tc>
        <w:tc>
          <w:tcPr>
            <w:tcW w:w="1260" w:type="dxa"/>
          </w:tcPr>
          <w:p w14:paraId="38300DD5" w14:textId="77777777" w:rsidR="00A3475D" w:rsidRPr="00A77D49" w:rsidRDefault="00A3475D" w:rsidP="00A77D49">
            <w:pPr>
              <w:jc w:val="center"/>
              <w:rPr>
                <w:rFonts w:ascii="Arial" w:hAnsi="Arial" w:cs="Arial"/>
              </w:rPr>
            </w:pPr>
            <w:r w:rsidRPr="00A77D49">
              <w:rPr>
                <w:rFonts w:ascii="Arial" w:hAnsi="Arial" w:cs="Arial"/>
              </w:rPr>
              <w:t>0.0000</w:t>
            </w:r>
          </w:p>
        </w:tc>
        <w:tc>
          <w:tcPr>
            <w:tcW w:w="2088" w:type="dxa"/>
          </w:tcPr>
          <w:p w14:paraId="268F81E4" w14:textId="77777777" w:rsidR="00A3475D" w:rsidRPr="00A77D49" w:rsidRDefault="00A3475D" w:rsidP="00A77D49">
            <w:pPr>
              <w:jc w:val="center"/>
              <w:rPr>
                <w:rFonts w:ascii="Arial" w:hAnsi="Arial" w:cs="Arial"/>
              </w:rPr>
            </w:pPr>
            <w:r w:rsidRPr="00A77D49">
              <w:rPr>
                <w:rFonts w:ascii="Arial" w:hAnsi="Arial" w:cs="Arial"/>
              </w:rPr>
              <w:t>-2.951125</w:t>
            </w:r>
          </w:p>
        </w:tc>
      </w:tr>
      <w:tr w:rsidR="00A3475D" w:rsidRPr="00A77D49" w14:paraId="2F3BA354" w14:textId="77777777" w:rsidTr="00A77D49">
        <w:tc>
          <w:tcPr>
            <w:tcW w:w="1771" w:type="dxa"/>
            <w:vMerge/>
          </w:tcPr>
          <w:p w14:paraId="6BF0437C" w14:textId="77777777" w:rsidR="00A3475D" w:rsidRPr="00A77D49" w:rsidRDefault="00A3475D" w:rsidP="00A77D49">
            <w:pPr>
              <w:rPr>
                <w:rFonts w:ascii="Arial" w:hAnsi="Arial" w:cs="Arial"/>
              </w:rPr>
            </w:pPr>
          </w:p>
        </w:tc>
        <w:tc>
          <w:tcPr>
            <w:tcW w:w="1937" w:type="dxa"/>
          </w:tcPr>
          <w:p w14:paraId="7B59CCA0" w14:textId="77777777" w:rsidR="00A3475D" w:rsidRPr="00A77D49" w:rsidRDefault="00A3475D" w:rsidP="00A77D49">
            <w:pPr>
              <w:rPr>
                <w:rFonts w:ascii="Arial" w:hAnsi="Arial" w:cs="Arial"/>
              </w:rPr>
            </w:pPr>
            <w:r w:rsidRPr="00A77D49">
              <w:rPr>
                <w:rFonts w:ascii="Arial" w:hAnsi="Arial" w:cs="Arial"/>
              </w:rPr>
              <w:t>Intercept &amp; trend</w:t>
            </w:r>
          </w:p>
        </w:tc>
        <w:tc>
          <w:tcPr>
            <w:tcW w:w="1800" w:type="dxa"/>
            <w:vAlign w:val="bottom"/>
          </w:tcPr>
          <w:p w14:paraId="3F0C1B93"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-6.810222</w:t>
            </w:r>
          </w:p>
        </w:tc>
        <w:tc>
          <w:tcPr>
            <w:tcW w:w="1260" w:type="dxa"/>
            <w:vAlign w:val="bottom"/>
          </w:tcPr>
          <w:p w14:paraId="4E8A9D36"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0.0000</w:t>
            </w:r>
          </w:p>
        </w:tc>
        <w:tc>
          <w:tcPr>
            <w:tcW w:w="2088" w:type="dxa"/>
          </w:tcPr>
          <w:p w14:paraId="36BDED0C" w14:textId="77777777" w:rsidR="00A3475D" w:rsidRPr="00A77D49" w:rsidRDefault="00A3475D" w:rsidP="00A77D49">
            <w:pPr>
              <w:jc w:val="center"/>
              <w:rPr>
                <w:rFonts w:ascii="Arial" w:hAnsi="Arial" w:cs="Arial"/>
                <w:color w:val="000000"/>
              </w:rPr>
            </w:pPr>
            <w:r w:rsidRPr="00A77D49">
              <w:rPr>
                <w:rFonts w:ascii="Arial" w:hAnsi="Arial" w:cs="Arial"/>
                <w:color w:val="000000"/>
              </w:rPr>
              <w:t>-3.548490</w:t>
            </w:r>
          </w:p>
        </w:tc>
      </w:tr>
      <w:tr w:rsidR="00A3475D" w:rsidRPr="00A77D49" w14:paraId="7359EAC4" w14:textId="77777777" w:rsidTr="00A77D49">
        <w:tc>
          <w:tcPr>
            <w:tcW w:w="1771" w:type="dxa"/>
            <w:vMerge w:val="restart"/>
          </w:tcPr>
          <w:p w14:paraId="1DF58950" w14:textId="77777777" w:rsidR="00A3475D" w:rsidRPr="00A77D49" w:rsidRDefault="00A3475D" w:rsidP="00A77D49">
            <w:pPr>
              <w:rPr>
                <w:rFonts w:ascii="Arial" w:hAnsi="Arial" w:cs="Arial"/>
              </w:rPr>
            </w:pPr>
            <m:oMath>
              <m:r>
                <w:rPr>
                  <w:rFonts w:ascii="Cambria Math" w:hAnsi="Cambria Math" w:cs="Arial"/>
                </w:rPr>
                <m:t>∆</m:t>
              </m:r>
            </m:oMath>
            <w:r w:rsidRPr="00A77D49">
              <w:rPr>
                <w:rFonts w:ascii="Arial" w:hAnsi="Arial" w:cs="Arial"/>
              </w:rPr>
              <w:t>TB Infection</w:t>
            </w:r>
          </w:p>
        </w:tc>
        <w:tc>
          <w:tcPr>
            <w:tcW w:w="1937" w:type="dxa"/>
          </w:tcPr>
          <w:p w14:paraId="6FA17396" w14:textId="77777777" w:rsidR="00A3475D" w:rsidRPr="00A77D49" w:rsidRDefault="00A3475D" w:rsidP="00A77D49">
            <w:pPr>
              <w:rPr>
                <w:rFonts w:ascii="Arial" w:hAnsi="Arial" w:cs="Arial"/>
              </w:rPr>
            </w:pPr>
            <w:r w:rsidRPr="00A77D49">
              <w:rPr>
                <w:rFonts w:ascii="Arial" w:hAnsi="Arial" w:cs="Arial"/>
              </w:rPr>
              <w:t>Intercept only</w:t>
            </w:r>
          </w:p>
        </w:tc>
        <w:tc>
          <w:tcPr>
            <w:tcW w:w="1800" w:type="dxa"/>
            <w:vAlign w:val="bottom"/>
          </w:tcPr>
          <w:p w14:paraId="1FDC442B"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-3.843667</w:t>
            </w:r>
          </w:p>
        </w:tc>
        <w:tc>
          <w:tcPr>
            <w:tcW w:w="1260" w:type="dxa"/>
            <w:vAlign w:val="bottom"/>
          </w:tcPr>
          <w:p w14:paraId="602FF711"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0.0060</w:t>
            </w:r>
          </w:p>
        </w:tc>
        <w:tc>
          <w:tcPr>
            <w:tcW w:w="2088" w:type="dxa"/>
          </w:tcPr>
          <w:p w14:paraId="2B263206" w14:textId="77777777" w:rsidR="00A3475D" w:rsidRPr="00A77D49" w:rsidRDefault="00A3475D" w:rsidP="00A77D49">
            <w:pPr>
              <w:jc w:val="center"/>
              <w:rPr>
                <w:rFonts w:ascii="Arial" w:hAnsi="Arial" w:cs="Arial"/>
                <w:color w:val="000000"/>
              </w:rPr>
            </w:pPr>
            <w:r w:rsidRPr="00A77D49">
              <w:rPr>
                <w:rFonts w:ascii="Arial" w:hAnsi="Arial" w:cs="Arial"/>
                <w:color w:val="000000"/>
              </w:rPr>
              <w:t>-2.951125</w:t>
            </w:r>
          </w:p>
        </w:tc>
      </w:tr>
      <w:tr w:rsidR="00A3475D" w:rsidRPr="00A77D49" w14:paraId="5D277447" w14:textId="77777777" w:rsidTr="00A77D49">
        <w:tc>
          <w:tcPr>
            <w:tcW w:w="1771" w:type="dxa"/>
            <w:vMerge/>
          </w:tcPr>
          <w:p w14:paraId="5B905232" w14:textId="77777777" w:rsidR="00A3475D" w:rsidRPr="00A77D49" w:rsidRDefault="00A3475D" w:rsidP="00A77D49">
            <w:pPr>
              <w:rPr>
                <w:rFonts w:ascii="Arial" w:hAnsi="Arial" w:cs="Arial"/>
              </w:rPr>
            </w:pPr>
          </w:p>
        </w:tc>
        <w:tc>
          <w:tcPr>
            <w:tcW w:w="1937" w:type="dxa"/>
          </w:tcPr>
          <w:p w14:paraId="4AAE1EB5" w14:textId="77777777" w:rsidR="00A3475D" w:rsidRPr="00A77D49" w:rsidRDefault="00A3475D" w:rsidP="00A77D49">
            <w:pPr>
              <w:rPr>
                <w:rFonts w:ascii="Arial" w:hAnsi="Arial" w:cs="Arial"/>
              </w:rPr>
            </w:pPr>
            <w:r w:rsidRPr="00A77D49">
              <w:rPr>
                <w:rFonts w:ascii="Arial" w:hAnsi="Arial" w:cs="Arial"/>
              </w:rPr>
              <w:t>Intercept &amp; trend</w:t>
            </w:r>
          </w:p>
        </w:tc>
        <w:tc>
          <w:tcPr>
            <w:tcW w:w="1800" w:type="dxa"/>
            <w:vAlign w:val="bottom"/>
          </w:tcPr>
          <w:p w14:paraId="14DCD7BA"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-8.482671</w:t>
            </w:r>
          </w:p>
        </w:tc>
        <w:tc>
          <w:tcPr>
            <w:tcW w:w="1260" w:type="dxa"/>
            <w:vAlign w:val="bottom"/>
          </w:tcPr>
          <w:p w14:paraId="774CC977"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0.0000</w:t>
            </w:r>
          </w:p>
        </w:tc>
        <w:tc>
          <w:tcPr>
            <w:tcW w:w="2088" w:type="dxa"/>
          </w:tcPr>
          <w:p w14:paraId="57D9E4B2" w14:textId="77777777" w:rsidR="00A3475D" w:rsidRPr="00A77D49" w:rsidRDefault="00A3475D" w:rsidP="00A77D49">
            <w:pPr>
              <w:jc w:val="center"/>
              <w:rPr>
                <w:rFonts w:ascii="Arial" w:hAnsi="Arial" w:cs="Arial"/>
                <w:color w:val="000000"/>
              </w:rPr>
            </w:pPr>
            <w:r w:rsidRPr="00A77D49">
              <w:rPr>
                <w:rFonts w:ascii="Arial" w:hAnsi="Arial" w:cs="Arial"/>
                <w:color w:val="000000"/>
              </w:rPr>
              <w:t>-3.544284</w:t>
            </w:r>
          </w:p>
        </w:tc>
      </w:tr>
      <w:tr w:rsidR="00A3475D" w:rsidRPr="00A77D49" w14:paraId="731DC3D8" w14:textId="77777777" w:rsidTr="00A77D49">
        <w:tc>
          <w:tcPr>
            <w:tcW w:w="1771" w:type="dxa"/>
            <w:vMerge w:val="restart"/>
          </w:tcPr>
          <w:p w14:paraId="4DA4AC0C" w14:textId="77777777" w:rsidR="00A3475D" w:rsidRPr="00A77D49" w:rsidRDefault="00A3475D" w:rsidP="00A77D49">
            <w:pPr>
              <w:rPr>
                <w:rFonts w:ascii="Arial" w:hAnsi="Arial" w:cs="Arial"/>
              </w:rPr>
            </w:pPr>
            <m:oMath>
              <m:r>
                <w:rPr>
                  <w:rFonts w:ascii="Cambria Math" w:hAnsi="Cambria Math" w:cs="Arial"/>
                </w:rPr>
                <m:t>∆</m:t>
              </m:r>
            </m:oMath>
            <w:r w:rsidRPr="00A77D49">
              <w:rPr>
                <w:rFonts w:ascii="Arial" w:hAnsi="Arial" w:cs="Arial"/>
              </w:rPr>
              <w:t>HIV/TB Coinfection</w:t>
            </w:r>
          </w:p>
        </w:tc>
        <w:tc>
          <w:tcPr>
            <w:tcW w:w="1937" w:type="dxa"/>
          </w:tcPr>
          <w:p w14:paraId="4169238C" w14:textId="77777777" w:rsidR="00A3475D" w:rsidRPr="00A77D49" w:rsidRDefault="00A3475D" w:rsidP="00A77D49">
            <w:pPr>
              <w:rPr>
                <w:rFonts w:ascii="Arial" w:hAnsi="Arial" w:cs="Arial"/>
              </w:rPr>
            </w:pPr>
            <w:r w:rsidRPr="00A77D49">
              <w:rPr>
                <w:rFonts w:ascii="Arial" w:hAnsi="Arial" w:cs="Arial"/>
              </w:rPr>
              <w:t>Intercept only</w:t>
            </w:r>
          </w:p>
        </w:tc>
        <w:tc>
          <w:tcPr>
            <w:tcW w:w="1800" w:type="dxa"/>
            <w:vAlign w:val="bottom"/>
          </w:tcPr>
          <w:p w14:paraId="79858DDE"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-7.504752</w:t>
            </w:r>
          </w:p>
        </w:tc>
        <w:tc>
          <w:tcPr>
            <w:tcW w:w="1260" w:type="dxa"/>
            <w:vAlign w:val="bottom"/>
          </w:tcPr>
          <w:p w14:paraId="13A07FF4"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0.0000</w:t>
            </w:r>
          </w:p>
        </w:tc>
        <w:tc>
          <w:tcPr>
            <w:tcW w:w="2088" w:type="dxa"/>
          </w:tcPr>
          <w:p w14:paraId="0F596253" w14:textId="77777777" w:rsidR="00A3475D" w:rsidRPr="00A77D49" w:rsidRDefault="00A3475D" w:rsidP="00A77D49">
            <w:pPr>
              <w:jc w:val="center"/>
              <w:rPr>
                <w:rFonts w:ascii="Arial" w:hAnsi="Arial" w:cs="Arial"/>
                <w:color w:val="000000"/>
              </w:rPr>
            </w:pPr>
            <w:r w:rsidRPr="00A77D49">
              <w:rPr>
                <w:rFonts w:ascii="Arial" w:hAnsi="Arial" w:cs="Arial"/>
                <w:color w:val="000000"/>
              </w:rPr>
              <w:t>-2.951125</w:t>
            </w:r>
          </w:p>
        </w:tc>
      </w:tr>
      <w:tr w:rsidR="00A3475D" w:rsidRPr="00A77D49" w14:paraId="52CD8128" w14:textId="77777777" w:rsidTr="00A77D49">
        <w:tc>
          <w:tcPr>
            <w:tcW w:w="1771" w:type="dxa"/>
            <w:vMerge/>
          </w:tcPr>
          <w:p w14:paraId="57EF306D" w14:textId="77777777" w:rsidR="00A3475D" w:rsidRPr="00A77D49" w:rsidRDefault="00A3475D" w:rsidP="00A77D49">
            <w:pPr>
              <w:rPr>
                <w:rFonts w:ascii="Arial" w:hAnsi="Arial" w:cs="Arial"/>
              </w:rPr>
            </w:pPr>
          </w:p>
        </w:tc>
        <w:tc>
          <w:tcPr>
            <w:tcW w:w="1937" w:type="dxa"/>
          </w:tcPr>
          <w:p w14:paraId="0E21A24A" w14:textId="77777777" w:rsidR="00A3475D" w:rsidRPr="00A77D49" w:rsidRDefault="00A3475D" w:rsidP="00A77D49">
            <w:pPr>
              <w:rPr>
                <w:rFonts w:ascii="Arial" w:hAnsi="Arial" w:cs="Arial"/>
              </w:rPr>
            </w:pPr>
            <w:r w:rsidRPr="00A77D49">
              <w:rPr>
                <w:rFonts w:ascii="Arial" w:hAnsi="Arial" w:cs="Arial"/>
              </w:rPr>
              <w:t>Intercept &amp; trend</w:t>
            </w:r>
          </w:p>
        </w:tc>
        <w:tc>
          <w:tcPr>
            <w:tcW w:w="1800" w:type="dxa"/>
            <w:vAlign w:val="bottom"/>
          </w:tcPr>
          <w:p w14:paraId="3B5B9872"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-7.413650</w:t>
            </w:r>
          </w:p>
        </w:tc>
        <w:tc>
          <w:tcPr>
            <w:tcW w:w="1260" w:type="dxa"/>
            <w:vAlign w:val="bottom"/>
          </w:tcPr>
          <w:p w14:paraId="43F423A8"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0.0000</w:t>
            </w:r>
          </w:p>
        </w:tc>
        <w:tc>
          <w:tcPr>
            <w:tcW w:w="2088" w:type="dxa"/>
          </w:tcPr>
          <w:p w14:paraId="0808C07F" w14:textId="77777777" w:rsidR="00A3475D" w:rsidRPr="00A77D49" w:rsidRDefault="00A3475D" w:rsidP="00A77D49">
            <w:pPr>
              <w:jc w:val="center"/>
              <w:rPr>
                <w:rFonts w:ascii="Arial" w:hAnsi="Arial" w:cs="Arial"/>
                <w:color w:val="000000"/>
              </w:rPr>
            </w:pPr>
            <w:r w:rsidRPr="00A77D49">
              <w:rPr>
                <w:rFonts w:ascii="Arial" w:hAnsi="Arial" w:cs="Arial"/>
                <w:color w:val="000000"/>
              </w:rPr>
              <w:t>-3.548480</w:t>
            </w:r>
          </w:p>
        </w:tc>
      </w:tr>
    </w:tbl>
    <w:p w14:paraId="30E0BE23" w14:textId="77777777" w:rsidR="00A3475D" w:rsidRPr="00A77D49" w:rsidRDefault="00A3475D" w:rsidP="00A77D49">
      <w:pPr>
        <w:pStyle w:val="NormalWeb"/>
        <w:spacing w:after="0" w:afterAutospacing="0"/>
        <w:jc w:val="both"/>
        <w:rPr>
          <w:rFonts w:ascii="Arial" w:hAnsi="Arial" w:cs="Arial"/>
          <w:sz w:val="20"/>
          <w:szCs w:val="20"/>
        </w:rPr>
      </w:pPr>
      <w:r w:rsidRPr="00A77D49">
        <w:rPr>
          <w:rFonts w:ascii="Arial" w:hAnsi="Arial" w:cs="Arial"/>
          <w:sz w:val="20"/>
          <w:szCs w:val="20"/>
        </w:rPr>
        <w:t>Table 2 reports the ADF unit root test results for HIV infection, TB infection, and HIV/TB coinfection under two specifications: intercept only and intercept with deterministic trend, both at levels and at first differences.</w:t>
      </w:r>
      <w:r w:rsidR="00A77D49">
        <w:rPr>
          <w:rFonts w:ascii="Arial" w:hAnsi="Arial" w:cs="Arial"/>
          <w:sz w:val="20"/>
          <w:szCs w:val="20"/>
        </w:rPr>
        <w:t xml:space="preserve"> </w:t>
      </w:r>
      <w:r w:rsidRPr="00A77D49">
        <w:rPr>
          <w:rFonts w:ascii="Arial" w:hAnsi="Arial" w:cs="Arial"/>
          <w:sz w:val="20"/>
          <w:szCs w:val="20"/>
        </w:rPr>
        <w:t>At the level form, the ADF test statistics for all three variables are greater (in absolute terms, less negative) than their corresponding 5% critical values, and their p-values exceed 0.05 under both model specifications. Specifically, HIV infection records test statistics of -1.5981 (intercept only) and -0.8938 (intercept and trend), TB infection shows -0.4074 and -1.9845, while HIV/TB coinfection yields -2.1759 and -1.2765. These results imply a failure to reject the null hypothesis of a unit root. Consequently, HIV infection, TB infection, and HIV/TB coinfection are non-stationary in levels, indicating that their means and variances change over time.</w:t>
      </w:r>
    </w:p>
    <w:p w14:paraId="38EB200E" w14:textId="77777777" w:rsidR="00A3475D" w:rsidRPr="00A77D49" w:rsidRDefault="00A3475D" w:rsidP="00A77D49">
      <w:pPr>
        <w:pStyle w:val="NormalWeb"/>
        <w:spacing w:after="0" w:afterAutospacing="0"/>
        <w:jc w:val="both"/>
        <w:rPr>
          <w:rFonts w:ascii="Arial" w:hAnsi="Arial" w:cs="Arial"/>
          <w:sz w:val="20"/>
          <w:szCs w:val="20"/>
        </w:rPr>
      </w:pPr>
      <w:r w:rsidRPr="00A77D49">
        <w:rPr>
          <w:rFonts w:ascii="Arial" w:hAnsi="Arial" w:cs="Arial"/>
          <w:sz w:val="20"/>
          <w:szCs w:val="20"/>
        </w:rPr>
        <w:t>In contrast, at the first difference, all variables become stationary under both specifications. The ADF test statistics for the differenced series are highly negative and exceed the 5% critical values in absolute terms, with p-values equal to or less than 0.01. For instance, ∆HIV infection records test statistics of -6.8035 and -6.8102, ∆TB infection records -3.8437 and -8.4827, while ∆HIV/TB coinfection records -7.5048 and -7.4137 under the intercept-only and intercept-with-trend models, respectively. These outcomes lead to a rejection of the null hypothesis of a unit root at first difference.</w:t>
      </w:r>
      <w:r w:rsidR="00A77D49">
        <w:rPr>
          <w:rFonts w:ascii="Arial" w:hAnsi="Arial" w:cs="Arial"/>
          <w:sz w:val="20"/>
          <w:szCs w:val="20"/>
        </w:rPr>
        <w:t xml:space="preserve"> </w:t>
      </w:r>
      <w:r w:rsidRPr="00A77D49">
        <w:rPr>
          <w:rFonts w:ascii="Arial" w:hAnsi="Arial" w:cs="Arial"/>
          <w:sz w:val="20"/>
          <w:szCs w:val="20"/>
        </w:rPr>
        <w:t>Overall, the ADF results indicate that HIV infection, TB infection, and HIV/TB coinfection are integrated of order one, I(1). This common order of integration satisfies the necessary condition for conducting cointegration analysis. Hence, it is statistically valid to proceed with cointegration tests to examine the existence of long-run equilibrium relationships among HIV infection, TB infection, and their coinfection, as well as causality analysis to explore the direction of influence among these epidemiological variables in Nasarawa State, Nigeria.</w:t>
      </w:r>
    </w:p>
    <w:p w14:paraId="2F397CAC" w14:textId="77777777" w:rsidR="00A3475D" w:rsidRPr="00A77D49" w:rsidRDefault="00A77D49" w:rsidP="00A77D49">
      <w:pPr>
        <w:spacing w:before="240"/>
        <w:jc w:val="both"/>
        <w:rPr>
          <w:rFonts w:ascii="Arial" w:eastAsiaTheme="minorEastAsia" w:hAnsi="Arial" w:cs="Arial"/>
          <w:b/>
        </w:rPr>
      </w:pPr>
      <w:r w:rsidRPr="00A77D49">
        <w:rPr>
          <w:rFonts w:ascii="Arial" w:eastAsiaTheme="minorEastAsia" w:hAnsi="Arial" w:cs="Arial"/>
          <w:b/>
        </w:rPr>
        <w:t>3</w:t>
      </w:r>
      <w:r w:rsidR="00A3475D" w:rsidRPr="00A77D49">
        <w:rPr>
          <w:rFonts w:ascii="Arial" w:eastAsiaTheme="minorEastAsia" w:hAnsi="Arial" w:cs="Arial"/>
          <w:b/>
        </w:rPr>
        <w:t>.4</w:t>
      </w:r>
      <w:r w:rsidR="00A3475D" w:rsidRPr="00A77D49">
        <w:rPr>
          <w:rFonts w:ascii="Arial" w:eastAsiaTheme="minorEastAsia" w:hAnsi="Arial" w:cs="Arial"/>
          <w:b/>
        </w:rPr>
        <w:tab/>
        <w:t>Johansen Cointegration Test Results</w:t>
      </w:r>
    </w:p>
    <w:p w14:paraId="4B70A62E" w14:textId="77777777" w:rsidR="00A3475D" w:rsidRPr="00A77D49" w:rsidRDefault="00A3475D" w:rsidP="00A77D49">
      <w:pPr>
        <w:spacing w:before="240"/>
        <w:jc w:val="both"/>
        <w:rPr>
          <w:rFonts w:ascii="Arial" w:eastAsiaTheme="minorEastAsia" w:hAnsi="Arial" w:cs="Arial"/>
        </w:rPr>
      </w:pPr>
      <w:r w:rsidRPr="00A77D49">
        <w:rPr>
          <w:rFonts w:ascii="Arial" w:hAnsi="Arial" w:cs="Arial"/>
        </w:rPr>
        <w:t>The Johansen cointegration test was employed to examine the existence of long-run equilibrium relationships among HIV infection, TB infection, and HIV/TB coinfection. Given that the Augmented Dickey-Fuller (ADF) unit root test established that all variables are integrated of order one, I(1), the Johansen multivariate cointegration framework is appropriate. This approach allows for the identification of both the number and strength of cointegrating vectors, thereby providing empirical evidence on whether HIV and TB infections move together in the long run within the study area. The results of Johansen cointegration test is presented in Table 3.</w:t>
      </w:r>
    </w:p>
    <w:p w14:paraId="3BA4086E" w14:textId="77777777" w:rsidR="00A3475D" w:rsidRPr="00A77D49" w:rsidRDefault="00A3475D" w:rsidP="00A77D49">
      <w:pPr>
        <w:autoSpaceDE w:val="0"/>
        <w:autoSpaceDN w:val="0"/>
        <w:adjustRightInd w:val="0"/>
        <w:rPr>
          <w:rFonts w:ascii="Arial" w:hAnsi="Arial" w:cs="Arial"/>
          <w:b/>
        </w:rPr>
      </w:pPr>
      <w:r w:rsidRPr="00A77D49">
        <w:rPr>
          <w:rFonts w:ascii="Arial" w:hAnsi="Arial" w:cs="Arial"/>
          <w:b/>
        </w:rPr>
        <w:t>Table 3: Johansen Cointegration Test Results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771"/>
        <w:gridCol w:w="1771"/>
        <w:gridCol w:w="1771"/>
        <w:gridCol w:w="2265"/>
        <w:gridCol w:w="1278"/>
      </w:tblGrid>
      <w:tr w:rsidR="00A3475D" w:rsidRPr="00A77D49" w14:paraId="33F8C098" w14:textId="77777777" w:rsidTr="00A77D49">
        <w:tc>
          <w:tcPr>
            <w:tcW w:w="8856" w:type="dxa"/>
            <w:gridSpan w:val="5"/>
            <w:tcBorders>
              <w:bottom w:val="nil"/>
            </w:tcBorders>
          </w:tcPr>
          <w:p w14:paraId="1EE43602" w14:textId="77777777" w:rsidR="00A3475D" w:rsidRPr="00A77D49" w:rsidRDefault="00A3475D" w:rsidP="00A77D49">
            <w:pPr>
              <w:autoSpaceDE w:val="0"/>
              <w:autoSpaceDN w:val="0"/>
              <w:adjustRightInd w:val="0"/>
              <w:jc w:val="center"/>
              <w:rPr>
                <w:rFonts w:ascii="Arial" w:hAnsi="Arial" w:cs="Arial"/>
                <w:b/>
              </w:rPr>
            </w:pPr>
            <w:r w:rsidRPr="00A77D49">
              <w:rPr>
                <w:rFonts w:ascii="Arial" w:hAnsi="Arial" w:cs="Arial"/>
                <w:b/>
                <w:color w:val="000000"/>
              </w:rPr>
              <w:t>Unrestricted Cointegration Rank Test (Trace)</w:t>
            </w:r>
          </w:p>
        </w:tc>
      </w:tr>
      <w:tr w:rsidR="00A3475D" w:rsidRPr="00A77D49" w14:paraId="7D23AC1B" w14:textId="77777777" w:rsidTr="00A77D49">
        <w:tc>
          <w:tcPr>
            <w:tcW w:w="1771" w:type="dxa"/>
            <w:tcBorders>
              <w:top w:val="nil"/>
              <w:bottom w:val="single" w:sz="4" w:space="0" w:color="auto"/>
            </w:tcBorders>
          </w:tcPr>
          <w:p w14:paraId="69016733" w14:textId="77777777" w:rsidR="00A3475D" w:rsidRPr="00A77D49" w:rsidRDefault="00A3475D" w:rsidP="00A77D49">
            <w:pPr>
              <w:autoSpaceDE w:val="0"/>
              <w:autoSpaceDN w:val="0"/>
              <w:adjustRightInd w:val="0"/>
              <w:jc w:val="center"/>
              <w:rPr>
                <w:rFonts w:ascii="Arial" w:hAnsi="Arial" w:cs="Arial"/>
                <w:b/>
              </w:rPr>
            </w:pPr>
            <w:r w:rsidRPr="00A77D49">
              <w:rPr>
                <w:rFonts w:ascii="Arial" w:hAnsi="Arial" w:cs="Arial"/>
                <w:b/>
                <w:color w:val="000000"/>
              </w:rPr>
              <w:t>Hypothesized No. of CE(s)</w:t>
            </w:r>
          </w:p>
        </w:tc>
        <w:tc>
          <w:tcPr>
            <w:tcW w:w="1771" w:type="dxa"/>
            <w:tcBorders>
              <w:top w:val="nil"/>
              <w:bottom w:val="single" w:sz="4" w:space="0" w:color="auto"/>
            </w:tcBorders>
          </w:tcPr>
          <w:p w14:paraId="75E10383" w14:textId="77777777" w:rsidR="00A3475D" w:rsidRPr="00A77D49" w:rsidRDefault="00A3475D" w:rsidP="00A77D49">
            <w:pPr>
              <w:autoSpaceDE w:val="0"/>
              <w:autoSpaceDN w:val="0"/>
              <w:adjustRightInd w:val="0"/>
              <w:jc w:val="center"/>
              <w:rPr>
                <w:rFonts w:ascii="Arial" w:hAnsi="Arial" w:cs="Arial"/>
                <w:b/>
              </w:rPr>
            </w:pPr>
            <w:r w:rsidRPr="00A77D49">
              <w:rPr>
                <w:rFonts w:ascii="Arial" w:hAnsi="Arial" w:cs="Arial"/>
                <w:b/>
              </w:rPr>
              <w:t>Eigenvalue</w:t>
            </w:r>
          </w:p>
        </w:tc>
        <w:tc>
          <w:tcPr>
            <w:tcW w:w="1771" w:type="dxa"/>
            <w:tcBorders>
              <w:top w:val="nil"/>
              <w:bottom w:val="single" w:sz="4" w:space="0" w:color="auto"/>
            </w:tcBorders>
          </w:tcPr>
          <w:p w14:paraId="5450BFAF" w14:textId="77777777" w:rsidR="00A3475D" w:rsidRPr="00A77D49" w:rsidRDefault="00A3475D" w:rsidP="00A77D49">
            <w:pPr>
              <w:autoSpaceDE w:val="0"/>
              <w:autoSpaceDN w:val="0"/>
              <w:adjustRightInd w:val="0"/>
              <w:jc w:val="center"/>
              <w:rPr>
                <w:rFonts w:ascii="Arial" w:hAnsi="Arial" w:cs="Arial"/>
                <w:b/>
              </w:rPr>
            </w:pPr>
            <w:r w:rsidRPr="00A77D49">
              <w:rPr>
                <w:rFonts w:ascii="Arial" w:hAnsi="Arial" w:cs="Arial"/>
                <w:b/>
              </w:rPr>
              <w:t>Trace Statistic</w:t>
            </w:r>
          </w:p>
        </w:tc>
        <w:tc>
          <w:tcPr>
            <w:tcW w:w="2265" w:type="dxa"/>
            <w:tcBorders>
              <w:top w:val="nil"/>
              <w:bottom w:val="single" w:sz="4" w:space="0" w:color="auto"/>
            </w:tcBorders>
          </w:tcPr>
          <w:p w14:paraId="38D68998" w14:textId="77777777" w:rsidR="00A3475D" w:rsidRPr="00A77D49" w:rsidRDefault="00A3475D" w:rsidP="00A77D49">
            <w:pPr>
              <w:autoSpaceDE w:val="0"/>
              <w:autoSpaceDN w:val="0"/>
              <w:adjustRightInd w:val="0"/>
              <w:jc w:val="center"/>
              <w:rPr>
                <w:rFonts w:ascii="Arial" w:hAnsi="Arial" w:cs="Arial"/>
                <w:b/>
              </w:rPr>
            </w:pPr>
            <w:r w:rsidRPr="00A77D49">
              <w:rPr>
                <w:rFonts w:ascii="Arial" w:hAnsi="Arial" w:cs="Arial"/>
                <w:b/>
              </w:rPr>
              <w:t>0.05 Critical Value</w:t>
            </w:r>
          </w:p>
        </w:tc>
        <w:tc>
          <w:tcPr>
            <w:tcW w:w="1278" w:type="dxa"/>
            <w:tcBorders>
              <w:top w:val="nil"/>
              <w:bottom w:val="single" w:sz="4" w:space="0" w:color="auto"/>
            </w:tcBorders>
          </w:tcPr>
          <w:p w14:paraId="19697113" w14:textId="77777777" w:rsidR="00A3475D" w:rsidRPr="00A77D49" w:rsidRDefault="00A3475D" w:rsidP="00A77D49">
            <w:pPr>
              <w:autoSpaceDE w:val="0"/>
              <w:autoSpaceDN w:val="0"/>
              <w:adjustRightInd w:val="0"/>
              <w:jc w:val="center"/>
              <w:rPr>
                <w:rFonts w:ascii="Arial" w:hAnsi="Arial" w:cs="Arial"/>
                <w:b/>
              </w:rPr>
            </w:pPr>
            <w:r w:rsidRPr="00A77D49">
              <w:rPr>
                <w:rFonts w:ascii="Arial" w:hAnsi="Arial" w:cs="Arial"/>
                <w:b/>
              </w:rPr>
              <w:t>p-value**</w:t>
            </w:r>
          </w:p>
        </w:tc>
      </w:tr>
      <w:tr w:rsidR="00A3475D" w:rsidRPr="00A77D49" w14:paraId="7E947954" w14:textId="77777777" w:rsidTr="00A77D49">
        <w:tc>
          <w:tcPr>
            <w:tcW w:w="1771" w:type="dxa"/>
            <w:tcBorders>
              <w:top w:val="single" w:sz="4" w:space="0" w:color="auto"/>
            </w:tcBorders>
            <w:vAlign w:val="bottom"/>
          </w:tcPr>
          <w:p w14:paraId="5C8E8F94"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None*</w:t>
            </w:r>
          </w:p>
        </w:tc>
        <w:tc>
          <w:tcPr>
            <w:tcW w:w="1771" w:type="dxa"/>
            <w:tcBorders>
              <w:top w:val="single" w:sz="4" w:space="0" w:color="auto"/>
            </w:tcBorders>
            <w:vAlign w:val="bottom"/>
          </w:tcPr>
          <w:p w14:paraId="6426FFB3"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0.509052</w:t>
            </w:r>
          </w:p>
        </w:tc>
        <w:tc>
          <w:tcPr>
            <w:tcW w:w="1771" w:type="dxa"/>
            <w:tcBorders>
              <w:top w:val="single" w:sz="4" w:space="0" w:color="auto"/>
            </w:tcBorders>
            <w:vAlign w:val="bottom"/>
          </w:tcPr>
          <w:p w14:paraId="472C5530"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50.15330</w:t>
            </w:r>
          </w:p>
        </w:tc>
        <w:tc>
          <w:tcPr>
            <w:tcW w:w="2265" w:type="dxa"/>
            <w:tcBorders>
              <w:top w:val="single" w:sz="4" w:space="0" w:color="auto"/>
            </w:tcBorders>
            <w:vAlign w:val="bottom"/>
          </w:tcPr>
          <w:p w14:paraId="0ACCE024"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35.01090</w:t>
            </w:r>
          </w:p>
        </w:tc>
        <w:tc>
          <w:tcPr>
            <w:tcW w:w="1278" w:type="dxa"/>
            <w:tcBorders>
              <w:top w:val="single" w:sz="4" w:space="0" w:color="auto"/>
            </w:tcBorders>
            <w:vAlign w:val="bottom"/>
          </w:tcPr>
          <w:p w14:paraId="70BF866A"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0.0006</w:t>
            </w:r>
          </w:p>
        </w:tc>
      </w:tr>
      <w:tr w:rsidR="00A3475D" w:rsidRPr="00A77D49" w14:paraId="4233F41B" w14:textId="77777777" w:rsidTr="00A77D49">
        <w:tc>
          <w:tcPr>
            <w:tcW w:w="1771" w:type="dxa"/>
            <w:vAlign w:val="bottom"/>
          </w:tcPr>
          <w:p w14:paraId="20FF9037"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At most 1*</w:t>
            </w:r>
          </w:p>
        </w:tc>
        <w:tc>
          <w:tcPr>
            <w:tcW w:w="1771" w:type="dxa"/>
            <w:vAlign w:val="bottom"/>
          </w:tcPr>
          <w:p w14:paraId="074C5BD6"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0.407105</w:t>
            </w:r>
          </w:p>
        </w:tc>
        <w:tc>
          <w:tcPr>
            <w:tcW w:w="1771" w:type="dxa"/>
            <w:vAlign w:val="bottom"/>
          </w:tcPr>
          <w:p w14:paraId="176BC9A8"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24.54229</w:t>
            </w:r>
          </w:p>
        </w:tc>
        <w:tc>
          <w:tcPr>
            <w:tcW w:w="2265" w:type="dxa"/>
            <w:vAlign w:val="bottom"/>
          </w:tcPr>
          <w:p w14:paraId="1D23EC41"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18.39771</w:t>
            </w:r>
          </w:p>
        </w:tc>
        <w:tc>
          <w:tcPr>
            <w:tcW w:w="1278" w:type="dxa"/>
            <w:vAlign w:val="bottom"/>
          </w:tcPr>
          <w:p w14:paraId="062B3243"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0.0061</w:t>
            </w:r>
          </w:p>
        </w:tc>
      </w:tr>
      <w:tr w:rsidR="00A3475D" w:rsidRPr="00A77D49" w14:paraId="241E94FD" w14:textId="77777777" w:rsidTr="00A77D49">
        <w:tc>
          <w:tcPr>
            <w:tcW w:w="1771" w:type="dxa"/>
            <w:vAlign w:val="bottom"/>
          </w:tcPr>
          <w:p w14:paraId="5E287963"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At most 2*</w:t>
            </w:r>
          </w:p>
        </w:tc>
        <w:tc>
          <w:tcPr>
            <w:tcW w:w="1771" w:type="dxa"/>
            <w:vAlign w:val="bottom"/>
          </w:tcPr>
          <w:p w14:paraId="51C5B30A"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0.146996</w:t>
            </w:r>
          </w:p>
        </w:tc>
        <w:tc>
          <w:tcPr>
            <w:tcW w:w="1771" w:type="dxa"/>
            <w:vAlign w:val="bottom"/>
          </w:tcPr>
          <w:p w14:paraId="28726BF0"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5.723698</w:t>
            </w:r>
          </w:p>
        </w:tc>
        <w:tc>
          <w:tcPr>
            <w:tcW w:w="2265" w:type="dxa"/>
            <w:vAlign w:val="bottom"/>
          </w:tcPr>
          <w:p w14:paraId="48A39FD8"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3.841466</w:t>
            </w:r>
          </w:p>
        </w:tc>
        <w:tc>
          <w:tcPr>
            <w:tcW w:w="1278" w:type="dxa"/>
            <w:vAlign w:val="bottom"/>
          </w:tcPr>
          <w:p w14:paraId="4837EA26"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0.0167</w:t>
            </w:r>
          </w:p>
        </w:tc>
      </w:tr>
      <w:tr w:rsidR="00A3475D" w:rsidRPr="00A77D49" w14:paraId="5E741DB5" w14:textId="77777777" w:rsidTr="00A77D49">
        <w:tc>
          <w:tcPr>
            <w:tcW w:w="8856" w:type="dxa"/>
            <w:gridSpan w:val="5"/>
          </w:tcPr>
          <w:p w14:paraId="444677F0" w14:textId="77777777" w:rsidR="00A3475D" w:rsidRPr="00A77D49" w:rsidRDefault="00A3475D" w:rsidP="00A77D49">
            <w:pPr>
              <w:autoSpaceDE w:val="0"/>
              <w:autoSpaceDN w:val="0"/>
              <w:adjustRightInd w:val="0"/>
              <w:jc w:val="center"/>
              <w:rPr>
                <w:rFonts w:ascii="Arial" w:hAnsi="Arial" w:cs="Arial"/>
                <w:b/>
              </w:rPr>
            </w:pPr>
            <w:r w:rsidRPr="00A77D49">
              <w:rPr>
                <w:rFonts w:ascii="Arial" w:hAnsi="Arial" w:cs="Arial"/>
                <w:b/>
                <w:color w:val="000000"/>
              </w:rPr>
              <w:t>Unrestricted Cointegration Rank Test (Maximum Eigenvalue)</w:t>
            </w:r>
          </w:p>
        </w:tc>
      </w:tr>
      <w:tr w:rsidR="00A3475D" w:rsidRPr="00A77D49" w14:paraId="79B20961" w14:textId="77777777" w:rsidTr="00A77D49">
        <w:tc>
          <w:tcPr>
            <w:tcW w:w="1771" w:type="dxa"/>
          </w:tcPr>
          <w:p w14:paraId="27A49BB2" w14:textId="77777777" w:rsidR="00A3475D" w:rsidRPr="00A77D49" w:rsidRDefault="00A3475D" w:rsidP="00A77D49">
            <w:pPr>
              <w:autoSpaceDE w:val="0"/>
              <w:autoSpaceDN w:val="0"/>
              <w:adjustRightInd w:val="0"/>
              <w:jc w:val="center"/>
              <w:rPr>
                <w:rFonts w:ascii="Arial" w:hAnsi="Arial" w:cs="Arial"/>
              </w:rPr>
            </w:pPr>
            <w:r w:rsidRPr="00A77D49">
              <w:rPr>
                <w:rFonts w:ascii="Arial" w:hAnsi="Arial" w:cs="Arial"/>
                <w:color w:val="000000"/>
              </w:rPr>
              <w:t>Hypothesized No. of CE(s)</w:t>
            </w:r>
          </w:p>
        </w:tc>
        <w:tc>
          <w:tcPr>
            <w:tcW w:w="1771" w:type="dxa"/>
          </w:tcPr>
          <w:p w14:paraId="70F5C790" w14:textId="77777777" w:rsidR="00A3475D" w:rsidRPr="00A77D49" w:rsidRDefault="00A3475D" w:rsidP="00A77D49">
            <w:pPr>
              <w:autoSpaceDE w:val="0"/>
              <w:autoSpaceDN w:val="0"/>
              <w:adjustRightInd w:val="0"/>
              <w:jc w:val="center"/>
              <w:rPr>
                <w:rFonts w:ascii="Arial" w:hAnsi="Arial" w:cs="Arial"/>
              </w:rPr>
            </w:pPr>
            <w:r w:rsidRPr="00A77D49">
              <w:rPr>
                <w:rFonts w:ascii="Arial" w:hAnsi="Arial" w:cs="Arial"/>
              </w:rPr>
              <w:t>Eigenvalue</w:t>
            </w:r>
          </w:p>
        </w:tc>
        <w:tc>
          <w:tcPr>
            <w:tcW w:w="1771" w:type="dxa"/>
          </w:tcPr>
          <w:p w14:paraId="1FF5DF98" w14:textId="77777777" w:rsidR="00A3475D" w:rsidRPr="00A77D49" w:rsidRDefault="00A3475D" w:rsidP="00A77D49">
            <w:pPr>
              <w:autoSpaceDE w:val="0"/>
              <w:autoSpaceDN w:val="0"/>
              <w:adjustRightInd w:val="0"/>
              <w:jc w:val="center"/>
              <w:rPr>
                <w:rFonts w:ascii="Arial" w:hAnsi="Arial" w:cs="Arial"/>
              </w:rPr>
            </w:pPr>
            <w:r w:rsidRPr="00A77D49">
              <w:rPr>
                <w:rFonts w:ascii="Arial" w:hAnsi="Arial" w:cs="Arial"/>
              </w:rPr>
              <w:t>Max-Eigen Statistic</w:t>
            </w:r>
          </w:p>
        </w:tc>
        <w:tc>
          <w:tcPr>
            <w:tcW w:w="2265" w:type="dxa"/>
          </w:tcPr>
          <w:p w14:paraId="368F7C7F" w14:textId="77777777" w:rsidR="00A3475D" w:rsidRPr="00A77D49" w:rsidRDefault="00A3475D" w:rsidP="00A77D49">
            <w:pPr>
              <w:autoSpaceDE w:val="0"/>
              <w:autoSpaceDN w:val="0"/>
              <w:adjustRightInd w:val="0"/>
              <w:jc w:val="center"/>
              <w:rPr>
                <w:rFonts w:ascii="Arial" w:hAnsi="Arial" w:cs="Arial"/>
              </w:rPr>
            </w:pPr>
            <w:r w:rsidRPr="00A77D49">
              <w:rPr>
                <w:rFonts w:ascii="Arial" w:hAnsi="Arial" w:cs="Arial"/>
              </w:rPr>
              <w:t>0.05 Critical Value</w:t>
            </w:r>
          </w:p>
        </w:tc>
        <w:tc>
          <w:tcPr>
            <w:tcW w:w="1278" w:type="dxa"/>
          </w:tcPr>
          <w:p w14:paraId="39A7E968" w14:textId="77777777" w:rsidR="00A3475D" w:rsidRPr="00A77D49" w:rsidRDefault="00A3475D" w:rsidP="00A77D49">
            <w:pPr>
              <w:autoSpaceDE w:val="0"/>
              <w:autoSpaceDN w:val="0"/>
              <w:adjustRightInd w:val="0"/>
              <w:jc w:val="center"/>
              <w:rPr>
                <w:rFonts w:ascii="Arial" w:hAnsi="Arial" w:cs="Arial"/>
              </w:rPr>
            </w:pPr>
            <w:r w:rsidRPr="00A77D49">
              <w:rPr>
                <w:rFonts w:ascii="Arial" w:hAnsi="Arial" w:cs="Arial"/>
              </w:rPr>
              <w:t>p-value**</w:t>
            </w:r>
          </w:p>
        </w:tc>
      </w:tr>
      <w:tr w:rsidR="00A3475D" w:rsidRPr="00A77D49" w14:paraId="0B6AA49C" w14:textId="77777777" w:rsidTr="00A77D49">
        <w:tc>
          <w:tcPr>
            <w:tcW w:w="1771" w:type="dxa"/>
            <w:vAlign w:val="bottom"/>
          </w:tcPr>
          <w:p w14:paraId="3E1EBCD5"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None*</w:t>
            </w:r>
          </w:p>
        </w:tc>
        <w:tc>
          <w:tcPr>
            <w:tcW w:w="1771" w:type="dxa"/>
            <w:vAlign w:val="bottom"/>
          </w:tcPr>
          <w:p w14:paraId="3C3F151D"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0.509052</w:t>
            </w:r>
          </w:p>
        </w:tc>
        <w:tc>
          <w:tcPr>
            <w:tcW w:w="1771" w:type="dxa"/>
            <w:vAlign w:val="bottom"/>
          </w:tcPr>
          <w:p w14:paraId="5B19DC4A"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25.61101</w:t>
            </w:r>
          </w:p>
        </w:tc>
        <w:tc>
          <w:tcPr>
            <w:tcW w:w="2265" w:type="dxa"/>
            <w:vAlign w:val="bottom"/>
          </w:tcPr>
          <w:p w14:paraId="0A24EC29"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24.25202</w:t>
            </w:r>
          </w:p>
        </w:tc>
        <w:tc>
          <w:tcPr>
            <w:tcW w:w="1278" w:type="dxa"/>
            <w:vAlign w:val="bottom"/>
          </w:tcPr>
          <w:p w14:paraId="45849C3D"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0.0329</w:t>
            </w:r>
          </w:p>
        </w:tc>
      </w:tr>
      <w:tr w:rsidR="00A3475D" w:rsidRPr="00A77D49" w14:paraId="27879720" w14:textId="77777777" w:rsidTr="00A77D49">
        <w:tc>
          <w:tcPr>
            <w:tcW w:w="1771" w:type="dxa"/>
            <w:vAlign w:val="bottom"/>
          </w:tcPr>
          <w:p w14:paraId="15399CFC"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At most 1*</w:t>
            </w:r>
          </w:p>
        </w:tc>
        <w:tc>
          <w:tcPr>
            <w:tcW w:w="1771" w:type="dxa"/>
            <w:vAlign w:val="bottom"/>
          </w:tcPr>
          <w:p w14:paraId="5E483EBF"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0.407105</w:t>
            </w:r>
          </w:p>
        </w:tc>
        <w:tc>
          <w:tcPr>
            <w:tcW w:w="1771" w:type="dxa"/>
            <w:vAlign w:val="bottom"/>
          </w:tcPr>
          <w:p w14:paraId="149BFF01"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18.81859</w:t>
            </w:r>
          </w:p>
        </w:tc>
        <w:tc>
          <w:tcPr>
            <w:tcW w:w="2265" w:type="dxa"/>
            <w:vAlign w:val="bottom"/>
          </w:tcPr>
          <w:p w14:paraId="3F928621"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17.14769</w:t>
            </w:r>
          </w:p>
        </w:tc>
        <w:tc>
          <w:tcPr>
            <w:tcW w:w="1278" w:type="dxa"/>
            <w:vAlign w:val="bottom"/>
          </w:tcPr>
          <w:p w14:paraId="733085BD"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0.0284</w:t>
            </w:r>
          </w:p>
        </w:tc>
      </w:tr>
      <w:tr w:rsidR="00A3475D" w:rsidRPr="00A77D49" w14:paraId="07A5417B" w14:textId="77777777" w:rsidTr="00A77D49">
        <w:tc>
          <w:tcPr>
            <w:tcW w:w="1771" w:type="dxa"/>
            <w:vAlign w:val="bottom"/>
          </w:tcPr>
          <w:p w14:paraId="17BD7D05"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At most 2*</w:t>
            </w:r>
          </w:p>
        </w:tc>
        <w:tc>
          <w:tcPr>
            <w:tcW w:w="1771" w:type="dxa"/>
            <w:vAlign w:val="bottom"/>
          </w:tcPr>
          <w:p w14:paraId="5B71ECDA"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0.146996</w:t>
            </w:r>
          </w:p>
        </w:tc>
        <w:tc>
          <w:tcPr>
            <w:tcW w:w="1771" w:type="dxa"/>
            <w:vAlign w:val="bottom"/>
          </w:tcPr>
          <w:p w14:paraId="3C983E56"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5.723698</w:t>
            </w:r>
          </w:p>
        </w:tc>
        <w:tc>
          <w:tcPr>
            <w:tcW w:w="2265" w:type="dxa"/>
            <w:vAlign w:val="bottom"/>
          </w:tcPr>
          <w:p w14:paraId="379C4C99"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3.841466</w:t>
            </w:r>
          </w:p>
        </w:tc>
        <w:tc>
          <w:tcPr>
            <w:tcW w:w="1278" w:type="dxa"/>
            <w:vAlign w:val="bottom"/>
          </w:tcPr>
          <w:p w14:paraId="02335DE1"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0.0167</w:t>
            </w:r>
          </w:p>
        </w:tc>
      </w:tr>
    </w:tbl>
    <w:p w14:paraId="69CDBCC3" w14:textId="77777777" w:rsidR="00A3475D" w:rsidRPr="009D7151" w:rsidRDefault="00A3475D" w:rsidP="00A3475D">
      <w:pPr>
        <w:autoSpaceDE w:val="0"/>
        <w:autoSpaceDN w:val="0"/>
        <w:adjustRightInd w:val="0"/>
        <w:jc w:val="both"/>
        <w:rPr>
          <w:rFonts w:ascii="Times New Roman" w:hAnsi="Times New Roman"/>
          <w:sz w:val="18"/>
          <w:szCs w:val="18"/>
        </w:rPr>
      </w:pPr>
      <w:r w:rsidRPr="00FD7FD1">
        <w:rPr>
          <w:rFonts w:ascii="Arial" w:hAnsi="Arial" w:cs="Arial"/>
          <w:color w:val="000000"/>
          <w:sz w:val="18"/>
          <w:szCs w:val="18"/>
        </w:rPr>
        <w:t> </w:t>
      </w:r>
      <w:r w:rsidRPr="009D7151">
        <w:rPr>
          <w:rFonts w:ascii="Times New Roman" w:hAnsi="Times New Roman"/>
          <w:b/>
          <w:color w:val="000000"/>
          <w:sz w:val="18"/>
          <w:szCs w:val="18"/>
        </w:rPr>
        <w:t>Note:</w:t>
      </w:r>
      <w:r w:rsidRPr="009D7151">
        <w:rPr>
          <w:rFonts w:ascii="Times New Roman" w:hAnsi="Times New Roman"/>
          <w:color w:val="000000"/>
          <w:sz w:val="18"/>
          <w:szCs w:val="18"/>
        </w:rPr>
        <w:t xml:space="preserve"> Trace test indicates 3 cointegra</w:t>
      </w:r>
      <w:r w:rsidR="001C011C">
        <w:rPr>
          <w:rFonts w:ascii="Times New Roman" w:hAnsi="Times New Roman"/>
          <w:color w:val="000000"/>
          <w:sz w:val="18"/>
          <w:szCs w:val="18"/>
        </w:rPr>
        <w:t xml:space="preserve">ting eqn(s) at the 0.05 level; </w:t>
      </w:r>
      <w:r w:rsidRPr="009D7151">
        <w:rPr>
          <w:rFonts w:ascii="Times New Roman" w:hAnsi="Times New Roman"/>
          <w:color w:val="000000"/>
          <w:sz w:val="18"/>
          <w:szCs w:val="18"/>
        </w:rPr>
        <w:t>Max-eigenvalue test indicates 3 cointegrating eqn(s) at the 0.05 level; *denotes rejection of the hypothesis at the 0.05 level; **MacKinnon et al. (1999) p-values.</w:t>
      </w:r>
    </w:p>
    <w:p w14:paraId="14CF74B4" w14:textId="77777777" w:rsidR="00A3475D" w:rsidRPr="009D7151" w:rsidRDefault="00A3475D" w:rsidP="00A3475D">
      <w:pPr>
        <w:autoSpaceDE w:val="0"/>
        <w:autoSpaceDN w:val="0"/>
        <w:adjustRightInd w:val="0"/>
        <w:jc w:val="both"/>
        <w:rPr>
          <w:rFonts w:ascii="Times New Roman" w:hAnsi="Times New Roman"/>
          <w:sz w:val="18"/>
          <w:szCs w:val="18"/>
        </w:rPr>
      </w:pPr>
    </w:p>
    <w:p w14:paraId="75BCC8D9" w14:textId="77777777" w:rsidR="00A3475D" w:rsidRPr="00A77D49" w:rsidRDefault="00A3475D" w:rsidP="00A77D49">
      <w:pPr>
        <w:pStyle w:val="NormalWeb"/>
        <w:spacing w:after="0" w:afterAutospacing="0"/>
        <w:jc w:val="both"/>
        <w:rPr>
          <w:rFonts w:ascii="Arial" w:hAnsi="Arial" w:cs="Arial"/>
          <w:sz w:val="20"/>
          <w:szCs w:val="20"/>
        </w:rPr>
      </w:pPr>
      <w:r w:rsidRPr="00A77D49">
        <w:rPr>
          <w:rFonts w:ascii="Arial" w:hAnsi="Arial" w:cs="Arial"/>
          <w:sz w:val="20"/>
          <w:szCs w:val="20"/>
        </w:rPr>
        <w:lastRenderedPageBreak/>
        <w:t>Table 3 presents the results of the Johansen cointegration test using both the Trace statistic and the Maximum Eigenvalue statistic at the 5% significance level. These two statistics jointly determine the number of cointegrating equations (CEs) among the variables.</w:t>
      </w:r>
      <w:r w:rsidR="00A77D49">
        <w:rPr>
          <w:rFonts w:ascii="Arial" w:hAnsi="Arial" w:cs="Arial"/>
          <w:sz w:val="20"/>
          <w:szCs w:val="20"/>
        </w:rPr>
        <w:t xml:space="preserve"> </w:t>
      </w:r>
      <w:r w:rsidRPr="00A77D49">
        <w:rPr>
          <w:rFonts w:ascii="Arial" w:hAnsi="Arial" w:cs="Arial"/>
          <w:sz w:val="20"/>
          <w:szCs w:val="20"/>
        </w:rPr>
        <w:t>From the Trace test results, the null hypothesis of no cointegration (“None”) is rejected, as the Trace statistic (50.15) exceeds the 5% critical value (35.01) with a p-value of 0.0006. Similarly, the null hypotheses of “at most one” and “at most two” cointegrating equations are also rejected, since their respective Trace statistics (24.54 and 5.72) are greater than the corresponding critical values (18.40 and 3.84), with p-values below 0.05. This indicates the presence of three cointegrating equations among HIV infection, TB infection, and HIV/TB coinfection.</w:t>
      </w:r>
    </w:p>
    <w:p w14:paraId="66721428" w14:textId="77777777" w:rsidR="00A3475D" w:rsidRPr="00A77D49" w:rsidRDefault="00A3475D" w:rsidP="00A77D49">
      <w:pPr>
        <w:pStyle w:val="NormalWeb"/>
        <w:spacing w:after="0" w:afterAutospacing="0"/>
        <w:jc w:val="both"/>
        <w:rPr>
          <w:rFonts w:ascii="Arial" w:hAnsi="Arial" w:cs="Arial"/>
          <w:sz w:val="20"/>
          <w:szCs w:val="20"/>
        </w:rPr>
      </w:pPr>
      <w:r w:rsidRPr="00A77D49">
        <w:rPr>
          <w:rFonts w:ascii="Arial" w:hAnsi="Arial" w:cs="Arial"/>
          <w:sz w:val="20"/>
          <w:szCs w:val="20"/>
        </w:rPr>
        <w:t>The Maximum Eigenvalue test corroborates the Trace test findings. The null hypothesis of no cointegration is rejected because the Max-Eigen statistic (25.61) exceeds its critical value (24.25) with a p-value of 0.0329. Likewise, the hypotheses of “at most one” and “at most two” cointegrating equations are rejected, as the Max-Eigen statistics (18.82 and 5.72) are greater than their respective critical values (17.15 and 3.84), with statistically significant p-values. Hence, the Max-Eigen test also confirms the existence of three cointegrating vectors at the 5% level.</w:t>
      </w:r>
      <w:r w:rsidR="00A77D49">
        <w:rPr>
          <w:rFonts w:ascii="Arial" w:hAnsi="Arial" w:cs="Arial"/>
          <w:sz w:val="20"/>
          <w:szCs w:val="20"/>
        </w:rPr>
        <w:t xml:space="preserve"> </w:t>
      </w:r>
      <w:r w:rsidRPr="00A77D49">
        <w:rPr>
          <w:rFonts w:ascii="Arial" w:hAnsi="Arial" w:cs="Arial"/>
          <w:sz w:val="20"/>
          <w:szCs w:val="20"/>
        </w:rPr>
        <w:t>The consistency of both the Trace and Maximum Eigenvalue tests provides strong evidence of a stable long-run equilibrium relationship among HIV infection, TB infection, and HIV/TB coinfection in Nasarawa State. This implies that although the individual series may exhibit short-run fluctuations, they are bound together by long-run dynamics, such that deviations from equilibrium are eventually corrected over time. This finding corroborates the ea</w:t>
      </w:r>
      <w:r w:rsidR="00795859">
        <w:rPr>
          <w:rFonts w:ascii="Arial" w:hAnsi="Arial" w:cs="Arial"/>
          <w:sz w:val="20"/>
          <w:szCs w:val="20"/>
        </w:rPr>
        <w:t>rlier findings of</w:t>
      </w:r>
      <w:r w:rsidRPr="00A77D49">
        <w:rPr>
          <w:rFonts w:ascii="Arial" w:hAnsi="Arial" w:cs="Arial"/>
          <w:sz w:val="20"/>
          <w:szCs w:val="20"/>
        </w:rPr>
        <w:t xml:space="preserve"> Kuhe and Ivande (2017) and Ani </w:t>
      </w:r>
      <w:r w:rsidRPr="00A77D49">
        <w:rPr>
          <w:rFonts w:ascii="Arial" w:hAnsi="Arial" w:cs="Arial"/>
          <w:i/>
          <w:sz w:val="20"/>
          <w:szCs w:val="20"/>
        </w:rPr>
        <w:t>et al</w:t>
      </w:r>
      <w:r w:rsidRPr="00A77D49">
        <w:rPr>
          <w:rFonts w:ascii="Arial" w:hAnsi="Arial" w:cs="Arial"/>
          <w:sz w:val="20"/>
          <w:szCs w:val="20"/>
        </w:rPr>
        <w:t>. (2020).</w:t>
      </w:r>
    </w:p>
    <w:p w14:paraId="417C2EF4" w14:textId="77777777" w:rsidR="00A3475D" w:rsidRPr="00A77D49" w:rsidRDefault="00A3475D" w:rsidP="00A77D49">
      <w:pPr>
        <w:pStyle w:val="NormalWeb"/>
        <w:spacing w:before="240" w:beforeAutospacing="0" w:after="0" w:afterAutospacing="0"/>
        <w:jc w:val="both"/>
        <w:rPr>
          <w:rFonts w:ascii="Arial" w:hAnsi="Arial" w:cs="Arial"/>
          <w:sz w:val="20"/>
          <w:szCs w:val="20"/>
        </w:rPr>
      </w:pPr>
      <w:r w:rsidRPr="00A77D49">
        <w:rPr>
          <w:rFonts w:ascii="Arial" w:hAnsi="Arial" w:cs="Arial"/>
          <w:sz w:val="20"/>
          <w:szCs w:val="20"/>
        </w:rPr>
        <w:t>In the context of public health, these findings suggest a strong interdependence between HIV and TB epidemiological trends, reinforcing the biological and programmatic linkage between the two diseases. The presence of multiple cointegrating relationships further indicates that changes in one infection series have long-term implications for the others. Consequently, the evidence of cointegration justifies the estimation of a Vector Error Correction Model (VECM) and subsequent causality analysis to explore both short-run adjustments and long-run causal interactions between HIV infection, TB infection, and HIV/TB coinfection in Nasarawa State, Nigeria.</w:t>
      </w:r>
    </w:p>
    <w:p w14:paraId="54221A1C" w14:textId="77777777" w:rsidR="00A3475D" w:rsidRPr="00A77D49" w:rsidRDefault="00A3475D" w:rsidP="00A77D49">
      <w:pPr>
        <w:pStyle w:val="NormalWeb"/>
        <w:spacing w:before="0" w:beforeAutospacing="0" w:after="0" w:afterAutospacing="0"/>
        <w:jc w:val="both"/>
        <w:rPr>
          <w:rFonts w:ascii="Arial" w:hAnsi="Arial" w:cs="Arial"/>
          <w:sz w:val="20"/>
          <w:szCs w:val="20"/>
        </w:rPr>
      </w:pPr>
    </w:p>
    <w:p w14:paraId="3B508B59" w14:textId="77777777" w:rsidR="00A3475D" w:rsidRPr="00A77D49" w:rsidRDefault="00A77D49" w:rsidP="00A77D49">
      <w:pPr>
        <w:pStyle w:val="NormalWeb"/>
        <w:spacing w:before="0" w:beforeAutospacing="0" w:after="0" w:afterAutospacing="0"/>
        <w:jc w:val="both"/>
        <w:rPr>
          <w:rFonts w:ascii="Arial" w:hAnsi="Arial" w:cs="Arial"/>
          <w:b/>
          <w:sz w:val="20"/>
          <w:szCs w:val="20"/>
        </w:rPr>
      </w:pPr>
      <w:r w:rsidRPr="00A77D49">
        <w:rPr>
          <w:rFonts w:ascii="Arial" w:hAnsi="Arial" w:cs="Arial"/>
          <w:b/>
          <w:sz w:val="20"/>
          <w:szCs w:val="20"/>
        </w:rPr>
        <w:t>3</w:t>
      </w:r>
      <w:r w:rsidR="00A3475D" w:rsidRPr="00A77D49">
        <w:rPr>
          <w:rFonts w:ascii="Arial" w:hAnsi="Arial" w:cs="Arial"/>
          <w:b/>
          <w:sz w:val="20"/>
          <w:szCs w:val="20"/>
        </w:rPr>
        <w:t>.5</w:t>
      </w:r>
      <w:r>
        <w:rPr>
          <w:rFonts w:ascii="Arial" w:hAnsi="Arial" w:cs="Arial"/>
          <w:b/>
          <w:sz w:val="20"/>
          <w:szCs w:val="20"/>
        </w:rPr>
        <w:tab/>
        <w:t xml:space="preserve">Results of </w:t>
      </w:r>
      <w:r>
        <w:rPr>
          <w:rFonts w:ascii="Arial" w:hAnsi="Arial" w:cs="Arial"/>
          <w:b/>
          <w:sz w:val="20"/>
          <w:szCs w:val="20"/>
          <w:highlight w:val="yellow"/>
        </w:rPr>
        <w:t>Cointegrating</w:t>
      </w:r>
      <w:r>
        <w:rPr>
          <w:rFonts w:ascii="Arial" w:hAnsi="Arial" w:cs="Arial"/>
          <w:b/>
          <w:sz w:val="20"/>
          <w:szCs w:val="20"/>
        </w:rPr>
        <w:t xml:space="preserve"> Regression Equation</w:t>
      </w:r>
    </w:p>
    <w:p w14:paraId="1BFEB3BF" w14:textId="77777777" w:rsidR="00A3475D" w:rsidRPr="00A77D49" w:rsidRDefault="00A3475D" w:rsidP="00A77D49">
      <w:pPr>
        <w:pStyle w:val="NormalWeb"/>
        <w:spacing w:before="0" w:beforeAutospacing="0" w:after="0" w:afterAutospacing="0"/>
        <w:jc w:val="both"/>
        <w:rPr>
          <w:rFonts w:ascii="Arial" w:hAnsi="Arial" w:cs="Arial"/>
          <w:sz w:val="20"/>
          <w:szCs w:val="20"/>
        </w:rPr>
      </w:pPr>
      <w:r w:rsidRPr="00A77D49">
        <w:rPr>
          <w:rFonts w:ascii="Arial" w:hAnsi="Arial" w:cs="Arial"/>
          <w:sz w:val="20"/>
          <w:szCs w:val="20"/>
        </w:rPr>
        <w:t>Following the establishment of a long-run equilibrium relationship among HIV infection, TB infection, and HIV/TB coinfection through the Johansen cointegration test, the long-run parameters of the cointegrating relationship were estimated using the Fully Modified Ordinary Least Squares (FMOLS) technique. FMOLS is particularly suitable in cointegrated systems as it corrects for endogeneity and serial correlation, thereby providing unbiased and efficient long-run coefficient estimates. This estimation seeks to quantify the long-run impact of HIV and TB infections on HIV/TB coinfection in Nasarawa State. The results of cointegrating regression equation is presented in Table 4.</w:t>
      </w:r>
    </w:p>
    <w:p w14:paraId="154254C5" w14:textId="77777777" w:rsidR="00A3475D" w:rsidRPr="00A77D49" w:rsidRDefault="00A3475D" w:rsidP="00A77D49">
      <w:pPr>
        <w:jc w:val="both"/>
        <w:rPr>
          <w:rFonts w:ascii="Arial" w:hAnsi="Arial" w:cs="Arial"/>
          <w:b/>
        </w:rPr>
      </w:pPr>
      <w:r w:rsidRPr="00A77D49">
        <w:rPr>
          <w:rFonts w:ascii="Arial" w:hAnsi="Arial" w:cs="Arial"/>
          <w:b/>
        </w:rPr>
        <w:t>Table 4:  Parameter Estimates of Cointegrating Regression Equation</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178"/>
        <w:gridCol w:w="1364"/>
        <w:gridCol w:w="1771"/>
        <w:gridCol w:w="1771"/>
        <w:gridCol w:w="1772"/>
      </w:tblGrid>
      <w:tr w:rsidR="00A3475D" w:rsidRPr="00A77D49" w14:paraId="157423D5" w14:textId="77777777" w:rsidTr="00A77D49">
        <w:tc>
          <w:tcPr>
            <w:tcW w:w="8856" w:type="dxa"/>
            <w:gridSpan w:val="5"/>
            <w:tcBorders>
              <w:bottom w:val="nil"/>
            </w:tcBorders>
            <w:vAlign w:val="bottom"/>
          </w:tcPr>
          <w:p w14:paraId="2CBACDC1" w14:textId="77777777" w:rsidR="00A3475D" w:rsidRPr="00A77D49" w:rsidRDefault="00A3475D" w:rsidP="00A77D49">
            <w:pPr>
              <w:autoSpaceDE w:val="0"/>
              <w:autoSpaceDN w:val="0"/>
              <w:adjustRightInd w:val="0"/>
              <w:ind w:right="10"/>
              <w:jc w:val="center"/>
              <w:rPr>
                <w:rFonts w:ascii="Arial" w:hAnsi="Arial" w:cs="Arial"/>
                <w:b/>
                <w:color w:val="000000"/>
              </w:rPr>
            </w:pPr>
            <w:r w:rsidRPr="00A77D49">
              <w:rPr>
                <w:rFonts w:ascii="Arial" w:hAnsi="Arial" w:cs="Arial"/>
                <w:b/>
                <w:color w:val="000000"/>
              </w:rPr>
              <w:t>Dependent Variable: HIV/TB Coinfection;                                        Method: FMOLS</w:t>
            </w:r>
          </w:p>
        </w:tc>
      </w:tr>
      <w:tr w:rsidR="00A3475D" w:rsidRPr="00A77D49" w14:paraId="50BFB629" w14:textId="77777777" w:rsidTr="00A77D49">
        <w:tc>
          <w:tcPr>
            <w:tcW w:w="2178" w:type="dxa"/>
            <w:tcBorders>
              <w:top w:val="nil"/>
              <w:bottom w:val="single" w:sz="4" w:space="0" w:color="auto"/>
            </w:tcBorders>
            <w:vAlign w:val="bottom"/>
          </w:tcPr>
          <w:p w14:paraId="238F5721" w14:textId="77777777" w:rsidR="00A3475D" w:rsidRPr="00A77D49" w:rsidRDefault="00A3475D" w:rsidP="00A77D49">
            <w:pPr>
              <w:autoSpaceDE w:val="0"/>
              <w:autoSpaceDN w:val="0"/>
              <w:adjustRightInd w:val="0"/>
              <w:jc w:val="center"/>
              <w:rPr>
                <w:rFonts w:ascii="Arial" w:hAnsi="Arial" w:cs="Arial"/>
                <w:b/>
                <w:color w:val="000000"/>
              </w:rPr>
            </w:pPr>
            <w:r w:rsidRPr="00A77D49">
              <w:rPr>
                <w:rFonts w:ascii="Arial" w:hAnsi="Arial" w:cs="Arial"/>
                <w:b/>
                <w:color w:val="000000"/>
              </w:rPr>
              <w:t>Variable</w:t>
            </w:r>
          </w:p>
        </w:tc>
        <w:tc>
          <w:tcPr>
            <w:tcW w:w="1364" w:type="dxa"/>
            <w:tcBorders>
              <w:top w:val="nil"/>
              <w:bottom w:val="single" w:sz="4" w:space="0" w:color="auto"/>
            </w:tcBorders>
            <w:vAlign w:val="bottom"/>
          </w:tcPr>
          <w:p w14:paraId="4D0E6208" w14:textId="77777777" w:rsidR="00A3475D" w:rsidRPr="00A77D49" w:rsidRDefault="00A3475D" w:rsidP="00A77D49">
            <w:pPr>
              <w:autoSpaceDE w:val="0"/>
              <w:autoSpaceDN w:val="0"/>
              <w:adjustRightInd w:val="0"/>
              <w:ind w:right="10"/>
              <w:jc w:val="center"/>
              <w:rPr>
                <w:rFonts w:ascii="Arial" w:hAnsi="Arial" w:cs="Arial"/>
                <w:b/>
                <w:color w:val="000000"/>
              </w:rPr>
            </w:pPr>
            <w:r w:rsidRPr="00A77D49">
              <w:rPr>
                <w:rFonts w:ascii="Arial" w:hAnsi="Arial" w:cs="Arial"/>
                <w:b/>
                <w:color w:val="000000"/>
              </w:rPr>
              <w:t>Coefficient</w:t>
            </w:r>
          </w:p>
        </w:tc>
        <w:tc>
          <w:tcPr>
            <w:tcW w:w="1771" w:type="dxa"/>
            <w:tcBorders>
              <w:top w:val="nil"/>
              <w:bottom w:val="single" w:sz="4" w:space="0" w:color="auto"/>
            </w:tcBorders>
            <w:vAlign w:val="bottom"/>
          </w:tcPr>
          <w:p w14:paraId="3BD3ACF7" w14:textId="77777777" w:rsidR="00A3475D" w:rsidRPr="00A77D49" w:rsidRDefault="00A3475D" w:rsidP="00A77D49">
            <w:pPr>
              <w:autoSpaceDE w:val="0"/>
              <w:autoSpaceDN w:val="0"/>
              <w:adjustRightInd w:val="0"/>
              <w:ind w:right="10"/>
              <w:jc w:val="center"/>
              <w:rPr>
                <w:rFonts w:ascii="Arial" w:hAnsi="Arial" w:cs="Arial"/>
                <w:b/>
                <w:color w:val="000000"/>
              </w:rPr>
            </w:pPr>
            <w:r w:rsidRPr="00A77D49">
              <w:rPr>
                <w:rFonts w:ascii="Arial" w:hAnsi="Arial" w:cs="Arial"/>
                <w:b/>
                <w:color w:val="000000"/>
              </w:rPr>
              <w:t>Std. Error</w:t>
            </w:r>
          </w:p>
        </w:tc>
        <w:tc>
          <w:tcPr>
            <w:tcW w:w="1771" w:type="dxa"/>
            <w:tcBorders>
              <w:top w:val="nil"/>
              <w:bottom w:val="single" w:sz="4" w:space="0" w:color="auto"/>
            </w:tcBorders>
            <w:vAlign w:val="bottom"/>
          </w:tcPr>
          <w:p w14:paraId="429F5453" w14:textId="77777777" w:rsidR="00A3475D" w:rsidRPr="00A77D49" w:rsidRDefault="00A3475D" w:rsidP="00A77D49">
            <w:pPr>
              <w:autoSpaceDE w:val="0"/>
              <w:autoSpaceDN w:val="0"/>
              <w:adjustRightInd w:val="0"/>
              <w:ind w:right="10"/>
              <w:jc w:val="center"/>
              <w:rPr>
                <w:rFonts w:ascii="Arial" w:hAnsi="Arial" w:cs="Arial"/>
                <w:b/>
                <w:color w:val="000000"/>
              </w:rPr>
            </w:pPr>
            <w:r w:rsidRPr="00A77D49">
              <w:rPr>
                <w:rFonts w:ascii="Arial" w:hAnsi="Arial" w:cs="Arial"/>
                <w:b/>
                <w:color w:val="000000"/>
              </w:rPr>
              <w:t>t-Statistic</w:t>
            </w:r>
          </w:p>
        </w:tc>
        <w:tc>
          <w:tcPr>
            <w:tcW w:w="1772" w:type="dxa"/>
            <w:tcBorders>
              <w:top w:val="nil"/>
              <w:bottom w:val="single" w:sz="4" w:space="0" w:color="auto"/>
            </w:tcBorders>
            <w:vAlign w:val="bottom"/>
          </w:tcPr>
          <w:p w14:paraId="7572D0C3" w14:textId="77777777" w:rsidR="00A3475D" w:rsidRPr="00A77D49" w:rsidRDefault="00A3475D" w:rsidP="00A77D49">
            <w:pPr>
              <w:autoSpaceDE w:val="0"/>
              <w:autoSpaceDN w:val="0"/>
              <w:adjustRightInd w:val="0"/>
              <w:ind w:right="10"/>
              <w:jc w:val="center"/>
              <w:rPr>
                <w:rFonts w:ascii="Arial" w:hAnsi="Arial" w:cs="Arial"/>
                <w:b/>
                <w:color w:val="000000"/>
              </w:rPr>
            </w:pPr>
            <w:r w:rsidRPr="00A77D49">
              <w:rPr>
                <w:rFonts w:ascii="Arial" w:hAnsi="Arial" w:cs="Arial"/>
                <w:b/>
                <w:color w:val="000000"/>
              </w:rPr>
              <w:t>p-value</w:t>
            </w:r>
          </w:p>
        </w:tc>
      </w:tr>
      <w:tr w:rsidR="00A3475D" w:rsidRPr="00A77D49" w14:paraId="26DD2032" w14:textId="77777777" w:rsidTr="00A77D49">
        <w:tc>
          <w:tcPr>
            <w:tcW w:w="2178" w:type="dxa"/>
            <w:tcBorders>
              <w:top w:val="single" w:sz="4" w:space="0" w:color="auto"/>
            </w:tcBorders>
            <w:vAlign w:val="bottom"/>
          </w:tcPr>
          <w:p w14:paraId="65BC1D55"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C</w:t>
            </w:r>
          </w:p>
        </w:tc>
        <w:tc>
          <w:tcPr>
            <w:tcW w:w="1364" w:type="dxa"/>
            <w:tcBorders>
              <w:top w:val="single" w:sz="4" w:space="0" w:color="auto"/>
            </w:tcBorders>
            <w:vAlign w:val="bottom"/>
          </w:tcPr>
          <w:p w14:paraId="7CBE28EE" w14:textId="77777777" w:rsidR="00A3475D" w:rsidRPr="00A77D49" w:rsidRDefault="00A3475D" w:rsidP="00A77D49">
            <w:pPr>
              <w:autoSpaceDE w:val="0"/>
              <w:autoSpaceDN w:val="0"/>
              <w:adjustRightInd w:val="0"/>
              <w:ind w:right="10"/>
              <w:jc w:val="center"/>
              <w:rPr>
                <w:rFonts w:ascii="Arial" w:hAnsi="Arial" w:cs="Arial"/>
                <w:color w:val="000000"/>
              </w:rPr>
            </w:pPr>
            <w:r w:rsidRPr="00A77D49">
              <w:rPr>
                <w:rFonts w:ascii="Arial" w:hAnsi="Arial" w:cs="Arial"/>
                <w:color w:val="000000"/>
              </w:rPr>
              <w:t>-3.328446</w:t>
            </w:r>
          </w:p>
        </w:tc>
        <w:tc>
          <w:tcPr>
            <w:tcW w:w="1771" w:type="dxa"/>
            <w:tcBorders>
              <w:top w:val="single" w:sz="4" w:space="0" w:color="auto"/>
            </w:tcBorders>
            <w:vAlign w:val="bottom"/>
          </w:tcPr>
          <w:p w14:paraId="2635379C" w14:textId="77777777" w:rsidR="00A3475D" w:rsidRPr="00A77D49" w:rsidRDefault="00A3475D" w:rsidP="00A77D49">
            <w:pPr>
              <w:autoSpaceDE w:val="0"/>
              <w:autoSpaceDN w:val="0"/>
              <w:adjustRightInd w:val="0"/>
              <w:ind w:right="10"/>
              <w:jc w:val="center"/>
              <w:rPr>
                <w:rFonts w:ascii="Arial" w:hAnsi="Arial" w:cs="Arial"/>
                <w:color w:val="000000"/>
              </w:rPr>
            </w:pPr>
            <w:r w:rsidRPr="00A77D49">
              <w:rPr>
                <w:rFonts w:ascii="Arial" w:hAnsi="Arial" w:cs="Arial"/>
                <w:color w:val="000000"/>
              </w:rPr>
              <w:t>0.620875</w:t>
            </w:r>
          </w:p>
        </w:tc>
        <w:tc>
          <w:tcPr>
            <w:tcW w:w="1771" w:type="dxa"/>
            <w:tcBorders>
              <w:top w:val="single" w:sz="4" w:space="0" w:color="auto"/>
            </w:tcBorders>
            <w:vAlign w:val="bottom"/>
          </w:tcPr>
          <w:p w14:paraId="62A32CF8" w14:textId="77777777" w:rsidR="00A3475D" w:rsidRPr="00A77D49" w:rsidRDefault="00A3475D" w:rsidP="00A77D49">
            <w:pPr>
              <w:autoSpaceDE w:val="0"/>
              <w:autoSpaceDN w:val="0"/>
              <w:adjustRightInd w:val="0"/>
              <w:ind w:right="10"/>
              <w:jc w:val="center"/>
              <w:rPr>
                <w:rFonts w:ascii="Arial" w:hAnsi="Arial" w:cs="Arial"/>
                <w:color w:val="000000"/>
              </w:rPr>
            </w:pPr>
            <w:r w:rsidRPr="00A77D49">
              <w:rPr>
                <w:rFonts w:ascii="Arial" w:hAnsi="Arial" w:cs="Arial"/>
                <w:color w:val="000000"/>
              </w:rPr>
              <w:t>-5.360896</w:t>
            </w:r>
          </w:p>
        </w:tc>
        <w:tc>
          <w:tcPr>
            <w:tcW w:w="1772" w:type="dxa"/>
            <w:tcBorders>
              <w:top w:val="single" w:sz="4" w:space="0" w:color="auto"/>
            </w:tcBorders>
            <w:vAlign w:val="bottom"/>
          </w:tcPr>
          <w:p w14:paraId="29010302" w14:textId="77777777" w:rsidR="00A3475D" w:rsidRPr="00A77D49" w:rsidRDefault="00A3475D" w:rsidP="00A77D49">
            <w:pPr>
              <w:autoSpaceDE w:val="0"/>
              <w:autoSpaceDN w:val="0"/>
              <w:adjustRightInd w:val="0"/>
              <w:ind w:right="10"/>
              <w:jc w:val="center"/>
              <w:rPr>
                <w:rFonts w:ascii="Arial" w:hAnsi="Arial" w:cs="Arial"/>
                <w:color w:val="000000"/>
              </w:rPr>
            </w:pPr>
            <w:r w:rsidRPr="00A77D49">
              <w:rPr>
                <w:rFonts w:ascii="Arial" w:hAnsi="Arial" w:cs="Arial"/>
                <w:color w:val="000000"/>
              </w:rPr>
              <w:t>0.0000</w:t>
            </w:r>
          </w:p>
        </w:tc>
      </w:tr>
      <w:tr w:rsidR="00A3475D" w:rsidRPr="00A77D49" w14:paraId="4A057EBB" w14:textId="77777777" w:rsidTr="00A77D49">
        <w:tc>
          <w:tcPr>
            <w:tcW w:w="2178" w:type="dxa"/>
            <w:vAlign w:val="bottom"/>
          </w:tcPr>
          <w:p w14:paraId="0C28E80C"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HIV</w:t>
            </w:r>
          </w:p>
        </w:tc>
        <w:tc>
          <w:tcPr>
            <w:tcW w:w="1364" w:type="dxa"/>
            <w:vAlign w:val="bottom"/>
          </w:tcPr>
          <w:p w14:paraId="185ACB96" w14:textId="77777777" w:rsidR="00A3475D" w:rsidRPr="00A77D49" w:rsidRDefault="00A3475D" w:rsidP="00A77D49">
            <w:pPr>
              <w:autoSpaceDE w:val="0"/>
              <w:autoSpaceDN w:val="0"/>
              <w:adjustRightInd w:val="0"/>
              <w:ind w:right="10"/>
              <w:jc w:val="center"/>
              <w:rPr>
                <w:rFonts w:ascii="Arial" w:hAnsi="Arial" w:cs="Arial"/>
                <w:color w:val="000000"/>
              </w:rPr>
            </w:pPr>
            <w:r w:rsidRPr="00A77D49">
              <w:rPr>
                <w:rFonts w:ascii="Arial" w:hAnsi="Arial" w:cs="Arial"/>
                <w:color w:val="000000"/>
              </w:rPr>
              <w:t>0.981024</w:t>
            </w:r>
          </w:p>
        </w:tc>
        <w:tc>
          <w:tcPr>
            <w:tcW w:w="1771" w:type="dxa"/>
            <w:vAlign w:val="bottom"/>
          </w:tcPr>
          <w:p w14:paraId="6E40E7F2" w14:textId="77777777" w:rsidR="00A3475D" w:rsidRPr="00A77D49" w:rsidRDefault="00A3475D" w:rsidP="00A77D49">
            <w:pPr>
              <w:autoSpaceDE w:val="0"/>
              <w:autoSpaceDN w:val="0"/>
              <w:adjustRightInd w:val="0"/>
              <w:ind w:right="10"/>
              <w:jc w:val="center"/>
              <w:rPr>
                <w:rFonts w:ascii="Arial" w:hAnsi="Arial" w:cs="Arial"/>
                <w:color w:val="000000"/>
              </w:rPr>
            </w:pPr>
            <w:r w:rsidRPr="00A77D49">
              <w:rPr>
                <w:rFonts w:ascii="Arial" w:hAnsi="Arial" w:cs="Arial"/>
                <w:color w:val="000000"/>
              </w:rPr>
              <w:t>0.125259</w:t>
            </w:r>
          </w:p>
        </w:tc>
        <w:tc>
          <w:tcPr>
            <w:tcW w:w="1771" w:type="dxa"/>
            <w:vAlign w:val="bottom"/>
          </w:tcPr>
          <w:p w14:paraId="4B0F206E" w14:textId="77777777" w:rsidR="00A3475D" w:rsidRPr="00A77D49" w:rsidRDefault="00A3475D" w:rsidP="00A77D49">
            <w:pPr>
              <w:autoSpaceDE w:val="0"/>
              <w:autoSpaceDN w:val="0"/>
              <w:adjustRightInd w:val="0"/>
              <w:ind w:right="10"/>
              <w:jc w:val="center"/>
              <w:rPr>
                <w:rFonts w:ascii="Arial" w:hAnsi="Arial" w:cs="Arial"/>
                <w:color w:val="000000"/>
              </w:rPr>
            </w:pPr>
            <w:r w:rsidRPr="00A77D49">
              <w:rPr>
                <w:rFonts w:ascii="Arial" w:hAnsi="Arial" w:cs="Arial"/>
                <w:color w:val="000000"/>
              </w:rPr>
              <w:t>7.831971</w:t>
            </w:r>
          </w:p>
        </w:tc>
        <w:tc>
          <w:tcPr>
            <w:tcW w:w="1772" w:type="dxa"/>
            <w:vAlign w:val="bottom"/>
          </w:tcPr>
          <w:p w14:paraId="1E5BFCFF" w14:textId="77777777" w:rsidR="00A3475D" w:rsidRPr="00A77D49" w:rsidRDefault="00A3475D" w:rsidP="00A77D49">
            <w:pPr>
              <w:autoSpaceDE w:val="0"/>
              <w:autoSpaceDN w:val="0"/>
              <w:adjustRightInd w:val="0"/>
              <w:ind w:right="10"/>
              <w:jc w:val="center"/>
              <w:rPr>
                <w:rFonts w:ascii="Arial" w:hAnsi="Arial" w:cs="Arial"/>
                <w:color w:val="000000"/>
              </w:rPr>
            </w:pPr>
            <w:r w:rsidRPr="00A77D49">
              <w:rPr>
                <w:rFonts w:ascii="Arial" w:hAnsi="Arial" w:cs="Arial"/>
                <w:color w:val="000000"/>
              </w:rPr>
              <w:t>0.0000</w:t>
            </w:r>
          </w:p>
        </w:tc>
      </w:tr>
      <w:tr w:rsidR="00A3475D" w:rsidRPr="00A77D49" w14:paraId="19B672D8" w14:textId="77777777" w:rsidTr="00A77D49">
        <w:tc>
          <w:tcPr>
            <w:tcW w:w="2178" w:type="dxa"/>
            <w:vAlign w:val="bottom"/>
          </w:tcPr>
          <w:p w14:paraId="4FDB9955"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TB</w:t>
            </w:r>
          </w:p>
        </w:tc>
        <w:tc>
          <w:tcPr>
            <w:tcW w:w="1364" w:type="dxa"/>
            <w:vAlign w:val="bottom"/>
          </w:tcPr>
          <w:p w14:paraId="36964412" w14:textId="77777777" w:rsidR="00A3475D" w:rsidRPr="00A77D49" w:rsidRDefault="00A3475D" w:rsidP="00A77D49">
            <w:pPr>
              <w:autoSpaceDE w:val="0"/>
              <w:autoSpaceDN w:val="0"/>
              <w:adjustRightInd w:val="0"/>
              <w:ind w:right="10"/>
              <w:jc w:val="center"/>
              <w:rPr>
                <w:rFonts w:ascii="Arial" w:hAnsi="Arial" w:cs="Arial"/>
                <w:color w:val="000000"/>
              </w:rPr>
            </w:pPr>
            <w:r w:rsidRPr="00A77D49">
              <w:rPr>
                <w:rFonts w:ascii="Arial" w:hAnsi="Arial" w:cs="Arial"/>
                <w:color w:val="000000"/>
              </w:rPr>
              <w:t>0.511859</w:t>
            </w:r>
          </w:p>
        </w:tc>
        <w:tc>
          <w:tcPr>
            <w:tcW w:w="1771" w:type="dxa"/>
            <w:vAlign w:val="bottom"/>
          </w:tcPr>
          <w:p w14:paraId="3DBE397C" w14:textId="77777777" w:rsidR="00A3475D" w:rsidRPr="00A77D49" w:rsidRDefault="00A3475D" w:rsidP="00A77D49">
            <w:pPr>
              <w:autoSpaceDE w:val="0"/>
              <w:autoSpaceDN w:val="0"/>
              <w:adjustRightInd w:val="0"/>
              <w:ind w:right="10"/>
              <w:jc w:val="center"/>
              <w:rPr>
                <w:rFonts w:ascii="Arial" w:hAnsi="Arial" w:cs="Arial"/>
                <w:color w:val="000000"/>
              </w:rPr>
            </w:pPr>
            <w:r w:rsidRPr="00A77D49">
              <w:rPr>
                <w:rFonts w:ascii="Arial" w:hAnsi="Arial" w:cs="Arial"/>
                <w:color w:val="000000"/>
              </w:rPr>
              <w:t>0.071282</w:t>
            </w:r>
          </w:p>
        </w:tc>
        <w:tc>
          <w:tcPr>
            <w:tcW w:w="1771" w:type="dxa"/>
            <w:vAlign w:val="bottom"/>
          </w:tcPr>
          <w:p w14:paraId="45B026CF" w14:textId="77777777" w:rsidR="00A3475D" w:rsidRPr="00A77D49" w:rsidRDefault="00A3475D" w:rsidP="00A77D49">
            <w:pPr>
              <w:autoSpaceDE w:val="0"/>
              <w:autoSpaceDN w:val="0"/>
              <w:adjustRightInd w:val="0"/>
              <w:ind w:right="10"/>
              <w:jc w:val="center"/>
              <w:rPr>
                <w:rFonts w:ascii="Arial" w:hAnsi="Arial" w:cs="Arial"/>
                <w:color w:val="000000"/>
              </w:rPr>
            </w:pPr>
            <w:r w:rsidRPr="00A77D49">
              <w:rPr>
                <w:rFonts w:ascii="Arial" w:hAnsi="Arial" w:cs="Arial"/>
                <w:color w:val="000000"/>
              </w:rPr>
              <w:t>7.180761</w:t>
            </w:r>
          </w:p>
        </w:tc>
        <w:tc>
          <w:tcPr>
            <w:tcW w:w="1772" w:type="dxa"/>
            <w:vAlign w:val="bottom"/>
          </w:tcPr>
          <w:p w14:paraId="11CDA819" w14:textId="77777777" w:rsidR="00A3475D" w:rsidRPr="00A77D49" w:rsidRDefault="00A3475D" w:rsidP="00A77D49">
            <w:pPr>
              <w:autoSpaceDE w:val="0"/>
              <w:autoSpaceDN w:val="0"/>
              <w:adjustRightInd w:val="0"/>
              <w:ind w:right="10"/>
              <w:jc w:val="center"/>
              <w:rPr>
                <w:rFonts w:ascii="Arial" w:hAnsi="Arial" w:cs="Arial"/>
                <w:color w:val="000000"/>
              </w:rPr>
            </w:pPr>
            <w:r w:rsidRPr="00A77D49">
              <w:rPr>
                <w:rFonts w:ascii="Arial" w:hAnsi="Arial" w:cs="Arial"/>
                <w:color w:val="000000"/>
              </w:rPr>
              <w:t>0.0000</w:t>
            </w:r>
          </w:p>
        </w:tc>
      </w:tr>
      <w:tr w:rsidR="00A3475D" w:rsidRPr="00A77D49" w14:paraId="0D2AE04E" w14:textId="77777777" w:rsidTr="00A77D49">
        <w:tc>
          <w:tcPr>
            <w:tcW w:w="2178" w:type="dxa"/>
            <w:vAlign w:val="bottom"/>
          </w:tcPr>
          <w:p w14:paraId="07607EF2" w14:textId="77777777" w:rsidR="00A3475D" w:rsidRPr="00A77D49" w:rsidRDefault="00A3475D" w:rsidP="00A77D49">
            <w:pPr>
              <w:autoSpaceDE w:val="0"/>
              <w:autoSpaceDN w:val="0"/>
              <w:adjustRightInd w:val="0"/>
              <w:rPr>
                <w:rFonts w:ascii="Arial" w:hAnsi="Arial" w:cs="Arial"/>
                <w:color w:val="000000"/>
              </w:rPr>
            </w:pPr>
            <w:r w:rsidRPr="00A77D49">
              <w:rPr>
                <w:rFonts w:ascii="Arial" w:hAnsi="Arial" w:cs="Arial"/>
                <w:color w:val="000000"/>
              </w:rPr>
              <w:t>R-squared</w:t>
            </w:r>
          </w:p>
        </w:tc>
        <w:tc>
          <w:tcPr>
            <w:tcW w:w="1364" w:type="dxa"/>
            <w:vAlign w:val="bottom"/>
          </w:tcPr>
          <w:p w14:paraId="1BF2BF6A" w14:textId="77777777" w:rsidR="00A3475D" w:rsidRPr="00A77D49" w:rsidRDefault="00A3475D" w:rsidP="00A77D49">
            <w:pPr>
              <w:autoSpaceDE w:val="0"/>
              <w:autoSpaceDN w:val="0"/>
              <w:adjustRightInd w:val="0"/>
              <w:ind w:right="10"/>
              <w:jc w:val="center"/>
              <w:rPr>
                <w:rFonts w:ascii="Arial" w:hAnsi="Arial" w:cs="Arial"/>
                <w:color w:val="000000"/>
              </w:rPr>
            </w:pPr>
            <w:r w:rsidRPr="00A77D49">
              <w:rPr>
                <w:rFonts w:ascii="Arial" w:hAnsi="Arial" w:cs="Arial"/>
                <w:color w:val="000000"/>
              </w:rPr>
              <w:t>0.760311</w:t>
            </w:r>
          </w:p>
        </w:tc>
        <w:tc>
          <w:tcPr>
            <w:tcW w:w="1771" w:type="dxa"/>
            <w:vAlign w:val="bottom"/>
          </w:tcPr>
          <w:p w14:paraId="4AA61382" w14:textId="77777777" w:rsidR="00A3475D" w:rsidRPr="00A77D49" w:rsidRDefault="00A3475D" w:rsidP="00A77D49">
            <w:pPr>
              <w:autoSpaceDE w:val="0"/>
              <w:autoSpaceDN w:val="0"/>
              <w:adjustRightInd w:val="0"/>
              <w:ind w:right="10"/>
              <w:jc w:val="center"/>
              <w:rPr>
                <w:rFonts w:ascii="Arial" w:hAnsi="Arial" w:cs="Arial"/>
                <w:color w:val="000000"/>
              </w:rPr>
            </w:pPr>
          </w:p>
        </w:tc>
        <w:tc>
          <w:tcPr>
            <w:tcW w:w="1771" w:type="dxa"/>
            <w:vAlign w:val="bottom"/>
          </w:tcPr>
          <w:p w14:paraId="60473F70" w14:textId="77777777" w:rsidR="00A3475D" w:rsidRPr="00A77D49" w:rsidRDefault="00A3475D" w:rsidP="00A77D49">
            <w:pPr>
              <w:autoSpaceDE w:val="0"/>
              <w:autoSpaceDN w:val="0"/>
              <w:adjustRightInd w:val="0"/>
              <w:ind w:right="10"/>
              <w:jc w:val="center"/>
              <w:rPr>
                <w:rFonts w:ascii="Arial" w:hAnsi="Arial" w:cs="Arial"/>
                <w:color w:val="000000"/>
              </w:rPr>
            </w:pPr>
          </w:p>
        </w:tc>
        <w:tc>
          <w:tcPr>
            <w:tcW w:w="1772" w:type="dxa"/>
            <w:vAlign w:val="bottom"/>
          </w:tcPr>
          <w:p w14:paraId="28598408" w14:textId="77777777" w:rsidR="00A3475D" w:rsidRPr="00A77D49" w:rsidRDefault="00A3475D" w:rsidP="00A77D49">
            <w:pPr>
              <w:autoSpaceDE w:val="0"/>
              <w:autoSpaceDN w:val="0"/>
              <w:adjustRightInd w:val="0"/>
              <w:ind w:right="10"/>
              <w:jc w:val="center"/>
              <w:rPr>
                <w:rFonts w:ascii="Arial" w:hAnsi="Arial" w:cs="Arial"/>
                <w:color w:val="000000"/>
              </w:rPr>
            </w:pPr>
          </w:p>
        </w:tc>
      </w:tr>
      <w:tr w:rsidR="00A3475D" w:rsidRPr="00A77D49" w14:paraId="4EC34804" w14:textId="77777777" w:rsidTr="00A77D49">
        <w:tc>
          <w:tcPr>
            <w:tcW w:w="2178" w:type="dxa"/>
            <w:vAlign w:val="bottom"/>
          </w:tcPr>
          <w:p w14:paraId="40EBC90F" w14:textId="77777777" w:rsidR="00A3475D" w:rsidRPr="00A77D49" w:rsidRDefault="00A3475D" w:rsidP="00A77D49">
            <w:pPr>
              <w:autoSpaceDE w:val="0"/>
              <w:autoSpaceDN w:val="0"/>
              <w:adjustRightInd w:val="0"/>
              <w:rPr>
                <w:rFonts w:ascii="Arial" w:hAnsi="Arial" w:cs="Arial"/>
                <w:color w:val="000000"/>
              </w:rPr>
            </w:pPr>
            <w:r w:rsidRPr="00A77D49">
              <w:rPr>
                <w:rFonts w:ascii="Arial" w:hAnsi="Arial" w:cs="Arial"/>
                <w:color w:val="000000"/>
              </w:rPr>
              <w:t>Adjusted R</w:t>
            </w:r>
            <w:r w:rsidRPr="00A77D49">
              <w:rPr>
                <w:rFonts w:ascii="Arial" w:hAnsi="Arial" w:cs="Arial"/>
                <w:color w:val="000000"/>
                <w:vertAlign w:val="superscript"/>
              </w:rPr>
              <w:t>2</w:t>
            </w:r>
          </w:p>
        </w:tc>
        <w:tc>
          <w:tcPr>
            <w:tcW w:w="1364" w:type="dxa"/>
            <w:vAlign w:val="bottom"/>
          </w:tcPr>
          <w:p w14:paraId="308D0B2F" w14:textId="77777777" w:rsidR="00A3475D" w:rsidRPr="00A77D49" w:rsidRDefault="00A3475D" w:rsidP="00A77D49">
            <w:pPr>
              <w:autoSpaceDE w:val="0"/>
              <w:autoSpaceDN w:val="0"/>
              <w:adjustRightInd w:val="0"/>
              <w:ind w:right="10"/>
              <w:jc w:val="center"/>
              <w:rPr>
                <w:rFonts w:ascii="Arial" w:hAnsi="Arial" w:cs="Arial"/>
                <w:color w:val="000000"/>
              </w:rPr>
            </w:pPr>
            <w:r w:rsidRPr="00A77D49">
              <w:rPr>
                <w:rFonts w:ascii="Arial" w:hAnsi="Arial" w:cs="Arial"/>
                <w:color w:val="000000"/>
              </w:rPr>
              <w:t>0.745785</w:t>
            </w:r>
          </w:p>
        </w:tc>
        <w:tc>
          <w:tcPr>
            <w:tcW w:w="1771" w:type="dxa"/>
          </w:tcPr>
          <w:p w14:paraId="2DF2CF89" w14:textId="77777777" w:rsidR="00A3475D" w:rsidRPr="00A77D49" w:rsidRDefault="00A3475D" w:rsidP="00A77D49">
            <w:pPr>
              <w:jc w:val="center"/>
              <w:rPr>
                <w:rFonts w:ascii="Arial" w:hAnsi="Arial" w:cs="Arial"/>
              </w:rPr>
            </w:pPr>
          </w:p>
        </w:tc>
        <w:tc>
          <w:tcPr>
            <w:tcW w:w="1771" w:type="dxa"/>
          </w:tcPr>
          <w:p w14:paraId="57107CDB" w14:textId="77777777" w:rsidR="00A3475D" w:rsidRPr="00A77D49" w:rsidRDefault="00A3475D" w:rsidP="00A77D49">
            <w:pPr>
              <w:jc w:val="center"/>
              <w:rPr>
                <w:rFonts w:ascii="Arial" w:hAnsi="Arial" w:cs="Arial"/>
              </w:rPr>
            </w:pPr>
          </w:p>
        </w:tc>
        <w:tc>
          <w:tcPr>
            <w:tcW w:w="1772" w:type="dxa"/>
          </w:tcPr>
          <w:p w14:paraId="2E92BF57" w14:textId="77777777" w:rsidR="00A3475D" w:rsidRPr="00A77D49" w:rsidRDefault="00A3475D" w:rsidP="00A77D49">
            <w:pPr>
              <w:jc w:val="center"/>
              <w:rPr>
                <w:rFonts w:ascii="Arial" w:hAnsi="Arial" w:cs="Arial"/>
              </w:rPr>
            </w:pPr>
          </w:p>
        </w:tc>
      </w:tr>
      <w:tr w:rsidR="00A3475D" w:rsidRPr="00A77D49" w14:paraId="100F4CA0" w14:textId="77777777" w:rsidTr="00A77D49">
        <w:tc>
          <w:tcPr>
            <w:tcW w:w="2178" w:type="dxa"/>
            <w:vAlign w:val="bottom"/>
          </w:tcPr>
          <w:p w14:paraId="34AEB25F" w14:textId="77777777" w:rsidR="00A3475D" w:rsidRPr="00A77D49" w:rsidRDefault="00A3475D" w:rsidP="00A77D49">
            <w:pPr>
              <w:autoSpaceDE w:val="0"/>
              <w:autoSpaceDN w:val="0"/>
              <w:adjustRightInd w:val="0"/>
              <w:rPr>
                <w:rFonts w:ascii="Arial" w:hAnsi="Arial" w:cs="Arial"/>
                <w:color w:val="000000"/>
              </w:rPr>
            </w:pPr>
            <w:r w:rsidRPr="00A77D49">
              <w:rPr>
                <w:rFonts w:ascii="Arial" w:hAnsi="Arial" w:cs="Arial"/>
                <w:color w:val="000000"/>
              </w:rPr>
              <w:t>Durbin-Watson stat.</w:t>
            </w:r>
          </w:p>
        </w:tc>
        <w:tc>
          <w:tcPr>
            <w:tcW w:w="1364" w:type="dxa"/>
            <w:vAlign w:val="bottom"/>
          </w:tcPr>
          <w:p w14:paraId="2CFDB616" w14:textId="77777777" w:rsidR="00A3475D" w:rsidRPr="00A77D49" w:rsidRDefault="00A3475D" w:rsidP="00A77D49">
            <w:pPr>
              <w:autoSpaceDE w:val="0"/>
              <w:autoSpaceDN w:val="0"/>
              <w:adjustRightInd w:val="0"/>
              <w:ind w:right="10"/>
              <w:jc w:val="center"/>
              <w:rPr>
                <w:rFonts w:ascii="Arial" w:hAnsi="Arial" w:cs="Arial"/>
                <w:color w:val="000000"/>
              </w:rPr>
            </w:pPr>
            <w:r w:rsidRPr="00A77D49">
              <w:rPr>
                <w:rFonts w:ascii="Arial" w:hAnsi="Arial" w:cs="Arial"/>
                <w:color w:val="000000"/>
              </w:rPr>
              <w:t>2.351056</w:t>
            </w:r>
          </w:p>
        </w:tc>
        <w:tc>
          <w:tcPr>
            <w:tcW w:w="1771" w:type="dxa"/>
          </w:tcPr>
          <w:p w14:paraId="1C3F4016" w14:textId="77777777" w:rsidR="00A3475D" w:rsidRPr="00A77D49" w:rsidRDefault="00A3475D" w:rsidP="00A77D49">
            <w:pPr>
              <w:jc w:val="center"/>
              <w:rPr>
                <w:rFonts w:ascii="Arial" w:hAnsi="Arial" w:cs="Arial"/>
              </w:rPr>
            </w:pPr>
          </w:p>
        </w:tc>
        <w:tc>
          <w:tcPr>
            <w:tcW w:w="1771" w:type="dxa"/>
          </w:tcPr>
          <w:p w14:paraId="418A5A84" w14:textId="77777777" w:rsidR="00A3475D" w:rsidRPr="00A77D49" w:rsidRDefault="00A3475D" w:rsidP="00A77D49">
            <w:pPr>
              <w:jc w:val="center"/>
              <w:rPr>
                <w:rFonts w:ascii="Arial" w:hAnsi="Arial" w:cs="Arial"/>
              </w:rPr>
            </w:pPr>
          </w:p>
        </w:tc>
        <w:tc>
          <w:tcPr>
            <w:tcW w:w="1772" w:type="dxa"/>
          </w:tcPr>
          <w:p w14:paraId="73BF6193" w14:textId="77777777" w:rsidR="00A3475D" w:rsidRPr="00A77D49" w:rsidRDefault="00A3475D" w:rsidP="00A77D49">
            <w:pPr>
              <w:jc w:val="center"/>
              <w:rPr>
                <w:rFonts w:ascii="Arial" w:hAnsi="Arial" w:cs="Arial"/>
              </w:rPr>
            </w:pPr>
          </w:p>
        </w:tc>
      </w:tr>
    </w:tbl>
    <w:p w14:paraId="35FB524B" w14:textId="77777777" w:rsidR="00A3475D" w:rsidRPr="00A77D49" w:rsidRDefault="00A3475D" w:rsidP="00A77D49">
      <w:pPr>
        <w:pStyle w:val="NormalWeb"/>
        <w:spacing w:after="0" w:afterAutospacing="0"/>
        <w:jc w:val="both"/>
        <w:rPr>
          <w:rFonts w:ascii="Arial" w:hAnsi="Arial" w:cs="Arial"/>
          <w:sz w:val="20"/>
          <w:szCs w:val="20"/>
        </w:rPr>
      </w:pPr>
      <w:r w:rsidRPr="00A77D49">
        <w:rPr>
          <w:rFonts w:ascii="Arial" w:hAnsi="Arial" w:cs="Arial"/>
          <w:sz w:val="20"/>
          <w:szCs w:val="20"/>
        </w:rPr>
        <w:t>Table 4 reports the FMOLS estimates with HIV/TB coinfection as the dependent variable, while HIV infection and TB infection are included as explanatory variables. The estimated coefficients are all statistically significant at the 1% level, as indicated by their p-values of 0.0000.</w:t>
      </w:r>
      <w:r w:rsidR="00A77D49">
        <w:rPr>
          <w:rFonts w:ascii="Arial" w:hAnsi="Arial" w:cs="Arial"/>
          <w:sz w:val="20"/>
          <w:szCs w:val="20"/>
        </w:rPr>
        <w:t xml:space="preserve"> </w:t>
      </w:r>
      <w:r w:rsidRPr="00A77D49">
        <w:rPr>
          <w:rFonts w:ascii="Arial" w:hAnsi="Arial" w:cs="Arial"/>
          <w:sz w:val="20"/>
          <w:szCs w:val="20"/>
        </w:rPr>
        <w:t xml:space="preserve">The coefficient of HIV infection (0.9810) is positive and close to unity, implying that, in the long run, a one-unit increase in HIV infection is associated with approximately a 0.98-unit increase in HIV/TB coinfection, holding TB infection constant. This result indicates the dominant role of HIV infection in driving coinfection dynamics, which is consistent with epidemiological </w:t>
      </w:r>
      <w:r w:rsidRPr="00A77D49">
        <w:rPr>
          <w:rFonts w:ascii="Arial" w:hAnsi="Arial" w:cs="Arial"/>
          <w:sz w:val="20"/>
          <w:szCs w:val="20"/>
        </w:rPr>
        <w:lastRenderedPageBreak/>
        <w:t>evidence that HIV significantly increases susceptibility to active tuberculosis.</w:t>
      </w:r>
      <w:r w:rsidR="00A77D49">
        <w:rPr>
          <w:rFonts w:ascii="Arial" w:hAnsi="Arial" w:cs="Arial"/>
          <w:sz w:val="20"/>
          <w:szCs w:val="20"/>
        </w:rPr>
        <w:t xml:space="preserve"> </w:t>
      </w:r>
      <w:r w:rsidRPr="00A77D49">
        <w:rPr>
          <w:rFonts w:ascii="Arial" w:hAnsi="Arial" w:cs="Arial"/>
          <w:sz w:val="20"/>
          <w:szCs w:val="20"/>
        </w:rPr>
        <w:t>Similarly, the coefficient of TB infection (0.5119) is positive and statistically significant, suggesting that a one-unit increase in TB infection leads to about a 0.51-unit increase in HIV/TB coinfection in the long run, ceteris paribus. This finding underscores the bidirectional interaction between TB and HIV, where a higher TB burden increases the likelihood of overlap with HIV-positive individuals.</w:t>
      </w:r>
    </w:p>
    <w:p w14:paraId="0590DB9F" w14:textId="77777777" w:rsidR="00A3475D" w:rsidRPr="00A77D49" w:rsidRDefault="00A3475D" w:rsidP="00A77D49">
      <w:pPr>
        <w:pStyle w:val="NormalWeb"/>
        <w:spacing w:after="0" w:afterAutospacing="0"/>
        <w:jc w:val="both"/>
        <w:rPr>
          <w:rFonts w:ascii="Arial" w:hAnsi="Arial" w:cs="Arial"/>
          <w:sz w:val="20"/>
          <w:szCs w:val="20"/>
        </w:rPr>
      </w:pPr>
      <w:r>
        <w:rPr>
          <w:rFonts w:ascii="Arial" w:hAnsi="Arial" w:cs="Arial"/>
          <w:sz w:val="20"/>
          <w:szCs w:val="20"/>
        </w:rPr>
        <w:t xml:space="preserve">The intercept term is negative (-3.3284) and statistically significant, indicating that in the absence of HIV and TB infections, the baseline level of HIV/TB coinfection would be negligible. Although the intercept has limited direct epidemiological interpretation, its significance reflects the proper </w:t>
      </w:r>
      <w:r>
        <w:rPr>
          <w:rFonts w:ascii="Arial" w:hAnsi="Arial" w:cs="Arial"/>
          <w:sz w:val="20"/>
          <w:szCs w:val="20"/>
          <w:highlight w:val="yellow"/>
        </w:rPr>
        <w:t>centring</w:t>
      </w:r>
      <w:r>
        <w:rPr>
          <w:rFonts w:ascii="Arial" w:hAnsi="Arial" w:cs="Arial"/>
          <w:sz w:val="20"/>
          <w:szCs w:val="20"/>
        </w:rPr>
        <w:t xml:space="preserve"> of the long-run relationship.</w:t>
      </w:r>
      <w:r w:rsidR="00A77D49">
        <w:rPr>
          <w:rFonts w:ascii="Arial" w:hAnsi="Arial" w:cs="Arial"/>
          <w:sz w:val="20"/>
          <w:szCs w:val="20"/>
        </w:rPr>
        <w:t xml:space="preserve"> </w:t>
      </w:r>
      <w:r w:rsidRPr="00A77D49">
        <w:rPr>
          <w:rFonts w:ascii="Arial" w:hAnsi="Arial" w:cs="Arial"/>
          <w:sz w:val="20"/>
          <w:szCs w:val="20"/>
        </w:rPr>
        <w:t>The goodness-of-fit statistics reveal that the model explains a substantial proportion of the variation in HIV/TB coinfection. The R-squared value of 0.76 indicates that approximately 76% of the long-run variations in HIV/TB coinfection are jointly explained by HIV and TB infections. The adjusted R-squared (0.746) further confirms the robustness of the model after accounting for degrees of freedom. The Durbin-Watson statistic of 2.35 suggests the absence of serious autocorrelation in the residuals, implying that the long-run estimates are reliable and not plagued by serial dependence.</w:t>
      </w:r>
      <w:r w:rsidR="00A77D49">
        <w:rPr>
          <w:rFonts w:ascii="Arial" w:hAnsi="Arial" w:cs="Arial"/>
          <w:sz w:val="20"/>
          <w:szCs w:val="20"/>
        </w:rPr>
        <w:t xml:space="preserve"> </w:t>
      </w:r>
      <w:r w:rsidRPr="00A77D49">
        <w:rPr>
          <w:rFonts w:ascii="Arial" w:hAnsi="Arial" w:cs="Arial"/>
          <w:sz w:val="20"/>
          <w:szCs w:val="20"/>
        </w:rPr>
        <w:t>Overall, the FMOLS results provide strong empirical evidence of a positive and statistically significant long-run relationship between HIV infection, TB infection, and HIV/TB coinfection in Nasarawa State. These findings reinforce the interconnected nature of HIV and TB epidemics and emphasize the need for integrated disease surveillance, prevention, and treatment strategies. The significance of the long-run coefficients further supports the subsequent use of causality analysis to investigate the direction and dynamics of influence between HIV infection and TB infection in shaping coinfection outcomes.</w:t>
      </w:r>
    </w:p>
    <w:p w14:paraId="2146041B" w14:textId="77777777" w:rsidR="00A3475D" w:rsidRPr="00A77D49" w:rsidRDefault="00A77D49" w:rsidP="00A77D49">
      <w:pPr>
        <w:pStyle w:val="NormalWeb"/>
        <w:spacing w:after="0" w:afterAutospacing="0"/>
        <w:jc w:val="both"/>
        <w:rPr>
          <w:rFonts w:ascii="Arial" w:hAnsi="Arial" w:cs="Arial"/>
          <w:b/>
          <w:sz w:val="20"/>
          <w:szCs w:val="20"/>
        </w:rPr>
      </w:pPr>
      <w:r w:rsidRPr="00A77D49">
        <w:rPr>
          <w:rFonts w:ascii="Arial" w:hAnsi="Arial" w:cs="Arial"/>
          <w:b/>
          <w:sz w:val="20"/>
          <w:szCs w:val="20"/>
        </w:rPr>
        <w:t>3</w:t>
      </w:r>
      <w:r w:rsidR="00A3475D" w:rsidRPr="00A77D49">
        <w:rPr>
          <w:rFonts w:ascii="Arial" w:hAnsi="Arial" w:cs="Arial"/>
          <w:b/>
          <w:sz w:val="20"/>
          <w:szCs w:val="20"/>
        </w:rPr>
        <w:t>.6</w:t>
      </w:r>
      <w:r w:rsidR="00A3475D" w:rsidRPr="00A77D49">
        <w:rPr>
          <w:rFonts w:ascii="Arial" w:hAnsi="Arial" w:cs="Arial"/>
          <w:b/>
          <w:sz w:val="20"/>
          <w:szCs w:val="20"/>
        </w:rPr>
        <w:tab/>
        <w:t>Results of Vector Error Correction (VECM) Model</w:t>
      </w:r>
    </w:p>
    <w:p w14:paraId="16185322" w14:textId="77777777" w:rsidR="00A3475D" w:rsidRPr="00A77D49" w:rsidRDefault="00A3475D" w:rsidP="00A77D49">
      <w:pPr>
        <w:pStyle w:val="NormalWeb"/>
        <w:spacing w:after="0" w:afterAutospacing="0"/>
        <w:jc w:val="both"/>
        <w:rPr>
          <w:rFonts w:ascii="Arial" w:hAnsi="Arial" w:cs="Arial"/>
          <w:sz w:val="20"/>
          <w:szCs w:val="20"/>
        </w:rPr>
      </w:pPr>
      <w:r w:rsidRPr="00A77D49">
        <w:rPr>
          <w:rFonts w:ascii="Arial" w:hAnsi="Arial" w:cs="Arial"/>
          <w:sz w:val="20"/>
          <w:szCs w:val="20"/>
        </w:rPr>
        <w:t>The selection of an optimal lag length is a crucial step prior to estimating the Vector Error Correction Model (VECM) and conducting causality analysis. An appropriate lag structure ensures that the dynamic interactions among HIV infection, TB infection, and HIV/TB coinfection are adequately captured while avoiding model misspecification. To this end, the Vector Autoregressive (VAR) lag order selection criteria including the Log Likelihood (LogL), Likelihood Ratio (LR) test, Final Prediction Error (FPE), Akaike Information Criterion (AIC), Schwarz Information Criterion (SIC), and Hannan-Quinn Criterion (HQC) were employed. The results of VAR lag order selection is presented in Table 5.</w:t>
      </w:r>
    </w:p>
    <w:p w14:paraId="3E39F23A" w14:textId="77777777" w:rsidR="00A3475D" w:rsidRPr="00A77D49" w:rsidRDefault="00A3475D" w:rsidP="00A77D49">
      <w:pPr>
        <w:jc w:val="both"/>
        <w:rPr>
          <w:rFonts w:ascii="Arial" w:hAnsi="Arial" w:cs="Arial"/>
          <w:b/>
        </w:rPr>
      </w:pPr>
      <w:r w:rsidRPr="00A77D49">
        <w:rPr>
          <w:rFonts w:ascii="Arial" w:hAnsi="Arial" w:cs="Arial"/>
          <w:b/>
        </w:rPr>
        <w:t>Table 5: VAR Lag Order Selection Results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738"/>
        <w:gridCol w:w="1440"/>
        <w:gridCol w:w="1350"/>
        <w:gridCol w:w="1532"/>
        <w:gridCol w:w="1265"/>
        <w:gridCol w:w="1265"/>
        <w:gridCol w:w="1266"/>
      </w:tblGrid>
      <w:tr w:rsidR="00A3475D" w:rsidRPr="00A77D49" w14:paraId="4A2C2D5F" w14:textId="77777777" w:rsidTr="00A77D49">
        <w:tc>
          <w:tcPr>
            <w:tcW w:w="738" w:type="dxa"/>
            <w:tcBorders>
              <w:top w:val="single" w:sz="4" w:space="0" w:color="auto"/>
              <w:bottom w:val="single" w:sz="4" w:space="0" w:color="auto"/>
            </w:tcBorders>
          </w:tcPr>
          <w:p w14:paraId="500E81B9" w14:textId="77777777" w:rsidR="00A3475D" w:rsidRPr="00A77D49" w:rsidRDefault="00A3475D" w:rsidP="00A77D49">
            <w:pPr>
              <w:jc w:val="center"/>
              <w:rPr>
                <w:rFonts w:ascii="Arial" w:hAnsi="Arial" w:cs="Arial"/>
                <w:b/>
              </w:rPr>
            </w:pPr>
            <w:r w:rsidRPr="00A77D49">
              <w:rPr>
                <w:rFonts w:ascii="Arial" w:hAnsi="Arial" w:cs="Arial"/>
                <w:b/>
              </w:rPr>
              <w:t>Lag</w:t>
            </w:r>
          </w:p>
        </w:tc>
        <w:tc>
          <w:tcPr>
            <w:tcW w:w="1440" w:type="dxa"/>
            <w:tcBorders>
              <w:top w:val="single" w:sz="4" w:space="0" w:color="auto"/>
              <w:bottom w:val="single" w:sz="4" w:space="0" w:color="auto"/>
            </w:tcBorders>
          </w:tcPr>
          <w:p w14:paraId="57936A33" w14:textId="77777777" w:rsidR="00A3475D" w:rsidRPr="00A77D49" w:rsidRDefault="00A3475D" w:rsidP="00A77D49">
            <w:pPr>
              <w:jc w:val="center"/>
              <w:rPr>
                <w:rFonts w:ascii="Arial" w:hAnsi="Arial" w:cs="Arial"/>
                <w:b/>
              </w:rPr>
            </w:pPr>
            <w:r w:rsidRPr="00A77D49">
              <w:rPr>
                <w:rFonts w:ascii="Arial" w:hAnsi="Arial" w:cs="Arial"/>
                <w:b/>
              </w:rPr>
              <w:t>LogL</w:t>
            </w:r>
          </w:p>
        </w:tc>
        <w:tc>
          <w:tcPr>
            <w:tcW w:w="1350" w:type="dxa"/>
            <w:tcBorders>
              <w:top w:val="single" w:sz="4" w:space="0" w:color="auto"/>
              <w:bottom w:val="single" w:sz="4" w:space="0" w:color="auto"/>
            </w:tcBorders>
          </w:tcPr>
          <w:p w14:paraId="4D5E181E" w14:textId="77777777" w:rsidR="00A3475D" w:rsidRPr="00A77D49" w:rsidRDefault="00A3475D" w:rsidP="00A77D49">
            <w:pPr>
              <w:jc w:val="center"/>
              <w:rPr>
                <w:rFonts w:ascii="Arial" w:hAnsi="Arial" w:cs="Arial"/>
                <w:b/>
              </w:rPr>
            </w:pPr>
            <w:r w:rsidRPr="00A77D49">
              <w:rPr>
                <w:rFonts w:ascii="Arial" w:hAnsi="Arial" w:cs="Arial"/>
                <w:b/>
              </w:rPr>
              <w:t>LR</w:t>
            </w:r>
          </w:p>
        </w:tc>
        <w:tc>
          <w:tcPr>
            <w:tcW w:w="1532" w:type="dxa"/>
            <w:tcBorders>
              <w:top w:val="single" w:sz="4" w:space="0" w:color="auto"/>
              <w:bottom w:val="single" w:sz="4" w:space="0" w:color="auto"/>
            </w:tcBorders>
          </w:tcPr>
          <w:p w14:paraId="2DD01ED3" w14:textId="77777777" w:rsidR="00A3475D" w:rsidRPr="00A77D49" w:rsidRDefault="00A3475D" w:rsidP="00A77D49">
            <w:pPr>
              <w:jc w:val="center"/>
              <w:rPr>
                <w:rFonts w:ascii="Arial" w:hAnsi="Arial" w:cs="Arial"/>
                <w:b/>
              </w:rPr>
            </w:pPr>
            <w:r w:rsidRPr="00A77D49">
              <w:rPr>
                <w:rFonts w:ascii="Arial" w:hAnsi="Arial" w:cs="Arial"/>
                <w:b/>
              </w:rPr>
              <w:t>FPE</w:t>
            </w:r>
          </w:p>
        </w:tc>
        <w:tc>
          <w:tcPr>
            <w:tcW w:w="1265" w:type="dxa"/>
            <w:tcBorders>
              <w:top w:val="single" w:sz="4" w:space="0" w:color="auto"/>
              <w:bottom w:val="single" w:sz="4" w:space="0" w:color="auto"/>
            </w:tcBorders>
          </w:tcPr>
          <w:p w14:paraId="243B5C05" w14:textId="77777777" w:rsidR="00A3475D" w:rsidRPr="00A77D49" w:rsidRDefault="00A3475D" w:rsidP="00A77D49">
            <w:pPr>
              <w:jc w:val="center"/>
              <w:rPr>
                <w:rFonts w:ascii="Arial" w:hAnsi="Arial" w:cs="Arial"/>
                <w:b/>
              </w:rPr>
            </w:pPr>
            <w:r w:rsidRPr="00A77D49">
              <w:rPr>
                <w:rFonts w:ascii="Arial" w:hAnsi="Arial" w:cs="Arial"/>
                <w:b/>
              </w:rPr>
              <w:t>AIC</w:t>
            </w:r>
          </w:p>
        </w:tc>
        <w:tc>
          <w:tcPr>
            <w:tcW w:w="1265" w:type="dxa"/>
            <w:tcBorders>
              <w:top w:val="single" w:sz="4" w:space="0" w:color="auto"/>
              <w:bottom w:val="single" w:sz="4" w:space="0" w:color="auto"/>
            </w:tcBorders>
          </w:tcPr>
          <w:p w14:paraId="1445FDB7" w14:textId="77777777" w:rsidR="00A3475D" w:rsidRPr="00A77D49" w:rsidRDefault="00A3475D" w:rsidP="00A77D49">
            <w:pPr>
              <w:jc w:val="center"/>
              <w:rPr>
                <w:rFonts w:ascii="Arial" w:hAnsi="Arial" w:cs="Arial"/>
                <w:b/>
              </w:rPr>
            </w:pPr>
            <w:r w:rsidRPr="00A77D49">
              <w:rPr>
                <w:rFonts w:ascii="Arial" w:hAnsi="Arial" w:cs="Arial"/>
                <w:b/>
              </w:rPr>
              <w:t>SIC</w:t>
            </w:r>
          </w:p>
        </w:tc>
        <w:tc>
          <w:tcPr>
            <w:tcW w:w="1266" w:type="dxa"/>
            <w:tcBorders>
              <w:top w:val="single" w:sz="4" w:space="0" w:color="auto"/>
              <w:bottom w:val="single" w:sz="4" w:space="0" w:color="auto"/>
            </w:tcBorders>
          </w:tcPr>
          <w:p w14:paraId="5C231D69" w14:textId="77777777" w:rsidR="00A3475D" w:rsidRPr="00A77D49" w:rsidRDefault="00A3475D" w:rsidP="00A77D49">
            <w:pPr>
              <w:jc w:val="center"/>
              <w:rPr>
                <w:rFonts w:ascii="Arial" w:hAnsi="Arial" w:cs="Arial"/>
                <w:b/>
              </w:rPr>
            </w:pPr>
            <w:r w:rsidRPr="00A77D49">
              <w:rPr>
                <w:rFonts w:ascii="Arial" w:hAnsi="Arial" w:cs="Arial"/>
                <w:b/>
              </w:rPr>
              <w:t>HQC</w:t>
            </w:r>
          </w:p>
        </w:tc>
      </w:tr>
      <w:tr w:rsidR="00A3475D" w:rsidRPr="00A77D49" w14:paraId="5D373A17" w14:textId="77777777" w:rsidTr="00A77D49">
        <w:tc>
          <w:tcPr>
            <w:tcW w:w="738" w:type="dxa"/>
            <w:tcBorders>
              <w:top w:val="single" w:sz="4" w:space="0" w:color="auto"/>
            </w:tcBorders>
          </w:tcPr>
          <w:p w14:paraId="1BD56264" w14:textId="77777777" w:rsidR="00A3475D" w:rsidRPr="00A77D49" w:rsidRDefault="00A3475D" w:rsidP="00A77D49">
            <w:pPr>
              <w:jc w:val="center"/>
              <w:rPr>
                <w:rFonts w:ascii="Arial" w:hAnsi="Arial" w:cs="Arial"/>
              </w:rPr>
            </w:pPr>
            <w:r w:rsidRPr="00A77D49">
              <w:rPr>
                <w:rFonts w:ascii="Arial" w:hAnsi="Arial" w:cs="Arial"/>
              </w:rPr>
              <w:t>0</w:t>
            </w:r>
          </w:p>
        </w:tc>
        <w:tc>
          <w:tcPr>
            <w:tcW w:w="1440" w:type="dxa"/>
            <w:tcBorders>
              <w:top w:val="single" w:sz="4" w:space="0" w:color="auto"/>
            </w:tcBorders>
          </w:tcPr>
          <w:p w14:paraId="642C57BD" w14:textId="77777777" w:rsidR="00A3475D" w:rsidRPr="00A77D49" w:rsidRDefault="00A3475D" w:rsidP="00A77D49">
            <w:pPr>
              <w:jc w:val="center"/>
              <w:rPr>
                <w:rFonts w:ascii="Arial" w:hAnsi="Arial" w:cs="Arial"/>
              </w:rPr>
            </w:pPr>
            <w:r w:rsidRPr="00A77D49">
              <w:rPr>
                <w:rFonts w:ascii="Arial" w:hAnsi="Arial" w:cs="Arial"/>
              </w:rPr>
              <w:t>-897.4614</w:t>
            </w:r>
          </w:p>
        </w:tc>
        <w:tc>
          <w:tcPr>
            <w:tcW w:w="1350" w:type="dxa"/>
            <w:tcBorders>
              <w:top w:val="single" w:sz="4" w:space="0" w:color="auto"/>
            </w:tcBorders>
          </w:tcPr>
          <w:p w14:paraId="142EDD75" w14:textId="77777777" w:rsidR="00A3475D" w:rsidRPr="00A77D49" w:rsidRDefault="00A3475D" w:rsidP="00A77D49">
            <w:pPr>
              <w:jc w:val="center"/>
              <w:rPr>
                <w:rFonts w:ascii="Arial" w:hAnsi="Arial" w:cs="Arial"/>
              </w:rPr>
            </w:pPr>
            <w:r w:rsidRPr="00A77D49">
              <w:rPr>
                <w:rFonts w:ascii="Arial" w:hAnsi="Arial" w:cs="Arial"/>
              </w:rPr>
              <w:t>NA</w:t>
            </w:r>
          </w:p>
        </w:tc>
        <w:tc>
          <w:tcPr>
            <w:tcW w:w="1532" w:type="dxa"/>
            <w:tcBorders>
              <w:top w:val="single" w:sz="4" w:space="0" w:color="auto"/>
            </w:tcBorders>
          </w:tcPr>
          <w:p w14:paraId="64F28547" w14:textId="77777777" w:rsidR="00A3475D" w:rsidRPr="00A77D49" w:rsidRDefault="00A3475D" w:rsidP="00A77D49">
            <w:pPr>
              <w:jc w:val="center"/>
              <w:rPr>
                <w:rFonts w:ascii="Arial" w:hAnsi="Arial" w:cs="Arial"/>
              </w:rPr>
            </w:pPr>
            <w:r w:rsidRPr="00A77D49">
              <w:rPr>
                <w:rFonts w:ascii="Arial" w:hAnsi="Arial" w:cs="Arial"/>
              </w:rPr>
              <w:t>3984.902</w:t>
            </w:r>
          </w:p>
        </w:tc>
        <w:tc>
          <w:tcPr>
            <w:tcW w:w="1265" w:type="dxa"/>
            <w:tcBorders>
              <w:top w:val="single" w:sz="4" w:space="0" w:color="auto"/>
            </w:tcBorders>
          </w:tcPr>
          <w:p w14:paraId="46EFE257" w14:textId="77777777" w:rsidR="00A3475D" w:rsidRPr="00A77D49" w:rsidRDefault="00A3475D" w:rsidP="00A77D49">
            <w:pPr>
              <w:jc w:val="center"/>
              <w:rPr>
                <w:rFonts w:ascii="Arial" w:hAnsi="Arial" w:cs="Arial"/>
              </w:rPr>
            </w:pPr>
            <w:r w:rsidRPr="00A77D49">
              <w:rPr>
                <w:rFonts w:ascii="Arial" w:hAnsi="Arial" w:cs="Arial"/>
              </w:rPr>
              <w:t>4.5509</w:t>
            </w:r>
          </w:p>
        </w:tc>
        <w:tc>
          <w:tcPr>
            <w:tcW w:w="1265" w:type="dxa"/>
            <w:tcBorders>
              <w:top w:val="single" w:sz="4" w:space="0" w:color="auto"/>
            </w:tcBorders>
          </w:tcPr>
          <w:p w14:paraId="7BCAEC82" w14:textId="77777777" w:rsidR="00A3475D" w:rsidRPr="00A77D49" w:rsidRDefault="00A3475D" w:rsidP="00A77D49">
            <w:pPr>
              <w:jc w:val="center"/>
              <w:rPr>
                <w:rFonts w:ascii="Arial" w:hAnsi="Arial" w:cs="Arial"/>
              </w:rPr>
            </w:pPr>
            <w:r w:rsidRPr="00A77D49">
              <w:rPr>
                <w:rFonts w:ascii="Arial" w:hAnsi="Arial" w:cs="Arial"/>
              </w:rPr>
              <w:t>4.6292</w:t>
            </w:r>
          </w:p>
        </w:tc>
        <w:tc>
          <w:tcPr>
            <w:tcW w:w="1266" w:type="dxa"/>
            <w:tcBorders>
              <w:top w:val="single" w:sz="4" w:space="0" w:color="auto"/>
            </w:tcBorders>
          </w:tcPr>
          <w:p w14:paraId="32E02D51" w14:textId="77777777" w:rsidR="00A3475D" w:rsidRPr="00A77D49" w:rsidRDefault="00A3475D" w:rsidP="00A77D49">
            <w:pPr>
              <w:jc w:val="center"/>
              <w:rPr>
                <w:rFonts w:ascii="Arial" w:hAnsi="Arial" w:cs="Arial"/>
              </w:rPr>
            </w:pPr>
            <w:r w:rsidRPr="00A77D49">
              <w:rPr>
                <w:rFonts w:ascii="Arial" w:hAnsi="Arial" w:cs="Arial"/>
              </w:rPr>
              <w:t>4.5622</w:t>
            </w:r>
          </w:p>
        </w:tc>
      </w:tr>
      <w:tr w:rsidR="00A3475D" w:rsidRPr="00A77D49" w14:paraId="2FD3E135" w14:textId="77777777" w:rsidTr="00A77D49">
        <w:tc>
          <w:tcPr>
            <w:tcW w:w="738" w:type="dxa"/>
          </w:tcPr>
          <w:p w14:paraId="2ABC7101" w14:textId="77777777" w:rsidR="00A3475D" w:rsidRPr="00A77D49" w:rsidRDefault="00A3475D" w:rsidP="00A77D49">
            <w:pPr>
              <w:jc w:val="center"/>
              <w:rPr>
                <w:rFonts w:ascii="Arial" w:hAnsi="Arial" w:cs="Arial"/>
              </w:rPr>
            </w:pPr>
            <w:r w:rsidRPr="00A77D49">
              <w:rPr>
                <w:rFonts w:ascii="Arial" w:hAnsi="Arial" w:cs="Arial"/>
              </w:rPr>
              <w:t>1</w:t>
            </w:r>
          </w:p>
        </w:tc>
        <w:tc>
          <w:tcPr>
            <w:tcW w:w="1440" w:type="dxa"/>
          </w:tcPr>
          <w:p w14:paraId="1A47F561" w14:textId="77777777" w:rsidR="00A3475D" w:rsidRPr="00A77D49" w:rsidRDefault="00A3475D" w:rsidP="00A77D49">
            <w:pPr>
              <w:jc w:val="center"/>
              <w:rPr>
                <w:rFonts w:ascii="Arial" w:hAnsi="Arial" w:cs="Arial"/>
              </w:rPr>
            </w:pPr>
            <w:r w:rsidRPr="00A77D49">
              <w:rPr>
                <w:rFonts w:ascii="Arial" w:hAnsi="Arial" w:cs="Arial"/>
              </w:rPr>
              <w:t>-882.9416</w:t>
            </w:r>
          </w:p>
        </w:tc>
        <w:tc>
          <w:tcPr>
            <w:tcW w:w="1350" w:type="dxa"/>
          </w:tcPr>
          <w:p w14:paraId="559D3EB0" w14:textId="77777777" w:rsidR="00A3475D" w:rsidRPr="00A77D49" w:rsidRDefault="00A3475D" w:rsidP="00A77D49">
            <w:pPr>
              <w:jc w:val="center"/>
              <w:rPr>
                <w:rFonts w:ascii="Arial" w:hAnsi="Arial" w:cs="Arial"/>
              </w:rPr>
            </w:pPr>
            <w:r w:rsidRPr="00A77D49">
              <w:rPr>
                <w:rFonts w:ascii="Arial" w:hAnsi="Arial" w:cs="Arial"/>
              </w:rPr>
              <w:t>33.62715</w:t>
            </w:r>
          </w:p>
        </w:tc>
        <w:tc>
          <w:tcPr>
            <w:tcW w:w="1532" w:type="dxa"/>
          </w:tcPr>
          <w:p w14:paraId="0C7AC579" w14:textId="77777777" w:rsidR="00A3475D" w:rsidRPr="00A77D49" w:rsidRDefault="00A3475D" w:rsidP="00A77D49">
            <w:pPr>
              <w:jc w:val="center"/>
              <w:rPr>
                <w:rFonts w:ascii="Arial" w:hAnsi="Arial" w:cs="Arial"/>
              </w:rPr>
            </w:pPr>
            <w:r w:rsidRPr="00A77D49">
              <w:rPr>
                <w:rFonts w:ascii="Arial" w:hAnsi="Arial" w:cs="Arial"/>
              </w:rPr>
              <w:t>3787.112</w:t>
            </w:r>
          </w:p>
        </w:tc>
        <w:tc>
          <w:tcPr>
            <w:tcW w:w="1265" w:type="dxa"/>
          </w:tcPr>
          <w:p w14:paraId="5CF67D22" w14:textId="77777777" w:rsidR="00A3475D" w:rsidRPr="00A77D49" w:rsidRDefault="00A3475D" w:rsidP="00A77D49">
            <w:pPr>
              <w:jc w:val="center"/>
              <w:rPr>
                <w:rFonts w:ascii="Arial" w:hAnsi="Arial" w:cs="Arial"/>
              </w:rPr>
            </w:pPr>
            <w:r w:rsidRPr="00A77D49">
              <w:rPr>
                <w:rFonts w:ascii="Arial" w:hAnsi="Arial" w:cs="Arial"/>
              </w:rPr>
              <w:t>4.3971</w:t>
            </w:r>
          </w:p>
        </w:tc>
        <w:tc>
          <w:tcPr>
            <w:tcW w:w="1265" w:type="dxa"/>
          </w:tcPr>
          <w:p w14:paraId="772B7ACF" w14:textId="77777777" w:rsidR="00A3475D" w:rsidRPr="00A77D49" w:rsidRDefault="00A3475D" w:rsidP="00A77D49">
            <w:pPr>
              <w:jc w:val="center"/>
              <w:rPr>
                <w:rFonts w:ascii="Arial" w:hAnsi="Arial" w:cs="Arial"/>
              </w:rPr>
            </w:pPr>
            <w:r w:rsidRPr="00A77D49">
              <w:rPr>
                <w:rFonts w:ascii="Arial" w:hAnsi="Arial" w:cs="Arial"/>
              </w:rPr>
              <w:t>4.5873</w:t>
            </w:r>
          </w:p>
        </w:tc>
        <w:tc>
          <w:tcPr>
            <w:tcW w:w="1266" w:type="dxa"/>
          </w:tcPr>
          <w:p w14:paraId="5A1341E5" w14:textId="77777777" w:rsidR="00A3475D" w:rsidRPr="00A77D49" w:rsidRDefault="00A3475D" w:rsidP="00A77D49">
            <w:pPr>
              <w:jc w:val="center"/>
              <w:rPr>
                <w:rFonts w:ascii="Arial" w:hAnsi="Arial" w:cs="Arial"/>
              </w:rPr>
            </w:pPr>
            <w:r w:rsidRPr="00A77D49">
              <w:rPr>
                <w:rFonts w:ascii="Arial" w:hAnsi="Arial" w:cs="Arial"/>
              </w:rPr>
              <w:t>4.4962</w:t>
            </w:r>
          </w:p>
        </w:tc>
      </w:tr>
      <w:tr w:rsidR="00A3475D" w:rsidRPr="00A77D49" w14:paraId="781E306E" w14:textId="77777777" w:rsidTr="00A77D49">
        <w:tc>
          <w:tcPr>
            <w:tcW w:w="738" w:type="dxa"/>
          </w:tcPr>
          <w:p w14:paraId="6E73811F" w14:textId="77777777" w:rsidR="00A3475D" w:rsidRPr="00A77D49" w:rsidRDefault="00A3475D" w:rsidP="00A77D49">
            <w:pPr>
              <w:jc w:val="center"/>
              <w:rPr>
                <w:rFonts w:ascii="Arial" w:hAnsi="Arial" w:cs="Arial"/>
              </w:rPr>
            </w:pPr>
            <w:r w:rsidRPr="00A77D49">
              <w:rPr>
                <w:rFonts w:ascii="Arial" w:hAnsi="Arial" w:cs="Arial"/>
              </w:rPr>
              <w:t>2</w:t>
            </w:r>
          </w:p>
        </w:tc>
        <w:tc>
          <w:tcPr>
            <w:tcW w:w="1440" w:type="dxa"/>
          </w:tcPr>
          <w:p w14:paraId="602D7E6B" w14:textId="77777777" w:rsidR="00A3475D" w:rsidRPr="00A77D49" w:rsidRDefault="00A3475D" w:rsidP="00A77D49">
            <w:pPr>
              <w:jc w:val="center"/>
              <w:rPr>
                <w:rFonts w:ascii="Arial" w:hAnsi="Arial" w:cs="Arial"/>
              </w:rPr>
            </w:pPr>
            <w:r w:rsidRPr="00A77D49">
              <w:rPr>
                <w:rFonts w:ascii="Arial" w:hAnsi="Arial" w:cs="Arial"/>
              </w:rPr>
              <w:t>-869.6012</w:t>
            </w:r>
          </w:p>
        </w:tc>
        <w:tc>
          <w:tcPr>
            <w:tcW w:w="1350" w:type="dxa"/>
          </w:tcPr>
          <w:p w14:paraId="4C57A7F6" w14:textId="77777777" w:rsidR="00A3475D" w:rsidRPr="00A77D49" w:rsidRDefault="00A3475D" w:rsidP="00A77D49">
            <w:pPr>
              <w:jc w:val="center"/>
              <w:rPr>
                <w:rFonts w:ascii="Arial" w:hAnsi="Arial" w:cs="Arial"/>
              </w:rPr>
            </w:pPr>
            <w:r w:rsidRPr="00A77D49">
              <w:rPr>
                <w:rFonts w:ascii="Arial" w:hAnsi="Arial" w:cs="Arial"/>
              </w:rPr>
              <w:t>28.17962*</w:t>
            </w:r>
          </w:p>
        </w:tc>
        <w:tc>
          <w:tcPr>
            <w:tcW w:w="1532" w:type="dxa"/>
          </w:tcPr>
          <w:p w14:paraId="59D36115" w14:textId="77777777" w:rsidR="00A3475D" w:rsidRPr="00A77D49" w:rsidRDefault="00A3475D" w:rsidP="00A77D49">
            <w:pPr>
              <w:jc w:val="center"/>
              <w:rPr>
                <w:rFonts w:ascii="Arial" w:hAnsi="Arial" w:cs="Arial"/>
              </w:rPr>
            </w:pPr>
            <w:r w:rsidRPr="00A77D49">
              <w:rPr>
                <w:rFonts w:ascii="Arial" w:hAnsi="Arial" w:cs="Arial"/>
              </w:rPr>
              <w:t>3585.712*</w:t>
            </w:r>
          </w:p>
        </w:tc>
        <w:tc>
          <w:tcPr>
            <w:tcW w:w="1265" w:type="dxa"/>
          </w:tcPr>
          <w:p w14:paraId="1D403EDE" w14:textId="77777777" w:rsidR="00A3475D" w:rsidRPr="00A77D49" w:rsidRDefault="00A3475D" w:rsidP="00A77D49">
            <w:pPr>
              <w:jc w:val="center"/>
              <w:rPr>
                <w:rFonts w:ascii="Arial" w:hAnsi="Arial" w:cs="Arial"/>
              </w:rPr>
            </w:pPr>
            <w:r w:rsidRPr="00A77D49">
              <w:rPr>
                <w:rFonts w:ascii="Arial" w:hAnsi="Arial" w:cs="Arial"/>
              </w:rPr>
              <w:t>3.9983*</w:t>
            </w:r>
          </w:p>
        </w:tc>
        <w:tc>
          <w:tcPr>
            <w:tcW w:w="1265" w:type="dxa"/>
          </w:tcPr>
          <w:p w14:paraId="44B89521" w14:textId="77777777" w:rsidR="00A3475D" w:rsidRPr="00A77D49" w:rsidRDefault="00A3475D" w:rsidP="00A77D49">
            <w:pPr>
              <w:jc w:val="center"/>
              <w:rPr>
                <w:rFonts w:ascii="Arial" w:hAnsi="Arial" w:cs="Arial"/>
              </w:rPr>
            </w:pPr>
            <w:r w:rsidRPr="00A77D49">
              <w:rPr>
                <w:rFonts w:ascii="Arial" w:hAnsi="Arial" w:cs="Arial"/>
              </w:rPr>
              <w:t>4.0755*</w:t>
            </w:r>
          </w:p>
        </w:tc>
        <w:tc>
          <w:tcPr>
            <w:tcW w:w="1266" w:type="dxa"/>
          </w:tcPr>
          <w:p w14:paraId="783DDB97" w14:textId="77777777" w:rsidR="00A3475D" w:rsidRPr="00A77D49" w:rsidRDefault="00A3475D" w:rsidP="00A77D49">
            <w:pPr>
              <w:jc w:val="center"/>
              <w:rPr>
                <w:rFonts w:ascii="Arial" w:hAnsi="Arial" w:cs="Arial"/>
              </w:rPr>
            </w:pPr>
            <w:r w:rsidRPr="00A77D49">
              <w:rPr>
                <w:rFonts w:ascii="Arial" w:hAnsi="Arial" w:cs="Arial"/>
              </w:rPr>
              <w:t>4.1528*</w:t>
            </w:r>
          </w:p>
        </w:tc>
      </w:tr>
      <w:tr w:rsidR="00A3475D" w:rsidRPr="00A77D49" w14:paraId="6CAFE300" w14:textId="77777777" w:rsidTr="00A77D49">
        <w:tc>
          <w:tcPr>
            <w:tcW w:w="738" w:type="dxa"/>
          </w:tcPr>
          <w:p w14:paraId="3934E07A" w14:textId="77777777" w:rsidR="00A3475D" w:rsidRPr="00A77D49" w:rsidRDefault="00A3475D" w:rsidP="00A77D49">
            <w:pPr>
              <w:jc w:val="center"/>
              <w:rPr>
                <w:rFonts w:ascii="Arial" w:hAnsi="Arial" w:cs="Arial"/>
              </w:rPr>
            </w:pPr>
            <w:r w:rsidRPr="00A77D49">
              <w:rPr>
                <w:rFonts w:ascii="Arial" w:hAnsi="Arial" w:cs="Arial"/>
              </w:rPr>
              <w:t>3</w:t>
            </w:r>
          </w:p>
        </w:tc>
        <w:tc>
          <w:tcPr>
            <w:tcW w:w="1440" w:type="dxa"/>
          </w:tcPr>
          <w:p w14:paraId="3C946D2E" w14:textId="77777777" w:rsidR="00A3475D" w:rsidRPr="00A77D49" w:rsidRDefault="00A3475D" w:rsidP="00A77D49">
            <w:pPr>
              <w:jc w:val="center"/>
              <w:rPr>
                <w:rFonts w:ascii="Arial" w:hAnsi="Arial" w:cs="Arial"/>
              </w:rPr>
            </w:pPr>
            <w:r w:rsidRPr="00A77D49">
              <w:rPr>
                <w:rFonts w:ascii="Arial" w:hAnsi="Arial" w:cs="Arial"/>
              </w:rPr>
              <w:t>-850.7183</w:t>
            </w:r>
          </w:p>
        </w:tc>
        <w:tc>
          <w:tcPr>
            <w:tcW w:w="1350" w:type="dxa"/>
          </w:tcPr>
          <w:p w14:paraId="252D54C8" w14:textId="77777777" w:rsidR="00A3475D" w:rsidRPr="00A77D49" w:rsidRDefault="00A3475D" w:rsidP="00A77D49">
            <w:pPr>
              <w:jc w:val="center"/>
              <w:rPr>
                <w:rFonts w:ascii="Arial" w:hAnsi="Arial" w:cs="Arial"/>
              </w:rPr>
            </w:pPr>
            <w:r w:rsidRPr="00A77D49">
              <w:rPr>
                <w:rFonts w:ascii="Arial" w:hAnsi="Arial" w:cs="Arial"/>
              </w:rPr>
              <w:t>4.975613</w:t>
            </w:r>
          </w:p>
        </w:tc>
        <w:tc>
          <w:tcPr>
            <w:tcW w:w="1532" w:type="dxa"/>
          </w:tcPr>
          <w:p w14:paraId="571A32AE" w14:textId="77777777" w:rsidR="00A3475D" w:rsidRPr="00A77D49" w:rsidRDefault="00A3475D" w:rsidP="00A77D49">
            <w:pPr>
              <w:jc w:val="center"/>
              <w:rPr>
                <w:rFonts w:ascii="Arial" w:hAnsi="Arial" w:cs="Arial"/>
              </w:rPr>
            </w:pPr>
            <w:r w:rsidRPr="00A77D49">
              <w:rPr>
                <w:rFonts w:ascii="Arial" w:hAnsi="Arial" w:cs="Arial"/>
              </w:rPr>
              <w:t>3276.631</w:t>
            </w:r>
          </w:p>
        </w:tc>
        <w:tc>
          <w:tcPr>
            <w:tcW w:w="1265" w:type="dxa"/>
          </w:tcPr>
          <w:p w14:paraId="231715A1" w14:textId="77777777" w:rsidR="00A3475D" w:rsidRPr="00A77D49" w:rsidRDefault="00A3475D" w:rsidP="00A77D49">
            <w:pPr>
              <w:jc w:val="center"/>
              <w:rPr>
                <w:rFonts w:ascii="Arial" w:hAnsi="Arial" w:cs="Arial"/>
              </w:rPr>
            </w:pPr>
            <w:r w:rsidRPr="00A77D49">
              <w:rPr>
                <w:rFonts w:ascii="Arial" w:hAnsi="Arial" w:cs="Arial"/>
              </w:rPr>
              <w:t>4.0573</w:t>
            </w:r>
          </w:p>
        </w:tc>
        <w:tc>
          <w:tcPr>
            <w:tcW w:w="1265" w:type="dxa"/>
          </w:tcPr>
          <w:p w14:paraId="47A581DA" w14:textId="77777777" w:rsidR="00A3475D" w:rsidRPr="00A77D49" w:rsidRDefault="00A3475D" w:rsidP="00A77D49">
            <w:pPr>
              <w:jc w:val="center"/>
              <w:rPr>
                <w:rFonts w:ascii="Arial" w:hAnsi="Arial" w:cs="Arial"/>
              </w:rPr>
            </w:pPr>
            <w:r w:rsidRPr="00A77D49">
              <w:rPr>
                <w:rFonts w:ascii="Arial" w:hAnsi="Arial" w:cs="Arial"/>
              </w:rPr>
              <w:t>4.2704</w:t>
            </w:r>
          </w:p>
        </w:tc>
        <w:tc>
          <w:tcPr>
            <w:tcW w:w="1266" w:type="dxa"/>
          </w:tcPr>
          <w:p w14:paraId="33736329" w14:textId="77777777" w:rsidR="00A3475D" w:rsidRPr="00A77D49" w:rsidRDefault="00A3475D" w:rsidP="00A77D49">
            <w:pPr>
              <w:jc w:val="center"/>
              <w:rPr>
                <w:rFonts w:ascii="Arial" w:hAnsi="Arial" w:cs="Arial"/>
              </w:rPr>
            </w:pPr>
            <w:r w:rsidRPr="00A77D49">
              <w:rPr>
                <w:rFonts w:ascii="Arial" w:hAnsi="Arial" w:cs="Arial"/>
              </w:rPr>
              <w:t>4.3871</w:t>
            </w:r>
          </w:p>
        </w:tc>
      </w:tr>
    </w:tbl>
    <w:p w14:paraId="32A45F4D" w14:textId="77777777" w:rsidR="00A3475D" w:rsidRPr="00A77D49" w:rsidRDefault="00A3475D" w:rsidP="00A77D49">
      <w:pPr>
        <w:pStyle w:val="NormalWeb"/>
        <w:spacing w:after="0" w:afterAutospacing="0"/>
        <w:jc w:val="both"/>
        <w:rPr>
          <w:rFonts w:ascii="Arial" w:hAnsi="Arial" w:cs="Arial"/>
          <w:sz w:val="20"/>
          <w:szCs w:val="20"/>
        </w:rPr>
      </w:pPr>
      <w:r w:rsidRPr="00A77D49">
        <w:rPr>
          <w:rFonts w:ascii="Arial" w:hAnsi="Arial" w:cs="Arial"/>
          <w:sz w:val="20"/>
          <w:szCs w:val="20"/>
        </w:rPr>
        <w:t>Table 5 presents the VAR lag order selection results for lag lengths ranging from 0 to 3. The optimal lag length is determined based on the minimum values of the information criteria and the statistical significance of the LR test.</w:t>
      </w:r>
      <w:r w:rsidR="00A77D49">
        <w:rPr>
          <w:rFonts w:ascii="Arial" w:hAnsi="Arial" w:cs="Arial"/>
          <w:sz w:val="20"/>
          <w:szCs w:val="20"/>
        </w:rPr>
        <w:t xml:space="preserve"> </w:t>
      </w:r>
      <w:r w:rsidRPr="00A77D49">
        <w:rPr>
          <w:rFonts w:ascii="Arial" w:hAnsi="Arial" w:cs="Arial"/>
          <w:sz w:val="20"/>
          <w:szCs w:val="20"/>
        </w:rPr>
        <w:t>The results show that lag order 2 is consistently selected as the optimal lag length by most of the criteria. Specifically, the Likelihood Ratio (LR) test is statistically significant at lag 2 (LR = 28.18), indicating that including two lags significantly improves the model compared to a lower lag specification. In addition, the Final Prediction Error (FPE) attains its minimum value (3585.71) at lag 2, suggesting superior out-of-sample forecasting performance at this lag length.</w:t>
      </w:r>
      <w:r w:rsidR="00A77D49">
        <w:rPr>
          <w:rFonts w:ascii="Arial" w:hAnsi="Arial" w:cs="Arial"/>
          <w:sz w:val="20"/>
          <w:szCs w:val="20"/>
        </w:rPr>
        <w:t xml:space="preserve"> </w:t>
      </w:r>
      <w:r w:rsidRPr="00A77D49">
        <w:rPr>
          <w:rFonts w:ascii="Arial" w:hAnsi="Arial" w:cs="Arial"/>
          <w:sz w:val="20"/>
          <w:szCs w:val="20"/>
        </w:rPr>
        <w:t>Similarly, the Akaike Information Criterion (AIC), Schwarz Information Criterion (SIC), and Hannan-Quinn Criterion (HQC) all record their lowest values at lag 2 (AIC = 3.9983, SIC = 4.0755, HQC = 4.1528), further reinforcing the choice of two lags as the most parsimonious and statistically adequate specification. Although the Log Likelihood value improves at lag 3, the information criteria do not support this higher lag order, likely due to the penalty imposed for additional parameters.</w:t>
      </w:r>
      <w:r w:rsidR="00A77D49">
        <w:rPr>
          <w:rFonts w:ascii="Arial" w:hAnsi="Arial" w:cs="Arial"/>
          <w:sz w:val="20"/>
          <w:szCs w:val="20"/>
        </w:rPr>
        <w:t xml:space="preserve"> </w:t>
      </w:r>
      <w:r>
        <w:rPr>
          <w:rFonts w:ascii="Arial" w:hAnsi="Arial" w:cs="Arial"/>
          <w:sz w:val="20"/>
          <w:szCs w:val="20"/>
        </w:rPr>
        <w:t xml:space="preserve">Overall, the convergence of the LR test, FPE, AIC, SIC, and HQC at lag order 2 provides strong empirical justification for selecting a VAR(2) structure. This optimal lag length ensures that the short-run dynamics among HIV infection, TB infection, and HIV/TB coinfection are </w:t>
      </w:r>
      <w:r>
        <w:rPr>
          <w:rFonts w:ascii="Arial" w:hAnsi="Arial" w:cs="Arial"/>
          <w:sz w:val="20"/>
          <w:szCs w:val="20"/>
          <w:highlight w:val="yellow"/>
        </w:rPr>
        <w:t>properly modelled</w:t>
      </w:r>
      <w:r>
        <w:rPr>
          <w:rFonts w:ascii="Arial" w:hAnsi="Arial" w:cs="Arial"/>
          <w:sz w:val="20"/>
          <w:szCs w:val="20"/>
        </w:rPr>
        <w:t xml:space="preserve"> without </w:t>
      </w:r>
      <w:r>
        <w:rPr>
          <w:rFonts w:ascii="Arial" w:hAnsi="Arial" w:cs="Arial"/>
          <w:sz w:val="20"/>
          <w:szCs w:val="20"/>
          <w:highlight w:val="yellow"/>
        </w:rPr>
        <w:t>overfitting</w:t>
      </w:r>
      <w:r>
        <w:rPr>
          <w:rFonts w:ascii="Arial" w:hAnsi="Arial" w:cs="Arial"/>
          <w:sz w:val="20"/>
          <w:szCs w:val="20"/>
        </w:rPr>
        <w:t xml:space="preserve">. Consequently, the chosen lag order forms a sound basis for estimating the Vector Error Correction Model (VECM) at lag </w:t>
      </w:r>
      <m:oMath>
        <m:r>
          <w:rPr>
            <w:rFonts w:ascii="Cambria Math" w:hAnsi="Cambria Math" w:cs="Arial"/>
            <w:sz w:val="20"/>
            <w:szCs w:val="20"/>
          </w:rPr>
          <m:t>p-1</m:t>
        </m:r>
      </m:oMath>
      <w:r w:rsidRPr="00A77D49">
        <w:rPr>
          <w:rFonts w:ascii="Arial" w:hAnsi="Arial" w:cs="Arial"/>
          <w:sz w:val="20"/>
          <w:szCs w:val="20"/>
        </w:rPr>
        <w:t xml:space="preserve"> (i.e., 2-1=1 </w:t>
      </w:r>
      <w:r w:rsidRPr="00A77D49">
        <w:rPr>
          <w:rFonts w:ascii="Arial" w:hAnsi="Arial" w:cs="Arial"/>
          <w:sz w:val="20"/>
          <w:szCs w:val="20"/>
        </w:rPr>
        <w:lastRenderedPageBreak/>
        <w:t>lag) and conducting subsequent causality analysis within the context of HIV and TB coinfection dynamics in Nasarawa State, Nigeria.</w:t>
      </w:r>
    </w:p>
    <w:p w14:paraId="66E8E0D1" w14:textId="77777777" w:rsidR="00A3475D" w:rsidRPr="00A77D49" w:rsidRDefault="00A3475D" w:rsidP="00A77D49">
      <w:pPr>
        <w:pStyle w:val="NormalWeb"/>
        <w:spacing w:after="0" w:afterAutospacing="0"/>
        <w:jc w:val="both"/>
        <w:rPr>
          <w:rFonts w:ascii="Arial" w:hAnsi="Arial" w:cs="Arial"/>
          <w:sz w:val="20"/>
          <w:szCs w:val="20"/>
        </w:rPr>
      </w:pPr>
      <w:r w:rsidRPr="00A77D49">
        <w:rPr>
          <w:rFonts w:ascii="Arial" w:hAnsi="Arial" w:cs="Arial"/>
          <w:sz w:val="20"/>
          <w:szCs w:val="20"/>
        </w:rPr>
        <w:t>Having established the existence of a long-run equilibrium relationship among HIV infection, TB infection, and HIV/TB coinfection, and having selected the optimal lag length, the Vector Error Correction Model (VECM) was estimated to capture both the short-run dynamics and the speed of adjustment toward long-run equilibrium. The VECM framework is particularly appropriate because it integrates short-run causal interactions with long-run cointegrating relationships. The inclusion of the error correction term (ECT) allows for the assessment of how deviations from long-run equilibrium are corrected over time. The result of VECM is presented in Table 6.</w:t>
      </w:r>
    </w:p>
    <w:p w14:paraId="0F059595" w14:textId="77777777" w:rsidR="00A3475D" w:rsidRPr="00A77D49" w:rsidRDefault="00A3475D" w:rsidP="00A77D49">
      <w:pPr>
        <w:jc w:val="both"/>
        <w:rPr>
          <w:rFonts w:ascii="Arial" w:hAnsi="Arial" w:cs="Arial"/>
          <w:b/>
        </w:rPr>
      </w:pPr>
      <w:r w:rsidRPr="00A77D49">
        <w:rPr>
          <w:rFonts w:ascii="Arial" w:hAnsi="Arial" w:cs="Arial"/>
          <w:b/>
        </w:rPr>
        <w:t>Table 6: Parameter Estimates of Vector Error Correction Model</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771"/>
        <w:gridCol w:w="1771"/>
        <w:gridCol w:w="1771"/>
        <w:gridCol w:w="1771"/>
        <w:gridCol w:w="1772"/>
      </w:tblGrid>
      <w:tr w:rsidR="00A3475D" w:rsidRPr="00A77D49" w14:paraId="6D5F429E" w14:textId="77777777" w:rsidTr="00A77D49">
        <w:tc>
          <w:tcPr>
            <w:tcW w:w="1771" w:type="dxa"/>
            <w:tcBorders>
              <w:top w:val="single" w:sz="4" w:space="0" w:color="auto"/>
              <w:bottom w:val="single" w:sz="4" w:space="0" w:color="auto"/>
            </w:tcBorders>
          </w:tcPr>
          <w:p w14:paraId="64483EEE" w14:textId="77777777" w:rsidR="00A3475D" w:rsidRPr="00A77D49" w:rsidRDefault="00A3475D" w:rsidP="00A77D49">
            <w:pPr>
              <w:jc w:val="both"/>
              <w:rPr>
                <w:rFonts w:ascii="Arial" w:hAnsi="Arial" w:cs="Arial"/>
                <w:b/>
              </w:rPr>
            </w:pPr>
            <w:r w:rsidRPr="00A77D49">
              <w:rPr>
                <w:rFonts w:ascii="Arial" w:hAnsi="Arial" w:cs="Arial"/>
                <w:b/>
              </w:rPr>
              <w:t xml:space="preserve">Variable </w:t>
            </w:r>
          </w:p>
        </w:tc>
        <w:tc>
          <w:tcPr>
            <w:tcW w:w="1771" w:type="dxa"/>
            <w:tcBorders>
              <w:top w:val="single" w:sz="4" w:space="0" w:color="auto"/>
              <w:bottom w:val="single" w:sz="4" w:space="0" w:color="auto"/>
            </w:tcBorders>
          </w:tcPr>
          <w:p w14:paraId="42A32D71" w14:textId="77777777" w:rsidR="00A3475D" w:rsidRPr="00A77D49" w:rsidRDefault="00A3475D" w:rsidP="00A77D49">
            <w:pPr>
              <w:jc w:val="center"/>
              <w:rPr>
                <w:rFonts w:ascii="Arial" w:hAnsi="Arial" w:cs="Arial"/>
                <w:b/>
              </w:rPr>
            </w:pPr>
            <w:r w:rsidRPr="00A77D49">
              <w:rPr>
                <w:rFonts w:ascii="Arial" w:hAnsi="Arial" w:cs="Arial"/>
                <w:b/>
              </w:rPr>
              <w:t>Coefficient</w:t>
            </w:r>
          </w:p>
        </w:tc>
        <w:tc>
          <w:tcPr>
            <w:tcW w:w="1771" w:type="dxa"/>
            <w:tcBorders>
              <w:top w:val="single" w:sz="4" w:space="0" w:color="auto"/>
              <w:bottom w:val="single" w:sz="4" w:space="0" w:color="auto"/>
            </w:tcBorders>
          </w:tcPr>
          <w:p w14:paraId="091320FF" w14:textId="77777777" w:rsidR="00A3475D" w:rsidRPr="00A77D49" w:rsidRDefault="00A3475D" w:rsidP="00A77D49">
            <w:pPr>
              <w:jc w:val="center"/>
              <w:rPr>
                <w:rFonts w:ascii="Arial" w:hAnsi="Arial" w:cs="Arial"/>
                <w:b/>
              </w:rPr>
            </w:pPr>
            <w:r w:rsidRPr="00A77D49">
              <w:rPr>
                <w:rFonts w:ascii="Arial" w:hAnsi="Arial" w:cs="Arial"/>
                <w:b/>
              </w:rPr>
              <w:t>Std. Error</w:t>
            </w:r>
          </w:p>
        </w:tc>
        <w:tc>
          <w:tcPr>
            <w:tcW w:w="1771" w:type="dxa"/>
            <w:tcBorders>
              <w:top w:val="single" w:sz="4" w:space="0" w:color="auto"/>
              <w:bottom w:val="single" w:sz="4" w:space="0" w:color="auto"/>
            </w:tcBorders>
          </w:tcPr>
          <w:p w14:paraId="3DE57B0D" w14:textId="77777777" w:rsidR="00A3475D" w:rsidRPr="00A77D49" w:rsidRDefault="00A3475D" w:rsidP="00A77D49">
            <w:pPr>
              <w:jc w:val="center"/>
              <w:rPr>
                <w:rFonts w:ascii="Arial" w:hAnsi="Arial" w:cs="Arial"/>
                <w:b/>
              </w:rPr>
            </w:pPr>
            <w:r w:rsidRPr="00A77D49">
              <w:rPr>
                <w:rFonts w:ascii="Arial" w:hAnsi="Arial" w:cs="Arial"/>
                <w:b/>
              </w:rPr>
              <w:t>t-statistic</w:t>
            </w:r>
          </w:p>
        </w:tc>
        <w:tc>
          <w:tcPr>
            <w:tcW w:w="1772" w:type="dxa"/>
            <w:tcBorders>
              <w:top w:val="single" w:sz="4" w:space="0" w:color="auto"/>
              <w:bottom w:val="single" w:sz="4" w:space="0" w:color="auto"/>
            </w:tcBorders>
          </w:tcPr>
          <w:p w14:paraId="27AE8634" w14:textId="77777777" w:rsidR="00A3475D" w:rsidRPr="00A77D49" w:rsidRDefault="00A3475D" w:rsidP="00A77D49">
            <w:pPr>
              <w:jc w:val="center"/>
              <w:rPr>
                <w:rFonts w:ascii="Arial" w:hAnsi="Arial" w:cs="Arial"/>
                <w:b/>
              </w:rPr>
            </w:pPr>
            <w:r w:rsidRPr="00A77D49">
              <w:rPr>
                <w:rFonts w:ascii="Arial" w:hAnsi="Arial" w:cs="Arial"/>
                <w:b/>
              </w:rPr>
              <w:t>p-value</w:t>
            </w:r>
          </w:p>
        </w:tc>
      </w:tr>
      <w:tr w:rsidR="00A3475D" w:rsidRPr="00A77D49" w14:paraId="7800D2DE" w14:textId="77777777" w:rsidTr="00A77D49">
        <w:tc>
          <w:tcPr>
            <w:tcW w:w="1771" w:type="dxa"/>
            <w:tcBorders>
              <w:top w:val="single" w:sz="4" w:space="0" w:color="auto"/>
            </w:tcBorders>
          </w:tcPr>
          <w:p w14:paraId="7A8B9D68" w14:textId="77777777" w:rsidR="00A3475D" w:rsidRPr="00A77D49" w:rsidRDefault="00A3475D" w:rsidP="00A77D49">
            <w:pPr>
              <w:jc w:val="both"/>
              <w:rPr>
                <w:rFonts w:ascii="Arial" w:hAnsi="Arial" w:cs="Arial"/>
              </w:rPr>
            </w:pPr>
            <m:oMath>
              <m:r>
                <w:rPr>
                  <w:rFonts w:ascii="Cambria Math" w:hAnsi="Cambria Math" w:cs="Arial"/>
                </w:rPr>
                <m:t>∆</m:t>
              </m:r>
            </m:oMath>
            <w:r w:rsidRPr="00A77D49">
              <w:rPr>
                <w:rFonts w:ascii="Arial" w:hAnsi="Arial" w:cs="Arial"/>
              </w:rPr>
              <w:t>HIV_TB(-1)</w:t>
            </w:r>
          </w:p>
        </w:tc>
        <w:tc>
          <w:tcPr>
            <w:tcW w:w="1771" w:type="dxa"/>
            <w:tcBorders>
              <w:top w:val="single" w:sz="4" w:space="0" w:color="auto"/>
            </w:tcBorders>
          </w:tcPr>
          <w:p w14:paraId="5922A247" w14:textId="77777777" w:rsidR="00A3475D" w:rsidRPr="00A77D49" w:rsidRDefault="00A3475D" w:rsidP="00A77D49">
            <w:pPr>
              <w:jc w:val="center"/>
              <w:rPr>
                <w:rFonts w:ascii="Arial" w:hAnsi="Arial" w:cs="Arial"/>
              </w:rPr>
            </w:pPr>
            <w:r w:rsidRPr="00A77D49">
              <w:rPr>
                <w:rFonts w:ascii="Arial" w:hAnsi="Arial" w:cs="Arial"/>
              </w:rPr>
              <w:t>-0.25835</w:t>
            </w:r>
          </w:p>
        </w:tc>
        <w:tc>
          <w:tcPr>
            <w:tcW w:w="1771" w:type="dxa"/>
            <w:tcBorders>
              <w:top w:val="single" w:sz="4" w:space="0" w:color="auto"/>
            </w:tcBorders>
          </w:tcPr>
          <w:p w14:paraId="20B8759B" w14:textId="77777777" w:rsidR="00A3475D" w:rsidRPr="00A77D49" w:rsidRDefault="00A3475D" w:rsidP="00A77D49">
            <w:pPr>
              <w:jc w:val="center"/>
              <w:rPr>
                <w:rFonts w:ascii="Arial" w:hAnsi="Arial" w:cs="Arial"/>
              </w:rPr>
            </w:pPr>
            <w:r w:rsidRPr="00A77D49">
              <w:rPr>
                <w:rFonts w:ascii="Arial" w:hAnsi="Arial" w:cs="Arial"/>
              </w:rPr>
              <w:t>0.09049</w:t>
            </w:r>
          </w:p>
        </w:tc>
        <w:tc>
          <w:tcPr>
            <w:tcW w:w="1771" w:type="dxa"/>
            <w:tcBorders>
              <w:top w:val="single" w:sz="4" w:space="0" w:color="auto"/>
            </w:tcBorders>
          </w:tcPr>
          <w:p w14:paraId="5F847FCB" w14:textId="77777777" w:rsidR="00A3475D" w:rsidRPr="00A77D49" w:rsidRDefault="00A3475D" w:rsidP="00A77D49">
            <w:pPr>
              <w:jc w:val="center"/>
              <w:rPr>
                <w:rFonts w:ascii="Arial" w:hAnsi="Arial" w:cs="Arial"/>
              </w:rPr>
            </w:pPr>
            <w:r w:rsidRPr="00A77D49">
              <w:rPr>
                <w:rFonts w:ascii="Arial" w:hAnsi="Arial" w:cs="Arial"/>
              </w:rPr>
              <w:t>-2.85497</w:t>
            </w:r>
          </w:p>
        </w:tc>
        <w:tc>
          <w:tcPr>
            <w:tcW w:w="1772" w:type="dxa"/>
            <w:tcBorders>
              <w:top w:val="single" w:sz="4" w:space="0" w:color="auto"/>
            </w:tcBorders>
          </w:tcPr>
          <w:p w14:paraId="79276955" w14:textId="77777777" w:rsidR="00A3475D" w:rsidRPr="00A77D49" w:rsidRDefault="00A3475D" w:rsidP="00A77D49">
            <w:pPr>
              <w:jc w:val="center"/>
              <w:rPr>
                <w:rFonts w:ascii="Arial" w:hAnsi="Arial" w:cs="Arial"/>
              </w:rPr>
            </w:pPr>
            <w:r w:rsidRPr="00A77D49">
              <w:rPr>
                <w:rFonts w:ascii="Arial" w:hAnsi="Arial" w:cs="Arial"/>
              </w:rPr>
              <w:t>0.0078</w:t>
            </w:r>
          </w:p>
        </w:tc>
      </w:tr>
      <w:tr w:rsidR="00A3475D" w:rsidRPr="00A77D49" w14:paraId="39AFA450" w14:textId="77777777" w:rsidTr="00A77D49">
        <w:tc>
          <w:tcPr>
            <w:tcW w:w="1771" w:type="dxa"/>
          </w:tcPr>
          <w:p w14:paraId="52A68B8E" w14:textId="77777777" w:rsidR="00A3475D" w:rsidRPr="00A77D49" w:rsidRDefault="00A3475D" w:rsidP="00A77D49">
            <w:pPr>
              <w:jc w:val="both"/>
              <w:rPr>
                <w:rFonts w:ascii="Arial" w:hAnsi="Arial" w:cs="Arial"/>
              </w:rPr>
            </w:pPr>
            <m:oMath>
              <m:r>
                <w:rPr>
                  <w:rFonts w:ascii="Cambria Math" w:hAnsi="Cambria Math" w:cs="Arial"/>
                </w:rPr>
                <m:t>∆</m:t>
              </m:r>
            </m:oMath>
            <w:r w:rsidRPr="00A77D49">
              <w:rPr>
                <w:rFonts w:ascii="Arial" w:hAnsi="Arial" w:cs="Arial"/>
              </w:rPr>
              <w:t>HIV</w:t>
            </w:r>
          </w:p>
        </w:tc>
        <w:tc>
          <w:tcPr>
            <w:tcW w:w="1771" w:type="dxa"/>
          </w:tcPr>
          <w:p w14:paraId="5A4498A2" w14:textId="77777777" w:rsidR="00A3475D" w:rsidRPr="00A77D49" w:rsidRDefault="00A3475D" w:rsidP="00A77D49">
            <w:pPr>
              <w:jc w:val="center"/>
              <w:rPr>
                <w:rFonts w:ascii="Arial" w:hAnsi="Arial" w:cs="Arial"/>
              </w:rPr>
            </w:pPr>
            <w:r w:rsidRPr="00A77D49">
              <w:rPr>
                <w:rFonts w:ascii="Arial" w:hAnsi="Arial" w:cs="Arial"/>
              </w:rPr>
              <w:t>1.15624</w:t>
            </w:r>
          </w:p>
        </w:tc>
        <w:tc>
          <w:tcPr>
            <w:tcW w:w="1771" w:type="dxa"/>
          </w:tcPr>
          <w:p w14:paraId="14A054B9" w14:textId="77777777" w:rsidR="00A3475D" w:rsidRPr="00A77D49" w:rsidRDefault="00A3475D" w:rsidP="00A77D49">
            <w:pPr>
              <w:jc w:val="center"/>
              <w:rPr>
                <w:rFonts w:ascii="Arial" w:hAnsi="Arial" w:cs="Arial"/>
              </w:rPr>
            </w:pPr>
            <w:r w:rsidRPr="00A77D49">
              <w:rPr>
                <w:rFonts w:ascii="Arial" w:hAnsi="Arial" w:cs="Arial"/>
              </w:rPr>
              <w:t>0.35978</w:t>
            </w:r>
          </w:p>
        </w:tc>
        <w:tc>
          <w:tcPr>
            <w:tcW w:w="1771" w:type="dxa"/>
          </w:tcPr>
          <w:p w14:paraId="65DEF6D3" w14:textId="77777777" w:rsidR="00A3475D" w:rsidRPr="00A77D49" w:rsidRDefault="00A3475D" w:rsidP="00A77D49">
            <w:pPr>
              <w:jc w:val="center"/>
              <w:rPr>
                <w:rFonts w:ascii="Arial" w:hAnsi="Arial" w:cs="Arial"/>
              </w:rPr>
            </w:pPr>
            <w:r w:rsidRPr="00A77D49">
              <w:rPr>
                <w:rFonts w:ascii="Arial" w:hAnsi="Arial" w:cs="Arial"/>
              </w:rPr>
              <w:t>3.21374</w:t>
            </w:r>
          </w:p>
        </w:tc>
        <w:tc>
          <w:tcPr>
            <w:tcW w:w="1772" w:type="dxa"/>
          </w:tcPr>
          <w:p w14:paraId="35AFF0A4" w14:textId="77777777" w:rsidR="00A3475D" w:rsidRPr="00A77D49" w:rsidRDefault="00A3475D" w:rsidP="00A77D49">
            <w:pPr>
              <w:jc w:val="center"/>
              <w:rPr>
                <w:rFonts w:ascii="Arial" w:hAnsi="Arial" w:cs="Arial"/>
              </w:rPr>
            </w:pPr>
            <w:r w:rsidRPr="00A77D49">
              <w:rPr>
                <w:rFonts w:ascii="Arial" w:hAnsi="Arial" w:cs="Arial"/>
              </w:rPr>
              <w:t>0.0016</w:t>
            </w:r>
          </w:p>
        </w:tc>
      </w:tr>
      <w:tr w:rsidR="00A3475D" w:rsidRPr="00A77D49" w14:paraId="45EC65E8" w14:textId="77777777" w:rsidTr="00A77D49">
        <w:tc>
          <w:tcPr>
            <w:tcW w:w="1771" w:type="dxa"/>
          </w:tcPr>
          <w:p w14:paraId="223F57A6" w14:textId="77777777" w:rsidR="00A3475D" w:rsidRPr="00A77D49" w:rsidRDefault="00A3475D" w:rsidP="00A77D49">
            <w:pPr>
              <w:jc w:val="both"/>
              <w:rPr>
                <w:rFonts w:ascii="Arial" w:hAnsi="Arial" w:cs="Arial"/>
              </w:rPr>
            </w:pPr>
            <m:oMath>
              <m:r>
                <w:rPr>
                  <w:rFonts w:ascii="Cambria Math" w:hAnsi="Cambria Math" w:cs="Arial"/>
                </w:rPr>
                <m:t>∆</m:t>
              </m:r>
            </m:oMath>
            <w:r w:rsidRPr="00A77D49">
              <w:rPr>
                <w:rFonts w:ascii="Arial" w:hAnsi="Arial" w:cs="Arial"/>
              </w:rPr>
              <w:t>HIV(-1)</w:t>
            </w:r>
          </w:p>
        </w:tc>
        <w:tc>
          <w:tcPr>
            <w:tcW w:w="1771" w:type="dxa"/>
          </w:tcPr>
          <w:p w14:paraId="731232D3" w14:textId="77777777" w:rsidR="00A3475D" w:rsidRPr="00A77D49" w:rsidRDefault="00A3475D" w:rsidP="00A77D49">
            <w:pPr>
              <w:jc w:val="center"/>
              <w:rPr>
                <w:rFonts w:ascii="Arial" w:hAnsi="Arial" w:cs="Arial"/>
              </w:rPr>
            </w:pPr>
            <w:r w:rsidRPr="00A77D49">
              <w:rPr>
                <w:rFonts w:ascii="Arial" w:hAnsi="Arial" w:cs="Arial"/>
              </w:rPr>
              <w:t>0.35856</w:t>
            </w:r>
          </w:p>
        </w:tc>
        <w:tc>
          <w:tcPr>
            <w:tcW w:w="1771" w:type="dxa"/>
          </w:tcPr>
          <w:p w14:paraId="1C34B959" w14:textId="77777777" w:rsidR="00A3475D" w:rsidRPr="00A77D49" w:rsidRDefault="00A3475D" w:rsidP="00A77D49">
            <w:pPr>
              <w:jc w:val="center"/>
              <w:rPr>
                <w:rFonts w:ascii="Arial" w:hAnsi="Arial" w:cs="Arial"/>
              </w:rPr>
            </w:pPr>
            <w:r w:rsidRPr="00A77D49">
              <w:rPr>
                <w:rFonts w:ascii="Arial" w:hAnsi="Arial" w:cs="Arial"/>
              </w:rPr>
              <w:t>0.04534</w:t>
            </w:r>
          </w:p>
        </w:tc>
        <w:tc>
          <w:tcPr>
            <w:tcW w:w="1771" w:type="dxa"/>
          </w:tcPr>
          <w:p w14:paraId="2DB74601" w14:textId="77777777" w:rsidR="00A3475D" w:rsidRPr="00A77D49" w:rsidRDefault="00A3475D" w:rsidP="00A77D49">
            <w:pPr>
              <w:jc w:val="center"/>
              <w:rPr>
                <w:rFonts w:ascii="Arial" w:hAnsi="Arial" w:cs="Arial"/>
              </w:rPr>
            </w:pPr>
            <w:r w:rsidRPr="00A77D49">
              <w:rPr>
                <w:rFonts w:ascii="Arial" w:hAnsi="Arial" w:cs="Arial"/>
              </w:rPr>
              <w:t>7.90821</w:t>
            </w:r>
          </w:p>
        </w:tc>
        <w:tc>
          <w:tcPr>
            <w:tcW w:w="1772" w:type="dxa"/>
          </w:tcPr>
          <w:p w14:paraId="6B055074" w14:textId="77777777" w:rsidR="00A3475D" w:rsidRPr="00A77D49" w:rsidRDefault="00A3475D" w:rsidP="00A77D49">
            <w:pPr>
              <w:jc w:val="center"/>
              <w:rPr>
                <w:rFonts w:ascii="Arial" w:hAnsi="Arial" w:cs="Arial"/>
              </w:rPr>
            </w:pPr>
            <w:r w:rsidRPr="00A77D49">
              <w:rPr>
                <w:rFonts w:ascii="Arial" w:hAnsi="Arial" w:cs="Arial"/>
              </w:rPr>
              <w:t>0.0000</w:t>
            </w:r>
          </w:p>
        </w:tc>
      </w:tr>
      <w:tr w:rsidR="00A3475D" w:rsidRPr="00A77D49" w14:paraId="1D7B5C1C" w14:textId="77777777" w:rsidTr="00A77D49">
        <w:tc>
          <w:tcPr>
            <w:tcW w:w="1771" w:type="dxa"/>
          </w:tcPr>
          <w:p w14:paraId="190E4130" w14:textId="77777777" w:rsidR="00A3475D" w:rsidRPr="00A77D49" w:rsidRDefault="00A3475D" w:rsidP="00A77D49">
            <w:pPr>
              <w:jc w:val="both"/>
              <w:rPr>
                <w:rFonts w:ascii="Arial" w:hAnsi="Arial" w:cs="Arial"/>
              </w:rPr>
            </w:pPr>
            <m:oMath>
              <m:r>
                <w:rPr>
                  <w:rFonts w:ascii="Cambria Math" w:hAnsi="Cambria Math" w:cs="Arial"/>
                </w:rPr>
                <m:t>∆</m:t>
              </m:r>
            </m:oMath>
            <w:r w:rsidRPr="00A77D49">
              <w:rPr>
                <w:rFonts w:ascii="Arial" w:hAnsi="Arial" w:cs="Arial"/>
              </w:rPr>
              <w:t>TB</w:t>
            </w:r>
          </w:p>
        </w:tc>
        <w:tc>
          <w:tcPr>
            <w:tcW w:w="1771" w:type="dxa"/>
          </w:tcPr>
          <w:p w14:paraId="52E781FD" w14:textId="77777777" w:rsidR="00A3475D" w:rsidRPr="00A77D49" w:rsidRDefault="00A3475D" w:rsidP="00A77D49">
            <w:pPr>
              <w:jc w:val="center"/>
              <w:rPr>
                <w:rFonts w:ascii="Arial" w:hAnsi="Arial" w:cs="Arial"/>
              </w:rPr>
            </w:pPr>
            <w:r w:rsidRPr="00A77D49">
              <w:rPr>
                <w:rFonts w:ascii="Arial" w:hAnsi="Arial" w:cs="Arial"/>
              </w:rPr>
              <w:t>-0.61155</w:t>
            </w:r>
          </w:p>
        </w:tc>
        <w:tc>
          <w:tcPr>
            <w:tcW w:w="1771" w:type="dxa"/>
          </w:tcPr>
          <w:p w14:paraId="16729F8E" w14:textId="77777777" w:rsidR="00A3475D" w:rsidRPr="00A77D49" w:rsidRDefault="00A3475D" w:rsidP="00A77D49">
            <w:pPr>
              <w:jc w:val="center"/>
              <w:rPr>
                <w:rFonts w:ascii="Arial" w:hAnsi="Arial" w:cs="Arial"/>
              </w:rPr>
            </w:pPr>
            <w:r w:rsidRPr="00A77D49">
              <w:rPr>
                <w:rFonts w:ascii="Arial" w:hAnsi="Arial" w:cs="Arial"/>
              </w:rPr>
              <w:t>0.14435</w:t>
            </w:r>
          </w:p>
        </w:tc>
        <w:tc>
          <w:tcPr>
            <w:tcW w:w="1771" w:type="dxa"/>
          </w:tcPr>
          <w:p w14:paraId="465FB97E" w14:textId="77777777" w:rsidR="00A3475D" w:rsidRPr="00A77D49" w:rsidRDefault="00A3475D" w:rsidP="00A77D49">
            <w:pPr>
              <w:jc w:val="center"/>
              <w:rPr>
                <w:rFonts w:ascii="Arial" w:hAnsi="Arial" w:cs="Arial"/>
              </w:rPr>
            </w:pPr>
            <w:r w:rsidRPr="00A77D49">
              <w:rPr>
                <w:rFonts w:ascii="Arial" w:hAnsi="Arial" w:cs="Arial"/>
              </w:rPr>
              <w:t>-4.23658</w:t>
            </w:r>
          </w:p>
        </w:tc>
        <w:tc>
          <w:tcPr>
            <w:tcW w:w="1772" w:type="dxa"/>
          </w:tcPr>
          <w:p w14:paraId="615BE55F" w14:textId="77777777" w:rsidR="00A3475D" w:rsidRPr="00A77D49" w:rsidRDefault="00A3475D" w:rsidP="00A77D49">
            <w:pPr>
              <w:jc w:val="center"/>
              <w:rPr>
                <w:rFonts w:ascii="Arial" w:hAnsi="Arial" w:cs="Arial"/>
              </w:rPr>
            </w:pPr>
            <w:r w:rsidRPr="00A77D49">
              <w:rPr>
                <w:rFonts w:ascii="Arial" w:hAnsi="Arial" w:cs="Arial"/>
              </w:rPr>
              <w:t>0.0000</w:t>
            </w:r>
          </w:p>
        </w:tc>
      </w:tr>
      <w:tr w:rsidR="00A3475D" w:rsidRPr="00A77D49" w14:paraId="2E0C0AE5" w14:textId="77777777" w:rsidTr="00A77D49">
        <w:tc>
          <w:tcPr>
            <w:tcW w:w="1771" w:type="dxa"/>
          </w:tcPr>
          <w:p w14:paraId="2089558C" w14:textId="77777777" w:rsidR="00A3475D" w:rsidRPr="00A77D49" w:rsidRDefault="00A3475D" w:rsidP="00A77D49">
            <w:pPr>
              <w:jc w:val="both"/>
              <w:rPr>
                <w:rFonts w:ascii="Arial" w:hAnsi="Arial" w:cs="Arial"/>
              </w:rPr>
            </w:pPr>
            <m:oMath>
              <m:r>
                <w:rPr>
                  <w:rFonts w:ascii="Cambria Math" w:hAnsi="Cambria Math" w:cs="Arial"/>
                </w:rPr>
                <m:t>∆</m:t>
              </m:r>
            </m:oMath>
            <w:r w:rsidRPr="00A77D49">
              <w:rPr>
                <w:rFonts w:ascii="Arial" w:hAnsi="Arial" w:cs="Arial"/>
              </w:rPr>
              <w:t>TB(-1)</w:t>
            </w:r>
          </w:p>
        </w:tc>
        <w:tc>
          <w:tcPr>
            <w:tcW w:w="1771" w:type="dxa"/>
          </w:tcPr>
          <w:p w14:paraId="4FA39840" w14:textId="77777777" w:rsidR="00A3475D" w:rsidRPr="00A77D49" w:rsidRDefault="00A3475D" w:rsidP="00A77D49">
            <w:pPr>
              <w:jc w:val="center"/>
              <w:rPr>
                <w:rFonts w:ascii="Arial" w:hAnsi="Arial" w:cs="Arial"/>
              </w:rPr>
            </w:pPr>
            <w:r w:rsidRPr="00A77D49">
              <w:rPr>
                <w:rFonts w:ascii="Arial" w:hAnsi="Arial" w:cs="Arial"/>
              </w:rPr>
              <w:t>-0.58626</w:t>
            </w:r>
          </w:p>
        </w:tc>
        <w:tc>
          <w:tcPr>
            <w:tcW w:w="1771" w:type="dxa"/>
          </w:tcPr>
          <w:p w14:paraId="5214B886" w14:textId="77777777" w:rsidR="00A3475D" w:rsidRPr="00A77D49" w:rsidRDefault="00A3475D" w:rsidP="00A77D49">
            <w:pPr>
              <w:jc w:val="center"/>
              <w:rPr>
                <w:rFonts w:ascii="Arial" w:hAnsi="Arial" w:cs="Arial"/>
              </w:rPr>
            </w:pPr>
            <w:r w:rsidRPr="00A77D49">
              <w:rPr>
                <w:rFonts w:ascii="Arial" w:hAnsi="Arial" w:cs="Arial"/>
              </w:rPr>
              <w:t>0.24028</w:t>
            </w:r>
          </w:p>
        </w:tc>
        <w:tc>
          <w:tcPr>
            <w:tcW w:w="1771" w:type="dxa"/>
          </w:tcPr>
          <w:p w14:paraId="7FF7CE62" w14:textId="77777777" w:rsidR="00A3475D" w:rsidRPr="00A77D49" w:rsidRDefault="00A3475D" w:rsidP="00A77D49">
            <w:pPr>
              <w:jc w:val="center"/>
              <w:rPr>
                <w:rFonts w:ascii="Arial" w:hAnsi="Arial" w:cs="Arial"/>
              </w:rPr>
            </w:pPr>
            <w:r w:rsidRPr="00A77D49">
              <w:rPr>
                <w:rFonts w:ascii="Arial" w:hAnsi="Arial" w:cs="Arial"/>
              </w:rPr>
              <w:t>-2.43989</w:t>
            </w:r>
          </w:p>
        </w:tc>
        <w:tc>
          <w:tcPr>
            <w:tcW w:w="1772" w:type="dxa"/>
          </w:tcPr>
          <w:p w14:paraId="60B58068" w14:textId="77777777" w:rsidR="00A3475D" w:rsidRPr="00A77D49" w:rsidRDefault="00A3475D" w:rsidP="00A77D49">
            <w:pPr>
              <w:jc w:val="center"/>
              <w:rPr>
                <w:rFonts w:ascii="Arial" w:hAnsi="Arial" w:cs="Arial"/>
              </w:rPr>
            </w:pPr>
            <w:r w:rsidRPr="00A77D49">
              <w:rPr>
                <w:rFonts w:ascii="Arial" w:hAnsi="Arial" w:cs="Arial"/>
              </w:rPr>
              <w:t>0.0143</w:t>
            </w:r>
          </w:p>
        </w:tc>
      </w:tr>
      <w:tr w:rsidR="00A3475D" w:rsidRPr="00A77D49" w14:paraId="10CAD700" w14:textId="77777777" w:rsidTr="00A77D49">
        <w:tc>
          <w:tcPr>
            <w:tcW w:w="1771" w:type="dxa"/>
          </w:tcPr>
          <w:p w14:paraId="1F0AC95C" w14:textId="77777777" w:rsidR="00A3475D" w:rsidRPr="00A77D49" w:rsidRDefault="00A3475D" w:rsidP="00A77D49">
            <w:pPr>
              <w:jc w:val="both"/>
              <w:rPr>
                <w:rFonts w:ascii="Arial" w:hAnsi="Arial" w:cs="Arial"/>
              </w:rPr>
            </w:pPr>
            <w:r w:rsidRPr="00A77D49">
              <w:rPr>
                <w:rFonts w:ascii="Arial" w:hAnsi="Arial" w:cs="Arial"/>
              </w:rPr>
              <w:t>EC(-1)</w:t>
            </w:r>
          </w:p>
        </w:tc>
        <w:tc>
          <w:tcPr>
            <w:tcW w:w="1771" w:type="dxa"/>
            <w:vAlign w:val="bottom"/>
          </w:tcPr>
          <w:p w14:paraId="7BDBA3E9"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-0.578591</w:t>
            </w:r>
          </w:p>
        </w:tc>
        <w:tc>
          <w:tcPr>
            <w:tcW w:w="1771" w:type="dxa"/>
          </w:tcPr>
          <w:p w14:paraId="342C2B83" w14:textId="77777777" w:rsidR="00A3475D" w:rsidRPr="00A77D49" w:rsidRDefault="00A3475D" w:rsidP="00A77D49">
            <w:pPr>
              <w:jc w:val="center"/>
              <w:rPr>
                <w:rFonts w:ascii="Arial" w:hAnsi="Arial" w:cs="Arial"/>
              </w:rPr>
            </w:pPr>
            <w:r w:rsidRPr="00A77D49">
              <w:rPr>
                <w:rFonts w:ascii="Arial" w:hAnsi="Arial" w:cs="Arial"/>
              </w:rPr>
              <w:t>0.04382</w:t>
            </w:r>
          </w:p>
        </w:tc>
        <w:tc>
          <w:tcPr>
            <w:tcW w:w="1771" w:type="dxa"/>
          </w:tcPr>
          <w:p w14:paraId="1D8E22D3" w14:textId="77777777" w:rsidR="00A3475D" w:rsidRPr="00A77D49" w:rsidRDefault="00A3475D" w:rsidP="00A77D49">
            <w:pPr>
              <w:jc w:val="center"/>
              <w:rPr>
                <w:rFonts w:ascii="Arial" w:hAnsi="Arial" w:cs="Arial"/>
              </w:rPr>
            </w:pPr>
            <w:r w:rsidRPr="00A77D49">
              <w:rPr>
                <w:rFonts w:ascii="Arial" w:hAnsi="Arial" w:cs="Arial"/>
              </w:rPr>
              <w:t>-13.2038</w:t>
            </w:r>
          </w:p>
        </w:tc>
        <w:tc>
          <w:tcPr>
            <w:tcW w:w="1772" w:type="dxa"/>
          </w:tcPr>
          <w:p w14:paraId="70DAB125" w14:textId="77777777" w:rsidR="00A3475D" w:rsidRPr="00A77D49" w:rsidRDefault="00A3475D" w:rsidP="00A77D49">
            <w:pPr>
              <w:jc w:val="center"/>
              <w:rPr>
                <w:rFonts w:ascii="Arial" w:hAnsi="Arial" w:cs="Arial"/>
              </w:rPr>
            </w:pPr>
            <w:r w:rsidRPr="00A77D49">
              <w:rPr>
                <w:rFonts w:ascii="Arial" w:hAnsi="Arial" w:cs="Arial"/>
              </w:rPr>
              <w:t>0.0000</w:t>
            </w:r>
          </w:p>
        </w:tc>
      </w:tr>
      <w:tr w:rsidR="00A3475D" w:rsidRPr="00A77D49" w14:paraId="5DFEFFDE" w14:textId="77777777" w:rsidTr="00A77D49">
        <w:trPr>
          <w:trHeight w:val="179"/>
        </w:trPr>
        <w:tc>
          <w:tcPr>
            <w:tcW w:w="1771" w:type="dxa"/>
            <w:vAlign w:val="bottom"/>
          </w:tcPr>
          <w:p w14:paraId="50A6C688" w14:textId="77777777" w:rsidR="00A3475D" w:rsidRPr="00A77D49" w:rsidRDefault="00A3475D" w:rsidP="00A77D49">
            <w:pPr>
              <w:autoSpaceDE w:val="0"/>
              <w:autoSpaceDN w:val="0"/>
              <w:adjustRightInd w:val="0"/>
              <w:rPr>
                <w:rFonts w:ascii="Arial" w:hAnsi="Arial" w:cs="Arial"/>
                <w:color w:val="000000"/>
              </w:rPr>
            </w:pPr>
            <w:r w:rsidRPr="00A77D49">
              <w:rPr>
                <w:rFonts w:ascii="Arial" w:hAnsi="Arial" w:cs="Arial"/>
                <w:color w:val="000000"/>
              </w:rPr>
              <w:t> R-squared</w:t>
            </w:r>
          </w:p>
        </w:tc>
        <w:tc>
          <w:tcPr>
            <w:tcW w:w="1771" w:type="dxa"/>
            <w:vAlign w:val="bottom"/>
          </w:tcPr>
          <w:p w14:paraId="291B3DB4"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0.799239</w:t>
            </w:r>
          </w:p>
        </w:tc>
        <w:tc>
          <w:tcPr>
            <w:tcW w:w="1771" w:type="dxa"/>
          </w:tcPr>
          <w:p w14:paraId="151AE441" w14:textId="77777777" w:rsidR="00A3475D" w:rsidRPr="00A77D49" w:rsidRDefault="00A3475D" w:rsidP="00A77D49">
            <w:pPr>
              <w:jc w:val="center"/>
              <w:rPr>
                <w:rFonts w:ascii="Arial" w:hAnsi="Arial" w:cs="Arial"/>
              </w:rPr>
            </w:pPr>
          </w:p>
        </w:tc>
        <w:tc>
          <w:tcPr>
            <w:tcW w:w="1771" w:type="dxa"/>
          </w:tcPr>
          <w:p w14:paraId="43B35E7D" w14:textId="77777777" w:rsidR="00A3475D" w:rsidRPr="00A77D49" w:rsidRDefault="00A3475D" w:rsidP="00A77D49">
            <w:pPr>
              <w:jc w:val="center"/>
              <w:rPr>
                <w:rFonts w:ascii="Arial" w:hAnsi="Arial" w:cs="Arial"/>
              </w:rPr>
            </w:pPr>
          </w:p>
        </w:tc>
        <w:tc>
          <w:tcPr>
            <w:tcW w:w="1772" w:type="dxa"/>
          </w:tcPr>
          <w:p w14:paraId="533CC92F" w14:textId="77777777" w:rsidR="00A3475D" w:rsidRPr="00A77D49" w:rsidRDefault="00A3475D" w:rsidP="00A77D49">
            <w:pPr>
              <w:jc w:val="center"/>
              <w:rPr>
                <w:rFonts w:ascii="Arial" w:hAnsi="Arial" w:cs="Arial"/>
              </w:rPr>
            </w:pPr>
          </w:p>
        </w:tc>
      </w:tr>
      <w:tr w:rsidR="00A3475D" w:rsidRPr="00A77D49" w14:paraId="5517ED5A" w14:textId="77777777" w:rsidTr="00A77D49">
        <w:tc>
          <w:tcPr>
            <w:tcW w:w="1771" w:type="dxa"/>
            <w:vAlign w:val="bottom"/>
          </w:tcPr>
          <w:p w14:paraId="1AAAC1CA" w14:textId="77777777" w:rsidR="00A3475D" w:rsidRPr="00A77D49" w:rsidRDefault="00A3475D" w:rsidP="00A77D49">
            <w:pPr>
              <w:autoSpaceDE w:val="0"/>
              <w:autoSpaceDN w:val="0"/>
              <w:adjustRightInd w:val="0"/>
              <w:rPr>
                <w:rFonts w:ascii="Arial" w:hAnsi="Arial" w:cs="Arial"/>
                <w:color w:val="000000"/>
              </w:rPr>
            </w:pPr>
            <w:r w:rsidRPr="00A77D49">
              <w:rPr>
                <w:rFonts w:ascii="Arial" w:hAnsi="Arial" w:cs="Arial"/>
                <w:color w:val="000000"/>
              </w:rPr>
              <w:t> Adj. R-squared</w:t>
            </w:r>
          </w:p>
        </w:tc>
        <w:tc>
          <w:tcPr>
            <w:tcW w:w="1771" w:type="dxa"/>
            <w:vAlign w:val="bottom"/>
          </w:tcPr>
          <w:p w14:paraId="23D92991"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0.715531</w:t>
            </w:r>
          </w:p>
        </w:tc>
        <w:tc>
          <w:tcPr>
            <w:tcW w:w="1771" w:type="dxa"/>
          </w:tcPr>
          <w:p w14:paraId="5D1C6894" w14:textId="77777777" w:rsidR="00A3475D" w:rsidRPr="00A77D49" w:rsidRDefault="00A3475D" w:rsidP="00A77D49">
            <w:pPr>
              <w:jc w:val="center"/>
              <w:rPr>
                <w:rFonts w:ascii="Arial" w:hAnsi="Arial" w:cs="Arial"/>
              </w:rPr>
            </w:pPr>
          </w:p>
        </w:tc>
        <w:tc>
          <w:tcPr>
            <w:tcW w:w="1771" w:type="dxa"/>
          </w:tcPr>
          <w:p w14:paraId="25E4EBDB" w14:textId="77777777" w:rsidR="00A3475D" w:rsidRPr="00A77D49" w:rsidRDefault="00A3475D" w:rsidP="00A77D49">
            <w:pPr>
              <w:jc w:val="center"/>
              <w:rPr>
                <w:rFonts w:ascii="Arial" w:hAnsi="Arial" w:cs="Arial"/>
              </w:rPr>
            </w:pPr>
          </w:p>
        </w:tc>
        <w:tc>
          <w:tcPr>
            <w:tcW w:w="1772" w:type="dxa"/>
          </w:tcPr>
          <w:p w14:paraId="5A38EE39" w14:textId="77777777" w:rsidR="00A3475D" w:rsidRPr="00A77D49" w:rsidRDefault="00A3475D" w:rsidP="00A77D49">
            <w:pPr>
              <w:jc w:val="center"/>
              <w:rPr>
                <w:rFonts w:ascii="Arial" w:hAnsi="Arial" w:cs="Arial"/>
              </w:rPr>
            </w:pPr>
          </w:p>
        </w:tc>
      </w:tr>
      <w:tr w:rsidR="00A3475D" w:rsidRPr="00A77D49" w14:paraId="24CD86B0" w14:textId="77777777" w:rsidTr="00A77D49">
        <w:tc>
          <w:tcPr>
            <w:tcW w:w="1771" w:type="dxa"/>
            <w:vAlign w:val="bottom"/>
          </w:tcPr>
          <w:p w14:paraId="11F97E13" w14:textId="77777777" w:rsidR="00A3475D" w:rsidRPr="00A77D49" w:rsidRDefault="00A3475D" w:rsidP="00A77D49">
            <w:pPr>
              <w:autoSpaceDE w:val="0"/>
              <w:autoSpaceDN w:val="0"/>
              <w:adjustRightInd w:val="0"/>
              <w:rPr>
                <w:rFonts w:ascii="Arial" w:hAnsi="Arial" w:cs="Arial"/>
                <w:color w:val="000000"/>
              </w:rPr>
            </w:pPr>
            <w:r w:rsidRPr="00A77D49">
              <w:rPr>
                <w:rFonts w:ascii="Arial" w:hAnsi="Arial" w:cs="Arial"/>
                <w:color w:val="000000"/>
              </w:rPr>
              <w:t> F-statistic</w:t>
            </w:r>
          </w:p>
        </w:tc>
        <w:tc>
          <w:tcPr>
            <w:tcW w:w="1771" w:type="dxa"/>
            <w:vAlign w:val="bottom"/>
          </w:tcPr>
          <w:p w14:paraId="2B66535B"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14.42515</w:t>
            </w:r>
          </w:p>
        </w:tc>
        <w:tc>
          <w:tcPr>
            <w:tcW w:w="1771" w:type="dxa"/>
          </w:tcPr>
          <w:p w14:paraId="0F98833B" w14:textId="77777777" w:rsidR="00A3475D" w:rsidRPr="00A77D49" w:rsidRDefault="00A3475D" w:rsidP="00A77D49">
            <w:pPr>
              <w:jc w:val="center"/>
              <w:rPr>
                <w:rFonts w:ascii="Arial" w:hAnsi="Arial" w:cs="Arial"/>
              </w:rPr>
            </w:pPr>
          </w:p>
        </w:tc>
        <w:tc>
          <w:tcPr>
            <w:tcW w:w="1771" w:type="dxa"/>
          </w:tcPr>
          <w:p w14:paraId="68EF389C" w14:textId="77777777" w:rsidR="00A3475D" w:rsidRPr="00A77D49" w:rsidRDefault="00A3475D" w:rsidP="00A77D49">
            <w:pPr>
              <w:jc w:val="center"/>
              <w:rPr>
                <w:rFonts w:ascii="Arial" w:hAnsi="Arial" w:cs="Arial"/>
              </w:rPr>
            </w:pPr>
          </w:p>
        </w:tc>
        <w:tc>
          <w:tcPr>
            <w:tcW w:w="1772" w:type="dxa"/>
          </w:tcPr>
          <w:p w14:paraId="3C5BB222" w14:textId="77777777" w:rsidR="00A3475D" w:rsidRPr="00A77D49" w:rsidRDefault="00A3475D" w:rsidP="00A77D49">
            <w:pPr>
              <w:jc w:val="center"/>
              <w:rPr>
                <w:rFonts w:ascii="Arial" w:hAnsi="Arial" w:cs="Arial"/>
              </w:rPr>
            </w:pPr>
          </w:p>
        </w:tc>
      </w:tr>
    </w:tbl>
    <w:p w14:paraId="7BB4DA96" w14:textId="77777777" w:rsidR="00A3475D" w:rsidRPr="00A77D49" w:rsidRDefault="00A3475D" w:rsidP="00A77D49">
      <w:pPr>
        <w:pStyle w:val="NormalWeb"/>
        <w:spacing w:after="0" w:afterAutospacing="0"/>
        <w:jc w:val="both"/>
        <w:rPr>
          <w:rFonts w:ascii="Arial" w:hAnsi="Arial" w:cs="Arial"/>
          <w:sz w:val="20"/>
          <w:szCs w:val="20"/>
        </w:rPr>
      </w:pPr>
      <w:r>
        <w:rPr>
          <w:rFonts w:ascii="Arial" w:hAnsi="Arial" w:cs="Arial"/>
          <w:sz w:val="20"/>
          <w:szCs w:val="20"/>
        </w:rPr>
        <w:t xml:space="preserve">Table 6 presents the parameter estimates of the VECM with first difference of HIV/TB coinfection as the dependent variable. The results </w:t>
      </w:r>
      <w:r>
        <w:rPr>
          <w:rFonts w:ascii="Arial" w:hAnsi="Arial" w:cs="Arial"/>
          <w:sz w:val="20"/>
          <w:szCs w:val="20"/>
          <w:highlight w:val="yellow"/>
        </w:rPr>
        <w:t>provide a deeper understanding</w:t>
      </w:r>
      <w:r>
        <w:rPr>
          <w:rFonts w:ascii="Arial" w:hAnsi="Arial" w:cs="Arial"/>
          <w:sz w:val="20"/>
          <w:szCs w:val="20"/>
        </w:rPr>
        <w:t xml:space="preserve"> of both short-run effects and long-run adjustment dynamics.</w:t>
      </w:r>
      <w:r w:rsidR="00A77D49">
        <w:rPr>
          <w:rFonts w:ascii="Arial" w:hAnsi="Arial" w:cs="Arial"/>
          <w:sz w:val="20"/>
          <w:szCs w:val="20"/>
        </w:rPr>
        <w:t xml:space="preserve"> </w:t>
      </w:r>
      <w:r w:rsidRPr="006F5C73">
        <w:rPr>
          <w:rFonts w:ascii="Arial" w:hAnsi="Arial" w:cs="Arial"/>
          <w:sz w:val="20"/>
          <w:szCs w:val="20"/>
          <w:highlight w:val="yellow"/>
        </w:rPr>
        <w:t>The error correction term, EC(-1), has a negative coefficient (-0.5786) and is highly statistically significant (p = 0.0000). This satisfies the theoretical expectation for convergence and indicates the presence of a stable long-run equilibrium. Specifically, the coefficient suggests that approximately 58% of any short-run disequilibrium in HIV/TB coinfection is corrected within one period, implying a relatively fast speed of adjustment back to the long-run path following shocks to the system</w:t>
      </w:r>
      <w:r w:rsidRPr="00A77D49">
        <w:rPr>
          <w:rFonts w:ascii="Arial" w:hAnsi="Arial" w:cs="Arial"/>
          <w:sz w:val="20"/>
          <w:szCs w:val="20"/>
        </w:rPr>
        <w:t>.</w:t>
      </w:r>
      <w:r w:rsidR="00A77D49">
        <w:rPr>
          <w:rFonts w:ascii="Arial" w:hAnsi="Arial" w:cs="Arial"/>
          <w:sz w:val="20"/>
          <w:szCs w:val="20"/>
        </w:rPr>
        <w:t xml:space="preserve"> </w:t>
      </w:r>
      <w:r w:rsidRPr="00A77D49">
        <w:rPr>
          <w:rFonts w:ascii="Arial" w:hAnsi="Arial" w:cs="Arial"/>
          <w:sz w:val="20"/>
          <w:szCs w:val="20"/>
        </w:rPr>
        <w:t>Regarding the short-run dynamics, the coefficient of ∆HIV_TB(-1) is negative (-0.2584) and statistically significant (p = 0.0078), indicating that past changes in HIV/TB coinfection exert a corrective influence on its current changes. This reflects short-run inertia and adjustment behaviour in coinfection cases.</w:t>
      </w:r>
    </w:p>
    <w:p w14:paraId="6432A5B9" w14:textId="77777777" w:rsidR="00A3475D" w:rsidRPr="00A77D49" w:rsidRDefault="00A3475D" w:rsidP="00A77D49">
      <w:pPr>
        <w:pStyle w:val="NormalWeb"/>
        <w:spacing w:after="0" w:afterAutospacing="0"/>
        <w:jc w:val="both"/>
        <w:rPr>
          <w:rFonts w:ascii="Arial" w:hAnsi="Arial" w:cs="Arial"/>
          <w:sz w:val="20"/>
          <w:szCs w:val="20"/>
        </w:rPr>
      </w:pPr>
      <w:r w:rsidRPr="00A77D49">
        <w:rPr>
          <w:rFonts w:ascii="Arial" w:hAnsi="Arial" w:cs="Arial"/>
          <w:sz w:val="20"/>
          <w:szCs w:val="20"/>
        </w:rPr>
        <w:t>The contemporaneous change in HIV infection (∆HIV) has a positive and significant effect (1.1562, p = 0.0016), implying that an increase in HIV cases in the short run leads to a rise in HIV/TB coinfection. Similarly, the lagged change in HIV infection ∆HIV(–1) is also positive and highly significant (0.3586, p = 0.0000), reinforcing the strong short-run influence of HIV dynamics on coinfection outcomes.</w:t>
      </w:r>
      <w:r w:rsidR="00A77D49">
        <w:rPr>
          <w:rFonts w:ascii="Arial" w:hAnsi="Arial" w:cs="Arial"/>
          <w:sz w:val="20"/>
          <w:szCs w:val="20"/>
        </w:rPr>
        <w:t xml:space="preserve"> </w:t>
      </w:r>
      <w:r w:rsidRPr="00A77D49">
        <w:rPr>
          <w:rFonts w:ascii="Arial" w:hAnsi="Arial" w:cs="Arial"/>
          <w:sz w:val="20"/>
          <w:szCs w:val="20"/>
        </w:rPr>
        <w:t>In contrast, both the contemporaneous and lagged changes in TB infection exert negative and statistically significant effects on HIV/TB coinfection. The coefficient of ∆TB is -0.6116 (p = 0.0000), while ∆TB(-1) is -0.5863 (p = 0.0143). These negative short-run effects may reflect intensified TB control interventions, treatment effects, or reporting dynamics that reduce the overlap with HIV cases in the short term, even though TB remains positively linked to coinfection in the long run.</w:t>
      </w:r>
      <w:r w:rsidR="00A77D49">
        <w:rPr>
          <w:rFonts w:ascii="Arial" w:hAnsi="Arial" w:cs="Arial"/>
          <w:sz w:val="20"/>
          <w:szCs w:val="20"/>
        </w:rPr>
        <w:t xml:space="preserve"> </w:t>
      </w:r>
      <w:r w:rsidRPr="00A77D49">
        <w:rPr>
          <w:rFonts w:ascii="Arial" w:hAnsi="Arial" w:cs="Arial"/>
          <w:sz w:val="20"/>
          <w:szCs w:val="20"/>
        </w:rPr>
        <w:t>The overall explanatory power of the model is strong. The R-squared value of 0.799 indicates that approximately 80% of the short-run variations in HIV/TB coinfection are explained by the model. The adjusted R-squared (0.716) confirms the robustness of this explanatory power after adjusting for degrees of freedom. Furthermore, the F-statistic of 14.43 suggests that the model is jointly significant, indicating that the included variables meaningfully explain changes in HIV/TB coinfection.</w:t>
      </w:r>
    </w:p>
    <w:p w14:paraId="060CA684" w14:textId="77777777" w:rsidR="00A3475D" w:rsidRPr="00A77D49" w:rsidRDefault="00A3475D" w:rsidP="00A77D49">
      <w:pPr>
        <w:pStyle w:val="NormalWeb"/>
        <w:spacing w:after="0" w:afterAutospacing="0"/>
        <w:jc w:val="both"/>
        <w:rPr>
          <w:rFonts w:ascii="Arial" w:hAnsi="Arial" w:cs="Arial"/>
          <w:sz w:val="20"/>
          <w:szCs w:val="20"/>
        </w:rPr>
      </w:pPr>
      <w:r>
        <w:rPr>
          <w:rFonts w:ascii="Arial" w:hAnsi="Arial" w:cs="Arial"/>
          <w:sz w:val="20"/>
          <w:szCs w:val="20"/>
        </w:rPr>
        <w:t xml:space="preserve">Overall, the VECM results provide compelling evidence of both short-run causal interactions and strong long-run adjustment mechanisms linking HIV infection, TB infection, and HIV/TB coinfection in Nasarawa State. The significant and correctly signed error correction term confirms long-run causality running from HIV and TB infections to HIV/TB coinfection, while the short-run coefficients highlight the dominant influence of HIV dynamics and the nuanced role of TB dynamics in shaping coinfection trends. These findings have important </w:t>
      </w:r>
      <w:r>
        <w:rPr>
          <w:rFonts w:ascii="Arial" w:hAnsi="Arial" w:cs="Arial"/>
          <w:sz w:val="20"/>
          <w:szCs w:val="20"/>
        </w:rPr>
        <w:lastRenderedPageBreak/>
        <w:t xml:space="preserve">implications for integrated HIV-TB control strategies, </w:t>
      </w:r>
      <w:r>
        <w:rPr>
          <w:rFonts w:ascii="Arial" w:hAnsi="Arial" w:cs="Arial"/>
          <w:sz w:val="20"/>
          <w:szCs w:val="20"/>
          <w:highlight w:val="yellow"/>
        </w:rPr>
        <w:t>emphasising</w:t>
      </w:r>
      <w:r>
        <w:rPr>
          <w:rFonts w:ascii="Arial" w:hAnsi="Arial" w:cs="Arial"/>
          <w:sz w:val="20"/>
          <w:szCs w:val="20"/>
        </w:rPr>
        <w:t xml:space="preserve"> the need for coordinated short-term interventions alongside sustained long-term disease management policies.</w:t>
      </w:r>
    </w:p>
    <w:p w14:paraId="2E5CD68B" w14:textId="77777777" w:rsidR="00A3475D" w:rsidRPr="00A77D49" w:rsidRDefault="00A3475D" w:rsidP="00A77D49">
      <w:pPr>
        <w:pStyle w:val="NormalWeb"/>
        <w:spacing w:after="0" w:afterAutospacing="0"/>
        <w:jc w:val="both"/>
        <w:rPr>
          <w:rFonts w:ascii="Arial" w:hAnsi="Arial" w:cs="Arial"/>
          <w:color w:val="000000"/>
          <w:sz w:val="20"/>
          <w:szCs w:val="20"/>
        </w:rPr>
      </w:pPr>
      <w:r w:rsidRPr="00A77D49">
        <w:rPr>
          <w:rFonts w:ascii="Arial" w:hAnsi="Arial" w:cs="Arial"/>
          <w:sz w:val="20"/>
          <w:szCs w:val="20"/>
        </w:rPr>
        <w:t xml:space="preserve">As part of the post-estimation diagnostic checks for the Vector Error Correction Model (VECM) estimated in this study, the VECM Residual Serial Correlation Lagrange Multiplier (LM) test was conducted. This diagnostic test is essential for validating the adequacy of the specified lag length and ensuring that the residuals of the estimated model are free from serial correlation. The absence of serial correlation in the residuals is a key requirement for reliable statistical inference and robust interpretation of the estimated parameters. The </w:t>
      </w:r>
      <w:r>
        <w:rPr>
          <w:rFonts w:ascii="Arial" w:hAnsi="Arial" w:cs="Arial"/>
          <w:color w:val="000000"/>
          <w:sz w:val="20"/>
          <w:szCs w:val="20"/>
        </w:rPr>
        <w:t xml:space="preserve">VECM residual serial correlation LM </w:t>
      </w:r>
      <w:r>
        <w:rPr>
          <w:rFonts w:ascii="Arial" w:hAnsi="Arial" w:cs="Arial"/>
          <w:color w:val="000000"/>
          <w:sz w:val="20"/>
          <w:szCs w:val="20"/>
          <w:highlight w:val="yellow"/>
        </w:rPr>
        <w:t>test results are presented</w:t>
      </w:r>
      <w:r>
        <w:rPr>
          <w:rFonts w:ascii="Arial" w:hAnsi="Arial" w:cs="Arial"/>
          <w:color w:val="000000"/>
          <w:sz w:val="20"/>
          <w:szCs w:val="20"/>
        </w:rPr>
        <w:t xml:space="preserve"> in Table 7.</w:t>
      </w:r>
    </w:p>
    <w:p w14:paraId="3A9F5C00" w14:textId="77777777" w:rsidR="00A3475D" w:rsidRPr="00A77D49" w:rsidRDefault="00A3475D" w:rsidP="00A77D49">
      <w:pPr>
        <w:jc w:val="both"/>
        <w:rPr>
          <w:rFonts w:ascii="Arial" w:hAnsi="Arial" w:cs="Arial"/>
          <w:b/>
          <w:color w:val="000000"/>
        </w:rPr>
      </w:pPr>
      <w:r w:rsidRPr="00A77D49">
        <w:rPr>
          <w:rFonts w:ascii="Arial" w:hAnsi="Arial" w:cs="Arial"/>
          <w:b/>
        </w:rPr>
        <w:t>Table 7:</w:t>
      </w:r>
      <w:r w:rsidRPr="00A77D49">
        <w:rPr>
          <w:rFonts w:ascii="Arial" w:hAnsi="Arial" w:cs="Arial"/>
          <w:b/>
          <w:color w:val="000000"/>
        </w:rPr>
        <w:t xml:space="preserve"> VECM Residual Serial Correlation LM Test Results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952"/>
        <w:gridCol w:w="2952"/>
        <w:gridCol w:w="2952"/>
      </w:tblGrid>
      <w:tr w:rsidR="00A3475D" w:rsidRPr="00A77D49" w14:paraId="41DAF478" w14:textId="77777777" w:rsidTr="00A77D49">
        <w:tc>
          <w:tcPr>
            <w:tcW w:w="2952" w:type="dxa"/>
            <w:tcBorders>
              <w:top w:val="single" w:sz="4" w:space="0" w:color="auto"/>
              <w:bottom w:val="single" w:sz="4" w:space="0" w:color="auto"/>
            </w:tcBorders>
            <w:vAlign w:val="bottom"/>
          </w:tcPr>
          <w:p w14:paraId="0E994D1C" w14:textId="77777777" w:rsidR="00A3475D" w:rsidRPr="00A77D49" w:rsidRDefault="00A3475D" w:rsidP="00A77D49">
            <w:pPr>
              <w:autoSpaceDE w:val="0"/>
              <w:autoSpaceDN w:val="0"/>
              <w:adjustRightInd w:val="0"/>
              <w:jc w:val="center"/>
              <w:rPr>
                <w:rFonts w:ascii="Arial" w:hAnsi="Arial" w:cs="Arial"/>
                <w:b/>
                <w:color w:val="000000"/>
              </w:rPr>
            </w:pPr>
            <w:r w:rsidRPr="00A77D49">
              <w:rPr>
                <w:rFonts w:ascii="Arial" w:hAnsi="Arial" w:cs="Arial"/>
                <w:b/>
                <w:color w:val="000000"/>
              </w:rPr>
              <w:t>Lags</w:t>
            </w:r>
          </w:p>
        </w:tc>
        <w:tc>
          <w:tcPr>
            <w:tcW w:w="2952" w:type="dxa"/>
            <w:tcBorders>
              <w:top w:val="single" w:sz="4" w:space="0" w:color="auto"/>
              <w:bottom w:val="single" w:sz="4" w:space="0" w:color="auto"/>
            </w:tcBorders>
            <w:vAlign w:val="bottom"/>
          </w:tcPr>
          <w:p w14:paraId="2A2FEE3C" w14:textId="77777777" w:rsidR="00A3475D" w:rsidRPr="00A77D49" w:rsidRDefault="00A3475D" w:rsidP="00A77D49">
            <w:pPr>
              <w:autoSpaceDE w:val="0"/>
              <w:autoSpaceDN w:val="0"/>
              <w:adjustRightInd w:val="0"/>
              <w:jc w:val="center"/>
              <w:rPr>
                <w:rFonts w:ascii="Arial" w:hAnsi="Arial" w:cs="Arial"/>
                <w:b/>
                <w:color w:val="000000"/>
              </w:rPr>
            </w:pPr>
            <w:r w:rsidRPr="00A77D49">
              <w:rPr>
                <w:rFonts w:ascii="Arial" w:hAnsi="Arial" w:cs="Arial"/>
                <w:b/>
                <w:color w:val="000000"/>
              </w:rPr>
              <w:t>LM-Stat</w:t>
            </w:r>
          </w:p>
        </w:tc>
        <w:tc>
          <w:tcPr>
            <w:tcW w:w="2952" w:type="dxa"/>
            <w:tcBorders>
              <w:top w:val="single" w:sz="4" w:space="0" w:color="auto"/>
              <w:bottom w:val="single" w:sz="4" w:space="0" w:color="auto"/>
            </w:tcBorders>
            <w:vAlign w:val="bottom"/>
          </w:tcPr>
          <w:p w14:paraId="0BD33D15" w14:textId="77777777" w:rsidR="00A3475D" w:rsidRPr="00A77D49" w:rsidRDefault="00A3475D" w:rsidP="00A77D49">
            <w:pPr>
              <w:autoSpaceDE w:val="0"/>
              <w:autoSpaceDN w:val="0"/>
              <w:adjustRightInd w:val="0"/>
              <w:jc w:val="center"/>
              <w:rPr>
                <w:rFonts w:ascii="Arial" w:hAnsi="Arial" w:cs="Arial"/>
                <w:b/>
                <w:color w:val="000000"/>
              </w:rPr>
            </w:pPr>
            <w:r w:rsidRPr="00A77D49">
              <w:rPr>
                <w:rFonts w:ascii="Arial" w:hAnsi="Arial" w:cs="Arial"/>
                <w:b/>
                <w:color w:val="000000"/>
              </w:rPr>
              <w:t>p-value</w:t>
            </w:r>
          </w:p>
        </w:tc>
      </w:tr>
      <w:tr w:rsidR="00A3475D" w:rsidRPr="00A77D49" w14:paraId="2480C6BC" w14:textId="77777777" w:rsidTr="00A77D49">
        <w:tc>
          <w:tcPr>
            <w:tcW w:w="2952" w:type="dxa"/>
            <w:tcBorders>
              <w:top w:val="single" w:sz="4" w:space="0" w:color="auto"/>
            </w:tcBorders>
            <w:vAlign w:val="bottom"/>
          </w:tcPr>
          <w:p w14:paraId="07E16F06"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1</w:t>
            </w:r>
          </w:p>
        </w:tc>
        <w:tc>
          <w:tcPr>
            <w:tcW w:w="2952" w:type="dxa"/>
            <w:tcBorders>
              <w:top w:val="single" w:sz="4" w:space="0" w:color="auto"/>
            </w:tcBorders>
            <w:vAlign w:val="bottom"/>
          </w:tcPr>
          <w:p w14:paraId="6E6CDAF8"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4.0287</w:t>
            </w:r>
          </w:p>
        </w:tc>
        <w:tc>
          <w:tcPr>
            <w:tcW w:w="2952" w:type="dxa"/>
            <w:tcBorders>
              <w:top w:val="single" w:sz="4" w:space="0" w:color="auto"/>
            </w:tcBorders>
            <w:vAlign w:val="bottom"/>
          </w:tcPr>
          <w:p w14:paraId="61195939"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0.1975</w:t>
            </w:r>
          </w:p>
        </w:tc>
      </w:tr>
      <w:tr w:rsidR="00A3475D" w:rsidRPr="00A77D49" w14:paraId="5E2A0ECF" w14:textId="77777777" w:rsidTr="00A77D49">
        <w:tc>
          <w:tcPr>
            <w:tcW w:w="2952" w:type="dxa"/>
            <w:vAlign w:val="bottom"/>
          </w:tcPr>
          <w:p w14:paraId="7B54EAC4"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2</w:t>
            </w:r>
          </w:p>
        </w:tc>
        <w:tc>
          <w:tcPr>
            <w:tcW w:w="2952" w:type="dxa"/>
            <w:vAlign w:val="bottom"/>
          </w:tcPr>
          <w:p w14:paraId="03BF648E"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2.2081</w:t>
            </w:r>
          </w:p>
        </w:tc>
        <w:tc>
          <w:tcPr>
            <w:tcW w:w="2952" w:type="dxa"/>
            <w:vAlign w:val="bottom"/>
          </w:tcPr>
          <w:p w14:paraId="60815F18"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0.2873</w:t>
            </w:r>
          </w:p>
        </w:tc>
      </w:tr>
      <w:tr w:rsidR="00A3475D" w:rsidRPr="00A77D49" w14:paraId="7D7DD4CB" w14:textId="77777777" w:rsidTr="00A77D49">
        <w:tc>
          <w:tcPr>
            <w:tcW w:w="2952" w:type="dxa"/>
            <w:vAlign w:val="bottom"/>
          </w:tcPr>
          <w:p w14:paraId="0E86F50B"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3</w:t>
            </w:r>
          </w:p>
        </w:tc>
        <w:tc>
          <w:tcPr>
            <w:tcW w:w="2952" w:type="dxa"/>
            <w:vAlign w:val="bottom"/>
          </w:tcPr>
          <w:p w14:paraId="6A73524D"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2.5558</w:t>
            </w:r>
          </w:p>
        </w:tc>
        <w:tc>
          <w:tcPr>
            <w:tcW w:w="2952" w:type="dxa"/>
            <w:vAlign w:val="bottom"/>
          </w:tcPr>
          <w:p w14:paraId="652953B9"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0.3391</w:t>
            </w:r>
          </w:p>
        </w:tc>
      </w:tr>
      <w:tr w:rsidR="00A3475D" w:rsidRPr="00A77D49" w14:paraId="3DE6C71F" w14:textId="77777777" w:rsidTr="00A77D49">
        <w:tc>
          <w:tcPr>
            <w:tcW w:w="2952" w:type="dxa"/>
            <w:vAlign w:val="bottom"/>
          </w:tcPr>
          <w:p w14:paraId="5F5961DC"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4</w:t>
            </w:r>
          </w:p>
        </w:tc>
        <w:tc>
          <w:tcPr>
            <w:tcW w:w="2952" w:type="dxa"/>
            <w:vAlign w:val="bottom"/>
          </w:tcPr>
          <w:p w14:paraId="030C2757"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2.4220</w:t>
            </w:r>
          </w:p>
        </w:tc>
        <w:tc>
          <w:tcPr>
            <w:tcW w:w="2952" w:type="dxa"/>
            <w:vAlign w:val="bottom"/>
          </w:tcPr>
          <w:p w14:paraId="044DF619"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0.2727</w:t>
            </w:r>
          </w:p>
        </w:tc>
      </w:tr>
      <w:tr w:rsidR="00A3475D" w:rsidRPr="00A77D49" w14:paraId="00A4588B" w14:textId="77777777" w:rsidTr="00A77D49">
        <w:tc>
          <w:tcPr>
            <w:tcW w:w="2952" w:type="dxa"/>
            <w:vAlign w:val="bottom"/>
          </w:tcPr>
          <w:p w14:paraId="5971B6E9"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5</w:t>
            </w:r>
          </w:p>
        </w:tc>
        <w:tc>
          <w:tcPr>
            <w:tcW w:w="2952" w:type="dxa"/>
            <w:vAlign w:val="bottom"/>
          </w:tcPr>
          <w:p w14:paraId="7A82DE36"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7.4355</w:t>
            </w:r>
          </w:p>
        </w:tc>
        <w:tc>
          <w:tcPr>
            <w:tcW w:w="2952" w:type="dxa"/>
            <w:vAlign w:val="bottom"/>
          </w:tcPr>
          <w:p w14:paraId="0993A818"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0.6219</w:t>
            </w:r>
          </w:p>
        </w:tc>
      </w:tr>
      <w:tr w:rsidR="00A3475D" w:rsidRPr="00A77D49" w14:paraId="15C5C136" w14:textId="77777777" w:rsidTr="00A77D49">
        <w:tc>
          <w:tcPr>
            <w:tcW w:w="2952" w:type="dxa"/>
            <w:vAlign w:val="bottom"/>
          </w:tcPr>
          <w:p w14:paraId="3BE58C56"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6</w:t>
            </w:r>
          </w:p>
        </w:tc>
        <w:tc>
          <w:tcPr>
            <w:tcW w:w="2952" w:type="dxa"/>
            <w:vAlign w:val="bottom"/>
          </w:tcPr>
          <w:p w14:paraId="70458FCA"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3.8202</w:t>
            </w:r>
          </w:p>
        </w:tc>
        <w:tc>
          <w:tcPr>
            <w:tcW w:w="2952" w:type="dxa"/>
            <w:vAlign w:val="bottom"/>
          </w:tcPr>
          <w:p w14:paraId="37AA27CD"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0.3217</w:t>
            </w:r>
          </w:p>
        </w:tc>
      </w:tr>
      <w:tr w:rsidR="00A3475D" w:rsidRPr="00A77D49" w14:paraId="209ACC33" w14:textId="77777777" w:rsidTr="00A77D49">
        <w:tc>
          <w:tcPr>
            <w:tcW w:w="2952" w:type="dxa"/>
            <w:vAlign w:val="bottom"/>
          </w:tcPr>
          <w:p w14:paraId="5E91F102"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7</w:t>
            </w:r>
          </w:p>
        </w:tc>
        <w:tc>
          <w:tcPr>
            <w:tcW w:w="2952" w:type="dxa"/>
            <w:vAlign w:val="bottom"/>
          </w:tcPr>
          <w:p w14:paraId="1FD7C301"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3.1368</w:t>
            </w:r>
          </w:p>
        </w:tc>
        <w:tc>
          <w:tcPr>
            <w:tcW w:w="2952" w:type="dxa"/>
            <w:vAlign w:val="bottom"/>
          </w:tcPr>
          <w:p w14:paraId="3360B8B5"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0.4928</w:t>
            </w:r>
          </w:p>
        </w:tc>
      </w:tr>
      <w:tr w:rsidR="00A3475D" w:rsidRPr="00A77D49" w14:paraId="6AD3E118" w14:textId="77777777" w:rsidTr="00A77D49">
        <w:tc>
          <w:tcPr>
            <w:tcW w:w="2952" w:type="dxa"/>
            <w:vAlign w:val="bottom"/>
          </w:tcPr>
          <w:p w14:paraId="6D988F33"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8</w:t>
            </w:r>
          </w:p>
        </w:tc>
        <w:tc>
          <w:tcPr>
            <w:tcW w:w="2952" w:type="dxa"/>
            <w:vAlign w:val="bottom"/>
          </w:tcPr>
          <w:p w14:paraId="10BA8D18"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9.6739</w:t>
            </w:r>
          </w:p>
        </w:tc>
        <w:tc>
          <w:tcPr>
            <w:tcW w:w="2952" w:type="dxa"/>
            <w:vAlign w:val="bottom"/>
          </w:tcPr>
          <w:p w14:paraId="5FC3850B"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0.8715</w:t>
            </w:r>
          </w:p>
        </w:tc>
      </w:tr>
      <w:tr w:rsidR="00A3475D" w:rsidRPr="00A77D49" w14:paraId="32A4E05F" w14:textId="77777777" w:rsidTr="00A77D49">
        <w:tc>
          <w:tcPr>
            <w:tcW w:w="2952" w:type="dxa"/>
            <w:vAlign w:val="bottom"/>
          </w:tcPr>
          <w:p w14:paraId="5D6F3759"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9</w:t>
            </w:r>
          </w:p>
        </w:tc>
        <w:tc>
          <w:tcPr>
            <w:tcW w:w="2952" w:type="dxa"/>
            <w:vAlign w:val="bottom"/>
          </w:tcPr>
          <w:p w14:paraId="0EAB4540"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2.4634</w:t>
            </w:r>
          </w:p>
        </w:tc>
        <w:tc>
          <w:tcPr>
            <w:tcW w:w="2952" w:type="dxa"/>
            <w:vAlign w:val="bottom"/>
          </w:tcPr>
          <w:p w14:paraId="5B8C5BA6"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0.2121</w:t>
            </w:r>
          </w:p>
        </w:tc>
      </w:tr>
      <w:tr w:rsidR="00A3475D" w:rsidRPr="00A77D49" w14:paraId="7BB21529" w14:textId="77777777" w:rsidTr="00A77D49">
        <w:tc>
          <w:tcPr>
            <w:tcW w:w="2952" w:type="dxa"/>
            <w:vAlign w:val="bottom"/>
          </w:tcPr>
          <w:p w14:paraId="7A407A05"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10</w:t>
            </w:r>
          </w:p>
        </w:tc>
        <w:tc>
          <w:tcPr>
            <w:tcW w:w="2952" w:type="dxa"/>
            <w:vAlign w:val="bottom"/>
          </w:tcPr>
          <w:p w14:paraId="16960608"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4.3389</w:t>
            </w:r>
          </w:p>
        </w:tc>
        <w:tc>
          <w:tcPr>
            <w:tcW w:w="2952" w:type="dxa"/>
            <w:vAlign w:val="bottom"/>
          </w:tcPr>
          <w:p w14:paraId="14723042"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0.1792</w:t>
            </w:r>
          </w:p>
        </w:tc>
      </w:tr>
      <w:tr w:rsidR="00A3475D" w:rsidRPr="00A77D49" w14:paraId="716F4EB0" w14:textId="77777777" w:rsidTr="00A77D49">
        <w:tc>
          <w:tcPr>
            <w:tcW w:w="2952" w:type="dxa"/>
            <w:vAlign w:val="bottom"/>
          </w:tcPr>
          <w:p w14:paraId="79E2C725"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11</w:t>
            </w:r>
          </w:p>
        </w:tc>
        <w:tc>
          <w:tcPr>
            <w:tcW w:w="2952" w:type="dxa"/>
            <w:vAlign w:val="bottom"/>
          </w:tcPr>
          <w:p w14:paraId="0BFEBD06"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3.4089</w:t>
            </w:r>
          </w:p>
        </w:tc>
        <w:tc>
          <w:tcPr>
            <w:tcW w:w="2952" w:type="dxa"/>
            <w:vAlign w:val="bottom"/>
          </w:tcPr>
          <w:p w14:paraId="46A635EB"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0.2952</w:t>
            </w:r>
          </w:p>
        </w:tc>
      </w:tr>
      <w:tr w:rsidR="00A3475D" w:rsidRPr="00A77D49" w14:paraId="2EC90655" w14:textId="77777777" w:rsidTr="00A77D49">
        <w:tc>
          <w:tcPr>
            <w:tcW w:w="2952" w:type="dxa"/>
            <w:vAlign w:val="bottom"/>
          </w:tcPr>
          <w:p w14:paraId="562A995E"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12</w:t>
            </w:r>
          </w:p>
        </w:tc>
        <w:tc>
          <w:tcPr>
            <w:tcW w:w="2952" w:type="dxa"/>
            <w:vAlign w:val="bottom"/>
          </w:tcPr>
          <w:p w14:paraId="3B4A867D"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3.6682</w:t>
            </w:r>
          </w:p>
        </w:tc>
        <w:tc>
          <w:tcPr>
            <w:tcW w:w="2952" w:type="dxa"/>
            <w:vAlign w:val="bottom"/>
          </w:tcPr>
          <w:p w14:paraId="35162CFF"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0.3381</w:t>
            </w:r>
          </w:p>
        </w:tc>
      </w:tr>
    </w:tbl>
    <w:p w14:paraId="7104C098" w14:textId="77777777" w:rsidR="00A3475D" w:rsidRPr="00A77D49" w:rsidRDefault="00A3475D" w:rsidP="00A77D49">
      <w:pPr>
        <w:pStyle w:val="NormalWeb"/>
        <w:spacing w:after="0" w:afterAutospacing="0"/>
        <w:jc w:val="both"/>
        <w:rPr>
          <w:rFonts w:ascii="Arial" w:hAnsi="Arial" w:cs="Arial"/>
          <w:sz w:val="20"/>
          <w:szCs w:val="20"/>
        </w:rPr>
      </w:pPr>
      <w:r w:rsidRPr="00A77D49">
        <w:rPr>
          <w:rFonts w:ascii="Arial" w:hAnsi="Arial" w:cs="Arial"/>
          <w:sz w:val="20"/>
          <w:szCs w:val="20"/>
        </w:rPr>
        <w:t>Table 7 presents the results of the VECM Residual Serial Correlation LM test for lag lengths ranging from 1 to 12. The null hypothesis of the LM test states that there is no serial correlation in the residuals up to the specified lag order.</w:t>
      </w:r>
      <w:r w:rsidR="00A77D49">
        <w:rPr>
          <w:rFonts w:ascii="Arial" w:hAnsi="Arial" w:cs="Arial"/>
          <w:sz w:val="20"/>
          <w:szCs w:val="20"/>
        </w:rPr>
        <w:t xml:space="preserve"> </w:t>
      </w:r>
      <w:r w:rsidRPr="00A77D49">
        <w:rPr>
          <w:rFonts w:ascii="Arial" w:hAnsi="Arial" w:cs="Arial"/>
          <w:sz w:val="20"/>
          <w:szCs w:val="20"/>
        </w:rPr>
        <w:t>The results show that for all tested lag orders, the associated p-values are greater than the 5% significance level. Specifically, the p-values range from 0.1792 to 0.8715, indicating that the null hypothesis of no serial correlation cannot be rejected at any lag. This implies that the residuals of the estimated VECM do not exhibit autocorrelation.</w:t>
      </w:r>
      <w:r w:rsidR="00A77D49">
        <w:rPr>
          <w:rFonts w:ascii="Arial" w:hAnsi="Arial" w:cs="Arial"/>
          <w:sz w:val="20"/>
          <w:szCs w:val="20"/>
        </w:rPr>
        <w:t xml:space="preserve"> </w:t>
      </w:r>
      <w:r w:rsidRPr="00A77D49">
        <w:rPr>
          <w:rFonts w:ascii="Arial" w:hAnsi="Arial" w:cs="Arial"/>
          <w:sz w:val="20"/>
          <w:szCs w:val="20"/>
        </w:rPr>
        <w:t>The LM statistics themselves are relatively small across all lags, further supporting the conclusion that the chosen lag length adequately captures the dynamic structure of the data. In particular, the absence of serial correlation even at higher lags suggests that no important dynamic information has been omitted from the model.</w:t>
      </w:r>
      <w:r w:rsidR="00A77D49">
        <w:rPr>
          <w:rFonts w:ascii="Arial" w:hAnsi="Arial" w:cs="Arial"/>
          <w:sz w:val="20"/>
          <w:szCs w:val="20"/>
        </w:rPr>
        <w:t xml:space="preserve"> </w:t>
      </w:r>
      <w:r w:rsidRPr="00A77D49">
        <w:rPr>
          <w:rFonts w:ascii="Arial" w:hAnsi="Arial" w:cs="Arial"/>
          <w:sz w:val="20"/>
          <w:szCs w:val="20"/>
        </w:rPr>
        <w:t>Overall, the VECM Residual Serial Correlation LM test results confirm that the estimated model is well specified and dynamically stable. The lack of residual autocorrelation validates the earlier choice of the optimal lag length and supports the reliability of the VECM estimates and subsequent causality analysis. Consequently, the empirical findings on the long-run and short-run relationships between HIV infection, TB infection, and HIV/TB coinfection in Nasarawa State can be interpreted with a high degree of confidence.</w:t>
      </w:r>
    </w:p>
    <w:p w14:paraId="5E5D7FA1" w14:textId="77777777" w:rsidR="00A3475D" w:rsidRPr="00A3475D" w:rsidRDefault="00A3475D" w:rsidP="00A3475D">
      <w:pPr>
        <w:pStyle w:val="NormalWeb"/>
        <w:spacing w:after="0" w:afterAutospacing="0"/>
        <w:jc w:val="both"/>
        <w:rPr>
          <w:rFonts w:ascii="Arial" w:hAnsi="Arial" w:cs="Arial"/>
          <w:b/>
          <w:sz w:val="20"/>
          <w:szCs w:val="20"/>
        </w:rPr>
      </w:pPr>
      <w:r w:rsidRPr="00A3475D">
        <w:rPr>
          <w:rFonts w:ascii="Arial" w:hAnsi="Arial" w:cs="Arial"/>
          <w:b/>
          <w:sz w:val="20"/>
          <w:szCs w:val="20"/>
        </w:rPr>
        <w:t>3.7</w:t>
      </w:r>
      <w:r w:rsidRPr="00A3475D">
        <w:rPr>
          <w:rFonts w:ascii="Arial" w:hAnsi="Arial" w:cs="Arial"/>
          <w:b/>
          <w:sz w:val="20"/>
          <w:szCs w:val="20"/>
        </w:rPr>
        <w:tab/>
        <w:t>Granger Causality Test Results</w:t>
      </w:r>
    </w:p>
    <w:p w14:paraId="43F6196E" w14:textId="77777777" w:rsidR="00A3475D" w:rsidRPr="00A3475D" w:rsidRDefault="00A3475D" w:rsidP="00A3475D">
      <w:pPr>
        <w:pStyle w:val="NormalWeb"/>
        <w:spacing w:after="0" w:afterAutospacing="0"/>
        <w:jc w:val="both"/>
        <w:rPr>
          <w:rFonts w:ascii="Arial" w:hAnsi="Arial" w:cs="Arial"/>
          <w:b/>
          <w:sz w:val="20"/>
          <w:szCs w:val="20"/>
        </w:rPr>
      </w:pPr>
      <w:r>
        <w:rPr>
          <w:rFonts w:ascii="Arial" w:hAnsi="Arial" w:cs="Arial"/>
          <w:sz w:val="20"/>
          <w:szCs w:val="20"/>
        </w:rPr>
        <w:t xml:space="preserve">To further examine the direction of influence among HIV infection, TB infection, and HIV/TB coinfection in the short run, </w:t>
      </w:r>
      <w:r>
        <w:rPr>
          <w:rFonts w:ascii="Arial" w:hAnsi="Arial" w:cs="Arial"/>
          <w:sz w:val="20"/>
          <w:szCs w:val="20"/>
          <w:highlight w:val="yellow"/>
        </w:rPr>
        <w:t>the pairwise Granger causality test</w:t>
      </w:r>
      <w:r>
        <w:rPr>
          <w:rFonts w:ascii="Arial" w:hAnsi="Arial" w:cs="Arial"/>
          <w:sz w:val="20"/>
          <w:szCs w:val="20"/>
        </w:rPr>
        <w:t xml:space="preserve"> was conducted. Granger causality analysis complements the VECM results by identifying whether past values of one variable contain useful information for predicting another. This test provides empirical evidence on the predictive (causal) linkages among the differenced series of HIV infection (DHIV), TB infection (DTB), and HIV/TB coinfection (DHIV_TB). The pairwise Granger causality </w:t>
      </w:r>
      <w:r>
        <w:rPr>
          <w:rFonts w:ascii="Arial" w:hAnsi="Arial" w:cs="Arial"/>
          <w:sz w:val="20"/>
          <w:szCs w:val="20"/>
          <w:highlight w:val="yellow"/>
        </w:rPr>
        <w:t>test results are presented</w:t>
      </w:r>
      <w:r>
        <w:rPr>
          <w:rFonts w:ascii="Arial" w:hAnsi="Arial" w:cs="Arial"/>
          <w:sz w:val="20"/>
          <w:szCs w:val="20"/>
        </w:rPr>
        <w:t xml:space="preserve"> in Table 8.</w:t>
      </w:r>
    </w:p>
    <w:p w14:paraId="533A77E9" w14:textId="77777777" w:rsidR="00A3475D" w:rsidRPr="00A3475D" w:rsidRDefault="00A3475D" w:rsidP="00A3475D">
      <w:pPr>
        <w:jc w:val="both"/>
        <w:rPr>
          <w:rFonts w:ascii="Arial" w:hAnsi="Arial" w:cs="Arial"/>
          <w:b/>
        </w:rPr>
      </w:pPr>
      <w:r w:rsidRPr="00A3475D">
        <w:rPr>
          <w:rFonts w:ascii="Arial" w:hAnsi="Arial" w:cs="Arial"/>
          <w:b/>
        </w:rPr>
        <w:t>Table 8: Pairwise Granger Causality Test Results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1980"/>
        <w:gridCol w:w="1351"/>
        <w:gridCol w:w="1097"/>
      </w:tblGrid>
      <w:tr w:rsidR="00A3475D" w:rsidRPr="00A3475D" w14:paraId="731D1D90" w14:textId="77777777" w:rsidTr="00A77D49">
        <w:tc>
          <w:tcPr>
            <w:tcW w:w="4428" w:type="dxa"/>
            <w:tcBorders>
              <w:top w:val="single" w:sz="4" w:space="0" w:color="auto"/>
              <w:bottom w:val="single" w:sz="4" w:space="0" w:color="auto"/>
            </w:tcBorders>
            <w:vAlign w:val="bottom"/>
          </w:tcPr>
          <w:p w14:paraId="05171584" w14:textId="77777777" w:rsidR="00A3475D" w:rsidRPr="00A3475D" w:rsidRDefault="00A3475D" w:rsidP="00A3475D">
            <w:pPr>
              <w:autoSpaceDE w:val="0"/>
              <w:autoSpaceDN w:val="0"/>
              <w:adjustRightInd w:val="0"/>
              <w:rPr>
                <w:rFonts w:ascii="Arial" w:hAnsi="Arial" w:cs="Arial"/>
                <w:b/>
                <w:color w:val="000000"/>
              </w:rPr>
            </w:pPr>
            <w:r w:rsidRPr="00A3475D">
              <w:rPr>
                <w:rFonts w:ascii="Arial" w:hAnsi="Arial" w:cs="Arial"/>
                <w:b/>
                <w:color w:val="000000"/>
              </w:rPr>
              <w:t> Null Hypothesis</w:t>
            </w:r>
          </w:p>
        </w:tc>
        <w:tc>
          <w:tcPr>
            <w:tcW w:w="1980" w:type="dxa"/>
            <w:tcBorders>
              <w:top w:val="single" w:sz="4" w:space="0" w:color="auto"/>
              <w:bottom w:val="single" w:sz="4" w:space="0" w:color="auto"/>
            </w:tcBorders>
            <w:vAlign w:val="bottom"/>
          </w:tcPr>
          <w:p w14:paraId="61A123B2" w14:textId="77777777" w:rsidR="00A3475D" w:rsidRPr="00A3475D" w:rsidRDefault="00A3475D" w:rsidP="00A3475D">
            <w:pPr>
              <w:autoSpaceDE w:val="0"/>
              <w:autoSpaceDN w:val="0"/>
              <w:adjustRightInd w:val="0"/>
              <w:jc w:val="center"/>
              <w:rPr>
                <w:rFonts w:ascii="Arial" w:hAnsi="Arial" w:cs="Arial"/>
                <w:b/>
                <w:color w:val="000000"/>
              </w:rPr>
            </w:pPr>
            <w:r w:rsidRPr="00A3475D">
              <w:rPr>
                <w:rFonts w:ascii="Arial" w:hAnsi="Arial" w:cs="Arial"/>
                <w:b/>
                <w:color w:val="000000"/>
              </w:rPr>
              <w:t>No. of Observations</w:t>
            </w:r>
          </w:p>
        </w:tc>
        <w:tc>
          <w:tcPr>
            <w:tcW w:w="1351" w:type="dxa"/>
            <w:tcBorders>
              <w:top w:val="single" w:sz="4" w:space="0" w:color="auto"/>
              <w:bottom w:val="single" w:sz="4" w:space="0" w:color="auto"/>
            </w:tcBorders>
            <w:vAlign w:val="bottom"/>
          </w:tcPr>
          <w:p w14:paraId="7DE34D16" w14:textId="77777777" w:rsidR="00A3475D" w:rsidRPr="00A3475D" w:rsidRDefault="00A3475D" w:rsidP="00A3475D">
            <w:pPr>
              <w:autoSpaceDE w:val="0"/>
              <w:autoSpaceDN w:val="0"/>
              <w:adjustRightInd w:val="0"/>
              <w:jc w:val="center"/>
              <w:rPr>
                <w:rFonts w:ascii="Arial" w:hAnsi="Arial" w:cs="Arial"/>
                <w:b/>
                <w:color w:val="000000"/>
              </w:rPr>
            </w:pPr>
            <w:r w:rsidRPr="00A3475D">
              <w:rPr>
                <w:rFonts w:ascii="Arial" w:hAnsi="Arial" w:cs="Arial"/>
                <w:b/>
                <w:color w:val="000000"/>
              </w:rPr>
              <w:t>F-Statistic</w:t>
            </w:r>
          </w:p>
        </w:tc>
        <w:tc>
          <w:tcPr>
            <w:tcW w:w="1097" w:type="dxa"/>
            <w:tcBorders>
              <w:top w:val="single" w:sz="4" w:space="0" w:color="auto"/>
              <w:bottom w:val="single" w:sz="4" w:space="0" w:color="auto"/>
            </w:tcBorders>
            <w:vAlign w:val="bottom"/>
          </w:tcPr>
          <w:p w14:paraId="141134A3" w14:textId="77777777" w:rsidR="00A3475D" w:rsidRPr="00A3475D" w:rsidRDefault="00A3475D" w:rsidP="00A3475D">
            <w:pPr>
              <w:autoSpaceDE w:val="0"/>
              <w:autoSpaceDN w:val="0"/>
              <w:adjustRightInd w:val="0"/>
              <w:ind w:right="10"/>
              <w:jc w:val="center"/>
              <w:rPr>
                <w:rFonts w:ascii="Arial" w:hAnsi="Arial" w:cs="Arial"/>
                <w:b/>
                <w:color w:val="000000"/>
              </w:rPr>
            </w:pPr>
            <w:r w:rsidRPr="00A3475D">
              <w:rPr>
                <w:rFonts w:ascii="Arial" w:hAnsi="Arial" w:cs="Arial"/>
                <w:b/>
                <w:color w:val="000000"/>
              </w:rPr>
              <w:t>p-value</w:t>
            </w:r>
          </w:p>
        </w:tc>
      </w:tr>
      <w:tr w:rsidR="00A3475D" w:rsidRPr="00A3475D" w14:paraId="25982F8D" w14:textId="77777777" w:rsidTr="00A77D49">
        <w:tc>
          <w:tcPr>
            <w:tcW w:w="4428" w:type="dxa"/>
            <w:tcBorders>
              <w:top w:val="single" w:sz="4" w:space="0" w:color="auto"/>
            </w:tcBorders>
            <w:vAlign w:val="bottom"/>
          </w:tcPr>
          <w:p w14:paraId="3F042109" w14:textId="77777777" w:rsidR="00A3475D" w:rsidRPr="00A3475D" w:rsidRDefault="00A3475D" w:rsidP="00A3475D">
            <w:pPr>
              <w:autoSpaceDE w:val="0"/>
              <w:autoSpaceDN w:val="0"/>
              <w:adjustRightInd w:val="0"/>
              <w:rPr>
                <w:rFonts w:ascii="Arial" w:hAnsi="Arial" w:cs="Arial"/>
                <w:color w:val="000000"/>
              </w:rPr>
            </w:pPr>
            <w:r w:rsidRPr="00A3475D">
              <w:rPr>
                <w:rFonts w:ascii="Arial" w:hAnsi="Arial" w:cs="Arial"/>
                <w:color w:val="000000"/>
              </w:rPr>
              <w:t> DHIV does not Granger Cause DTB</w:t>
            </w:r>
          </w:p>
        </w:tc>
        <w:tc>
          <w:tcPr>
            <w:tcW w:w="1980" w:type="dxa"/>
            <w:vMerge w:val="restart"/>
            <w:tcBorders>
              <w:top w:val="single" w:sz="4" w:space="0" w:color="auto"/>
            </w:tcBorders>
            <w:vAlign w:val="bottom"/>
          </w:tcPr>
          <w:p w14:paraId="1C743CB3" w14:textId="77777777" w:rsidR="00A3475D" w:rsidRPr="00A3475D" w:rsidRDefault="00A3475D" w:rsidP="00A3475D">
            <w:pPr>
              <w:autoSpaceDE w:val="0"/>
              <w:autoSpaceDN w:val="0"/>
              <w:adjustRightInd w:val="0"/>
              <w:jc w:val="center"/>
              <w:rPr>
                <w:rFonts w:ascii="Arial" w:hAnsi="Arial" w:cs="Arial"/>
                <w:color w:val="000000"/>
              </w:rPr>
            </w:pPr>
            <w:r w:rsidRPr="00A3475D">
              <w:rPr>
                <w:rFonts w:ascii="Arial" w:hAnsi="Arial" w:cs="Arial"/>
                <w:color w:val="000000"/>
              </w:rPr>
              <w:t>35</w:t>
            </w:r>
          </w:p>
          <w:p w14:paraId="32495E1E" w14:textId="77777777" w:rsidR="00A3475D" w:rsidRPr="00A3475D" w:rsidRDefault="00A3475D" w:rsidP="00A3475D">
            <w:pPr>
              <w:autoSpaceDE w:val="0"/>
              <w:autoSpaceDN w:val="0"/>
              <w:adjustRightInd w:val="0"/>
              <w:jc w:val="center"/>
              <w:rPr>
                <w:rFonts w:ascii="Arial" w:hAnsi="Arial" w:cs="Arial"/>
                <w:color w:val="000000"/>
              </w:rPr>
            </w:pPr>
          </w:p>
        </w:tc>
        <w:tc>
          <w:tcPr>
            <w:tcW w:w="1351" w:type="dxa"/>
            <w:tcBorders>
              <w:top w:val="single" w:sz="4" w:space="0" w:color="auto"/>
            </w:tcBorders>
            <w:vAlign w:val="bottom"/>
          </w:tcPr>
          <w:p w14:paraId="43AC7C7D" w14:textId="77777777" w:rsidR="00A3475D" w:rsidRPr="00A3475D" w:rsidRDefault="00A3475D" w:rsidP="00A3475D">
            <w:pPr>
              <w:autoSpaceDE w:val="0"/>
              <w:autoSpaceDN w:val="0"/>
              <w:adjustRightInd w:val="0"/>
              <w:jc w:val="center"/>
              <w:rPr>
                <w:rFonts w:ascii="Arial" w:hAnsi="Arial" w:cs="Arial"/>
                <w:color w:val="000000"/>
              </w:rPr>
            </w:pPr>
            <w:r w:rsidRPr="00A3475D">
              <w:rPr>
                <w:rFonts w:ascii="Arial" w:hAnsi="Arial" w:cs="Arial"/>
                <w:color w:val="000000"/>
              </w:rPr>
              <w:t>8.74648</w:t>
            </w:r>
          </w:p>
        </w:tc>
        <w:tc>
          <w:tcPr>
            <w:tcW w:w="1097" w:type="dxa"/>
            <w:tcBorders>
              <w:top w:val="single" w:sz="4" w:space="0" w:color="auto"/>
            </w:tcBorders>
            <w:vAlign w:val="bottom"/>
          </w:tcPr>
          <w:p w14:paraId="4B30AE36" w14:textId="77777777" w:rsidR="00A3475D" w:rsidRPr="00A3475D" w:rsidRDefault="00A3475D" w:rsidP="00A3475D">
            <w:pPr>
              <w:autoSpaceDE w:val="0"/>
              <w:autoSpaceDN w:val="0"/>
              <w:adjustRightInd w:val="0"/>
              <w:ind w:right="10"/>
              <w:jc w:val="center"/>
              <w:rPr>
                <w:rFonts w:ascii="Arial" w:hAnsi="Arial" w:cs="Arial"/>
                <w:color w:val="000000"/>
              </w:rPr>
            </w:pPr>
            <w:r w:rsidRPr="00A3475D">
              <w:rPr>
                <w:rFonts w:ascii="Arial" w:hAnsi="Arial" w:cs="Arial"/>
                <w:color w:val="000000"/>
              </w:rPr>
              <w:t>0.0012</w:t>
            </w:r>
          </w:p>
        </w:tc>
      </w:tr>
      <w:tr w:rsidR="00A3475D" w:rsidRPr="00A3475D" w14:paraId="79DCA237" w14:textId="77777777" w:rsidTr="00A77D49">
        <w:tc>
          <w:tcPr>
            <w:tcW w:w="4428" w:type="dxa"/>
            <w:vAlign w:val="bottom"/>
          </w:tcPr>
          <w:p w14:paraId="5A64F735" w14:textId="77777777" w:rsidR="00A3475D" w:rsidRPr="00A3475D" w:rsidRDefault="00A3475D" w:rsidP="00A3475D">
            <w:pPr>
              <w:autoSpaceDE w:val="0"/>
              <w:autoSpaceDN w:val="0"/>
              <w:adjustRightInd w:val="0"/>
              <w:rPr>
                <w:rFonts w:ascii="Arial" w:hAnsi="Arial" w:cs="Arial"/>
                <w:color w:val="000000"/>
              </w:rPr>
            </w:pPr>
            <w:r w:rsidRPr="00A3475D">
              <w:rPr>
                <w:rFonts w:ascii="Arial" w:hAnsi="Arial" w:cs="Arial"/>
                <w:color w:val="000000"/>
              </w:rPr>
              <w:t> DTB does not Granger Cause DHIV</w:t>
            </w:r>
          </w:p>
        </w:tc>
        <w:tc>
          <w:tcPr>
            <w:tcW w:w="1980" w:type="dxa"/>
            <w:vMerge/>
            <w:vAlign w:val="bottom"/>
          </w:tcPr>
          <w:p w14:paraId="6E6C94ED" w14:textId="77777777" w:rsidR="00A3475D" w:rsidRPr="00A3475D" w:rsidRDefault="00A3475D" w:rsidP="00A3475D">
            <w:pPr>
              <w:autoSpaceDE w:val="0"/>
              <w:autoSpaceDN w:val="0"/>
              <w:adjustRightInd w:val="0"/>
              <w:jc w:val="center"/>
              <w:rPr>
                <w:rFonts w:ascii="Arial" w:hAnsi="Arial" w:cs="Arial"/>
                <w:color w:val="000000"/>
              </w:rPr>
            </w:pPr>
          </w:p>
        </w:tc>
        <w:tc>
          <w:tcPr>
            <w:tcW w:w="1351" w:type="dxa"/>
            <w:vAlign w:val="bottom"/>
          </w:tcPr>
          <w:p w14:paraId="569A3EC8" w14:textId="77777777" w:rsidR="00A3475D" w:rsidRPr="00A3475D" w:rsidRDefault="00A3475D" w:rsidP="00A3475D">
            <w:pPr>
              <w:autoSpaceDE w:val="0"/>
              <w:autoSpaceDN w:val="0"/>
              <w:adjustRightInd w:val="0"/>
              <w:ind w:right="10"/>
              <w:jc w:val="center"/>
              <w:rPr>
                <w:rFonts w:ascii="Arial" w:hAnsi="Arial" w:cs="Arial"/>
                <w:color w:val="000000"/>
              </w:rPr>
            </w:pPr>
            <w:r w:rsidRPr="00A3475D">
              <w:rPr>
                <w:rFonts w:ascii="Arial" w:hAnsi="Arial" w:cs="Arial"/>
                <w:color w:val="000000"/>
              </w:rPr>
              <w:t>1.21561</w:t>
            </w:r>
          </w:p>
        </w:tc>
        <w:tc>
          <w:tcPr>
            <w:tcW w:w="1097" w:type="dxa"/>
          </w:tcPr>
          <w:p w14:paraId="76677411" w14:textId="77777777" w:rsidR="00A3475D" w:rsidRPr="00A3475D" w:rsidRDefault="00A3475D" w:rsidP="00A3475D">
            <w:pPr>
              <w:jc w:val="center"/>
              <w:rPr>
                <w:rFonts w:ascii="Arial" w:hAnsi="Arial" w:cs="Arial"/>
              </w:rPr>
            </w:pPr>
            <w:r w:rsidRPr="00A3475D">
              <w:rPr>
                <w:rFonts w:ascii="Arial" w:hAnsi="Arial" w:cs="Arial"/>
              </w:rPr>
              <w:t>0.3107</w:t>
            </w:r>
          </w:p>
        </w:tc>
      </w:tr>
      <w:tr w:rsidR="00A3475D" w:rsidRPr="00A3475D" w14:paraId="09327195" w14:textId="77777777" w:rsidTr="00A77D49">
        <w:tc>
          <w:tcPr>
            <w:tcW w:w="4428" w:type="dxa"/>
            <w:vAlign w:val="bottom"/>
          </w:tcPr>
          <w:p w14:paraId="20480381" w14:textId="77777777" w:rsidR="00A3475D" w:rsidRPr="00A3475D" w:rsidRDefault="00A3475D" w:rsidP="00A3475D">
            <w:pPr>
              <w:autoSpaceDE w:val="0"/>
              <w:autoSpaceDN w:val="0"/>
              <w:adjustRightInd w:val="0"/>
              <w:rPr>
                <w:rFonts w:ascii="Arial" w:hAnsi="Arial" w:cs="Arial"/>
                <w:color w:val="000000"/>
              </w:rPr>
            </w:pPr>
            <w:r w:rsidRPr="00A3475D">
              <w:rPr>
                <w:rFonts w:ascii="Arial" w:hAnsi="Arial" w:cs="Arial"/>
                <w:color w:val="000000"/>
              </w:rPr>
              <w:lastRenderedPageBreak/>
              <w:t> DTB does not Granger Cause DTB_HIV</w:t>
            </w:r>
          </w:p>
        </w:tc>
        <w:tc>
          <w:tcPr>
            <w:tcW w:w="1980" w:type="dxa"/>
            <w:vMerge w:val="restart"/>
            <w:vAlign w:val="bottom"/>
          </w:tcPr>
          <w:p w14:paraId="05BB3885" w14:textId="77777777" w:rsidR="00A3475D" w:rsidRPr="00A3475D" w:rsidRDefault="00A3475D" w:rsidP="00A3475D">
            <w:pPr>
              <w:autoSpaceDE w:val="0"/>
              <w:autoSpaceDN w:val="0"/>
              <w:adjustRightInd w:val="0"/>
              <w:jc w:val="center"/>
              <w:rPr>
                <w:rFonts w:ascii="Arial" w:hAnsi="Arial" w:cs="Arial"/>
                <w:color w:val="000000"/>
              </w:rPr>
            </w:pPr>
            <w:r w:rsidRPr="00A3475D">
              <w:rPr>
                <w:rFonts w:ascii="Arial" w:hAnsi="Arial" w:cs="Arial"/>
                <w:color w:val="000000"/>
              </w:rPr>
              <w:t>35</w:t>
            </w:r>
          </w:p>
          <w:p w14:paraId="7A73F2D2" w14:textId="77777777" w:rsidR="00A3475D" w:rsidRPr="00A3475D" w:rsidRDefault="00A3475D" w:rsidP="00A3475D">
            <w:pPr>
              <w:autoSpaceDE w:val="0"/>
              <w:autoSpaceDN w:val="0"/>
              <w:adjustRightInd w:val="0"/>
              <w:jc w:val="center"/>
              <w:rPr>
                <w:rFonts w:ascii="Arial" w:hAnsi="Arial" w:cs="Arial"/>
                <w:color w:val="000000"/>
              </w:rPr>
            </w:pPr>
          </w:p>
        </w:tc>
        <w:tc>
          <w:tcPr>
            <w:tcW w:w="1351" w:type="dxa"/>
            <w:vAlign w:val="bottom"/>
          </w:tcPr>
          <w:p w14:paraId="4D375E72" w14:textId="77777777" w:rsidR="00A3475D" w:rsidRPr="00A3475D" w:rsidRDefault="00A3475D" w:rsidP="00A3475D">
            <w:pPr>
              <w:autoSpaceDE w:val="0"/>
              <w:autoSpaceDN w:val="0"/>
              <w:adjustRightInd w:val="0"/>
              <w:jc w:val="center"/>
              <w:rPr>
                <w:rFonts w:ascii="Arial" w:hAnsi="Arial" w:cs="Arial"/>
                <w:color w:val="000000"/>
              </w:rPr>
            </w:pPr>
            <w:r w:rsidRPr="00A3475D">
              <w:rPr>
                <w:rFonts w:ascii="Arial" w:hAnsi="Arial" w:cs="Arial"/>
                <w:color w:val="000000"/>
              </w:rPr>
              <w:t>5.42286</w:t>
            </w:r>
          </w:p>
        </w:tc>
        <w:tc>
          <w:tcPr>
            <w:tcW w:w="1097" w:type="dxa"/>
            <w:vAlign w:val="bottom"/>
          </w:tcPr>
          <w:p w14:paraId="602F1481" w14:textId="77777777" w:rsidR="00A3475D" w:rsidRPr="00A3475D" w:rsidRDefault="00A3475D" w:rsidP="00A3475D">
            <w:pPr>
              <w:autoSpaceDE w:val="0"/>
              <w:autoSpaceDN w:val="0"/>
              <w:adjustRightInd w:val="0"/>
              <w:ind w:right="10"/>
              <w:jc w:val="center"/>
              <w:rPr>
                <w:rFonts w:ascii="Arial" w:hAnsi="Arial" w:cs="Arial"/>
                <w:color w:val="000000"/>
              </w:rPr>
            </w:pPr>
            <w:r w:rsidRPr="00A3475D">
              <w:rPr>
                <w:rFonts w:ascii="Arial" w:hAnsi="Arial" w:cs="Arial"/>
                <w:color w:val="000000"/>
              </w:rPr>
              <w:t>0.0098</w:t>
            </w:r>
          </w:p>
        </w:tc>
      </w:tr>
      <w:tr w:rsidR="00A3475D" w:rsidRPr="00A3475D" w14:paraId="36361DB4" w14:textId="77777777" w:rsidTr="00A77D49">
        <w:tc>
          <w:tcPr>
            <w:tcW w:w="4428" w:type="dxa"/>
            <w:vAlign w:val="bottom"/>
          </w:tcPr>
          <w:p w14:paraId="6F3C1700" w14:textId="77777777" w:rsidR="00A3475D" w:rsidRPr="00A3475D" w:rsidRDefault="00A3475D" w:rsidP="00A3475D">
            <w:pPr>
              <w:autoSpaceDE w:val="0"/>
              <w:autoSpaceDN w:val="0"/>
              <w:adjustRightInd w:val="0"/>
              <w:rPr>
                <w:rFonts w:ascii="Arial" w:hAnsi="Arial" w:cs="Arial"/>
                <w:color w:val="000000"/>
              </w:rPr>
            </w:pPr>
            <w:r w:rsidRPr="00A3475D">
              <w:rPr>
                <w:rFonts w:ascii="Arial" w:hAnsi="Arial" w:cs="Arial"/>
                <w:color w:val="000000"/>
              </w:rPr>
              <w:t> DTB_HIV does not Granger Cause DTB</w:t>
            </w:r>
          </w:p>
        </w:tc>
        <w:tc>
          <w:tcPr>
            <w:tcW w:w="1980" w:type="dxa"/>
            <w:vMerge/>
            <w:vAlign w:val="bottom"/>
          </w:tcPr>
          <w:p w14:paraId="6F4B4BD7" w14:textId="77777777" w:rsidR="00A3475D" w:rsidRPr="00A3475D" w:rsidRDefault="00A3475D" w:rsidP="00A3475D">
            <w:pPr>
              <w:autoSpaceDE w:val="0"/>
              <w:autoSpaceDN w:val="0"/>
              <w:adjustRightInd w:val="0"/>
              <w:jc w:val="center"/>
              <w:rPr>
                <w:rFonts w:ascii="Arial" w:hAnsi="Arial" w:cs="Arial"/>
                <w:color w:val="000000"/>
              </w:rPr>
            </w:pPr>
          </w:p>
        </w:tc>
        <w:tc>
          <w:tcPr>
            <w:tcW w:w="1351" w:type="dxa"/>
            <w:vAlign w:val="bottom"/>
          </w:tcPr>
          <w:p w14:paraId="36A9663A" w14:textId="77777777" w:rsidR="00A3475D" w:rsidRPr="00A3475D" w:rsidRDefault="00A3475D" w:rsidP="00A3475D">
            <w:pPr>
              <w:autoSpaceDE w:val="0"/>
              <w:autoSpaceDN w:val="0"/>
              <w:adjustRightInd w:val="0"/>
              <w:ind w:right="10"/>
              <w:jc w:val="center"/>
              <w:rPr>
                <w:rFonts w:ascii="Arial" w:hAnsi="Arial" w:cs="Arial"/>
                <w:color w:val="000000"/>
              </w:rPr>
            </w:pPr>
            <w:r w:rsidRPr="00A3475D">
              <w:rPr>
                <w:rFonts w:ascii="Arial" w:hAnsi="Arial" w:cs="Arial"/>
                <w:color w:val="000000"/>
              </w:rPr>
              <w:t>1.85676</w:t>
            </w:r>
          </w:p>
        </w:tc>
        <w:tc>
          <w:tcPr>
            <w:tcW w:w="1097" w:type="dxa"/>
          </w:tcPr>
          <w:p w14:paraId="1BC380EF" w14:textId="77777777" w:rsidR="00A3475D" w:rsidRPr="00A3475D" w:rsidRDefault="00A3475D" w:rsidP="00A3475D">
            <w:pPr>
              <w:jc w:val="center"/>
              <w:rPr>
                <w:rFonts w:ascii="Arial" w:hAnsi="Arial" w:cs="Arial"/>
              </w:rPr>
            </w:pPr>
            <w:r w:rsidRPr="00A3475D">
              <w:rPr>
                <w:rFonts w:ascii="Arial" w:hAnsi="Arial" w:cs="Arial"/>
              </w:rPr>
              <w:t>0.1737</w:t>
            </w:r>
          </w:p>
        </w:tc>
      </w:tr>
      <w:tr w:rsidR="00A3475D" w:rsidRPr="00A3475D" w14:paraId="6F137820" w14:textId="77777777" w:rsidTr="00A77D49">
        <w:tc>
          <w:tcPr>
            <w:tcW w:w="4428" w:type="dxa"/>
            <w:vAlign w:val="bottom"/>
          </w:tcPr>
          <w:p w14:paraId="551E43CD" w14:textId="77777777" w:rsidR="00A3475D" w:rsidRPr="00A3475D" w:rsidRDefault="00A3475D" w:rsidP="00A3475D">
            <w:pPr>
              <w:autoSpaceDE w:val="0"/>
              <w:autoSpaceDN w:val="0"/>
              <w:adjustRightInd w:val="0"/>
              <w:rPr>
                <w:rFonts w:ascii="Arial" w:hAnsi="Arial" w:cs="Arial"/>
                <w:color w:val="000000"/>
              </w:rPr>
            </w:pPr>
            <w:r w:rsidRPr="00A3475D">
              <w:rPr>
                <w:rFonts w:ascii="Arial" w:hAnsi="Arial" w:cs="Arial"/>
                <w:color w:val="000000"/>
              </w:rPr>
              <w:t>DHIV does not Granger Cause DHIV_TB</w:t>
            </w:r>
          </w:p>
        </w:tc>
        <w:tc>
          <w:tcPr>
            <w:tcW w:w="1980" w:type="dxa"/>
            <w:vMerge w:val="restart"/>
            <w:vAlign w:val="bottom"/>
          </w:tcPr>
          <w:p w14:paraId="051BFF45" w14:textId="77777777" w:rsidR="00A3475D" w:rsidRPr="00A3475D" w:rsidRDefault="00A3475D" w:rsidP="00A3475D">
            <w:pPr>
              <w:autoSpaceDE w:val="0"/>
              <w:autoSpaceDN w:val="0"/>
              <w:adjustRightInd w:val="0"/>
              <w:jc w:val="center"/>
              <w:rPr>
                <w:rFonts w:ascii="Arial" w:hAnsi="Arial" w:cs="Arial"/>
                <w:color w:val="000000"/>
              </w:rPr>
            </w:pPr>
            <w:r w:rsidRPr="00A3475D">
              <w:rPr>
                <w:rFonts w:ascii="Arial" w:hAnsi="Arial" w:cs="Arial"/>
                <w:color w:val="000000"/>
              </w:rPr>
              <w:t>35</w:t>
            </w:r>
          </w:p>
          <w:p w14:paraId="1E1CADD8" w14:textId="77777777" w:rsidR="00A3475D" w:rsidRPr="00A3475D" w:rsidRDefault="00A3475D" w:rsidP="00A3475D">
            <w:pPr>
              <w:autoSpaceDE w:val="0"/>
              <w:autoSpaceDN w:val="0"/>
              <w:adjustRightInd w:val="0"/>
              <w:jc w:val="center"/>
              <w:rPr>
                <w:rFonts w:ascii="Arial" w:hAnsi="Arial" w:cs="Arial"/>
                <w:color w:val="000000"/>
              </w:rPr>
            </w:pPr>
          </w:p>
        </w:tc>
        <w:tc>
          <w:tcPr>
            <w:tcW w:w="1351" w:type="dxa"/>
            <w:vAlign w:val="bottom"/>
          </w:tcPr>
          <w:p w14:paraId="4D45FEA6" w14:textId="77777777" w:rsidR="00A3475D" w:rsidRPr="00A3475D" w:rsidRDefault="00A3475D" w:rsidP="00A3475D">
            <w:pPr>
              <w:autoSpaceDE w:val="0"/>
              <w:autoSpaceDN w:val="0"/>
              <w:adjustRightInd w:val="0"/>
              <w:jc w:val="center"/>
              <w:rPr>
                <w:rFonts w:ascii="Arial" w:hAnsi="Arial" w:cs="Arial"/>
                <w:color w:val="000000"/>
              </w:rPr>
            </w:pPr>
            <w:r w:rsidRPr="00A3475D">
              <w:rPr>
                <w:rFonts w:ascii="Arial" w:hAnsi="Arial" w:cs="Arial"/>
                <w:color w:val="000000"/>
              </w:rPr>
              <w:t>6.82635</w:t>
            </w:r>
          </w:p>
        </w:tc>
        <w:tc>
          <w:tcPr>
            <w:tcW w:w="1097" w:type="dxa"/>
            <w:vAlign w:val="bottom"/>
          </w:tcPr>
          <w:p w14:paraId="11471594" w14:textId="77777777" w:rsidR="00A3475D" w:rsidRPr="00A3475D" w:rsidRDefault="00A3475D" w:rsidP="00A3475D">
            <w:pPr>
              <w:autoSpaceDE w:val="0"/>
              <w:autoSpaceDN w:val="0"/>
              <w:adjustRightInd w:val="0"/>
              <w:ind w:right="10"/>
              <w:jc w:val="center"/>
              <w:rPr>
                <w:rFonts w:ascii="Arial" w:hAnsi="Arial" w:cs="Arial"/>
                <w:color w:val="000000"/>
              </w:rPr>
            </w:pPr>
            <w:r w:rsidRPr="00A3475D">
              <w:rPr>
                <w:rFonts w:ascii="Arial" w:hAnsi="Arial" w:cs="Arial"/>
                <w:color w:val="000000"/>
              </w:rPr>
              <w:t>0.0074</w:t>
            </w:r>
          </w:p>
        </w:tc>
      </w:tr>
      <w:tr w:rsidR="00A3475D" w:rsidRPr="00A3475D" w14:paraId="1F94183D" w14:textId="77777777" w:rsidTr="00A77D49">
        <w:tc>
          <w:tcPr>
            <w:tcW w:w="4428" w:type="dxa"/>
            <w:vAlign w:val="bottom"/>
          </w:tcPr>
          <w:p w14:paraId="58F447A7" w14:textId="77777777" w:rsidR="00A3475D" w:rsidRPr="00A3475D" w:rsidRDefault="00A3475D" w:rsidP="00A3475D">
            <w:pPr>
              <w:autoSpaceDE w:val="0"/>
              <w:autoSpaceDN w:val="0"/>
              <w:adjustRightInd w:val="0"/>
              <w:rPr>
                <w:rFonts w:ascii="Arial" w:hAnsi="Arial" w:cs="Arial"/>
                <w:color w:val="000000"/>
              </w:rPr>
            </w:pPr>
            <w:r w:rsidRPr="00A3475D">
              <w:rPr>
                <w:rFonts w:ascii="Arial" w:hAnsi="Arial" w:cs="Arial"/>
                <w:color w:val="000000"/>
              </w:rPr>
              <w:t>DTB_ HIV does not Granger Cause DHIV</w:t>
            </w:r>
          </w:p>
        </w:tc>
        <w:tc>
          <w:tcPr>
            <w:tcW w:w="1980" w:type="dxa"/>
            <w:vMerge/>
            <w:vAlign w:val="bottom"/>
          </w:tcPr>
          <w:p w14:paraId="2E6DBE64" w14:textId="77777777" w:rsidR="00A3475D" w:rsidRPr="00A3475D" w:rsidRDefault="00A3475D" w:rsidP="00A3475D">
            <w:pPr>
              <w:autoSpaceDE w:val="0"/>
              <w:autoSpaceDN w:val="0"/>
              <w:adjustRightInd w:val="0"/>
              <w:jc w:val="center"/>
              <w:rPr>
                <w:rFonts w:ascii="Arial" w:hAnsi="Arial" w:cs="Arial"/>
                <w:color w:val="000000"/>
              </w:rPr>
            </w:pPr>
          </w:p>
        </w:tc>
        <w:tc>
          <w:tcPr>
            <w:tcW w:w="1351" w:type="dxa"/>
            <w:vAlign w:val="bottom"/>
          </w:tcPr>
          <w:p w14:paraId="432DCB4F" w14:textId="77777777" w:rsidR="00A3475D" w:rsidRPr="00A3475D" w:rsidRDefault="00A3475D" w:rsidP="00A3475D">
            <w:pPr>
              <w:autoSpaceDE w:val="0"/>
              <w:autoSpaceDN w:val="0"/>
              <w:adjustRightInd w:val="0"/>
              <w:ind w:right="10"/>
              <w:jc w:val="center"/>
              <w:rPr>
                <w:rFonts w:ascii="Arial" w:hAnsi="Arial" w:cs="Arial"/>
                <w:color w:val="000000"/>
              </w:rPr>
            </w:pPr>
            <w:r w:rsidRPr="00A3475D">
              <w:rPr>
                <w:rFonts w:ascii="Arial" w:hAnsi="Arial" w:cs="Arial"/>
                <w:color w:val="000000"/>
              </w:rPr>
              <w:t>1.21975</w:t>
            </w:r>
          </w:p>
        </w:tc>
        <w:tc>
          <w:tcPr>
            <w:tcW w:w="1097" w:type="dxa"/>
          </w:tcPr>
          <w:p w14:paraId="4EDD6C64" w14:textId="77777777" w:rsidR="00A3475D" w:rsidRPr="00A3475D" w:rsidRDefault="00A3475D" w:rsidP="00A3475D">
            <w:pPr>
              <w:jc w:val="center"/>
              <w:rPr>
                <w:rFonts w:ascii="Arial" w:hAnsi="Arial" w:cs="Arial"/>
              </w:rPr>
            </w:pPr>
            <w:r w:rsidRPr="00A3475D">
              <w:rPr>
                <w:rFonts w:ascii="Arial" w:hAnsi="Arial" w:cs="Arial"/>
              </w:rPr>
              <w:t>0.3095</w:t>
            </w:r>
          </w:p>
        </w:tc>
      </w:tr>
    </w:tbl>
    <w:p w14:paraId="0F72A2D2" w14:textId="77777777" w:rsidR="00A3475D" w:rsidRPr="00A3475D" w:rsidRDefault="00A3475D" w:rsidP="00A3475D">
      <w:pPr>
        <w:pStyle w:val="NormalWeb"/>
        <w:spacing w:after="0" w:afterAutospacing="0"/>
        <w:jc w:val="both"/>
        <w:rPr>
          <w:rFonts w:ascii="Arial" w:hAnsi="Arial" w:cs="Arial"/>
          <w:sz w:val="20"/>
          <w:szCs w:val="20"/>
        </w:rPr>
      </w:pPr>
      <w:r w:rsidRPr="00A3475D">
        <w:rPr>
          <w:rFonts w:ascii="Arial" w:hAnsi="Arial" w:cs="Arial"/>
          <w:sz w:val="20"/>
          <w:szCs w:val="20"/>
        </w:rPr>
        <w:t>Table 8 presents the pairwise Granger causality test results based on 35 observations. The null hypothesis in each case states that one variable does not Granger-cause the other.</w:t>
      </w:r>
    </w:p>
    <w:p w14:paraId="3BDD10C8" w14:textId="77777777" w:rsidR="00A3475D" w:rsidRPr="00A3475D" w:rsidRDefault="00A3475D" w:rsidP="00A3475D">
      <w:pPr>
        <w:pStyle w:val="NormalWeb"/>
        <w:spacing w:after="0" w:afterAutospacing="0"/>
        <w:jc w:val="both"/>
        <w:rPr>
          <w:rFonts w:ascii="Arial" w:hAnsi="Arial" w:cs="Arial"/>
          <w:sz w:val="20"/>
          <w:szCs w:val="20"/>
        </w:rPr>
      </w:pPr>
      <w:r w:rsidRPr="00A3475D">
        <w:rPr>
          <w:rFonts w:ascii="Arial" w:hAnsi="Arial" w:cs="Arial"/>
          <w:sz w:val="20"/>
          <w:szCs w:val="20"/>
        </w:rPr>
        <w:t>The results indicate a unidirectional Granger causality from HIV infection to TB infection. Specifically, the null hypothesis that DHIV does not Granger-cause DTB is rejected, as the F-statistic (8.7465) is statistically significant with a p-value of 0.0012. Conversely, the null hypothesis that DTB does not Granger-cause DHIV cannot be rejected (p = 0.3107). This implies that past changes in HIV infection significantly help predict changes in TB infection, but not vice versa, in the short run.</w:t>
      </w:r>
      <w:r>
        <w:rPr>
          <w:rFonts w:ascii="Arial" w:hAnsi="Arial" w:cs="Arial"/>
          <w:sz w:val="20"/>
          <w:szCs w:val="20"/>
        </w:rPr>
        <w:t xml:space="preserve"> </w:t>
      </w:r>
      <w:r w:rsidRPr="00A3475D">
        <w:rPr>
          <w:rFonts w:ascii="Arial" w:hAnsi="Arial" w:cs="Arial"/>
          <w:sz w:val="20"/>
          <w:szCs w:val="20"/>
        </w:rPr>
        <w:t>Similarly, there is evidence of unidirectional causality from TB infection to HIV/TB coinfection. The null hypothesis that DTB does not Granger-cause DTB_HIV is rejected (F = 5.4229, p = 0.0098), while the reverse causality from HIV/TB coinfection to TB infection is not supported (p = 0.1737). This finding suggests that short-run variations in TB infection significantly contribute to predicting changes in HIV/TB coinfection.</w:t>
      </w:r>
    </w:p>
    <w:p w14:paraId="2AD98EDE" w14:textId="77777777" w:rsidR="00A3475D" w:rsidRPr="00A3475D" w:rsidRDefault="00A3475D" w:rsidP="00A3475D">
      <w:pPr>
        <w:pStyle w:val="NormalWeb"/>
        <w:spacing w:after="0" w:afterAutospacing="0"/>
        <w:jc w:val="both"/>
        <w:rPr>
          <w:rFonts w:ascii="Arial" w:hAnsi="Arial" w:cs="Arial"/>
          <w:sz w:val="20"/>
          <w:szCs w:val="20"/>
        </w:rPr>
      </w:pPr>
      <w:r w:rsidRPr="00A3475D">
        <w:rPr>
          <w:rFonts w:ascii="Arial" w:hAnsi="Arial" w:cs="Arial"/>
          <w:sz w:val="20"/>
          <w:szCs w:val="20"/>
        </w:rPr>
        <w:t>In addition, the results reveal a unidirectional Granger causality from HIV infection to HIV/TB coinfection. The null hypothesis that DHIV does not Granger-cause DHIV_TB is rejected (F = 6.8264, p = 0.0074), whereas the null hypothesis that DTB_HIV does not Granger-cause DHIV cannot be rejected (p = 0.3095). This indicates that changes in HIV infection precede and predict changes in HIV/TB coinfection in the short run.</w:t>
      </w:r>
      <w:r>
        <w:rPr>
          <w:rFonts w:ascii="Arial" w:hAnsi="Arial" w:cs="Arial"/>
          <w:sz w:val="20"/>
          <w:szCs w:val="20"/>
        </w:rPr>
        <w:t xml:space="preserve"> Overall, the Granger causality results provide strong evidence of one-way predictive linkages running from HIV infection to TB infection, from TB infection to HIV/TB coinfection, and from HIV infection directly to HIV/TB coinfection. The absence of reverse causality in all cases suggests that HIV infection plays a leading role in driving both TB infection and HIV/TB coinfection dynamics in Nasarawa State. These findings are consistent with epidemiological understanding and reinforce the need for </w:t>
      </w:r>
      <w:r>
        <w:rPr>
          <w:rFonts w:ascii="Arial" w:hAnsi="Arial" w:cs="Arial"/>
          <w:sz w:val="20"/>
          <w:szCs w:val="20"/>
          <w:highlight w:val="yellow"/>
        </w:rPr>
        <w:t>HIV-centred</w:t>
      </w:r>
      <w:r>
        <w:rPr>
          <w:rFonts w:ascii="Arial" w:hAnsi="Arial" w:cs="Arial"/>
          <w:sz w:val="20"/>
          <w:szCs w:val="20"/>
        </w:rPr>
        <w:t xml:space="preserve"> interventions as a strategic entry point for reducing TB incidence and HIV/TB coinfection in the study area. </w:t>
      </w:r>
      <w:r>
        <w:rPr>
          <w:rFonts w:ascii="Arial" w:hAnsi="Arial" w:cs="Arial"/>
          <w:sz w:val="20"/>
          <w:szCs w:val="20"/>
          <w:highlight w:val="yellow"/>
        </w:rPr>
        <w:t>These results agree with the earlier findings of</w:t>
      </w:r>
      <w:r>
        <w:rPr>
          <w:rFonts w:ascii="Arial" w:hAnsi="Arial" w:cs="Arial"/>
          <w:sz w:val="20"/>
          <w:szCs w:val="20"/>
        </w:rPr>
        <w:t xml:space="preserve"> Kuhe and Ivande (2017) and Ani </w:t>
      </w:r>
      <w:r w:rsidRPr="00A3475D">
        <w:rPr>
          <w:rFonts w:ascii="Arial" w:hAnsi="Arial" w:cs="Arial"/>
          <w:i/>
          <w:sz w:val="20"/>
          <w:szCs w:val="20"/>
        </w:rPr>
        <w:t>et al</w:t>
      </w:r>
      <w:r w:rsidRPr="00A3475D">
        <w:rPr>
          <w:rFonts w:ascii="Arial" w:hAnsi="Arial" w:cs="Arial"/>
          <w:sz w:val="20"/>
          <w:szCs w:val="20"/>
        </w:rPr>
        <w:t>. (2020).</w:t>
      </w:r>
    </w:p>
    <w:p w14:paraId="774A95B0" w14:textId="77777777" w:rsidR="001C011C" w:rsidRDefault="001C011C" w:rsidP="004C3151">
      <w:pPr>
        <w:pStyle w:val="ConcHead"/>
        <w:spacing w:after="0"/>
        <w:jc w:val="both"/>
        <w:rPr>
          <w:rFonts w:ascii="Times New Roman" w:hAnsi="Times New Roman"/>
          <w:bCs/>
          <w:caps w:val="0"/>
          <w:sz w:val="24"/>
          <w:szCs w:val="24"/>
        </w:rPr>
      </w:pPr>
    </w:p>
    <w:p w14:paraId="035D863D" w14:textId="77777777" w:rsidR="004C3151" w:rsidRDefault="004C3151" w:rsidP="004C3151">
      <w:pPr>
        <w:pStyle w:val="ConcHead"/>
        <w:spacing w:after="0"/>
        <w:jc w:val="both"/>
        <w:rPr>
          <w:rFonts w:ascii="Arial" w:hAnsi="Arial" w:cs="Arial"/>
        </w:rPr>
      </w:pPr>
      <w:r>
        <w:rPr>
          <w:rFonts w:ascii="Arial" w:hAnsi="Arial" w:cs="Arial"/>
        </w:rPr>
        <w:t xml:space="preserve">4. </w:t>
      </w:r>
      <w:r w:rsidRPr="00FB3A86">
        <w:rPr>
          <w:rFonts w:ascii="Arial" w:hAnsi="Arial" w:cs="Arial"/>
        </w:rPr>
        <w:t>Conclusion</w:t>
      </w:r>
    </w:p>
    <w:p w14:paraId="35F38B08" w14:textId="77777777" w:rsidR="004C3151" w:rsidRDefault="001C011C" w:rsidP="004C3151">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This study established that HIV infection, tuberculosis (TB) infection, and HIV/TB coinfection in Nasarawa State are closely interconnected through both long-run equilibrium relationships and short-run causal dynamics. The findings showed that all three variables are integrated of order one and exhibit stable long-run cointegration, indicating that they move together over time despite short-term fluctuations. Long-run estimates further revealed that both HIV and TB infections significantly increase the burden of HIV/TB coinfection, with HIV exerting the strongest influence. The Vector Error Correction Model confirmed a rapid adjustment toward long-run equilibrium following short-run disturbances, while Granger causality analysis demonstrated unidirectional causal relationships running from HIV infection to TB infection, from HIV infection to HIV/TB coinfection, and from TB infection to HIV/TB coinfection. These results underscore the central role of HIV in driving the dynamics of TB and HIV/TB coinfection and reinforce the need for integrated disease control strategies rather than isolated interventions. Consequently, health authorities should strengthen integrated HIV-TB screening, diagnosis, treatment, and surveillance systems, prioritize HIV prevention programmes such as expanded antiretroviral therapy and community awareness campaigns, enhance routine TB screening among people living with HIV, improve </w:t>
      </w:r>
      <w:r>
        <w:rPr>
          <w:rFonts w:ascii="Arial" w:hAnsi="Arial" w:cs="Arial"/>
          <w:sz w:val="20"/>
          <w:szCs w:val="20"/>
          <w:highlight w:val="yellow"/>
        </w:rPr>
        <w:t>harmonised</w:t>
      </w:r>
      <w:r>
        <w:rPr>
          <w:rFonts w:ascii="Arial" w:hAnsi="Arial" w:cs="Arial"/>
          <w:sz w:val="20"/>
          <w:szCs w:val="20"/>
        </w:rPr>
        <w:t xml:space="preserve"> disease surveillance and health information systems, and sustain long-term investment in healthcare infrastructure and coordinated public health interventions. Implementing these measures will contribute significantly to reducing the dual burden of HIV and TB and improving health outcomes in Nasarawa State, Nigeria.</w:t>
      </w:r>
    </w:p>
    <w:p w14:paraId="5B298693" w14:textId="77777777" w:rsidR="008F6784" w:rsidRDefault="008F6784" w:rsidP="009730C8">
      <w:pPr>
        <w:pStyle w:val="NormalWeb"/>
        <w:spacing w:after="0" w:afterAutospacing="0"/>
        <w:jc w:val="both"/>
        <w:rPr>
          <w:rFonts w:ascii="Arial" w:hAnsi="Arial" w:cs="Arial"/>
          <w:sz w:val="20"/>
          <w:szCs w:val="20"/>
          <w:highlight w:val="yellow"/>
        </w:rPr>
      </w:pPr>
      <w:r>
        <w:rPr>
          <w:rFonts w:ascii="Arial" w:hAnsi="Arial" w:cs="Arial"/>
          <w:sz w:val="20"/>
          <w:szCs w:val="20"/>
          <w:highlight w:val="yellow"/>
        </w:rPr>
        <w:t>Limitation</w:t>
      </w:r>
    </w:p>
    <w:p w14:paraId="631C98FB" w14:textId="77777777" w:rsidR="009730C8" w:rsidRPr="009730C8" w:rsidRDefault="009730C8" w:rsidP="009730C8">
      <w:pPr>
        <w:pStyle w:val="NormalWeb"/>
        <w:spacing w:after="0" w:afterAutospacing="0"/>
        <w:jc w:val="both"/>
        <w:rPr>
          <w:rFonts w:ascii="Arial" w:hAnsi="Arial" w:cs="Arial"/>
          <w:sz w:val="20"/>
          <w:szCs w:val="20"/>
        </w:rPr>
      </w:pPr>
      <w:r>
        <w:rPr>
          <w:rFonts w:ascii="Arial" w:hAnsi="Arial" w:cs="Arial"/>
          <w:sz w:val="20"/>
          <w:szCs w:val="20"/>
          <w:highlight w:val="yellow"/>
        </w:rPr>
        <w:lastRenderedPageBreak/>
        <w:t>The study has some limitations that should be acknowledged. First, it relied on secondary, aggregate quarterly surveillance data from Nasarawa State, comprising only 37 observations, which may limit the statistical power of the econometric models and the ability to capture more detailed temporal variations. Second, the analysis did not include important individual-level factors such as age, sex, CD4 count, treatment adherence, socioeconomic status, behavioural characteristics, and other clinical determinants that may influence HIV/TB coinfection. Third, although Granger causality identifies predictive temporal relationships, the results should not be interpreted as establishing biological or clinical causation. Finally, because the study is restricted to Nasarawa State, the findings may not be directly generalisable to other states or the entire Nigerian population.</w:t>
      </w:r>
      <w:r w:rsidRPr="009730C8">
        <w:rPr>
          <w:rFonts w:ascii="Arial" w:hAnsi="Arial" w:cs="Arial"/>
          <w:sz w:val="20"/>
          <w:szCs w:val="20"/>
        </w:rPr>
        <w:t xml:space="preserve"> </w:t>
      </w:r>
    </w:p>
    <w:p w14:paraId="5B25BE62" w14:textId="77777777" w:rsidR="009730C8" w:rsidRPr="001C011C" w:rsidRDefault="009730C8" w:rsidP="004C3151">
      <w:pPr>
        <w:pStyle w:val="NormalWeb"/>
        <w:spacing w:before="240" w:beforeAutospacing="0" w:after="0" w:afterAutospacing="0"/>
        <w:jc w:val="both"/>
        <w:rPr>
          <w:rFonts w:ascii="Arial" w:hAnsi="Arial" w:cs="Arial"/>
          <w:sz w:val="20"/>
          <w:szCs w:val="20"/>
        </w:rPr>
      </w:pPr>
    </w:p>
    <w:p w14:paraId="52059057" w14:textId="77777777" w:rsidR="004C3151" w:rsidRPr="00FB3A86" w:rsidRDefault="004C3151" w:rsidP="004C3151">
      <w:pPr>
        <w:pStyle w:val="Body"/>
        <w:spacing w:after="0"/>
        <w:rPr>
          <w:rFonts w:ascii="Arial" w:hAnsi="Arial" w:cs="Arial"/>
        </w:rPr>
      </w:pPr>
    </w:p>
    <w:p w14:paraId="3A7F322C" w14:textId="77777777" w:rsidR="004C3151" w:rsidRPr="00786D36" w:rsidRDefault="004C3151" w:rsidP="004C3151">
      <w:pPr>
        <w:pStyle w:val="ReferHead"/>
        <w:spacing w:after="0"/>
        <w:jc w:val="both"/>
        <w:rPr>
          <w:rFonts w:ascii="Arial" w:hAnsi="Arial" w:cs="Arial"/>
          <w:bCs/>
        </w:rPr>
      </w:pPr>
      <w:r w:rsidRPr="00786D36">
        <w:rPr>
          <w:rFonts w:ascii="Arial" w:hAnsi="Arial" w:cs="Arial"/>
          <w:bCs/>
        </w:rPr>
        <w:t>Competing interests</w:t>
      </w:r>
    </w:p>
    <w:p w14:paraId="3CB49049" w14:textId="77777777" w:rsidR="004C3151" w:rsidRPr="00786D36" w:rsidRDefault="004C3151" w:rsidP="004C3151">
      <w:pPr>
        <w:pStyle w:val="ReferHead"/>
        <w:spacing w:after="0"/>
        <w:jc w:val="both"/>
        <w:rPr>
          <w:rFonts w:ascii="Arial" w:hAnsi="Arial" w:cs="Arial"/>
        </w:rPr>
      </w:pPr>
    </w:p>
    <w:p w14:paraId="7610133D" w14:textId="77777777" w:rsidR="00FA70D0" w:rsidRPr="00301F46" w:rsidRDefault="004C3151" w:rsidP="00301F46">
      <w:pPr>
        <w:pStyle w:val="ReferHead"/>
        <w:spacing w:after="0"/>
        <w:jc w:val="both"/>
        <w:rPr>
          <w:rFonts w:ascii="Arial" w:hAnsi="Arial" w:cs="Arial"/>
          <w:b w:val="0"/>
          <w:caps w:val="0"/>
          <w:sz w:val="20"/>
        </w:rPr>
      </w:pPr>
      <w:r w:rsidRPr="00C16328">
        <w:rPr>
          <w:rFonts w:ascii="Arial" w:hAnsi="Arial" w:cs="Arial"/>
          <w:b w:val="0"/>
          <w:caps w:val="0"/>
          <w:sz w:val="20"/>
        </w:rPr>
        <w:t>Authors have declared that</w:t>
      </w:r>
      <w:r>
        <w:rPr>
          <w:rFonts w:ascii="Arial" w:hAnsi="Arial" w:cs="Arial"/>
          <w:b w:val="0"/>
          <w:caps w:val="0"/>
          <w:sz w:val="20"/>
        </w:rPr>
        <w:t xml:space="preserve"> no competing interests exist.</w:t>
      </w:r>
      <w:bookmarkStart w:id="0" w:name="_Hlk234486585"/>
      <w:bookmarkStart w:id="1" w:name="_Hlk234075571"/>
      <w:bookmarkStart w:id="2" w:name="_Hlk232755622"/>
    </w:p>
    <w:p w14:paraId="61BEF961" w14:textId="77777777" w:rsidR="00FA70D0" w:rsidRDefault="00FA70D0" w:rsidP="00773A6E">
      <w:pPr>
        <w:rPr>
          <w:rFonts w:ascii="Times New Roman" w:hAnsi="Times New Roman"/>
          <w:b/>
        </w:rPr>
      </w:pPr>
    </w:p>
    <w:p w14:paraId="7671DF91" w14:textId="77777777" w:rsidR="00FA70D0" w:rsidRDefault="00FA70D0" w:rsidP="00773A6E">
      <w:pPr>
        <w:rPr>
          <w:rFonts w:ascii="Times New Roman" w:hAnsi="Times New Roman"/>
          <w:b/>
        </w:rPr>
      </w:pPr>
    </w:p>
    <w:bookmarkEnd w:id="0"/>
    <w:bookmarkEnd w:id="1"/>
    <w:bookmarkEnd w:id="2"/>
    <w:p w14:paraId="099ABC02" w14:textId="77777777" w:rsidR="00224556" w:rsidRPr="00224556" w:rsidRDefault="00224556" w:rsidP="00224556">
      <w:pPr>
        <w:spacing w:after="160" w:line="278" w:lineRule="auto"/>
        <w:rPr>
          <w:rFonts w:ascii="Calibri" w:eastAsia="Calibri" w:hAnsi="Calibri"/>
          <w:b/>
          <w:bCs/>
          <w:kern w:val="2"/>
          <w:sz w:val="24"/>
          <w:szCs w:val="24"/>
          <w14:ligatures w14:val="standardContextual"/>
        </w:rPr>
      </w:pPr>
      <w:r w:rsidRPr="00224556">
        <w:rPr>
          <w:rFonts w:ascii="Calibri" w:eastAsia="Calibri" w:hAnsi="Calibri"/>
          <w:b/>
          <w:bCs/>
          <w:kern w:val="2"/>
          <w:sz w:val="24"/>
          <w:szCs w:val="24"/>
          <w14:ligatures w14:val="standardContextual"/>
        </w:rPr>
        <w:t>Declaration of AI Use</w:t>
      </w:r>
    </w:p>
    <w:p w14:paraId="102B55CC" w14:textId="77777777" w:rsidR="00773A6E" w:rsidRPr="00C16328" w:rsidRDefault="00224556" w:rsidP="00224556">
      <w:pPr>
        <w:pStyle w:val="ReferHead"/>
        <w:spacing w:after="0"/>
        <w:jc w:val="both"/>
        <w:rPr>
          <w:rFonts w:ascii="Arial" w:hAnsi="Arial" w:cs="Arial"/>
          <w:b w:val="0"/>
          <w:bCs/>
          <w:sz w:val="20"/>
        </w:rPr>
      </w:pPr>
      <w:r w:rsidRPr="00224556">
        <w:rPr>
          <w:rFonts w:ascii="Calibri" w:eastAsia="Calibri" w:hAnsi="Calibri"/>
          <w:b w:val="0"/>
          <w:caps w:val="0"/>
          <w:kern w:val="2"/>
          <w:szCs w:val="22"/>
          <w14:ligatures w14:val="standardContextu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9872802" w14:textId="77777777" w:rsidR="004C3151" w:rsidRDefault="004C3151" w:rsidP="004C3151">
      <w:pPr>
        <w:pStyle w:val="ReferHead"/>
        <w:spacing w:after="0"/>
        <w:jc w:val="both"/>
        <w:rPr>
          <w:rFonts w:ascii="Arial" w:hAnsi="Arial" w:cs="Arial"/>
        </w:rPr>
      </w:pPr>
    </w:p>
    <w:p w14:paraId="0116B7B6" w14:textId="77777777" w:rsidR="004C3151" w:rsidRDefault="004C3151" w:rsidP="004C3151">
      <w:pPr>
        <w:pStyle w:val="ReferHead"/>
        <w:spacing w:after="0"/>
        <w:jc w:val="both"/>
        <w:rPr>
          <w:rFonts w:ascii="Arial" w:hAnsi="Arial" w:cs="Arial"/>
        </w:rPr>
      </w:pPr>
      <w:r w:rsidRPr="00FB3A86">
        <w:rPr>
          <w:rFonts w:ascii="Arial" w:hAnsi="Arial" w:cs="Arial"/>
        </w:rPr>
        <w:t>References</w:t>
      </w:r>
    </w:p>
    <w:p w14:paraId="5F927291" w14:textId="77777777" w:rsidR="00CE1A48" w:rsidRDefault="00000000">
      <w:pPr>
        <w:pStyle w:val="NormalWeb"/>
        <w:spacing w:before="0" w:after="0"/>
        <w:ind w:left="720" w:hanging="720"/>
        <w:jc w:val="both"/>
      </w:pPr>
      <w:r>
        <w:rPr>
          <w:rFonts w:ascii="Arial" w:eastAsia="Arial" w:hAnsi="Arial"/>
          <w:sz w:val="20"/>
        </w:rPr>
        <w:t xml:space="preserve">Adejumo, O. A., Daniel, O. J., Otesanya, A. F., Adegbola, A. A., Femi-Adebayo, T., Bowale, A., Adesola, S., Kuku, O. O., Otemuyiwa, K. O., Oladega, S. N., Johnson, E. O., Falana, A. A., Dawodu, O., Owuna, H., Osoba, G., &amp; Dacosta, A. (2017). Factors associated with TB/HIV co-infection among drug-sensitive tuberculosis patients managed in a secondary health facility in Lagos, Nigeria. </w:t>
      </w:r>
      <w:r>
        <w:rPr>
          <w:rFonts w:ascii="Arial" w:eastAsia="Arial" w:hAnsi="Arial"/>
          <w:i/>
          <w:sz w:val="20"/>
        </w:rPr>
        <w:t>African Journal of Infectious Diseases, 11</w:t>
      </w:r>
      <w:r>
        <w:rPr>
          <w:rFonts w:ascii="Arial" w:eastAsia="Arial" w:hAnsi="Arial"/>
          <w:sz w:val="20"/>
        </w:rPr>
        <w:t xml:space="preserve">(2), 75-82. </w:t>
      </w:r>
      <w:hyperlink r:id="rId19">
        <w:r>
          <w:rPr>
            <w:rFonts w:ascii="Arial" w:eastAsia="Arial" w:hAnsi="Arial"/>
            <w:color w:val="000000"/>
            <w:sz w:val="20"/>
            <w:szCs w:val="20"/>
          </w:rPr>
          <w:t>https://doi.org/10.21010/ajid.v11i2.10</w:t>
        </w:r>
      </w:hyperlink>
    </w:p>
    <w:p w14:paraId="10422063" w14:textId="77777777" w:rsidR="00CE1A48" w:rsidRDefault="00000000">
      <w:pPr>
        <w:pStyle w:val="NormalWeb"/>
        <w:spacing w:before="0" w:after="0"/>
        <w:ind w:left="720" w:hanging="720"/>
        <w:jc w:val="both"/>
      </w:pPr>
      <w:r>
        <w:rPr>
          <w:rFonts w:ascii="Arial" w:eastAsia="Arial" w:hAnsi="Arial"/>
          <w:sz w:val="20"/>
        </w:rPr>
        <w:t xml:space="preserve">Alao, M. A., Maroushek, S. R., Chan, Y. H., Asinobi, A. O., Slusher, T. M., &amp; Gbadero, D. A. (2020). Treatment outcomes of Nigerian patients with tuberculosis: A retrospective 25-year review in a regional medical center. </w:t>
      </w:r>
      <w:r>
        <w:rPr>
          <w:rFonts w:ascii="Arial" w:eastAsia="Arial" w:hAnsi="Arial"/>
          <w:i/>
          <w:sz w:val="20"/>
        </w:rPr>
        <w:t>PLOS ONE, 15</w:t>
      </w:r>
      <w:r>
        <w:rPr>
          <w:rFonts w:ascii="Arial" w:eastAsia="Arial" w:hAnsi="Arial"/>
          <w:sz w:val="20"/>
        </w:rPr>
        <w:t xml:space="preserve">(10), e0239225. </w:t>
      </w:r>
      <w:hyperlink r:id="rId20">
        <w:r>
          <w:rPr>
            <w:rFonts w:ascii="Arial" w:eastAsia="Arial" w:hAnsi="Arial"/>
            <w:color w:val="000000"/>
            <w:sz w:val="20"/>
            <w:szCs w:val="20"/>
          </w:rPr>
          <w:t>https://doi.org/10.1371/journal.pone.0239225</w:t>
        </w:r>
      </w:hyperlink>
    </w:p>
    <w:p w14:paraId="53E130A2" w14:textId="77777777" w:rsidR="00CE1A48" w:rsidRDefault="00000000">
      <w:pPr>
        <w:pStyle w:val="NormalWeb"/>
        <w:spacing w:before="0" w:after="0"/>
        <w:ind w:left="720" w:hanging="720"/>
        <w:jc w:val="both"/>
      </w:pPr>
      <w:r>
        <w:rPr>
          <w:rFonts w:ascii="Arial" w:eastAsia="Arial" w:hAnsi="Arial"/>
          <w:sz w:val="20"/>
        </w:rPr>
        <w:t xml:space="preserve">Amuta, E. U., Tsaku, I. M., &amp; Akyala, I. A. (2013). A retrospective study on the epidemiological trend of human immunodeficiency virus (HIV) and pulmonary tuberculosis (PTB) co-infection in Nasarawa State, Nigeria. </w:t>
      </w:r>
      <w:r>
        <w:rPr>
          <w:rFonts w:ascii="Arial" w:eastAsia="Arial" w:hAnsi="Arial"/>
          <w:i/>
          <w:sz w:val="20"/>
        </w:rPr>
        <w:t>Journal of Natural Sciences Research, 3</w:t>
      </w:r>
      <w:r>
        <w:rPr>
          <w:rFonts w:ascii="Arial" w:eastAsia="Arial" w:hAnsi="Arial"/>
          <w:sz w:val="20"/>
        </w:rPr>
        <w:t xml:space="preserve">(7), 45-51. </w:t>
      </w:r>
      <w:hyperlink r:id="rId21">
        <w:r>
          <w:rPr>
            <w:rFonts w:ascii="Arial" w:eastAsia="Arial" w:hAnsi="Arial"/>
            <w:color w:val="000000"/>
            <w:sz w:val="20"/>
            <w:szCs w:val="20"/>
          </w:rPr>
          <w:t>https://www.iiste.org/Journals/index.php/JNSR/article/view/6400</w:t>
        </w:r>
      </w:hyperlink>
    </w:p>
    <w:p w14:paraId="01139950" w14:textId="77777777" w:rsidR="00CE1A48" w:rsidRDefault="00000000">
      <w:pPr>
        <w:pStyle w:val="NormalWeb"/>
        <w:spacing w:before="0" w:after="0"/>
        <w:ind w:left="720" w:hanging="720"/>
        <w:jc w:val="both"/>
      </w:pPr>
      <w:r>
        <w:rPr>
          <w:rFonts w:ascii="Arial" w:eastAsia="Arial" w:hAnsi="Arial"/>
          <w:sz w:val="20"/>
        </w:rPr>
        <w:t xml:space="preserve">Ani, C. L., Hassan, U. M., &amp; Adesue, G. A. (2020). Modelling coinfection dynamics of HIV&amp;AIDS, tuberculosis and hepatitis C virus. </w:t>
      </w:r>
      <w:r>
        <w:rPr>
          <w:rFonts w:ascii="Arial" w:eastAsia="Arial" w:hAnsi="Arial"/>
          <w:i/>
          <w:sz w:val="20"/>
        </w:rPr>
        <w:t>Science World Journal, 15</w:t>
      </w:r>
      <w:r>
        <w:rPr>
          <w:rFonts w:ascii="Arial" w:eastAsia="Arial" w:hAnsi="Arial"/>
          <w:sz w:val="20"/>
        </w:rPr>
        <w:t xml:space="preserve">(3), 24-32. </w:t>
      </w:r>
      <w:hyperlink r:id="rId22">
        <w:r>
          <w:rPr>
            <w:rFonts w:ascii="Arial" w:eastAsia="Arial" w:hAnsi="Arial"/>
            <w:color w:val="000000"/>
            <w:sz w:val="20"/>
            <w:szCs w:val="20"/>
          </w:rPr>
          <w:t>https://doi.org/10.47514/swj/15.03.2020.004</w:t>
        </w:r>
      </w:hyperlink>
    </w:p>
    <w:p w14:paraId="67ED3919" w14:textId="77777777" w:rsidR="00CE1A48" w:rsidRDefault="00000000">
      <w:pPr>
        <w:pStyle w:val="NormalWeb"/>
        <w:spacing w:before="0" w:after="0"/>
        <w:ind w:left="720" w:hanging="720"/>
        <w:jc w:val="both"/>
      </w:pPr>
      <w:r>
        <w:rPr>
          <w:rFonts w:ascii="Arial" w:eastAsia="Arial" w:hAnsi="Arial"/>
          <w:sz w:val="20"/>
        </w:rPr>
        <w:t xml:space="preserve">Asuke, S., Bimba, J., Ngutor, S. M., Ejiga, E., Miracle, S. Z., &amp; Anamayi, D. M. (2020). Prevalence of tuberculosis-HIV co-infection and factors associated with treatment outcome among the tuberculosis patients in HIV treatment facility in a teaching hospital in Jos, North Central Nigeria. </w:t>
      </w:r>
      <w:r>
        <w:rPr>
          <w:rFonts w:ascii="Arial" w:eastAsia="Arial" w:hAnsi="Arial"/>
          <w:i/>
          <w:sz w:val="20"/>
        </w:rPr>
        <w:t>Port Harcourt Medical Journal, 14</w:t>
      </w:r>
      <w:r>
        <w:rPr>
          <w:rFonts w:ascii="Arial" w:eastAsia="Arial" w:hAnsi="Arial"/>
          <w:sz w:val="20"/>
        </w:rPr>
        <w:t xml:space="preserve">(3), 119-124. </w:t>
      </w:r>
      <w:hyperlink r:id="rId23">
        <w:r>
          <w:rPr>
            <w:rFonts w:ascii="Arial" w:eastAsia="Arial" w:hAnsi="Arial"/>
            <w:color w:val="000000"/>
            <w:sz w:val="20"/>
            <w:szCs w:val="20"/>
          </w:rPr>
          <w:t>https://doi.org/10.60787/phmj.v14i3.157</w:t>
        </w:r>
      </w:hyperlink>
    </w:p>
    <w:p w14:paraId="12B46647" w14:textId="77777777" w:rsidR="00CE1A48" w:rsidRDefault="00000000">
      <w:pPr>
        <w:pStyle w:val="NormalWeb"/>
        <w:spacing w:before="0" w:after="0"/>
        <w:ind w:left="720" w:hanging="720"/>
        <w:jc w:val="both"/>
      </w:pPr>
      <w:r>
        <w:rPr>
          <w:rFonts w:ascii="Arial" w:eastAsia="Arial" w:hAnsi="Arial"/>
          <w:sz w:val="20"/>
        </w:rPr>
        <w:lastRenderedPageBreak/>
        <w:t xml:space="preserve">Aturinde, A., Farnaghi, M., Pilesjö, P., &amp; Mansourian, A. (2019). Spatial analysis of HIV-TB co-clustering in Uganda. </w:t>
      </w:r>
      <w:r>
        <w:rPr>
          <w:rFonts w:ascii="Arial" w:eastAsia="Arial" w:hAnsi="Arial"/>
          <w:i/>
          <w:sz w:val="20"/>
        </w:rPr>
        <w:t>BMC Infectious Diseases, 19</w:t>
      </w:r>
      <w:r>
        <w:rPr>
          <w:rFonts w:ascii="Arial" w:eastAsia="Arial" w:hAnsi="Arial"/>
          <w:sz w:val="20"/>
        </w:rPr>
        <w:t xml:space="preserve">, 612. </w:t>
      </w:r>
      <w:hyperlink r:id="rId24">
        <w:r>
          <w:rPr>
            <w:rFonts w:ascii="Arial" w:eastAsia="Arial" w:hAnsi="Arial"/>
            <w:color w:val="000000"/>
            <w:sz w:val="20"/>
            <w:szCs w:val="20"/>
          </w:rPr>
          <w:t>https://doi.org/10.1186/s12879-019-4246-2</w:t>
        </w:r>
      </w:hyperlink>
    </w:p>
    <w:p w14:paraId="2DC469D7" w14:textId="77777777" w:rsidR="00CE1A48" w:rsidRDefault="00000000">
      <w:pPr>
        <w:pStyle w:val="NormalWeb"/>
        <w:spacing w:before="0" w:after="0"/>
        <w:ind w:left="720" w:hanging="720"/>
        <w:jc w:val="both"/>
      </w:pPr>
      <w:r>
        <w:rPr>
          <w:rFonts w:ascii="Arial" w:eastAsia="Arial" w:hAnsi="Arial"/>
          <w:sz w:val="20"/>
        </w:rPr>
        <w:t xml:space="preserve">Belay, M., Bjune, G., &amp; Abebe, F. (2015). Prevalence of tuberculosis, HIV, and TB-HIV co-infection among pulmonary tuberculosis suspects in a predominantly pastoralist area, northeast Ethiopia. </w:t>
      </w:r>
      <w:r>
        <w:rPr>
          <w:rFonts w:ascii="Arial" w:eastAsia="Arial" w:hAnsi="Arial"/>
          <w:i/>
          <w:sz w:val="20"/>
        </w:rPr>
        <w:t>Global Health Action, 8</w:t>
      </w:r>
      <w:r>
        <w:rPr>
          <w:rFonts w:ascii="Arial" w:eastAsia="Arial" w:hAnsi="Arial"/>
          <w:sz w:val="20"/>
        </w:rPr>
        <w:t xml:space="preserve">(1), 27949. </w:t>
      </w:r>
      <w:hyperlink r:id="rId25">
        <w:r>
          <w:rPr>
            <w:rFonts w:ascii="Arial" w:eastAsia="Arial" w:hAnsi="Arial"/>
            <w:color w:val="000000"/>
            <w:sz w:val="20"/>
            <w:szCs w:val="20"/>
          </w:rPr>
          <w:t>https://doi.org/10.3402/gha.v8.27949</w:t>
        </w:r>
      </w:hyperlink>
    </w:p>
    <w:p w14:paraId="631D31D9" w14:textId="77777777" w:rsidR="00CE1A48" w:rsidRDefault="00000000">
      <w:pPr>
        <w:pStyle w:val="NormalWeb"/>
        <w:spacing w:before="0" w:after="0"/>
        <w:ind w:left="720" w:hanging="720"/>
        <w:jc w:val="both"/>
      </w:pPr>
      <w:r>
        <w:rPr>
          <w:rFonts w:ascii="Arial" w:eastAsia="Arial" w:hAnsi="Arial"/>
          <w:sz w:val="20"/>
        </w:rPr>
        <w:t xml:space="preserve">Centers for Disease Control and Prevention. (2025, June 30). </w:t>
      </w:r>
      <w:r>
        <w:rPr>
          <w:rFonts w:ascii="Arial" w:eastAsia="Arial" w:hAnsi="Arial"/>
          <w:i/>
          <w:sz w:val="20"/>
        </w:rPr>
        <w:t>HIV and TB overview: Nigeria</w:t>
      </w:r>
      <w:r>
        <w:rPr>
          <w:rFonts w:ascii="Arial" w:eastAsia="Arial" w:hAnsi="Arial"/>
          <w:sz w:val="20"/>
        </w:rPr>
        <w:t xml:space="preserve">. </w:t>
      </w:r>
      <w:hyperlink r:id="rId26">
        <w:r>
          <w:rPr>
            <w:rFonts w:ascii="Arial" w:eastAsia="Arial" w:hAnsi="Arial"/>
            <w:color w:val="000000"/>
            <w:sz w:val="20"/>
            <w:szCs w:val="20"/>
          </w:rPr>
          <w:t>https://www.cdc.gov/global-hiv-tb/php/where-we-work/nigeria.html</w:t>
        </w:r>
      </w:hyperlink>
    </w:p>
    <w:p w14:paraId="720E3C61" w14:textId="77777777" w:rsidR="00CE1A48" w:rsidRDefault="00000000">
      <w:pPr>
        <w:pStyle w:val="NormalWeb"/>
        <w:spacing w:before="0" w:after="0"/>
        <w:ind w:left="720" w:hanging="720"/>
        <w:jc w:val="both"/>
      </w:pPr>
      <w:r>
        <w:rPr>
          <w:rFonts w:ascii="Arial" w:eastAsia="Arial" w:hAnsi="Arial"/>
          <w:sz w:val="20"/>
        </w:rPr>
        <w:t xml:space="preserve">Chukwuocha, I. K., Johnson, S. M., &amp; Aguoru, E. P. (2024). Prevalence, profile and treatment outcome of tuberculosis-human immunodeficiency virus co-infection in South Eastern Nigeria: A 3-year retrospective study. </w:t>
      </w:r>
      <w:r>
        <w:rPr>
          <w:rFonts w:ascii="Arial" w:eastAsia="Arial" w:hAnsi="Arial"/>
          <w:i/>
          <w:sz w:val="20"/>
        </w:rPr>
        <w:t>Nigerian Medical Journal, 64</w:t>
      </w:r>
      <w:r>
        <w:rPr>
          <w:rFonts w:ascii="Arial" w:eastAsia="Arial" w:hAnsi="Arial"/>
          <w:sz w:val="20"/>
        </w:rPr>
        <w:t xml:space="preserve">(6), 789-798. </w:t>
      </w:r>
      <w:hyperlink r:id="rId27">
        <w:r>
          <w:rPr>
            <w:rFonts w:ascii="Arial" w:eastAsia="Arial" w:hAnsi="Arial"/>
            <w:color w:val="000000"/>
            <w:sz w:val="20"/>
            <w:szCs w:val="20"/>
          </w:rPr>
          <w:t>https://doi.org/10.60787/nmj.v64i6.372</w:t>
        </w:r>
      </w:hyperlink>
    </w:p>
    <w:p w14:paraId="272F3A52" w14:textId="77777777" w:rsidR="00CE1A48" w:rsidRDefault="00000000">
      <w:pPr>
        <w:pStyle w:val="NormalWeb"/>
        <w:spacing w:before="0" w:after="0"/>
        <w:ind w:left="720" w:hanging="720"/>
        <w:jc w:val="both"/>
      </w:pPr>
      <w:r>
        <w:rPr>
          <w:rFonts w:ascii="Arial" w:eastAsia="Arial" w:hAnsi="Arial"/>
          <w:sz w:val="20"/>
        </w:rPr>
        <w:t xml:space="preserve">Dickey, D. A., &amp; Fuller, W. A. (1979). Distribution of the estimators for autoregressive time series with a unit root. </w:t>
      </w:r>
      <w:r>
        <w:rPr>
          <w:rFonts w:ascii="Arial" w:eastAsia="Arial" w:hAnsi="Arial"/>
          <w:i/>
          <w:sz w:val="20"/>
        </w:rPr>
        <w:t>Journal of the American Statistical Association, 74</w:t>
      </w:r>
      <w:r>
        <w:rPr>
          <w:rFonts w:ascii="Arial" w:eastAsia="Arial" w:hAnsi="Arial"/>
          <w:sz w:val="20"/>
        </w:rPr>
        <w:t xml:space="preserve">(366), 427-431. </w:t>
      </w:r>
      <w:hyperlink r:id="rId28">
        <w:r>
          <w:rPr>
            <w:rFonts w:ascii="Arial" w:eastAsia="Arial" w:hAnsi="Arial"/>
            <w:color w:val="000000"/>
            <w:sz w:val="20"/>
            <w:szCs w:val="20"/>
          </w:rPr>
          <w:t>https://doi.org/10.1080/01621459.1979.10482531</w:t>
        </w:r>
      </w:hyperlink>
    </w:p>
    <w:p w14:paraId="59DD109D" w14:textId="77777777" w:rsidR="00CE1A48" w:rsidRDefault="00000000">
      <w:pPr>
        <w:pStyle w:val="NormalWeb"/>
        <w:spacing w:before="0" w:after="0"/>
        <w:ind w:left="720" w:hanging="720"/>
        <w:jc w:val="both"/>
      </w:pPr>
      <w:r>
        <w:rPr>
          <w:rFonts w:ascii="Arial" w:eastAsia="Arial" w:hAnsi="Arial"/>
          <w:sz w:val="20"/>
        </w:rPr>
        <w:t xml:space="preserve">Emegano, D. I., Duwa, B. B., Usman, A. G., Ahmad, H., Ozsahin, D. U., &amp; Askar, S. (2025). A comparative study on TB incidence and HIV-TB coinfection using machine learning models on WHO global TB dataset. </w:t>
      </w:r>
      <w:r>
        <w:rPr>
          <w:rFonts w:ascii="Arial" w:eastAsia="Arial" w:hAnsi="Arial"/>
          <w:i/>
          <w:sz w:val="20"/>
        </w:rPr>
        <w:t>Scientific Reports, 15</w:t>
      </w:r>
      <w:r>
        <w:rPr>
          <w:rFonts w:ascii="Arial" w:eastAsia="Arial" w:hAnsi="Arial"/>
          <w:sz w:val="20"/>
        </w:rPr>
        <w:t xml:space="preserve">, 13690. </w:t>
      </w:r>
      <w:hyperlink r:id="rId29">
        <w:r>
          <w:rPr>
            <w:rFonts w:ascii="Arial" w:eastAsia="Arial" w:hAnsi="Arial"/>
            <w:color w:val="000000"/>
            <w:sz w:val="20"/>
            <w:szCs w:val="20"/>
          </w:rPr>
          <w:t>https://doi.org/10.1038/s41598-025-94378-3</w:t>
        </w:r>
      </w:hyperlink>
    </w:p>
    <w:p w14:paraId="10D3330D" w14:textId="77777777" w:rsidR="00CE1A48" w:rsidRDefault="00000000">
      <w:pPr>
        <w:pStyle w:val="NormalWeb"/>
        <w:spacing w:before="0" w:after="0"/>
        <w:ind w:left="720" w:hanging="720"/>
        <w:jc w:val="both"/>
      </w:pPr>
      <w:r>
        <w:rPr>
          <w:rFonts w:ascii="Arial" w:eastAsia="Arial" w:hAnsi="Arial"/>
          <w:sz w:val="20"/>
        </w:rPr>
        <w:t xml:space="preserve">Engle, R. F., &amp; Granger, C. W. J. (1987). Co-integration and error correction: Representation, estimation, and testing. </w:t>
      </w:r>
      <w:r>
        <w:rPr>
          <w:rFonts w:ascii="Arial" w:eastAsia="Arial" w:hAnsi="Arial"/>
          <w:i/>
          <w:sz w:val="20"/>
        </w:rPr>
        <w:t>Econometrica, 55</w:t>
      </w:r>
      <w:r>
        <w:rPr>
          <w:rFonts w:ascii="Arial" w:eastAsia="Arial" w:hAnsi="Arial"/>
          <w:sz w:val="20"/>
        </w:rPr>
        <w:t xml:space="preserve">(2), 251-276. </w:t>
      </w:r>
      <w:hyperlink r:id="rId30">
        <w:r>
          <w:rPr>
            <w:rFonts w:ascii="Arial" w:eastAsia="Arial" w:hAnsi="Arial"/>
            <w:color w:val="000000"/>
            <w:sz w:val="20"/>
            <w:szCs w:val="20"/>
          </w:rPr>
          <w:t>https://doi.org/10.2307/1913236</w:t>
        </w:r>
      </w:hyperlink>
    </w:p>
    <w:p w14:paraId="115A2F4D" w14:textId="77777777" w:rsidR="00CE1A48" w:rsidRDefault="00000000">
      <w:pPr>
        <w:pStyle w:val="NormalWeb"/>
        <w:spacing w:before="0" w:after="0"/>
        <w:ind w:left="720" w:hanging="720"/>
        <w:jc w:val="both"/>
      </w:pPr>
      <w:r>
        <w:rPr>
          <w:rFonts w:ascii="Arial" w:eastAsia="Arial" w:hAnsi="Arial"/>
          <w:sz w:val="20"/>
        </w:rPr>
        <w:t xml:space="preserve">GBD 2023 TB HIV Collaborators. (2026). Global, regional, and national burden of tuberculosis and multidrug-resistant tuberculosis by HIV status, 1990-2023: A systematic analysis for the Global Burden of Disease Study 2023. </w:t>
      </w:r>
      <w:r>
        <w:rPr>
          <w:rFonts w:ascii="Arial" w:eastAsia="Arial" w:hAnsi="Arial"/>
          <w:i/>
          <w:sz w:val="20"/>
        </w:rPr>
        <w:t>The Lancet Infectious Diseases</w:t>
      </w:r>
      <w:r>
        <w:rPr>
          <w:rFonts w:ascii="Arial" w:eastAsia="Arial" w:hAnsi="Arial"/>
          <w:sz w:val="20"/>
        </w:rPr>
        <w:t xml:space="preserve">. Advance online publication. </w:t>
      </w:r>
      <w:hyperlink r:id="rId31">
        <w:r>
          <w:rPr>
            <w:rFonts w:ascii="Arial" w:eastAsia="Arial" w:hAnsi="Arial"/>
            <w:color w:val="000000"/>
            <w:sz w:val="20"/>
            <w:szCs w:val="20"/>
          </w:rPr>
          <w:t>https://doi.org/10.1016/S1473-3099(26)00295-1</w:t>
        </w:r>
      </w:hyperlink>
    </w:p>
    <w:p w14:paraId="4BD54B94" w14:textId="77777777" w:rsidR="00CE1A48" w:rsidRDefault="00000000">
      <w:pPr>
        <w:pStyle w:val="NormalWeb"/>
        <w:spacing w:before="0" w:after="0"/>
        <w:ind w:left="720" w:hanging="720"/>
        <w:jc w:val="both"/>
      </w:pPr>
      <w:r>
        <w:rPr>
          <w:rFonts w:ascii="Arial" w:eastAsia="Arial" w:hAnsi="Arial"/>
          <w:sz w:val="20"/>
        </w:rPr>
        <w:t xml:space="preserve">Granger, C. W. J. (1969). Investigating causal relations by econometric models and cross-spectral methods. </w:t>
      </w:r>
      <w:r>
        <w:rPr>
          <w:rFonts w:ascii="Arial" w:eastAsia="Arial" w:hAnsi="Arial"/>
          <w:i/>
          <w:sz w:val="20"/>
        </w:rPr>
        <w:t>Econometrica, 37</w:t>
      </w:r>
      <w:r>
        <w:rPr>
          <w:rFonts w:ascii="Arial" w:eastAsia="Arial" w:hAnsi="Arial"/>
          <w:sz w:val="20"/>
        </w:rPr>
        <w:t xml:space="preserve">(3), 424-438. </w:t>
      </w:r>
      <w:hyperlink r:id="rId32">
        <w:r>
          <w:rPr>
            <w:rFonts w:ascii="Arial" w:eastAsia="Arial" w:hAnsi="Arial"/>
            <w:color w:val="000000"/>
            <w:sz w:val="20"/>
            <w:szCs w:val="20"/>
          </w:rPr>
          <w:t>https://doi.org/10.2307/1912791</w:t>
        </w:r>
      </w:hyperlink>
    </w:p>
    <w:p w14:paraId="50C145DB" w14:textId="77777777" w:rsidR="00CE1A48" w:rsidRDefault="00000000">
      <w:pPr>
        <w:pStyle w:val="NormalWeb"/>
        <w:spacing w:before="0" w:after="0"/>
        <w:ind w:left="720" w:hanging="720"/>
        <w:jc w:val="both"/>
      </w:pPr>
      <w:r>
        <w:rPr>
          <w:rFonts w:ascii="Arial" w:eastAsia="Arial" w:hAnsi="Arial"/>
          <w:sz w:val="20"/>
        </w:rPr>
        <w:t xml:space="preserve">Hu, L., Hogan, J. W., Mwangi, A. W., &amp; Siika, A. (2018). Modeling the causal effect of treatment initiation time on survival: Application to HIV/TB co-infection. </w:t>
      </w:r>
      <w:r>
        <w:rPr>
          <w:rFonts w:ascii="Arial" w:eastAsia="Arial" w:hAnsi="Arial"/>
          <w:i/>
          <w:sz w:val="20"/>
        </w:rPr>
        <w:t>Biometrics, 74</w:t>
      </w:r>
      <w:r>
        <w:rPr>
          <w:rFonts w:ascii="Arial" w:eastAsia="Arial" w:hAnsi="Arial"/>
          <w:sz w:val="20"/>
        </w:rPr>
        <w:t xml:space="preserve">(2), 703-713. </w:t>
      </w:r>
      <w:hyperlink r:id="rId33">
        <w:r>
          <w:rPr>
            <w:rFonts w:ascii="Arial" w:eastAsia="Arial" w:hAnsi="Arial"/>
            <w:color w:val="000000"/>
            <w:sz w:val="20"/>
            <w:szCs w:val="20"/>
          </w:rPr>
          <w:t>https://doi.org/10.1111/biom.12780</w:t>
        </w:r>
      </w:hyperlink>
    </w:p>
    <w:p w14:paraId="21A1BB47" w14:textId="77777777" w:rsidR="00CE1A48" w:rsidRDefault="00000000">
      <w:pPr>
        <w:pStyle w:val="NormalWeb"/>
        <w:spacing w:before="0" w:after="0"/>
        <w:ind w:left="720" w:hanging="720"/>
        <w:jc w:val="both"/>
      </w:pPr>
      <w:r>
        <w:rPr>
          <w:rFonts w:ascii="Arial" w:eastAsia="Arial" w:hAnsi="Arial"/>
          <w:sz w:val="20"/>
        </w:rPr>
        <w:t xml:space="preserve">Jarque, C. M., &amp; Bera, A. K. (1980). Efficient tests for normality, homoscedasticity and serial independence of regression residuals. </w:t>
      </w:r>
      <w:r>
        <w:rPr>
          <w:rFonts w:ascii="Arial" w:eastAsia="Arial" w:hAnsi="Arial"/>
          <w:i/>
          <w:sz w:val="20"/>
        </w:rPr>
        <w:t>Economics Letters, 6</w:t>
      </w:r>
      <w:r>
        <w:rPr>
          <w:rFonts w:ascii="Arial" w:eastAsia="Arial" w:hAnsi="Arial"/>
          <w:sz w:val="20"/>
        </w:rPr>
        <w:t xml:space="preserve">(3), 255-259. </w:t>
      </w:r>
      <w:hyperlink r:id="rId34">
        <w:r>
          <w:rPr>
            <w:rFonts w:ascii="Arial" w:eastAsia="Arial" w:hAnsi="Arial"/>
            <w:color w:val="000000"/>
            <w:sz w:val="20"/>
            <w:szCs w:val="20"/>
          </w:rPr>
          <w:t>https://doi.org/10.1016/0165-1765(80)90024-5</w:t>
        </w:r>
      </w:hyperlink>
    </w:p>
    <w:p w14:paraId="549A48AA" w14:textId="77777777" w:rsidR="00CE1A48" w:rsidRDefault="00000000">
      <w:pPr>
        <w:pStyle w:val="NormalWeb"/>
        <w:spacing w:before="0" w:after="0"/>
        <w:ind w:left="720" w:hanging="720"/>
        <w:jc w:val="both"/>
      </w:pPr>
      <w:r>
        <w:rPr>
          <w:rFonts w:ascii="Arial" w:eastAsia="Arial" w:hAnsi="Arial"/>
          <w:sz w:val="20"/>
        </w:rPr>
        <w:t xml:space="preserve">Jarque, C. M., &amp; Bera, A. K. (1987). A test for normality of observations and regression residuals. </w:t>
      </w:r>
      <w:r>
        <w:rPr>
          <w:rFonts w:ascii="Arial" w:eastAsia="Arial" w:hAnsi="Arial"/>
          <w:i/>
          <w:sz w:val="20"/>
        </w:rPr>
        <w:t>International Statistical Review, 55</w:t>
      </w:r>
      <w:r>
        <w:rPr>
          <w:rFonts w:ascii="Arial" w:eastAsia="Arial" w:hAnsi="Arial"/>
          <w:sz w:val="20"/>
        </w:rPr>
        <w:t xml:space="preserve">(2), 163-172. </w:t>
      </w:r>
      <w:hyperlink r:id="rId35">
        <w:r>
          <w:rPr>
            <w:rFonts w:ascii="Arial" w:eastAsia="Arial" w:hAnsi="Arial"/>
            <w:color w:val="000000"/>
            <w:sz w:val="20"/>
            <w:szCs w:val="20"/>
          </w:rPr>
          <w:t>https://doi.org/10.2307/1403192</w:t>
        </w:r>
      </w:hyperlink>
    </w:p>
    <w:p w14:paraId="3DE2929A" w14:textId="77777777" w:rsidR="00CE1A48" w:rsidRDefault="00000000">
      <w:pPr>
        <w:pStyle w:val="NormalWeb"/>
        <w:spacing w:before="0" w:after="0"/>
        <w:ind w:left="720" w:hanging="720"/>
        <w:jc w:val="both"/>
      </w:pPr>
      <w:r>
        <w:rPr>
          <w:rFonts w:ascii="Arial" w:eastAsia="Arial" w:hAnsi="Arial"/>
          <w:sz w:val="20"/>
        </w:rPr>
        <w:t xml:space="preserve">Johansen, S. (1991). Estimation and hypothesis testing of cointegration vectors in Gaussian vector autoregressive models. </w:t>
      </w:r>
      <w:r>
        <w:rPr>
          <w:rFonts w:ascii="Arial" w:eastAsia="Arial" w:hAnsi="Arial"/>
          <w:i/>
          <w:sz w:val="20"/>
        </w:rPr>
        <w:t>Econometrica, 59</w:t>
      </w:r>
      <w:r>
        <w:rPr>
          <w:rFonts w:ascii="Arial" w:eastAsia="Arial" w:hAnsi="Arial"/>
          <w:sz w:val="20"/>
        </w:rPr>
        <w:t xml:space="preserve">(6), 1551-1580. </w:t>
      </w:r>
      <w:hyperlink r:id="rId36">
        <w:r>
          <w:rPr>
            <w:rFonts w:ascii="Arial" w:eastAsia="Arial" w:hAnsi="Arial"/>
            <w:color w:val="000000"/>
            <w:sz w:val="20"/>
            <w:szCs w:val="20"/>
          </w:rPr>
          <w:t>https://doi.org/10.2307/2938278</w:t>
        </w:r>
      </w:hyperlink>
    </w:p>
    <w:p w14:paraId="381EE68D" w14:textId="77777777" w:rsidR="00CE1A48" w:rsidRDefault="00000000">
      <w:pPr>
        <w:pStyle w:val="NormalWeb"/>
        <w:spacing w:before="0" w:after="0"/>
        <w:ind w:left="720" w:hanging="720"/>
        <w:jc w:val="both"/>
      </w:pPr>
      <w:r>
        <w:rPr>
          <w:rFonts w:ascii="Arial" w:eastAsia="Arial" w:hAnsi="Arial"/>
          <w:sz w:val="20"/>
        </w:rPr>
        <w:t xml:space="preserve">Johansen, S. (1995). </w:t>
      </w:r>
      <w:r>
        <w:rPr>
          <w:rFonts w:ascii="Arial" w:eastAsia="Arial" w:hAnsi="Arial"/>
          <w:i/>
          <w:sz w:val="20"/>
        </w:rPr>
        <w:t>Likelihood-based inference in cointegrated vector autoregressive models</w:t>
      </w:r>
      <w:r>
        <w:rPr>
          <w:rFonts w:ascii="Arial" w:eastAsia="Arial" w:hAnsi="Arial"/>
          <w:sz w:val="20"/>
        </w:rPr>
        <w:t xml:space="preserve">. Oxford University Press. </w:t>
      </w:r>
      <w:hyperlink r:id="rId37">
        <w:r>
          <w:rPr>
            <w:rFonts w:ascii="Arial" w:eastAsia="Arial" w:hAnsi="Arial"/>
            <w:color w:val="000000"/>
            <w:sz w:val="20"/>
            <w:szCs w:val="20"/>
          </w:rPr>
          <w:t>https://doi.org/10.1093/0198774508.001.0001</w:t>
        </w:r>
      </w:hyperlink>
    </w:p>
    <w:p w14:paraId="147F8970" w14:textId="77777777" w:rsidR="00CE1A48" w:rsidRDefault="00000000">
      <w:pPr>
        <w:pStyle w:val="NormalWeb"/>
        <w:spacing w:before="0" w:after="0"/>
        <w:ind w:left="720" w:hanging="720"/>
        <w:jc w:val="both"/>
      </w:pPr>
      <w:r>
        <w:rPr>
          <w:rFonts w:ascii="Arial" w:eastAsia="Arial" w:hAnsi="Arial"/>
          <w:sz w:val="20"/>
        </w:rPr>
        <w:lastRenderedPageBreak/>
        <w:t xml:space="preserve">Kuhe, D. A., &amp; Agbe, T. (2025). A time series model for predicting human immunodeficiency virus in the presence of opportunistic infections among farmers in Benue State, Nigeria. </w:t>
      </w:r>
      <w:r>
        <w:rPr>
          <w:rFonts w:ascii="Arial" w:eastAsia="Arial" w:hAnsi="Arial"/>
          <w:i/>
          <w:sz w:val="20"/>
        </w:rPr>
        <w:t>International Journal of Research and Scientific Innovation, 12</w:t>
      </w:r>
      <w:r>
        <w:rPr>
          <w:rFonts w:ascii="Arial" w:eastAsia="Arial" w:hAnsi="Arial"/>
          <w:sz w:val="20"/>
        </w:rPr>
        <w:t xml:space="preserve">(5), 1739-1759. </w:t>
      </w:r>
      <w:hyperlink r:id="rId38">
        <w:r>
          <w:rPr>
            <w:rFonts w:ascii="Arial" w:eastAsia="Arial" w:hAnsi="Arial"/>
            <w:color w:val="000000"/>
            <w:sz w:val="20"/>
            <w:szCs w:val="20"/>
          </w:rPr>
          <w:t>https://doi.org/10.51244/IJRSI.2025.120500164</w:t>
        </w:r>
      </w:hyperlink>
    </w:p>
    <w:p w14:paraId="7BC85BD6" w14:textId="77777777" w:rsidR="00CE1A48" w:rsidRDefault="00000000">
      <w:pPr>
        <w:pStyle w:val="NormalWeb"/>
        <w:spacing w:before="0" w:after="0"/>
        <w:ind w:left="720" w:hanging="720"/>
        <w:jc w:val="both"/>
      </w:pPr>
      <w:r>
        <w:rPr>
          <w:rFonts w:ascii="Arial" w:eastAsia="Arial" w:hAnsi="Arial"/>
          <w:sz w:val="20"/>
        </w:rPr>
        <w:t xml:space="preserve">Kuhe, D. A., Ikughur, J. A., &amp; Obed, T. A. (2017). The impact of HIV/AIDS on food poverty in Benue State: A cointegration and causality analysis approach. </w:t>
      </w:r>
      <w:r>
        <w:rPr>
          <w:rFonts w:ascii="Arial" w:eastAsia="Arial" w:hAnsi="Arial"/>
          <w:i/>
          <w:sz w:val="20"/>
        </w:rPr>
        <w:t>Nigerian Journal of Pure and Applied Sciences, 9</w:t>
      </w:r>
      <w:r>
        <w:rPr>
          <w:rFonts w:ascii="Arial" w:eastAsia="Arial" w:hAnsi="Arial"/>
          <w:sz w:val="20"/>
        </w:rPr>
        <w:t xml:space="preserve">(1), 209-222. </w:t>
      </w:r>
      <w:hyperlink r:id="rId39">
        <w:r>
          <w:rPr>
            <w:rFonts w:ascii="Arial" w:eastAsia="Arial" w:hAnsi="Arial"/>
            <w:color w:val="000000"/>
            <w:sz w:val="20"/>
            <w:szCs w:val="20"/>
          </w:rPr>
          <w:t>https://www.researchgate.net/publication/337673004</w:t>
        </w:r>
      </w:hyperlink>
    </w:p>
    <w:p w14:paraId="50780BE4" w14:textId="77777777" w:rsidR="00CE1A48" w:rsidRDefault="00000000">
      <w:pPr>
        <w:pStyle w:val="NormalWeb"/>
        <w:spacing w:before="0" w:after="0"/>
        <w:ind w:left="720" w:hanging="720"/>
        <w:jc w:val="both"/>
      </w:pPr>
      <w:r>
        <w:rPr>
          <w:rFonts w:ascii="Arial" w:eastAsia="Arial" w:hAnsi="Arial"/>
          <w:sz w:val="20"/>
        </w:rPr>
        <w:t xml:space="preserve">Kuhe, D. A., &amp; Ivande, J. S. (2017). Modelling human immunodeficiency virus cum tuberculosis co-infection dynamics in Kwande-Nigeria: An econometrics time series approach. </w:t>
      </w:r>
      <w:r>
        <w:rPr>
          <w:rFonts w:ascii="Arial" w:eastAsia="Arial" w:hAnsi="Arial"/>
          <w:i/>
          <w:sz w:val="20"/>
        </w:rPr>
        <w:t>International STD Research &amp; Reviews, 6</w:t>
      </w:r>
      <w:r>
        <w:rPr>
          <w:rFonts w:ascii="Arial" w:eastAsia="Arial" w:hAnsi="Arial"/>
          <w:sz w:val="20"/>
        </w:rPr>
        <w:t xml:space="preserve">(3), 1-9. </w:t>
      </w:r>
      <w:hyperlink r:id="rId40">
        <w:r>
          <w:rPr>
            <w:rFonts w:ascii="Arial" w:eastAsia="Arial" w:hAnsi="Arial"/>
            <w:color w:val="000000"/>
            <w:sz w:val="20"/>
            <w:szCs w:val="20"/>
          </w:rPr>
          <w:t>https://doi.org/10.9734/ISRR/2017/33099</w:t>
        </w:r>
      </w:hyperlink>
    </w:p>
    <w:p w14:paraId="286CFA14" w14:textId="77777777" w:rsidR="00CE1A48" w:rsidRDefault="00000000">
      <w:pPr>
        <w:pStyle w:val="NormalWeb"/>
        <w:spacing w:before="0" w:after="0"/>
        <w:ind w:left="720" w:hanging="720"/>
        <w:jc w:val="both"/>
      </w:pPr>
      <w:r>
        <w:rPr>
          <w:rFonts w:ascii="Arial" w:eastAsia="Arial" w:hAnsi="Arial"/>
          <w:sz w:val="20"/>
        </w:rPr>
        <w:t xml:space="preserve">MacKinnon, J. G., Haug, A. A., &amp; Michelis, L. (1999). Numerical distribution functions of likelihood ratio tests for cointegration. </w:t>
      </w:r>
      <w:r>
        <w:rPr>
          <w:rFonts w:ascii="Arial" w:eastAsia="Arial" w:hAnsi="Arial"/>
          <w:i/>
          <w:sz w:val="20"/>
        </w:rPr>
        <w:t>Journal of Applied Econometrics, 14</w:t>
      </w:r>
      <w:r>
        <w:rPr>
          <w:rFonts w:ascii="Arial" w:eastAsia="Arial" w:hAnsi="Arial"/>
          <w:sz w:val="20"/>
        </w:rPr>
        <w:t xml:space="preserve">(5), 563-577. </w:t>
      </w:r>
      <w:hyperlink r:id="rId41">
        <w:r>
          <w:rPr>
            <w:rFonts w:ascii="Arial" w:eastAsia="Arial" w:hAnsi="Arial"/>
            <w:color w:val="000000"/>
            <w:sz w:val="20"/>
            <w:szCs w:val="20"/>
          </w:rPr>
          <w:t>https://doi.org/10.1002/(SICI)1099-1255(199909/10)14:5&lt;563::AID-JAE530&gt;3.0.CO;2-R</w:t>
        </w:r>
      </w:hyperlink>
    </w:p>
    <w:p w14:paraId="77C29958" w14:textId="77777777" w:rsidR="00CE1A48" w:rsidRDefault="00000000">
      <w:pPr>
        <w:pStyle w:val="NormalWeb"/>
        <w:spacing w:before="0" w:after="0"/>
        <w:ind w:left="720" w:hanging="720"/>
        <w:jc w:val="both"/>
      </w:pPr>
      <w:r>
        <w:rPr>
          <w:rFonts w:ascii="Arial" w:eastAsia="Arial" w:hAnsi="Arial"/>
          <w:sz w:val="20"/>
        </w:rPr>
        <w:t xml:space="preserve">Mekonen, H., Negesse, A., Dessie, G., Desta, M., Mihiret, G. T., Tarik, Y. D., Kitaw, T. M., &amp; Getaneh, T. (2024). Impact of HIV coinfection on tuberculosis treatment outcomes in Ethiopia: A systematic review and meta-analysis. </w:t>
      </w:r>
      <w:r>
        <w:rPr>
          <w:rFonts w:ascii="Arial" w:eastAsia="Arial" w:hAnsi="Arial"/>
          <w:i/>
          <w:sz w:val="20"/>
        </w:rPr>
        <w:t>BMJ Open, 14</w:t>
      </w:r>
      <w:r>
        <w:rPr>
          <w:rFonts w:ascii="Arial" w:eastAsia="Arial" w:hAnsi="Arial"/>
          <w:sz w:val="20"/>
        </w:rPr>
        <w:t xml:space="preserve">(7), e087218. </w:t>
      </w:r>
      <w:hyperlink r:id="rId42">
        <w:r>
          <w:rPr>
            <w:rFonts w:ascii="Arial" w:eastAsia="Arial" w:hAnsi="Arial"/>
            <w:color w:val="000000"/>
            <w:sz w:val="20"/>
            <w:szCs w:val="20"/>
          </w:rPr>
          <w:t>https://doi.org/10.1136/bmjopen-2024-087218</w:t>
        </w:r>
      </w:hyperlink>
    </w:p>
    <w:p w14:paraId="7F81BB21" w14:textId="77777777" w:rsidR="00CE1A48" w:rsidRDefault="00000000">
      <w:pPr>
        <w:pStyle w:val="NormalWeb"/>
        <w:spacing w:before="0" w:after="0"/>
        <w:ind w:left="720" w:hanging="720"/>
        <w:jc w:val="both"/>
      </w:pPr>
      <w:r>
        <w:rPr>
          <w:rFonts w:ascii="Arial" w:eastAsia="Arial" w:hAnsi="Arial"/>
          <w:sz w:val="20"/>
        </w:rPr>
        <w:t xml:space="preserve">Mwatenga, S. A., Musa, A. A., Muturi, M. W., &amp; Musyoki, A. M. (2024). Prevalence and associated factors of TB and HIV coinfections among adult inmates with presumptive pulmonary TB in a Kenyan prison. </w:t>
      </w:r>
      <w:r>
        <w:rPr>
          <w:rFonts w:ascii="Arial" w:eastAsia="Arial" w:hAnsi="Arial"/>
          <w:i/>
          <w:sz w:val="20"/>
        </w:rPr>
        <w:t>Tropical Medicine and Health, 52</w:t>
      </w:r>
      <w:r>
        <w:rPr>
          <w:rFonts w:ascii="Arial" w:eastAsia="Arial" w:hAnsi="Arial"/>
          <w:sz w:val="20"/>
        </w:rPr>
        <w:t xml:space="preserve">, 54. </w:t>
      </w:r>
      <w:hyperlink r:id="rId43">
        <w:r>
          <w:rPr>
            <w:rFonts w:ascii="Arial" w:eastAsia="Arial" w:hAnsi="Arial"/>
            <w:color w:val="000000"/>
            <w:sz w:val="20"/>
            <w:szCs w:val="20"/>
          </w:rPr>
          <w:t>https://doi.org/10.1186/s41182-024-00623-2</w:t>
        </w:r>
      </w:hyperlink>
    </w:p>
    <w:p w14:paraId="2EF4CC10" w14:textId="5CB97CC2" w:rsidR="00CE1A48" w:rsidRDefault="00000000">
      <w:pPr>
        <w:pStyle w:val="NormalWeb"/>
        <w:spacing w:before="0" w:after="0"/>
        <w:ind w:left="720" w:hanging="720"/>
        <w:jc w:val="both"/>
      </w:pPr>
      <w:r>
        <w:rPr>
          <w:rFonts w:ascii="Arial" w:eastAsia="Arial" w:hAnsi="Arial"/>
          <w:sz w:val="20"/>
        </w:rPr>
        <w:t xml:space="preserve">Nasarawa State Ministry of Health. (2024). </w:t>
      </w:r>
      <w:r>
        <w:rPr>
          <w:rFonts w:ascii="Arial" w:eastAsia="Arial" w:hAnsi="Arial"/>
          <w:i/>
          <w:sz w:val="20"/>
        </w:rPr>
        <w:t>Annual health sector performance report</w:t>
      </w:r>
      <w:r>
        <w:rPr>
          <w:rFonts w:ascii="Arial" w:eastAsia="Arial" w:hAnsi="Arial"/>
          <w:sz w:val="20"/>
        </w:rPr>
        <w:t xml:space="preserve">. Nasarawa State Government. </w:t>
      </w:r>
    </w:p>
    <w:p w14:paraId="00454B06" w14:textId="77777777" w:rsidR="00CE1A48" w:rsidRDefault="00000000">
      <w:pPr>
        <w:pStyle w:val="NormalWeb"/>
        <w:spacing w:before="0" w:after="0"/>
        <w:ind w:left="720" w:hanging="720"/>
        <w:jc w:val="both"/>
      </w:pPr>
      <w:r>
        <w:rPr>
          <w:rFonts w:ascii="Arial" w:eastAsia="Arial" w:hAnsi="Arial"/>
          <w:sz w:val="20"/>
        </w:rPr>
        <w:t xml:space="preserve">Nwoga, H. O., Igweagu, C. P., &amp; Umeh, G. C. (2024). Prevalence and determinants of TB/HIV coinfection: The double tragedy of infectious disease burden - A 5-year retrospective study in a tertiary health facility in Enugu State, Nigeria. </w:t>
      </w:r>
      <w:r>
        <w:rPr>
          <w:rFonts w:ascii="Arial" w:eastAsia="Arial" w:hAnsi="Arial"/>
          <w:i/>
          <w:sz w:val="20"/>
        </w:rPr>
        <w:t>BMJ Open, 14</w:t>
      </w:r>
      <w:r>
        <w:rPr>
          <w:rFonts w:ascii="Arial" w:eastAsia="Arial" w:hAnsi="Arial"/>
          <w:sz w:val="20"/>
        </w:rPr>
        <w:t xml:space="preserve">(11), e088287. </w:t>
      </w:r>
      <w:hyperlink r:id="rId44">
        <w:r>
          <w:rPr>
            <w:rFonts w:ascii="Arial" w:eastAsia="Arial" w:hAnsi="Arial"/>
            <w:color w:val="000000"/>
            <w:sz w:val="20"/>
            <w:szCs w:val="20"/>
          </w:rPr>
          <w:t>https://doi.org/10.1136/bmjopen-2024-088287</w:t>
        </w:r>
      </w:hyperlink>
    </w:p>
    <w:p w14:paraId="7D5BC40C" w14:textId="77777777" w:rsidR="00CE1A48" w:rsidRDefault="00000000">
      <w:pPr>
        <w:pStyle w:val="NormalWeb"/>
        <w:spacing w:before="0" w:after="0"/>
        <w:ind w:left="720" w:hanging="720"/>
        <w:jc w:val="both"/>
      </w:pPr>
      <w:r>
        <w:rPr>
          <w:rFonts w:ascii="Arial" w:eastAsia="Arial" w:hAnsi="Arial"/>
          <w:sz w:val="20"/>
        </w:rPr>
        <w:t xml:space="preserve">Pari, B., Khan, S., &amp; Khan, R. (2026). Adaptive modeling of HIV-TB coinfection dynamics and intervention optimization. </w:t>
      </w:r>
      <w:r>
        <w:rPr>
          <w:rFonts w:ascii="Arial" w:eastAsia="Arial" w:hAnsi="Arial"/>
          <w:i/>
          <w:sz w:val="20"/>
        </w:rPr>
        <w:t>BMC Public Health, 26</w:t>
      </w:r>
      <w:r>
        <w:rPr>
          <w:rFonts w:ascii="Arial" w:eastAsia="Arial" w:hAnsi="Arial"/>
          <w:sz w:val="20"/>
        </w:rPr>
        <w:t xml:space="preserve">, 144. </w:t>
      </w:r>
      <w:hyperlink r:id="rId45">
        <w:r>
          <w:rPr>
            <w:rFonts w:ascii="Arial" w:eastAsia="Arial" w:hAnsi="Arial"/>
            <w:color w:val="000000"/>
            <w:sz w:val="20"/>
            <w:szCs w:val="20"/>
          </w:rPr>
          <w:t>https://doi.org/10.1186/s12889-025-25068-y</w:t>
        </w:r>
      </w:hyperlink>
    </w:p>
    <w:p w14:paraId="447CFA45" w14:textId="77777777" w:rsidR="00CE1A48" w:rsidRDefault="00000000">
      <w:pPr>
        <w:pStyle w:val="NormalWeb"/>
        <w:spacing w:before="0" w:after="0"/>
        <w:ind w:left="720" w:hanging="720"/>
        <w:jc w:val="both"/>
      </w:pPr>
      <w:r>
        <w:rPr>
          <w:rFonts w:ascii="Arial" w:eastAsia="Arial" w:hAnsi="Arial"/>
          <w:sz w:val="20"/>
        </w:rPr>
        <w:t xml:space="preserve">Raza, N., Irum, S., Niazai, S., Ullah, M. A., Alshahrani, M. Y., &amp; Omame, A. (2025). A mathematical framework of HIV and TB co-infection dynamics. </w:t>
      </w:r>
      <w:r>
        <w:rPr>
          <w:rFonts w:ascii="Arial" w:eastAsia="Arial" w:hAnsi="Arial"/>
          <w:i/>
          <w:sz w:val="20"/>
        </w:rPr>
        <w:t>Scientific Reports, 15</w:t>
      </w:r>
      <w:r>
        <w:rPr>
          <w:rFonts w:ascii="Arial" w:eastAsia="Arial" w:hAnsi="Arial"/>
          <w:sz w:val="20"/>
        </w:rPr>
        <w:t xml:space="preserve">, 11465. </w:t>
      </w:r>
      <w:hyperlink r:id="rId46">
        <w:r>
          <w:rPr>
            <w:rFonts w:ascii="Arial" w:eastAsia="Arial" w:hAnsi="Arial"/>
            <w:color w:val="000000"/>
            <w:sz w:val="20"/>
            <w:szCs w:val="20"/>
          </w:rPr>
          <w:t>https://doi.org/10.1038/s41598-025-91871-7</w:t>
        </w:r>
      </w:hyperlink>
    </w:p>
    <w:p w14:paraId="0999FF50" w14:textId="77777777" w:rsidR="00CE1A48" w:rsidRDefault="00000000">
      <w:pPr>
        <w:pStyle w:val="NormalWeb"/>
        <w:spacing w:before="0" w:after="0"/>
        <w:ind w:left="720" w:hanging="720"/>
        <w:jc w:val="both"/>
      </w:pPr>
      <w:r>
        <w:rPr>
          <w:rFonts w:ascii="Arial" w:eastAsia="Arial" w:hAnsi="Arial"/>
          <w:sz w:val="20"/>
        </w:rPr>
        <w:t xml:space="preserve">Reward, E. E., Ike, A. C., Muo, S. O., Soga-Oke, B. F., &amp; Mbaawuaga, E. M. (2021). Coinfection of tuberculosis and HIV in Nigeria: A systematic review and meta-analysis. </w:t>
      </w:r>
      <w:r>
        <w:rPr>
          <w:rFonts w:ascii="Arial" w:eastAsia="Arial" w:hAnsi="Arial"/>
          <w:i/>
          <w:sz w:val="20"/>
        </w:rPr>
        <w:t>AIDS Reviews, 23</w:t>
      </w:r>
      <w:r>
        <w:rPr>
          <w:rFonts w:ascii="Arial" w:eastAsia="Arial" w:hAnsi="Arial"/>
          <w:sz w:val="20"/>
        </w:rPr>
        <w:t xml:space="preserve">(2), 82-90. </w:t>
      </w:r>
      <w:hyperlink r:id="rId47">
        <w:r>
          <w:rPr>
            <w:rFonts w:ascii="Arial" w:eastAsia="Arial" w:hAnsi="Arial"/>
            <w:color w:val="000000"/>
            <w:sz w:val="20"/>
            <w:szCs w:val="20"/>
          </w:rPr>
          <w:t>https://doi.org/10.24875/AIDSRev.20000068</w:t>
        </w:r>
      </w:hyperlink>
    </w:p>
    <w:p w14:paraId="73E45628" w14:textId="77777777" w:rsidR="00CE1A48" w:rsidRDefault="00000000">
      <w:pPr>
        <w:pStyle w:val="NormalWeb"/>
        <w:spacing w:before="0" w:after="0"/>
        <w:ind w:left="720" w:hanging="720"/>
        <w:jc w:val="both"/>
      </w:pPr>
      <w:r>
        <w:rPr>
          <w:rFonts w:ascii="Arial" w:eastAsia="Arial" w:hAnsi="Arial"/>
          <w:sz w:val="20"/>
        </w:rPr>
        <w:t xml:space="preserve">Shojaie, A., &amp; Fox, E. B. (2022). Granger causality: A review and recent advances. </w:t>
      </w:r>
      <w:r>
        <w:rPr>
          <w:rFonts w:ascii="Arial" w:eastAsia="Arial" w:hAnsi="Arial"/>
          <w:i/>
          <w:sz w:val="20"/>
        </w:rPr>
        <w:t>Annual Review of Statistics and Its Application, 9</w:t>
      </w:r>
      <w:r>
        <w:rPr>
          <w:rFonts w:ascii="Arial" w:eastAsia="Arial" w:hAnsi="Arial"/>
          <w:sz w:val="20"/>
        </w:rPr>
        <w:t xml:space="preserve">, 289-319. </w:t>
      </w:r>
      <w:hyperlink r:id="rId48">
        <w:r>
          <w:rPr>
            <w:rFonts w:ascii="Arial" w:eastAsia="Arial" w:hAnsi="Arial"/>
            <w:color w:val="000000"/>
            <w:sz w:val="20"/>
            <w:szCs w:val="20"/>
          </w:rPr>
          <w:t>https://doi.org/10.1146/annurev-statistics-040120-010930</w:t>
        </w:r>
      </w:hyperlink>
    </w:p>
    <w:p w14:paraId="19CA4248" w14:textId="77777777" w:rsidR="00CE1A48" w:rsidRDefault="00000000">
      <w:pPr>
        <w:pStyle w:val="NormalWeb"/>
        <w:spacing w:before="0" w:after="0"/>
        <w:ind w:left="720" w:hanging="720"/>
        <w:jc w:val="both"/>
      </w:pPr>
      <w:r>
        <w:rPr>
          <w:rFonts w:ascii="Arial" w:eastAsia="Arial" w:hAnsi="Arial"/>
          <w:sz w:val="20"/>
        </w:rPr>
        <w:t xml:space="preserve">Sossen, B., Kubjane, M., &amp; Meintjes, G. (2025). Tuberculosis and HIV coinfection: Progress and challenges towards reducing incidence and mortality. </w:t>
      </w:r>
      <w:r>
        <w:rPr>
          <w:rFonts w:ascii="Arial" w:eastAsia="Arial" w:hAnsi="Arial"/>
          <w:i/>
          <w:sz w:val="20"/>
        </w:rPr>
        <w:t>International Journal of Infectious Diseases, 155</w:t>
      </w:r>
      <w:r>
        <w:rPr>
          <w:rFonts w:ascii="Arial" w:eastAsia="Arial" w:hAnsi="Arial"/>
          <w:sz w:val="20"/>
        </w:rPr>
        <w:t xml:space="preserve">, 107876. </w:t>
      </w:r>
      <w:hyperlink r:id="rId49">
        <w:r>
          <w:rPr>
            <w:rFonts w:ascii="Arial" w:eastAsia="Arial" w:hAnsi="Arial"/>
            <w:color w:val="000000"/>
            <w:sz w:val="20"/>
            <w:szCs w:val="20"/>
          </w:rPr>
          <w:t>https://doi.org/10.1016/j.ijid.2025.107876</w:t>
        </w:r>
      </w:hyperlink>
    </w:p>
    <w:p w14:paraId="7F5D8078" w14:textId="77777777" w:rsidR="00CE1A48" w:rsidRDefault="00000000">
      <w:pPr>
        <w:pStyle w:val="NormalWeb"/>
        <w:spacing w:before="0" w:after="0"/>
        <w:ind w:left="720" w:hanging="720"/>
        <w:jc w:val="both"/>
      </w:pPr>
      <w:r>
        <w:rPr>
          <w:rFonts w:ascii="Arial" w:eastAsia="Arial" w:hAnsi="Arial"/>
          <w:sz w:val="20"/>
        </w:rPr>
        <w:t>Suhail, S. M., Kandipalli, D., Lakshmi, Kumar, A. C., Reddy, M. V. M., Lakshmi, M. P., &amp; Chandra, P. S. (2022). A prospective study on drug utilisation and evaluation of anti-retroviral therapy and anti-</w:t>
      </w:r>
      <w:r>
        <w:rPr>
          <w:rFonts w:ascii="Arial" w:eastAsia="Arial" w:hAnsi="Arial"/>
          <w:sz w:val="20"/>
        </w:rPr>
        <w:lastRenderedPageBreak/>
        <w:t xml:space="preserve">tuberculosis treatment in a tertiary care hospital. </w:t>
      </w:r>
      <w:r>
        <w:rPr>
          <w:rFonts w:ascii="Arial" w:eastAsia="Arial" w:hAnsi="Arial"/>
          <w:i/>
          <w:sz w:val="20"/>
        </w:rPr>
        <w:t>Journal of Disease and Global Health, 15</w:t>
      </w:r>
      <w:r>
        <w:rPr>
          <w:rFonts w:ascii="Arial" w:eastAsia="Arial" w:hAnsi="Arial"/>
          <w:sz w:val="20"/>
        </w:rPr>
        <w:t xml:space="preserve">(1), 9-17. </w:t>
      </w:r>
      <w:hyperlink r:id="rId50">
        <w:r>
          <w:rPr>
            <w:rFonts w:ascii="Arial" w:eastAsia="Arial" w:hAnsi="Arial"/>
            <w:color w:val="000000"/>
            <w:sz w:val="20"/>
            <w:szCs w:val="20"/>
          </w:rPr>
          <w:t>https://doi.org/10.56557/jodagh/2022/v15i17650</w:t>
        </w:r>
      </w:hyperlink>
    </w:p>
    <w:p w14:paraId="41168443" w14:textId="77777777" w:rsidR="00CE1A48" w:rsidRDefault="00000000">
      <w:pPr>
        <w:pStyle w:val="NormalWeb"/>
        <w:spacing w:before="0" w:after="0"/>
        <w:ind w:left="720" w:hanging="720"/>
        <w:jc w:val="both"/>
      </w:pPr>
      <w:r>
        <w:rPr>
          <w:rFonts w:ascii="Arial" w:eastAsia="Arial" w:hAnsi="Arial"/>
          <w:sz w:val="20"/>
        </w:rPr>
        <w:t xml:space="preserve">Toda, H. Y., &amp; Yamamoto, T. (1995). Statistical inference in vector autoregressions with possibly integrated processes. </w:t>
      </w:r>
      <w:r>
        <w:rPr>
          <w:rFonts w:ascii="Arial" w:eastAsia="Arial" w:hAnsi="Arial"/>
          <w:i/>
          <w:sz w:val="20"/>
        </w:rPr>
        <w:t>Journal of Econometrics, 66</w:t>
      </w:r>
      <w:r>
        <w:rPr>
          <w:rFonts w:ascii="Arial" w:eastAsia="Arial" w:hAnsi="Arial"/>
          <w:sz w:val="20"/>
        </w:rPr>
        <w:t xml:space="preserve">(1-2), 225-250. </w:t>
      </w:r>
      <w:hyperlink r:id="rId51">
        <w:r>
          <w:rPr>
            <w:rFonts w:ascii="Arial" w:eastAsia="Arial" w:hAnsi="Arial"/>
            <w:color w:val="000000"/>
            <w:sz w:val="20"/>
            <w:szCs w:val="20"/>
          </w:rPr>
          <w:t>https://doi.org/10.1016/0304-4076(94)01616-8</w:t>
        </w:r>
      </w:hyperlink>
    </w:p>
    <w:p w14:paraId="17DCE42C" w14:textId="77777777" w:rsidR="00CE1A48" w:rsidRDefault="00000000">
      <w:pPr>
        <w:pStyle w:val="NormalWeb"/>
        <w:spacing w:before="0" w:after="0"/>
        <w:ind w:left="720" w:hanging="720"/>
        <w:jc w:val="both"/>
      </w:pPr>
      <w:r>
        <w:rPr>
          <w:rFonts w:ascii="Arial" w:eastAsia="Arial" w:hAnsi="Arial"/>
          <w:sz w:val="20"/>
        </w:rPr>
        <w:t xml:space="preserve">Trinh, Q. M., Nguyen, H. L., Nguyen, V. N., Nguyen, T. V. A., Sintchenko, V., &amp; Marais, B. J. (2015). Tuberculosis and HIV co-infection: Focus on the Asia-Pacific region. </w:t>
      </w:r>
      <w:r>
        <w:rPr>
          <w:rFonts w:ascii="Arial" w:eastAsia="Arial" w:hAnsi="Arial"/>
          <w:i/>
          <w:sz w:val="20"/>
        </w:rPr>
        <w:t>International Journal of Infectious Diseases, 32</w:t>
      </w:r>
      <w:r>
        <w:rPr>
          <w:rFonts w:ascii="Arial" w:eastAsia="Arial" w:hAnsi="Arial"/>
          <w:sz w:val="20"/>
        </w:rPr>
        <w:t xml:space="preserve">, 170-178. </w:t>
      </w:r>
      <w:hyperlink r:id="rId52">
        <w:r>
          <w:rPr>
            <w:rFonts w:ascii="Arial" w:eastAsia="Arial" w:hAnsi="Arial"/>
            <w:color w:val="000000"/>
            <w:sz w:val="20"/>
            <w:szCs w:val="20"/>
          </w:rPr>
          <w:t>https://doi.org/10.1016/j.ijid.2014.11.023</w:t>
        </w:r>
      </w:hyperlink>
    </w:p>
    <w:p w14:paraId="102A19B2" w14:textId="77777777" w:rsidR="00CE1A48" w:rsidRDefault="00000000">
      <w:pPr>
        <w:pStyle w:val="NormalWeb"/>
        <w:spacing w:before="0" w:after="0"/>
        <w:ind w:left="720" w:hanging="720"/>
        <w:jc w:val="both"/>
      </w:pPr>
      <w:r>
        <w:rPr>
          <w:rFonts w:ascii="Arial" w:eastAsia="Arial" w:hAnsi="Arial"/>
          <w:sz w:val="20"/>
        </w:rPr>
        <w:t xml:space="preserve">Windels, E. M., Wampande, E. M., Joloba, M. L., Boom, W. H., Goig, G. A., Cox, H., Hella, J., Borrell, S., Gagneux, S., Brites, D., &amp; Stadler, T. (2024). HIV co-infection is associated with reduced </w:t>
      </w:r>
      <w:r>
        <w:rPr>
          <w:rFonts w:ascii="Arial" w:eastAsia="Arial" w:hAnsi="Arial"/>
          <w:i/>
          <w:sz w:val="20"/>
        </w:rPr>
        <w:t>Mycobacterium tuberculosis</w:t>
      </w:r>
      <w:r>
        <w:rPr>
          <w:rFonts w:ascii="Arial" w:eastAsia="Arial" w:hAnsi="Arial"/>
          <w:sz w:val="20"/>
        </w:rPr>
        <w:t xml:space="preserve"> transmissibility in sub-Saharan Africa. </w:t>
      </w:r>
      <w:r>
        <w:rPr>
          <w:rFonts w:ascii="Arial" w:eastAsia="Arial" w:hAnsi="Arial"/>
          <w:i/>
          <w:sz w:val="20"/>
        </w:rPr>
        <w:t>PLOS Pathogens, 20</w:t>
      </w:r>
      <w:r>
        <w:rPr>
          <w:rFonts w:ascii="Arial" w:eastAsia="Arial" w:hAnsi="Arial"/>
          <w:sz w:val="20"/>
        </w:rPr>
        <w:t xml:space="preserve">(5), e1011675. </w:t>
      </w:r>
      <w:hyperlink r:id="rId53">
        <w:r>
          <w:rPr>
            <w:rFonts w:ascii="Arial" w:eastAsia="Arial" w:hAnsi="Arial"/>
            <w:color w:val="000000"/>
            <w:sz w:val="20"/>
            <w:szCs w:val="20"/>
          </w:rPr>
          <w:t>https://doi.org/10.1371/journal.ppat.1011675</w:t>
        </w:r>
      </w:hyperlink>
    </w:p>
    <w:p w14:paraId="3A286D7F" w14:textId="77777777" w:rsidR="00CE1A48" w:rsidRDefault="00000000">
      <w:pPr>
        <w:pStyle w:val="NormalWeb"/>
        <w:spacing w:before="0" w:after="0"/>
        <w:ind w:left="720" w:hanging="720"/>
        <w:jc w:val="both"/>
      </w:pPr>
      <w:r>
        <w:rPr>
          <w:rFonts w:ascii="Arial" w:eastAsia="Arial" w:hAnsi="Arial"/>
          <w:sz w:val="20"/>
        </w:rPr>
        <w:t xml:space="preserve">Wondmeneh, T. G., &amp; Mekonnen, A. T. (2023). The incidence rate of tuberculosis and its associated factors among HIV-positive persons in Sub-Saharan Africa: A systematic review and meta-analysis. </w:t>
      </w:r>
      <w:r>
        <w:rPr>
          <w:rFonts w:ascii="Arial" w:eastAsia="Arial" w:hAnsi="Arial"/>
          <w:i/>
          <w:sz w:val="20"/>
        </w:rPr>
        <w:t>BMC Infectious Diseases, 23</w:t>
      </w:r>
      <w:r>
        <w:rPr>
          <w:rFonts w:ascii="Arial" w:eastAsia="Arial" w:hAnsi="Arial"/>
          <w:sz w:val="20"/>
        </w:rPr>
        <w:t xml:space="preserve">, 613. </w:t>
      </w:r>
      <w:hyperlink r:id="rId54">
        <w:r>
          <w:rPr>
            <w:rFonts w:ascii="Arial" w:eastAsia="Arial" w:hAnsi="Arial"/>
            <w:color w:val="000000"/>
            <w:sz w:val="20"/>
            <w:szCs w:val="20"/>
          </w:rPr>
          <w:t>https://doi.org/10.1186/s12879-023-08533-0</w:t>
        </w:r>
      </w:hyperlink>
    </w:p>
    <w:p w14:paraId="3BFD84F1" w14:textId="77777777" w:rsidR="00CE1A48" w:rsidRDefault="00000000">
      <w:pPr>
        <w:pStyle w:val="NormalWeb"/>
        <w:spacing w:before="0" w:after="0"/>
        <w:ind w:left="720" w:hanging="720"/>
        <w:jc w:val="both"/>
      </w:pPr>
      <w:r>
        <w:rPr>
          <w:rFonts w:ascii="Arial" w:eastAsia="Arial" w:hAnsi="Arial"/>
          <w:sz w:val="20"/>
        </w:rPr>
        <w:t xml:space="preserve">World Health Organization. (2024). </w:t>
      </w:r>
      <w:r>
        <w:rPr>
          <w:rFonts w:ascii="Arial" w:eastAsia="Arial" w:hAnsi="Arial"/>
          <w:i/>
          <w:sz w:val="20"/>
        </w:rPr>
        <w:t>Global tuberculosis report 2024</w:t>
      </w:r>
      <w:r>
        <w:rPr>
          <w:rFonts w:ascii="Arial" w:eastAsia="Arial" w:hAnsi="Arial"/>
          <w:sz w:val="20"/>
        </w:rPr>
        <w:t xml:space="preserve">. </w:t>
      </w:r>
      <w:hyperlink r:id="rId55">
        <w:r>
          <w:rPr>
            <w:rFonts w:ascii="Arial" w:eastAsia="Arial" w:hAnsi="Arial"/>
            <w:color w:val="000000"/>
            <w:sz w:val="20"/>
            <w:szCs w:val="20"/>
          </w:rPr>
          <w:t>https://www.who.int/teams/global-programme-on-tuberculosis-and-lung-health/tb-reports/global-tuberculosis-report-2024</w:t>
        </w:r>
      </w:hyperlink>
    </w:p>
    <w:p w14:paraId="07E1E94C" w14:textId="77777777" w:rsidR="00CE1A48" w:rsidRDefault="00000000">
      <w:pPr>
        <w:pStyle w:val="NormalWeb"/>
        <w:spacing w:before="0" w:after="0"/>
        <w:ind w:left="720" w:hanging="720"/>
        <w:jc w:val="both"/>
      </w:pPr>
      <w:r>
        <w:rPr>
          <w:rFonts w:ascii="Arial" w:eastAsia="Arial" w:hAnsi="Arial"/>
          <w:sz w:val="20"/>
        </w:rPr>
        <w:t xml:space="preserve">Zhang, S.-X., Wang, J.-C., Yang, J., Lv, S., Duan, L., Lu, Y., Tian, L.-G., Chen, M.-X., Liu, Q., Wei, F.-N., Feng, X.-Y., Yang, G.-B., Li, Y.-J., Wang, Y., Hu, X.-J., Yang, M., Lu, Z.-H., Zhang, S.-Y., Li, S.-Z., &amp; Zheng, J.-X. (2024). Epidemiological features and temporal trends of the co-infection between HIV and tuberculosis, 1990-2021: Findings from the Global Burden of Disease Study 2021. </w:t>
      </w:r>
      <w:r>
        <w:rPr>
          <w:rFonts w:ascii="Arial" w:eastAsia="Arial" w:hAnsi="Arial"/>
          <w:i/>
          <w:sz w:val="20"/>
        </w:rPr>
        <w:t>Infectious Diseases of Poverty, 13</w:t>
      </w:r>
      <w:r>
        <w:rPr>
          <w:rFonts w:ascii="Arial" w:eastAsia="Arial" w:hAnsi="Arial"/>
          <w:sz w:val="20"/>
        </w:rPr>
        <w:t xml:space="preserve">, 59. </w:t>
      </w:r>
      <w:hyperlink r:id="rId56">
        <w:r>
          <w:rPr>
            <w:rFonts w:ascii="Arial" w:eastAsia="Arial" w:hAnsi="Arial"/>
            <w:color w:val="000000"/>
            <w:sz w:val="20"/>
            <w:szCs w:val="20"/>
          </w:rPr>
          <w:t>https://doi.org/10.1186/s40249-024-01230-3</w:t>
        </w:r>
      </w:hyperlink>
    </w:p>
    <w:sectPr w:rsidR="00CE1A48" w:rsidSect="00FA70D0">
      <w:headerReference w:type="even" r:id="rId57"/>
      <w:headerReference w:type="default" r:id="rId58"/>
      <w:footerReference w:type="default" r:id="rId59"/>
      <w:headerReference w:type="first" r:id="rId60"/>
      <w:type w:val="continuous"/>
      <w:pgSz w:w="12240" w:h="15840"/>
      <w:pgMar w:top="1440" w:right="810" w:bottom="2016" w:left="1620"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17E8F" w14:textId="77777777" w:rsidR="00DD793E" w:rsidRDefault="00DD793E">
      <w:r>
        <w:separator/>
      </w:r>
    </w:p>
  </w:endnote>
  <w:endnote w:type="continuationSeparator" w:id="0">
    <w:p w14:paraId="1BFDEBFE" w14:textId="77777777" w:rsidR="00DD793E" w:rsidRDefault="00DD7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NewRoman">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EF45F" w14:textId="77777777" w:rsidR="006F5C73" w:rsidRDefault="006F5C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8FD65" w14:textId="77777777" w:rsidR="006F5C73" w:rsidRDefault="006F5C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C218F" w14:textId="77777777" w:rsidR="006F5C73" w:rsidRPr="00FA70D0" w:rsidRDefault="006F5C73" w:rsidP="00FA70D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2855952"/>
      <w:docPartObj>
        <w:docPartGallery w:val="Page Numbers (Bottom of Page)"/>
        <w:docPartUnique/>
      </w:docPartObj>
    </w:sdtPr>
    <w:sdtContent>
      <w:p w14:paraId="3E429EDE" w14:textId="77777777" w:rsidR="006F5C73" w:rsidRDefault="006F5C73">
        <w:pPr>
          <w:pStyle w:val="Footer"/>
          <w:jc w:val="center"/>
          <w:rPr>
            <w:rFonts w:ascii="Arial" w:hAnsi="Arial" w:cs="Arial"/>
          </w:rPr>
        </w:pPr>
        <w:r w:rsidRPr="00A45C4B">
          <w:rPr>
            <w:rFonts w:ascii="Arial" w:hAnsi="Arial" w:cs="Arial"/>
          </w:rPr>
          <w:fldChar w:fldCharType="begin"/>
        </w:r>
        <w:r w:rsidRPr="00A45C4B">
          <w:rPr>
            <w:rFonts w:ascii="Arial" w:hAnsi="Arial" w:cs="Arial"/>
          </w:rPr>
          <w:instrText xml:space="preserve"> PAGE   \* MERGEFORMAT </w:instrText>
        </w:r>
        <w:r w:rsidRPr="00A45C4B">
          <w:rPr>
            <w:rFonts w:ascii="Arial" w:hAnsi="Arial" w:cs="Arial"/>
          </w:rPr>
          <w:fldChar w:fldCharType="separate"/>
        </w:r>
        <w:r w:rsidR="009730C8">
          <w:rPr>
            <w:rFonts w:ascii="Arial" w:hAnsi="Arial" w:cs="Arial"/>
            <w:noProof/>
          </w:rPr>
          <w:t>18</w:t>
        </w:r>
        <w:r w:rsidRPr="00A45C4B">
          <w:rPr>
            <w:rFonts w:ascii="Arial" w:hAnsi="Arial" w:cs="Arial"/>
          </w:rPr>
          <w:fldChar w:fldCharType="end"/>
        </w:r>
      </w:p>
      <w:p w14:paraId="1CD58E3B" w14:textId="77777777" w:rsidR="006F5C73" w:rsidRDefault="00000000">
        <w:pPr>
          <w:pStyle w:val="Footer"/>
          <w:jc w:val="center"/>
        </w:pPr>
      </w:p>
    </w:sdtContent>
  </w:sdt>
  <w:p w14:paraId="47BE3045" w14:textId="77777777" w:rsidR="006F5C73" w:rsidRPr="00C37E61" w:rsidRDefault="006F5C73" w:rsidP="00034A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1934B" w14:textId="77777777" w:rsidR="00DD793E" w:rsidRDefault="00DD793E">
      <w:r>
        <w:separator/>
      </w:r>
    </w:p>
  </w:footnote>
  <w:footnote w:type="continuationSeparator" w:id="0">
    <w:p w14:paraId="6A28DA8A" w14:textId="77777777" w:rsidR="00DD793E" w:rsidRDefault="00DD79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C4833" w14:textId="77777777" w:rsidR="006F5C73" w:rsidRDefault="00000000">
    <w:pPr>
      <w:pStyle w:val="Header"/>
    </w:pPr>
    <w:r>
      <w:rPr>
        <w:noProof/>
      </w:rPr>
      <w:pict w14:anchorId="49749E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4444469" o:spid="_x0000_s1026" type="#_x0000_t136" style="position:absolute;margin-left:0;margin-top:0;width:622.35pt;height:69.1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E795E" w14:textId="77777777" w:rsidR="006F5C73" w:rsidRDefault="00000000">
    <w:pPr>
      <w:pStyle w:val="Header"/>
    </w:pPr>
    <w:r>
      <w:rPr>
        <w:noProof/>
      </w:rPr>
      <w:pict w14:anchorId="1C5CDE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4444470" o:spid="_x0000_s1027" type="#_x0000_t136" style="position:absolute;margin-left:0;margin-top:0;width:622.35pt;height:69.1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56406" w14:textId="77777777" w:rsidR="006F5C73" w:rsidRPr="00296529" w:rsidRDefault="00000000" w:rsidP="00034A02">
    <w:pPr>
      <w:ind w:left="2160"/>
      <w:jc w:val="center"/>
      <w:rPr>
        <w:rFonts w:ascii="Times New Roman" w:eastAsia="Calibri" w:hAnsi="Times New Roman"/>
        <w:i/>
        <w:sz w:val="18"/>
        <w:szCs w:val="22"/>
      </w:rPr>
    </w:pPr>
    <w:r>
      <w:rPr>
        <w:noProof/>
      </w:rPr>
      <w:pict w14:anchorId="7D2D51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4444468" o:spid="_x0000_s1025" type="#_x0000_t136" style="position:absolute;left:0;text-align:left;margin-left:0;margin-top:0;width:622.35pt;height:69.1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754B01A9" w14:textId="77777777" w:rsidR="006F5C73" w:rsidRPr="00296529" w:rsidRDefault="006F5C73" w:rsidP="00034A02">
    <w:pPr>
      <w:ind w:left="4320"/>
      <w:rPr>
        <w:rFonts w:ascii="Times New Roman" w:eastAsia="Calibri" w:hAnsi="Times New Roman"/>
        <w:i/>
        <w:sz w:val="18"/>
        <w:szCs w:val="22"/>
      </w:rPr>
    </w:pPr>
    <w:r>
      <w:rPr>
        <w:rFonts w:ascii="Times New Roman" w:eastAsia="Calibri" w:hAnsi="Times New Roman"/>
        <w:i/>
        <w:sz w:val="18"/>
        <w:szCs w:val="22"/>
      </w:rPr>
      <w:t>.</w:t>
    </w:r>
  </w:p>
  <w:p w14:paraId="598B952C" w14:textId="77777777" w:rsidR="006F5C73" w:rsidRPr="00296529" w:rsidRDefault="006F5C73" w:rsidP="00034A02">
    <w:pPr>
      <w:jc w:val="center"/>
      <w:rPr>
        <w:rFonts w:ascii="Times New Roman" w:eastAsia="Calibri" w:hAnsi="Times New Roman"/>
        <w:i/>
        <w:sz w:val="18"/>
        <w:szCs w:val="22"/>
      </w:rPr>
    </w:pPr>
    <w:r>
      <w:rPr>
        <w:rFonts w:ascii="Times New Roman" w:eastAsia="Calibri" w:hAnsi="Times New Roman"/>
        <w:i/>
        <w:sz w:val="18"/>
        <w:szCs w:val="22"/>
      </w:rPr>
      <w:t>.</w:t>
    </w:r>
  </w:p>
  <w:p w14:paraId="5AE69EA9" w14:textId="77777777" w:rsidR="006F5C73" w:rsidRPr="00296529" w:rsidRDefault="006F5C73" w:rsidP="00034A02">
    <w:pPr>
      <w:spacing w:after="200"/>
      <w:jc w:val="center"/>
      <w:rPr>
        <w:rFonts w:ascii="Times New Roman" w:eastAsia="Calibri" w:hAnsi="Times New Roman"/>
        <w:b/>
        <w:i/>
        <w:sz w:val="32"/>
        <w:szCs w:val="22"/>
      </w:rPr>
    </w:pPr>
    <w:r>
      <w:rPr>
        <w:rFonts w:ascii="Times New Roman" w:eastAsia="Calibri" w:hAnsi="Times New Roman"/>
        <w:b/>
        <w:i/>
        <w:sz w:val="32"/>
        <w:szCs w:val="22"/>
      </w:rPr>
      <w:t>.</w:t>
    </w:r>
  </w:p>
  <w:p w14:paraId="5C61A5E4" w14:textId="77777777" w:rsidR="006F5C73" w:rsidRDefault="006F5C73" w:rsidP="00034A02">
    <w:pPr>
      <w:jc w:val="center"/>
      <w:rPr>
        <w:rFonts w:ascii="Times New Roman" w:eastAsia="Calibri" w:hAnsi="Times New Roman"/>
        <w:i/>
        <w:sz w:val="18"/>
        <w:szCs w:val="22"/>
      </w:rPr>
    </w:pPr>
  </w:p>
  <w:p w14:paraId="2925F645" w14:textId="77777777" w:rsidR="006F5C73" w:rsidRDefault="006F5C73" w:rsidP="00034A02">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306571C2" w14:textId="77777777" w:rsidR="006F5C73" w:rsidRDefault="006F5C73">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60F90" w14:textId="77777777" w:rsidR="006F5C73" w:rsidRDefault="00000000">
    <w:pPr>
      <w:pStyle w:val="Header"/>
    </w:pPr>
    <w:r>
      <w:rPr>
        <w:noProof/>
      </w:rPr>
      <w:pict w14:anchorId="5EF0D4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4444472" o:spid="_x0000_s1031" type="#_x0000_t136" style="position:absolute;margin-left:0;margin-top:0;width:622.35pt;height:69.1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33736BF4">
        <v:shape id="_x0000_s1030" type="#_x0000_t136" style="position:absolute;margin-left:0;margin-top:0;width:622.35pt;height:69.1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A80E6" w14:textId="77777777" w:rsidR="006F5C73" w:rsidRDefault="00000000">
    <w:pPr>
      <w:pStyle w:val="Header"/>
    </w:pPr>
    <w:r>
      <w:rPr>
        <w:noProof/>
      </w:rPr>
      <w:pict w14:anchorId="377D2E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4444473" o:spid="_x0000_s1033" type="#_x0000_t136" style="position:absolute;margin-left:0;margin-top:0;width:622.35pt;height:69.1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66E44916">
        <v:shape id="_x0000_s1032" type="#_x0000_t136" style="position:absolute;margin-left:0;margin-top:0;width:622.35pt;height:69.1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23466" w14:textId="77777777" w:rsidR="006F5C73" w:rsidRPr="00296529" w:rsidRDefault="00000000" w:rsidP="00034A02">
    <w:pPr>
      <w:ind w:left="2160"/>
      <w:jc w:val="center"/>
      <w:rPr>
        <w:rFonts w:ascii="Times New Roman" w:eastAsia="Calibri" w:hAnsi="Times New Roman"/>
        <w:i/>
        <w:sz w:val="18"/>
        <w:szCs w:val="22"/>
      </w:rPr>
    </w:pPr>
    <w:r>
      <w:rPr>
        <w:noProof/>
      </w:rPr>
      <w:pict w14:anchorId="34A7C9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4444471" o:spid="_x0000_s1029" type="#_x0000_t136" style="position:absolute;left:0;text-align:left;margin-left:0;margin-top:0;width:622.35pt;height:69.1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271B9A79">
        <v:shape id="_x0000_s1028" type="#_x0000_t136" style="position:absolute;left:0;text-align:left;margin-left:0;margin-top:0;width:622.35pt;height:69.1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76C121B7" w14:textId="77777777" w:rsidR="006F5C73" w:rsidRPr="00296529" w:rsidRDefault="006F5C73" w:rsidP="00034A02">
    <w:pPr>
      <w:ind w:left="4320"/>
      <w:rPr>
        <w:rFonts w:ascii="Times New Roman" w:eastAsia="Calibri" w:hAnsi="Times New Roman"/>
        <w:i/>
        <w:sz w:val="18"/>
        <w:szCs w:val="22"/>
      </w:rPr>
    </w:pPr>
    <w:r>
      <w:rPr>
        <w:rFonts w:ascii="Times New Roman" w:eastAsia="Calibri" w:hAnsi="Times New Roman"/>
        <w:i/>
        <w:sz w:val="18"/>
        <w:szCs w:val="22"/>
      </w:rPr>
      <w:t>.</w:t>
    </w:r>
  </w:p>
  <w:p w14:paraId="6A3762A3" w14:textId="77777777" w:rsidR="006F5C73" w:rsidRPr="00296529" w:rsidRDefault="006F5C73" w:rsidP="00034A02">
    <w:pPr>
      <w:jc w:val="center"/>
      <w:rPr>
        <w:rFonts w:ascii="Times New Roman" w:eastAsia="Calibri" w:hAnsi="Times New Roman"/>
        <w:i/>
        <w:sz w:val="18"/>
        <w:szCs w:val="22"/>
      </w:rPr>
    </w:pPr>
    <w:r>
      <w:rPr>
        <w:rFonts w:ascii="Times New Roman" w:eastAsia="Calibri" w:hAnsi="Times New Roman"/>
        <w:i/>
        <w:sz w:val="18"/>
        <w:szCs w:val="22"/>
      </w:rPr>
      <w:t>.</w:t>
    </w:r>
  </w:p>
  <w:p w14:paraId="69CFFC7A" w14:textId="77777777" w:rsidR="006F5C73" w:rsidRPr="00296529" w:rsidRDefault="006F5C73" w:rsidP="00034A02">
    <w:pPr>
      <w:spacing w:after="200"/>
      <w:jc w:val="center"/>
      <w:rPr>
        <w:rFonts w:ascii="Times New Roman" w:eastAsia="Calibri" w:hAnsi="Times New Roman"/>
        <w:b/>
        <w:i/>
        <w:sz w:val="32"/>
        <w:szCs w:val="22"/>
      </w:rPr>
    </w:pPr>
    <w:r>
      <w:rPr>
        <w:rFonts w:ascii="Times New Roman" w:eastAsia="Calibri" w:hAnsi="Times New Roman"/>
        <w:b/>
        <w:i/>
        <w:sz w:val="32"/>
        <w:szCs w:val="22"/>
      </w:rPr>
      <w:t>.</w:t>
    </w:r>
  </w:p>
  <w:p w14:paraId="6B15B86C" w14:textId="77777777" w:rsidR="006F5C73" w:rsidRDefault="006F5C73" w:rsidP="00034A02">
    <w:pPr>
      <w:jc w:val="center"/>
      <w:rPr>
        <w:rFonts w:ascii="Times New Roman" w:eastAsia="Calibri" w:hAnsi="Times New Roman"/>
        <w:i/>
        <w:sz w:val="18"/>
        <w:szCs w:val="22"/>
      </w:rPr>
    </w:pPr>
  </w:p>
  <w:p w14:paraId="3B50FAD9" w14:textId="77777777" w:rsidR="006F5C73" w:rsidRDefault="006F5C73" w:rsidP="00034A02">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2CB43B2A" w14:textId="77777777" w:rsidR="006F5C73" w:rsidRDefault="006F5C73">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B6F2F"/>
    <w:multiLevelType w:val="hybridMultilevel"/>
    <w:tmpl w:val="7BA4C5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17761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C3151"/>
    <w:rsid w:val="00034A02"/>
    <w:rsid w:val="00053118"/>
    <w:rsid w:val="000A01CD"/>
    <w:rsid w:val="000C4F43"/>
    <w:rsid w:val="000D2871"/>
    <w:rsid w:val="00120D5A"/>
    <w:rsid w:val="00156169"/>
    <w:rsid w:val="001C011C"/>
    <w:rsid w:val="001D01AC"/>
    <w:rsid w:val="001D4113"/>
    <w:rsid w:val="002148F6"/>
    <w:rsid w:val="00224556"/>
    <w:rsid w:val="002514E1"/>
    <w:rsid w:val="00276C93"/>
    <w:rsid w:val="002B5852"/>
    <w:rsid w:val="00301F46"/>
    <w:rsid w:val="00331E6A"/>
    <w:rsid w:val="003353BF"/>
    <w:rsid w:val="00363A21"/>
    <w:rsid w:val="00407D73"/>
    <w:rsid w:val="00410D3D"/>
    <w:rsid w:val="004C1942"/>
    <w:rsid w:val="004C3151"/>
    <w:rsid w:val="004D688C"/>
    <w:rsid w:val="004F031F"/>
    <w:rsid w:val="005302F4"/>
    <w:rsid w:val="00571534"/>
    <w:rsid w:val="00596B1A"/>
    <w:rsid w:val="0062173D"/>
    <w:rsid w:val="00645753"/>
    <w:rsid w:val="006F5C73"/>
    <w:rsid w:val="006F5EFB"/>
    <w:rsid w:val="00773A6E"/>
    <w:rsid w:val="00795859"/>
    <w:rsid w:val="007A5BA9"/>
    <w:rsid w:val="0086340E"/>
    <w:rsid w:val="008C4DD1"/>
    <w:rsid w:val="008F11A0"/>
    <w:rsid w:val="008F6784"/>
    <w:rsid w:val="009405CA"/>
    <w:rsid w:val="009730C8"/>
    <w:rsid w:val="009D1375"/>
    <w:rsid w:val="009E3237"/>
    <w:rsid w:val="00A123E8"/>
    <w:rsid w:val="00A15F77"/>
    <w:rsid w:val="00A3475D"/>
    <w:rsid w:val="00A548C7"/>
    <w:rsid w:val="00A77D49"/>
    <w:rsid w:val="00AD75AC"/>
    <w:rsid w:val="00B009FE"/>
    <w:rsid w:val="00B4266D"/>
    <w:rsid w:val="00BA391D"/>
    <w:rsid w:val="00BF7008"/>
    <w:rsid w:val="00C44B81"/>
    <w:rsid w:val="00C50091"/>
    <w:rsid w:val="00C7472B"/>
    <w:rsid w:val="00C76365"/>
    <w:rsid w:val="00CA3D52"/>
    <w:rsid w:val="00CB7B35"/>
    <w:rsid w:val="00CC07DD"/>
    <w:rsid w:val="00CE1A48"/>
    <w:rsid w:val="00D46A50"/>
    <w:rsid w:val="00D80ECE"/>
    <w:rsid w:val="00DC167A"/>
    <w:rsid w:val="00DC4CE0"/>
    <w:rsid w:val="00DD793E"/>
    <w:rsid w:val="00DE0F63"/>
    <w:rsid w:val="00E0204D"/>
    <w:rsid w:val="00E0449D"/>
    <w:rsid w:val="00E64D56"/>
    <w:rsid w:val="00EB6032"/>
    <w:rsid w:val="00EE3B0B"/>
    <w:rsid w:val="00EF14D5"/>
    <w:rsid w:val="00F32659"/>
    <w:rsid w:val="00F7080D"/>
    <w:rsid w:val="00F73563"/>
    <w:rsid w:val="00FA7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7B06C7"/>
  <w15:docId w15:val="{7818F596-3FAB-4ED3-962D-9F92152DA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151"/>
    <w:pPr>
      <w:spacing w:after="0" w:line="240" w:lineRule="auto"/>
    </w:pPr>
    <w:rPr>
      <w:rFonts w:ascii="Helvetica" w:eastAsia="Times New Roman" w:hAnsi="Helvetica" w:cs="Times New Roman"/>
      <w:sz w:val="20"/>
      <w:szCs w:val="20"/>
    </w:rPr>
  </w:style>
  <w:style w:type="paragraph" w:styleId="Heading1">
    <w:name w:val="heading 1"/>
    <w:basedOn w:val="Normal"/>
    <w:link w:val="Heading1Char"/>
    <w:uiPriority w:val="9"/>
    <w:qFormat/>
    <w:rsid w:val="004C3151"/>
    <w:pPr>
      <w:spacing w:before="100" w:beforeAutospacing="1" w:after="100" w:afterAutospacing="1"/>
      <w:outlineLvl w:val="0"/>
    </w:pPr>
    <w:rPr>
      <w:rFonts w:ascii="Times New Roman" w:hAnsi="Times New Roman"/>
      <w:b/>
      <w:bCs/>
      <w:kern w:val="36"/>
      <w:sz w:val="48"/>
      <w:szCs w:val="48"/>
    </w:rPr>
  </w:style>
  <w:style w:type="paragraph" w:styleId="Heading2">
    <w:name w:val="heading 2"/>
    <w:basedOn w:val="Normal"/>
    <w:link w:val="Heading2Char"/>
    <w:uiPriority w:val="9"/>
    <w:qFormat/>
    <w:rsid w:val="004C3151"/>
    <w:pPr>
      <w:spacing w:before="100" w:beforeAutospacing="1" w:after="100" w:afterAutospacing="1"/>
      <w:outlineLvl w:val="1"/>
    </w:pPr>
    <w:rPr>
      <w:rFonts w:ascii="Times New Roman" w:hAnsi="Times New Roman"/>
      <w:b/>
      <w:bCs/>
      <w:sz w:val="36"/>
      <w:szCs w:val="36"/>
    </w:rPr>
  </w:style>
  <w:style w:type="paragraph" w:styleId="Heading3">
    <w:name w:val="heading 3"/>
    <w:basedOn w:val="Normal"/>
    <w:next w:val="Normal"/>
    <w:link w:val="Heading3Char"/>
    <w:uiPriority w:val="9"/>
    <w:unhideWhenUsed/>
    <w:qFormat/>
    <w:rsid w:val="004C3151"/>
    <w:pPr>
      <w:keepNext/>
      <w:keepLines/>
      <w:spacing w:before="200" w:line="276" w:lineRule="auto"/>
      <w:outlineLvl w:val="2"/>
    </w:pPr>
    <w:rPr>
      <w:rFonts w:asciiTheme="majorHAnsi" w:eastAsiaTheme="majorEastAsia" w:hAnsiTheme="majorHAnsi" w:cstheme="majorBidi"/>
      <w:b/>
      <w:bCs/>
      <w:color w:val="5B9BD5" w:themeColor="accent1"/>
      <w:sz w:val="22"/>
      <w:szCs w:val="22"/>
    </w:rPr>
  </w:style>
  <w:style w:type="paragraph" w:styleId="Heading4">
    <w:name w:val="heading 4"/>
    <w:basedOn w:val="Normal"/>
    <w:next w:val="Normal"/>
    <w:link w:val="Heading4Char"/>
    <w:uiPriority w:val="9"/>
    <w:semiHidden/>
    <w:unhideWhenUsed/>
    <w:qFormat/>
    <w:rsid w:val="004C3151"/>
    <w:pPr>
      <w:keepNext/>
      <w:keepLines/>
      <w:spacing w:before="200" w:line="276" w:lineRule="auto"/>
      <w:outlineLvl w:val="3"/>
    </w:pPr>
    <w:rPr>
      <w:rFonts w:asciiTheme="majorHAnsi" w:eastAsiaTheme="majorEastAsia" w:hAnsiTheme="majorHAnsi" w:cstheme="majorBidi"/>
      <w:b/>
      <w:bCs/>
      <w:i/>
      <w:iCs/>
      <w:color w:val="5B9BD5" w:themeColor="accen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315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C315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C3151"/>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4C3151"/>
    <w:rPr>
      <w:rFonts w:asciiTheme="majorHAnsi" w:eastAsiaTheme="majorEastAsia" w:hAnsiTheme="majorHAnsi" w:cstheme="majorBidi"/>
      <w:b/>
      <w:bCs/>
      <w:i/>
      <w:iCs/>
      <w:color w:val="5B9BD5" w:themeColor="accent1"/>
    </w:rPr>
  </w:style>
  <w:style w:type="paragraph" w:customStyle="1" w:styleId="Author">
    <w:name w:val="Author"/>
    <w:basedOn w:val="Normal"/>
    <w:rsid w:val="004C3151"/>
    <w:pPr>
      <w:spacing w:line="280" w:lineRule="exact"/>
      <w:jc w:val="right"/>
    </w:pPr>
    <w:rPr>
      <w:b/>
      <w:sz w:val="24"/>
    </w:rPr>
  </w:style>
  <w:style w:type="paragraph" w:customStyle="1" w:styleId="Affiliation">
    <w:name w:val="Affiliation"/>
    <w:basedOn w:val="Normal"/>
    <w:rsid w:val="004C3151"/>
    <w:pPr>
      <w:spacing w:after="240" w:line="240" w:lineRule="exact"/>
      <w:jc w:val="right"/>
    </w:pPr>
  </w:style>
  <w:style w:type="paragraph" w:customStyle="1" w:styleId="Body">
    <w:name w:val="Body"/>
    <w:basedOn w:val="Normal"/>
    <w:rsid w:val="004C3151"/>
    <w:pPr>
      <w:spacing w:after="240"/>
      <w:jc w:val="both"/>
    </w:pPr>
  </w:style>
  <w:style w:type="paragraph" w:customStyle="1" w:styleId="AbstHead">
    <w:name w:val="Abst Head"/>
    <w:basedOn w:val="Normal"/>
    <w:rsid w:val="004C3151"/>
    <w:pPr>
      <w:keepNext/>
      <w:spacing w:after="240"/>
    </w:pPr>
    <w:rPr>
      <w:b/>
      <w:caps/>
      <w:sz w:val="22"/>
    </w:rPr>
  </w:style>
  <w:style w:type="paragraph" w:customStyle="1" w:styleId="ConcHead">
    <w:name w:val="Conc Head"/>
    <w:basedOn w:val="Normal"/>
    <w:rsid w:val="004C3151"/>
    <w:pPr>
      <w:keepNext/>
      <w:spacing w:after="240"/>
    </w:pPr>
    <w:rPr>
      <w:b/>
      <w:caps/>
      <w:sz w:val="22"/>
    </w:rPr>
  </w:style>
  <w:style w:type="paragraph" w:customStyle="1" w:styleId="AcknHead">
    <w:name w:val="Ackn Head"/>
    <w:basedOn w:val="Normal"/>
    <w:rsid w:val="004C3151"/>
    <w:pPr>
      <w:keepNext/>
      <w:spacing w:after="240"/>
    </w:pPr>
    <w:rPr>
      <w:b/>
      <w:caps/>
      <w:sz w:val="22"/>
    </w:rPr>
  </w:style>
  <w:style w:type="paragraph" w:customStyle="1" w:styleId="ReferHead">
    <w:name w:val="Refer Head"/>
    <w:basedOn w:val="Normal"/>
    <w:rsid w:val="004C3151"/>
    <w:pPr>
      <w:keepNext/>
      <w:spacing w:after="240"/>
    </w:pPr>
    <w:rPr>
      <w:b/>
      <w:caps/>
      <w:sz w:val="22"/>
    </w:rPr>
  </w:style>
  <w:style w:type="paragraph" w:customStyle="1" w:styleId="DefAcrHead">
    <w:name w:val="DefAcrHead"/>
    <w:basedOn w:val="Normal"/>
    <w:rsid w:val="004C3151"/>
    <w:pPr>
      <w:keepNext/>
      <w:spacing w:after="240"/>
    </w:pPr>
    <w:rPr>
      <w:b/>
      <w:caps/>
      <w:sz w:val="22"/>
    </w:rPr>
  </w:style>
  <w:style w:type="paragraph" w:customStyle="1" w:styleId="Copyright">
    <w:name w:val="Copyright"/>
    <w:basedOn w:val="Normal"/>
    <w:rsid w:val="004C3151"/>
    <w:pPr>
      <w:spacing w:after="960" w:line="200" w:lineRule="exact"/>
    </w:pPr>
    <w:rPr>
      <w:sz w:val="16"/>
    </w:rPr>
  </w:style>
  <w:style w:type="paragraph" w:styleId="Title">
    <w:name w:val="Title"/>
    <w:basedOn w:val="Normal"/>
    <w:link w:val="TitleChar"/>
    <w:qFormat/>
    <w:rsid w:val="004C3151"/>
    <w:pPr>
      <w:spacing w:after="360"/>
      <w:jc w:val="right"/>
    </w:pPr>
    <w:rPr>
      <w:b/>
      <w:kern w:val="28"/>
      <w:sz w:val="36"/>
    </w:rPr>
  </w:style>
  <w:style w:type="character" w:customStyle="1" w:styleId="TitleChar">
    <w:name w:val="Title Char"/>
    <w:basedOn w:val="DefaultParagraphFont"/>
    <w:link w:val="Title"/>
    <w:rsid w:val="004C3151"/>
    <w:rPr>
      <w:rFonts w:ascii="Helvetica" w:eastAsia="Times New Roman" w:hAnsi="Helvetica" w:cs="Times New Roman"/>
      <w:b/>
      <w:kern w:val="28"/>
      <w:sz w:val="36"/>
      <w:szCs w:val="20"/>
    </w:rPr>
  </w:style>
  <w:style w:type="paragraph" w:customStyle="1" w:styleId="Reference">
    <w:name w:val="Reference"/>
    <w:basedOn w:val="Body"/>
    <w:rsid w:val="004C3151"/>
    <w:pPr>
      <w:tabs>
        <w:tab w:val="num" w:pos="360"/>
      </w:tabs>
      <w:spacing w:after="0" w:line="240" w:lineRule="exact"/>
      <w:ind w:left="360" w:hanging="360"/>
    </w:pPr>
  </w:style>
  <w:style w:type="paragraph" w:customStyle="1" w:styleId="Head1">
    <w:name w:val="Head1"/>
    <w:basedOn w:val="Normal"/>
    <w:rsid w:val="004C3151"/>
    <w:pPr>
      <w:keepNext/>
      <w:spacing w:after="240"/>
    </w:pPr>
    <w:rPr>
      <w:b/>
      <w:caps/>
      <w:sz w:val="22"/>
    </w:rPr>
  </w:style>
  <w:style w:type="paragraph" w:customStyle="1" w:styleId="Appendix">
    <w:name w:val="Appendix"/>
    <w:basedOn w:val="Normal"/>
    <w:rsid w:val="004C3151"/>
    <w:pPr>
      <w:keepNext/>
      <w:spacing w:after="240"/>
    </w:pPr>
    <w:rPr>
      <w:b/>
      <w:caps/>
      <w:sz w:val="22"/>
    </w:rPr>
  </w:style>
  <w:style w:type="paragraph" w:styleId="Footer">
    <w:name w:val="footer"/>
    <w:basedOn w:val="Normal"/>
    <w:link w:val="FooterChar"/>
    <w:uiPriority w:val="99"/>
    <w:rsid w:val="004C3151"/>
    <w:pPr>
      <w:tabs>
        <w:tab w:val="center" w:pos="4320"/>
        <w:tab w:val="right" w:pos="8640"/>
      </w:tabs>
    </w:pPr>
  </w:style>
  <w:style w:type="character" w:customStyle="1" w:styleId="FooterChar">
    <w:name w:val="Footer Char"/>
    <w:basedOn w:val="DefaultParagraphFont"/>
    <w:link w:val="Footer"/>
    <w:uiPriority w:val="99"/>
    <w:rsid w:val="004C3151"/>
    <w:rPr>
      <w:rFonts w:ascii="Helvetica" w:eastAsia="Times New Roman" w:hAnsi="Helvetica" w:cs="Times New Roman"/>
      <w:sz w:val="20"/>
      <w:szCs w:val="20"/>
    </w:rPr>
  </w:style>
  <w:style w:type="paragraph" w:styleId="Header">
    <w:name w:val="header"/>
    <w:basedOn w:val="Normal"/>
    <w:link w:val="HeaderChar"/>
    <w:uiPriority w:val="99"/>
    <w:rsid w:val="004C3151"/>
    <w:pPr>
      <w:tabs>
        <w:tab w:val="center" w:pos="4320"/>
        <w:tab w:val="right" w:pos="8640"/>
      </w:tabs>
    </w:pPr>
  </w:style>
  <w:style w:type="character" w:customStyle="1" w:styleId="HeaderChar">
    <w:name w:val="Header Char"/>
    <w:basedOn w:val="DefaultParagraphFont"/>
    <w:link w:val="Header"/>
    <w:uiPriority w:val="99"/>
    <w:rsid w:val="004C3151"/>
    <w:rPr>
      <w:rFonts w:ascii="Helvetica" w:eastAsia="Times New Roman" w:hAnsi="Helvetica" w:cs="Times New Roman"/>
      <w:sz w:val="20"/>
      <w:szCs w:val="20"/>
    </w:rPr>
  </w:style>
  <w:style w:type="character" w:styleId="Hyperlink">
    <w:name w:val="Hyperlink"/>
    <w:basedOn w:val="DefaultParagraphFont"/>
    <w:uiPriority w:val="99"/>
    <w:rsid w:val="004C3151"/>
    <w:rPr>
      <w:color w:val="FF0080"/>
      <w:u w:val="single"/>
    </w:rPr>
  </w:style>
  <w:style w:type="paragraph" w:styleId="BodyText3">
    <w:name w:val="Body Text 3"/>
    <w:basedOn w:val="Normal"/>
    <w:link w:val="BodyText3Char"/>
    <w:rsid w:val="004C3151"/>
    <w:pPr>
      <w:spacing w:after="120"/>
    </w:pPr>
    <w:rPr>
      <w:sz w:val="16"/>
      <w:szCs w:val="16"/>
    </w:rPr>
  </w:style>
  <w:style w:type="character" w:customStyle="1" w:styleId="BodyText3Char">
    <w:name w:val="Body Text 3 Char"/>
    <w:basedOn w:val="DefaultParagraphFont"/>
    <w:link w:val="BodyText3"/>
    <w:rsid w:val="004C3151"/>
    <w:rPr>
      <w:rFonts w:ascii="Helvetica" w:eastAsia="Times New Roman" w:hAnsi="Helvetica" w:cs="Times New Roman"/>
      <w:sz w:val="16"/>
      <w:szCs w:val="16"/>
    </w:rPr>
  </w:style>
  <w:style w:type="character" w:styleId="LineNumber">
    <w:name w:val="line number"/>
    <w:basedOn w:val="DefaultParagraphFont"/>
    <w:uiPriority w:val="99"/>
    <w:semiHidden/>
    <w:unhideWhenUsed/>
    <w:rsid w:val="004C3151"/>
  </w:style>
  <w:style w:type="paragraph" w:styleId="BalloonText">
    <w:name w:val="Balloon Text"/>
    <w:basedOn w:val="Normal"/>
    <w:link w:val="BalloonTextChar"/>
    <w:uiPriority w:val="99"/>
    <w:semiHidden/>
    <w:unhideWhenUsed/>
    <w:rsid w:val="004C3151"/>
    <w:rPr>
      <w:rFonts w:ascii="Tahoma" w:hAnsi="Tahoma" w:cs="Tahoma"/>
      <w:sz w:val="16"/>
      <w:szCs w:val="16"/>
    </w:rPr>
  </w:style>
  <w:style w:type="character" w:customStyle="1" w:styleId="BalloonTextChar">
    <w:name w:val="Balloon Text Char"/>
    <w:basedOn w:val="DefaultParagraphFont"/>
    <w:link w:val="BalloonText"/>
    <w:uiPriority w:val="99"/>
    <w:semiHidden/>
    <w:rsid w:val="004C3151"/>
    <w:rPr>
      <w:rFonts w:ascii="Tahoma" w:eastAsia="Times New Roman" w:hAnsi="Tahoma" w:cs="Tahoma"/>
      <w:sz w:val="16"/>
      <w:szCs w:val="16"/>
    </w:rPr>
  </w:style>
  <w:style w:type="character" w:customStyle="1" w:styleId="timestamp">
    <w:name w:val="timestamp"/>
    <w:basedOn w:val="DefaultParagraphFont"/>
    <w:rsid w:val="004C3151"/>
  </w:style>
  <w:style w:type="paragraph" w:styleId="NormalWeb">
    <w:name w:val="Normal (Web)"/>
    <w:basedOn w:val="Normal"/>
    <w:uiPriority w:val="99"/>
    <w:unhideWhenUsed/>
    <w:rsid w:val="004C3151"/>
    <w:pPr>
      <w:spacing w:before="100" w:beforeAutospacing="1" w:after="100" w:afterAutospacing="1"/>
    </w:pPr>
    <w:rPr>
      <w:rFonts w:ascii="Times New Roman" w:hAnsi="Times New Roman"/>
      <w:sz w:val="24"/>
      <w:szCs w:val="24"/>
    </w:rPr>
  </w:style>
  <w:style w:type="paragraph" w:customStyle="1" w:styleId="paragraphseparator">
    <w:name w:val="paragraphseparator"/>
    <w:basedOn w:val="Normal"/>
    <w:rsid w:val="004C3151"/>
    <w:pPr>
      <w:spacing w:before="100" w:beforeAutospacing="1" w:after="100" w:afterAutospacing="1"/>
    </w:pPr>
    <w:rPr>
      <w:rFonts w:ascii="Times New Roman" w:hAnsi="Times New Roman"/>
      <w:sz w:val="24"/>
      <w:szCs w:val="24"/>
    </w:rPr>
  </w:style>
  <w:style w:type="paragraph" w:customStyle="1" w:styleId="articletitleparagraph">
    <w:name w:val="articletitleparagraph"/>
    <w:basedOn w:val="Normal"/>
    <w:rsid w:val="004C3151"/>
    <w:pPr>
      <w:spacing w:before="100" w:beforeAutospacing="1" w:after="100" w:afterAutospacing="1"/>
    </w:pPr>
    <w:rPr>
      <w:rFonts w:ascii="Times New Roman" w:hAnsi="Times New Roman"/>
      <w:sz w:val="24"/>
      <w:szCs w:val="24"/>
    </w:rPr>
  </w:style>
  <w:style w:type="paragraph" w:customStyle="1" w:styleId="authorlistparagraph">
    <w:name w:val="authorlistparagraph"/>
    <w:basedOn w:val="Normal"/>
    <w:rsid w:val="004C3151"/>
    <w:pPr>
      <w:spacing w:before="100" w:beforeAutospacing="1" w:after="100" w:afterAutospacing="1"/>
    </w:pPr>
    <w:rPr>
      <w:rFonts w:ascii="Times New Roman" w:hAnsi="Times New Roman"/>
      <w:sz w:val="24"/>
      <w:szCs w:val="24"/>
    </w:rPr>
  </w:style>
  <w:style w:type="character" w:customStyle="1" w:styleId="relative">
    <w:name w:val="relative"/>
    <w:basedOn w:val="DefaultParagraphFont"/>
    <w:rsid w:val="004C3151"/>
  </w:style>
  <w:style w:type="character" w:styleId="Emphasis">
    <w:name w:val="Emphasis"/>
    <w:basedOn w:val="DefaultParagraphFont"/>
    <w:uiPriority w:val="20"/>
    <w:qFormat/>
    <w:rsid w:val="004C3151"/>
    <w:rPr>
      <w:i/>
      <w:iCs/>
    </w:rPr>
  </w:style>
  <w:style w:type="character" w:styleId="Strong">
    <w:name w:val="Strong"/>
    <w:basedOn w:val="DefaultParagraphFont"/>
    <w:uiPriority w:val="22"/>
    <w:qFormat/>
    <w:rsid w:val="004C3151"/>
    <w:rPr>
      <w:b/>
      <w:bCs/>
    </w:rPr>
  </w:style>
  <w:style w:type="character" w:customStyle="1" w:styleId="overflow-hidden">
    <w:name w:val="overflow-hidden"/>
    <w:basedOn w:val="DefaultParagraphFont"/>
    <w:rsid w:val="004C3151"/>
  </w:style>
  <w:style w:type="character" w:customStyle="1" w:styleId="z-TopofFormChar">
    <w:name w:val="z-Top of Form Char"/>
    <w:basedOn w:val="DefaultParagraphFont"/>
    <w:link w:val="z-TopofForm"/>
    <w:uiPriority w:val="99"/>
    <w:semiHidden/>
    <w:rsid w:val="004C3151"/>
    <w:rPr>
      <w:rFonts w:ascii="Arial" w:eastAsia="Times New Roman" w:hAnsi="Arial" w:cs="Arial"/>
      <w:vanish/>
      <w:sz w:val="16"/>
      <w:szCs w:val="16"/>
    </w:rPr>
  </w:style>
  <w:style w:type="paragraph" w:styleId="z-TopofForm">
    <w:name w:val="HTML Top of Form"/>
    <w:basedOn w:val="Normal"/>
    <w:next w:val="Normal"/>
    <w:link w:val="z-TopofFormChar"/>
    <w:hidden/>
    <w:uiPriority w:val="99"/>
    <w:semiHidden/>
    <w:unhideWhenUsed/>
    <w:rsid w:val="004C3151"/>
    <w:pPr>
      <w:pBdr>
        <w:bottom w:val="single" w:sz="6" w:space="1" w:color="auto"/>
      </w:pBdr>
      <w:jc w:val="center"/>
    </w:pPr>
    <w:rPr>
      <w:rFonts w:ascii="Arial" w:hAnsi="Arial" w:cs="Arial"/>
      <w:vanish/>
      <w:sz w:val="16"/>
      <w:szCs w:val="16"/>
    </w:rPr>
  </w:style>
  <w:style w:type="character" w:customStyle="1" w:styleId="z-TopofFormChar1">
    <w:name w:val="z-Top of Form Char1"/>
    <w:basedOn w:val="DefaultParagraphFont"/>
    <w:uiPriority w:val="99"/>
    <w:semiHidden/>
    <w:rsid w:val="004C3151"/>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C315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C3151"/>
    <w:pPr>
      <w:pBdr>
        <w:top w:val="single" w:sz="6" w:space="1" w:color="auto"/>
      </w:pBdr>
      <w:jc w:val="center"/>
    </w:pPr>
    <w:rPr>
      <w:rFonts w:ascii="Arial" w:hAnsi="Arial" w:cs="Arial"/>
      <w:vanish/>
      <w:sz w:val="16"/>
      <w:szCs w:val="16"/>
    </w:rPr>
  </w:style>
  <w:style w:type="character" w:customStyle="1" w:styleId="z-BottomofFormChar1">
    <w:name w:val="z-Bottom of Form Char1"/>
    <w:basedOn w:val="DefaultParagraphFont"/>
    <w:uiPriority w:val="99"/>
    <w:semiHidden/>
    <w:rsid w:val="004C3151"/>
    <w:rPr>
      <w:rFonts w:ascii="Arial" w:eastAsia="Times New Roman" w:hAnsi="Arial" w:cs="Arial"/>
      <w:vanish/>
      <w:sz w:val="16"/>
      <w:szCs w:val="16"/>
    </w:rPr>
  </w:style>
  <w:style w:type="paragraph" w:styleId="ListParagraph">
    <w:name w:val="List Paragraph"/>
    <w:basedOn w:val="Normal"/>
    <w:uiPriority w:val="34"/>
    <w:qFormat/>
    <w:rsid w:val="004C3151"/>
    <w:pPr>
      <w:spacing w:after="200" w:line="27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59"/>
    <w:rsid w:val="004C315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laceholder">
    <w:name w:val="placeholder"/>
    <w:basedOn w:val="Normal"/>
    <w:rsid w:val="004C3151"/>
    <w:pPr>
      <w:spacing w:before="100" w:beforeAutospacing="1" w:after="100" w:afterAutospacing="1"/>
    </w:pPr>
    <w:rPr>
      <w:rFonts w:ascii="Times New Roman" w:hAnsi="Times New Roman"/>
      <w:sz w:val="24"/>
      <w:szCs w:val="24"/>
    </w:rPr>
  </w:style>
  <w:style w:type="numbering" w:customStyle="1" w:styleId="NoList1">
    <w:name w:val="No List1"/>
    <w:next w:val="NoList"/>
    <w:uiPriority w:val="99"/>
    <w:semiHidden/>
    <w:unhideWhenUsed/>
    <w:rsid w:val="004C3151"/>
  </w:style>
  <w:style w:type="character" w:customStyle="1" w:styleId="katex-mathml">
    <w:name w:val="katex-mathml"/>
    <w:basedOn w:val="DefaultParagraphFont"/>
    <w:rsid w:val="004C3151"/>
  </w:style>
  <w:style w:type="character" w:customStyle="1" w:styleId="mord">
    <w:name w:val="mord"/>
    <w:basedOn w:val="DefaultParagraphFont"/>
    <w:rsid w:val="004C3151"/>
  </w:style>
  <w:style w:type="character" w:customStyle="1" w:styleId="vlist-s">
    <w:name w:val="vlist-s"/>
    <w:basedOn w:val="DefaultParagraphFont"/>
    <w:rsid w:val="004C3151"/>
  </w:style>
  <w:style w:type="character" w:customStyle="1" w:styleId="mrel">
    <w:name w:val="mrel"/>
    <w:basedOn w:val="DefaultParagraphFont"/>
    <w:rsid w:val="004C3151"/>
  </w:style>
  <w:style w:type="character" w:customStyle="1" w:styleId="mpunct">
    <w:name w:val="mpunct"/>
    <w:basedOn w:val="DefaultParagraphFont"/>
    <w:rsid w:val="004C3151"/>
  </w:style>
  <w:style w:type="character" w:customStyle="1" w:styleId="minner">
    <w:name w:val="minner"/>
    <w:basedOn w:val="DefaultParagraphFont"/>
    <w:rsid w:val="004C3151"/>
  </w:style>
  <w:style w:type="character" w:styleId="PlaceholderText">
    <w:name w:val="Placeholder Text"/>
    <w:basedOn w:val="DefaultParagraphFont"/>
    <w:uiPriority w:val="99"/>
    <w:semiHidden/>
    <w:rsid w:val="004C3151"/>
    <w:rPr>
      <w:color w:val="808080"/>
    </w:rPr>
  </w:style>
  <w:style w:type="character" w:customStyle="1" w:styleId="mopen">
    <w:name w:val="mopen"/>
    <w:basedOn w:val="DefaultParagraphFont"/>
    <w:rsid w:val="004C3151"/>
  </w:style>
  <w:style w:type="character" w:customStyle="1" w:styleId="mclose">
    <w:name w:val="mclose"/>
    <w:basedOn w:val="DefaultParagraphFont"/>
    <w:rsid w:val="004C3151"/>
  </w:style>
  <w:style w:type="character" w:customStyle="1" w:styleId="mbin">
    <w:name w:val="mbin"/>
    <w:basedOn w:val="DefaultParagraphFont"/>
    <w:rsid w:val="004C3151"/>
  </w:style>
  <w:style w:type="character" w:customStyle="1" w:styleId="mop">
    <w:name w:val="mop"/>
    <w:basedOn w:val="DefaultParagraphFont"/>
    <w:rsid w:val="004C3151"/>
  </w:style>
  <w:style w:type="paragraph" w:customStyle="1" w:styleId="Default">
    <w:name w:val="Default"/>
    <w:rsid w:val="00034A0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gc">
    <w:name w:val="_tgc"/>
    <w:basedOn w:val="DefaultParagraphFont"/>
    <w:rsid w:val="00034A02"/>
  </w:style>
  <w:style w:type="character" w:customStyle="1" w:styleId="mi">
    <w:name w:val="mi"/>
    <w:basedOn w:val="DefaultParagraphFont"/>
    <w:rsid w:val="00034A02"/>
  </w:style>
  <w:style w:type="character" w:customStyle="1" w:styleId="mo">
    <w:name w:val="mo"/>
    <w:basedOn w:val="DefaultParagraphFont"/>
    <w:rsid w:val="00034A02"/>
  </w:style>
  <w:style w:type="character" w:customStyle="1" w:styleId="mn">
    <w:name w:val="mn"/>
    <w:basedOn w:val="DefaultParagraphFont"/>
    <w:rsid w:val="00034A02"/>
  </w:style>
  <w:style w:type="character" w:customStyle="1" w:styleId="mtext">
    <w:name w:val="mtext"/>
    <w:basedOn w:val="DefaultParagraphFont"/>
    <w:rsid w:val="00034A02"/>
  </w:style>
  <w:style w:type="paragraph" w:customStyle="1" w:styleId="pdq2pgselectionanchorcontainer">
    <w:name w:val="pdq2pg_selectionanchorcontainer"/>
    <w:basedOn w:val="Normal"/>
    <w:rsid w:val="001D01AC"/>
    <w:pPr>
      <w:spacing w:before="100" w:beforeAutospacing="1" w:after="100" w:afterAutospacing="1"/>
    </w:pPr>
    <w:rPr>
      <w:rFonts w:ascii="Times New Roman" w:hAnsi="Times New Roman"/>
      <w:sz w:val="24"/>
      <w:szCs w:val="24"/>
    </w:rPr>
  </w:style>
  <w:style w:type="character" w:customStyle="1" w:styleId="UnresolvedMention1">
    <w:name w:val="Unresolved Mention1"/>
    <w:basedOn w:val="DefaultParagraphFont"/>
    <w:uiPriority w:val="99"/>
    <w:semiHidden/>
    <w:unhideWhenUsed/>
    <w:rsid w:val="00F708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9877264">
      <w:bodyDiv w:val="1"/>
      <w:marLeft w:val="0"/>
      <w:marRight w:val="0"/>
      <w:marTop w:val="0"/>
      <w:marBottom w:val="0"/>
      <w:divBdr>
        <w:top w:val="none" w:sz="0" w:space="0" w:color="auto"/>
        <w:left w:val="none" w:sz="0" w:space="0" w:color="auto"/>
        <w:bottom w:val="none" w:sz="0" w:space="0" w:color="auto"/>
        <w:right w:val="none" w:sz="0" w:space="0" w:color="auto"/>
      </w:divBdr>
    </w:div>
    <w:div w:id="1725375880">
      <w:bodyDiv w:val="1"/>
      <w:marLeft w:val="0"/>
      <w:marRight w:val="0"/>
      <w:marTop w:val="0"/>
      <w:marBottom w:val="0"/>
      <w:divBdr>
        <w:top w:val="none" w:sz="0" w:space="0" w:color="auto"/>
        <w:left w:val="none" w:sz="0" w:space="0" w:color="auto"/>
        <w:bottom w:val="none" w:sz="0" w:space="0" w:color="auto"/>
        <w:right w:val="none" w:sz="0" w:space="0" w:color="auto"/>
      </w:divBdr>
    </w:div>
    <w:div w:id="1770850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image" Target="media/image6.emf"/><Relationship Id="rId26" Type="http://schemas.openxmlformats.org/officeDocument/2006/relationships/hyperlink" Target="https://www.cdc.gov/global-hiv-tb/php/where-we-work/nigeria.html" TargetMode="External"/><Relationship Id="rId39" Type="http://schemas.openxmlformats.org/officeDocument/2006/relationships/hyperlink" Target="https://www.researchgate.net/publication/337673004" TargetMode="External"/><Relationship Id="rId21" Type="http://schemas.openxmlformats.org/officeDocument/2006/relationships/hyperlink" Target="https://www.iiste.org/Journals/index.php/JNSR/article/view/6400" TargetMode="External"/><Relationship Id="rId34" Type="http://schemas.openxmlformats.org/officeDocument/2006/relationships/hyperlink" Target="https://doi.org/10.1016/0165-1765(80)90024-5" TargetMode="External"/><Relationship Id="rId42" Type="http://schemas.openxmlformats.org/officeDocument/2006/relationships/hyperlink" Target="https://doi.org/10.1136/bmjopen-2024-087218" TargetMode="External"/><Relationship Id="rId47" Type="http://schemas.openxmlformats.org/officeDocument/2006/relationships/hyperlink" Target="https://doi.org/10.24875/AIDSRev.20000068" TargetMode="External"/><Relationship Id="rId50" Type="http://schemas.openxmlformats.org/officeDocument/2006/relationships/hyperlink" Target="https://doi.org/10.56557/jodagh/2022/v15i17650" TargetMode="External"/><Relationship Id="rId55" Type="http://schemas.openxmlformats.org/officeDocument/2006/relationships/hyperlink" Target="https://www.who.int/teams/global-programme-on-tuberculosis-and-lung-health/tb-reports/global-tuberculosis-report-2024" TargetMode="Externa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4.emf"/><Relationship Id="rId29" Type="http://schemas.openxmlformats.org/officeDocument/2006/relationships/hyperlink" Target="https://doi.org/10.1038/s41598-025-94378-3" TargetMode="External"/><Relationship Id="rId11" Type="http://schemas.openxmlformats.org/officeDocument/2006/relationships/header" Target="header3.xml"/><Relationship Id="rId24" Type="http://schemas.openxmlformats.org/officeDocument/2006/relationships/hyperlink" Target="https://doi.org/10.1186/s12879-019-4246-2" TargetMode="External"/><Relationship Id="rId32" Type="http://schemas.openxmlformats.org/officeDocument/2006/relationships/hyperlink" Target="https://doi.org/10.2307/1912791" TargetMode="External"/><Relationship Id="rId37" Type="http://schemas.openxmlformats.org/officeDocument/2006/relationships/hyperlink" Target="https://doi.org/10.1093/0198774508.001.0001" TargetMode="External"/><Relationship Id="rId40" Type="http://schemas.openxmlformats.org/officeDocument/2006/relationships/hyperlink" Target="https://doi.org/10.9734/ISRR/2017/33099" TargetMode="External"/><Relationship Id="rId45" Type="http://schemas.openxmlformats.org/officeDocument/2006/relationships/hyperlink" Target="https://doi.org/10.1186/s12889-025-25068-y" TargetMode="External"/><Relationship Id="rId53" Type="http://schemas.openxmlformats.org/officeDocument/2006/relationships/hyperlink" Target="https://doi.org/10.1371/journal.ppat.1011675" TargetMode="External"/><Relationship Id="rId58" Type="http://schemas.openxmlformats.org/officeDocument/2006/relationships/header" Target="header5.xm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hyperlink" Target="https://doi.org/10.21010/ajid.v11i2.10" TargetMode="External"/><Relationship Id="rId14" Type="http://schemas.openxmlformats.org/officeDocument/2006/relationships/image" Target="media/image2.emf"/><Relationship Id="rId22" Type="http://schemas.openxmlformats.org/officeDocument/2006/relationships/hyperlink" Target="https://doi.org/10.47514/swj/15.03.2020.004" TargetMode="External"/><Relationship Id="rId27" Type="http://schemas.openxmlformats.org/officeDocument/2006/relationships/hyperlink" Target="https://doi.org/10.60787/nmj.v64i6.372" TargetMode="External"/><Relationship Id="rId30" Type="http://schemas.openxmlformats.org/officeDocument/2006/relationships/hyperlink" Target="https://doi.org/10.2307/1913236" TargetMode="External"/><Relationship Id="rId35" Type="http://schemas.openxmlformats.org/officeDocument/2006/relationships/hyperlink" Target="https://doi.org/10.2307/1403192" TargetMode="External"/><Relationship Id="rId43" Type="http://schemas.openxmlformats.org/officeDocument/2006/relationships/hyperlink" Target="https://doi.org/10.1186/s41182-024-00623-2" TargetMode="External"/><Relationship Id="rId48" Type="http://schemas.openxmlformats.org/officeDocument/2006/relationships/hyperlink" Target="https://doi.org/10.1146/annurev-statistics-040120-010930" TargetMode="External"/><Relationship Id="rId56" Type="http://schemas.openxmlformats.org/officeDocument/2006/relationships/hyperlink" Target="https://doi.org/10.1186/s40249-024-01230-3" TargetMode="External"/><Relationship Id="rId8" Type="http://schemas.openxmlformats.org/officeDocument/2006/relationships/header" Target="header2.xml"/><Relationship Id="rId51" Type="http://schemas.openxmlformats.org/officeDocument/2006/relationships/hyperlink" Target="https://doi.org/10.1016/0304-4076(94)01616-8" TargetMode="Externa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image" Target="media/image5.emf"/><Relationship Id="rId25" Type="http://schemas.openxmlformats.org/officeDocument/2006/relationships/hyperlink" Target="https://doi.org/10.3402/gha.v8.27949" TargetMode="External"/><Relationship Id="rId33" Type="http://schemas.openxmlformats.org/officeDocument/2006/relationships/hyperlink" Target="https://doi.org/10.1111/biom.12780" TargetMode="External"/><Relationship Id="rId38" Type="http://schemas.openxmlformats.org/officeDocument/2006/relationships/hyperlink" Target="https://doi.org/10.51244/IJRSI.2025.120500164" TargetMode="External"/><Relationship Id="rId46" Type="http://schemas.openxmlformats.org/officeDocument/2006/relationships/hyperlink" Target="https://doi.org/10.1038/s41598-025-91871-7" TargetMode="External"/><Relationship Id="rId59" Type="http://schemas.openxmlformats.org/officeDocument/2006/relationships/footer" Target="footer4.xml"/><Relationship Id="rId20" Type="http://schemas.openxmlformats.org/officeDocument/2006/relationships/hyperlink" Target="https://doi.org/10.1371/journal.pone.0239225" TargetMode="External"/><Relationship Id="rId41" Type="http://schemas.openxmlformats.org/officeDocument/2006/relationships/hyperlink" Target="https://doi.org/10.1002/(SICI)1099-1255(199909/10)14:5%3c563::AID-JAE530%3e3.0.CO;2-R" TargetMode="External"/><Relationship Id="rId54" Type="http://schemas.openxmlformats.org/officeDocument/2006/relationships/hyperlink" Target="https://doi.org/10.1186/s12879-023-08533-0"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emf"/><Relationship Id="rId23" Type="http://schemas.openxmlformats.org/officeDocument/2006/relationships/hyperlink" Target="https://doi.org/10.60787/phmj.v14i3.157" TargetMode="External"/><Relationship Id="rId28" Type="http://schemas.openxmlformats.org/officeDocument/2006/relationships/hyperlink" Target="https://doi.org/10.1080/01621459.1979.10482531" TargetMode="External"/><Relationship Id="rId36" Type="http://schemas.openxmlformats.org/officeDocument/2006/relationships/hyperlink" Target="https://doi.org/10.2307/2938278" TargetMode="External"/><Relationship Id="rId49" Type="http://schemas.openxmlformats.org/officeDocument/2006/relationships/hyperlink" Target="https://doi.org/10.1016/j.ijid.2025.107876" TargetMode="External"/><Relationship Id="rId57" Type="http://schemas.openxmlformats.org/officeDocument/2006/relationships/header" Target="header4.xml"/><Relationship Id="rId10" Type="http://schemas.openxmlformats.org/officeDocument/2006/relationships/footer" Target="footer2.xml"/><Relationship Id="rId31" Type="http://schemas.openxmlformats.org/officeDocument/2006/relationships/hyperlink" Target="https://doi.org/10.1016/S1473-3099(26)00295-1" TargetMode="External"/><Relationship Id="rId44" Type="http://schemas.openxmlformats.org/officeDocument/2006/relationships/hyperlink" Target="https://doi.org/10.1136/bmjopen-2024-088287" TargetMode="External"/><Relationship Id="rId52" Type="http://schemas.openxmlformats.org/officeDocument/2006/relationships/hyperlink" Target="https://doi.org/10.1016/j.ijid.2014.11.023" TargetMode="External"/><Relationship Id="rId60"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21</Pages>
  <Words>11351</Words>
  <Characters>64705</Characters>
  <Application>Microsoft Office Word</Application>
  <DocSecurity>0</DocSecurity>
  <Lines>539</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SDI 1087</cp:lastModifiedBy>
  <cp:revision>14</cp:revision>
  <dcterms:created xsi:type="dcterms:W3CDTF">2026-08-03T21:03:00Z</dcterms:created>
  <dcterms:modified xsi:type="dcterms:W3CDTF">2026-08-17T11:01:00Z</dcterms:modified>
</cp:coreProperties>
</file>