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352E6" w14:textId="77777777" w:rsidR="00781D77" w:rsidRPr="0096589B" w:rsidRDefault="002674BA" w:rsidP="00BF74D4">
      <w:pPr>
        <w:spacing w:line="240" w:lineRule="auto"/>
        <w:jc w:val="center"/>
        <w:rPr>
          <w:rFonts w:ascii="Times New Roman" w:hAnsi="Times New Roman" w:cs="Times New Roman"/>
          <w:b/>
          <w:sz w:val="24"/>
          <w:szCs w:val="24"/>
        </w:rPr>
      </w:pPr>
      <w:r w:rsidRPr="0096589B">
        <w:rPr>
          <w:rFonts w:ascii="Times New Roman" w:hAnsi="Times New Roman" w:cs="Times New Roman"/>
          <w:b/>
          <w:sz w:val="24"/>
          <w:szCs w:val="24"/>
        </w:rPr>
        <w:t>COMPLIANCE WITH</w:t>
      </w:r>
      <w:r w:rsidR="00781D77" w:rsidRPr="0096589B">
        <w:rPr>
          <w:rFonts w:ascii="Times New Roman" w:hAnsi="Times New Roman" w:cs="Times New Roman"/>
          <w:b/>
          <w:sz w:val="24"/>
          <w:szCs w:val="24"/>
        </w:rPr>
        <w:t xml:space="preserve"> THE WHO’S MATERNITY HEALTHCARE WASTE MANAGEMENT GUIDELINES AMONG</w:t>
      </w:r>
      <w:r w:rsidRPr="0096589B">
        <w:rPr>
          <w:rFonts w:ascii="Times New Roman" w:hAnsi="Times New Roman" w:cs="Times New Roman"/>
          <w:b/>
          <w:sz w:val="24"/>
          <w:szCs w:val="24"/>
        </w:rPr>
        <w:t xml:space="preserve"> NURSES AND</w:t>
      </w:r>
      <w:r w:rsidR="00781D77" w:rsidRPr="0096589B">
        <w:rPr>
          <w:rFonts w:ascii="Times New Roman" w:hAnsi="Times New Roman" w:cs="Times New Roman"/>
          <w:b/>
          <w:sz w:val="24"/>
          <w:szCs w:val="24"/>
        </w:rPr>
        <w:t xml:space="preserve"> MIDWIVES IN NNAMDI AZIKIWE UNIVERSITY TEACHING HOSPITAL, NNEWI</w:t>
      </w:r>
    </w:p>
    <w:p w14:paraId="5A2000CB" w14:textId="77777777" w:rsidR="00CE4011" w:rsidRPr="0096589B" w:rsidRDefault="00CE4011" w:rsidP="00BF74D4">
      <w:pPr>
        <w:spacing w:line="240" w:lineRule="auto"/>
        <w:jc w:val="center"/>
        <w:rPr>
          <w:rFonts w:ascii="Times New Roman" w:hAnsi="Times New Roman" w:cs="Times New Roman"/>
          <w:b/>
          <w:sz w:val="24"/>
          <w:szCs w:val="24"/>
        </w:rPr>
      </w:pPr>
    </w:p>
    <w:p w14:paraId="18CB5147" w14:textId="77777777" w:rsidR="00781D77" w:rsidRPr="0096589B" w:rsidRDefault="00781D77" w:rsidP="00BF74D4">
      <w:pPr>
        <w:spacing w:line="240" w:lineRule="auto"/>
        <w:jc w:val="center"/>
        <w:rPr>
          <w:rFonts w:ascii="Times New Roman" w:hAnsi="Times New Roman" w:cs="Times New Roman"/>
          <w:b/>
          <w:sz w:val="24"/>
          <w:szCs w:val="24"/>
        </w:rPr>
      </w:pPr>
    </w:p>
    <w:p w14:paraId="4AF9C8FD" w14:textId="77777777" w:rsidR="008B4D51" w:rsidRPr="0096589B" w:rsidRDefault="008B4D51" w:rsidP="00BF74D4">
      <w:pPr>
        <w:spacing w:line="240" w:lineRule="auto"/>
        <w:jc w:val="center"/>
        <w:rPr>
          <w:rFonts w:ascii="Times New Roman" w:hAnsi="Times New Roman" w:cs="Times New Roman"/>
          <w:i/>
          <w:sz w:val="24"/>
          <w:szCs w:val="24"/>
        </w:rPr>
      </w:pPr>
    </w:p>
    <w:p w14:paraId="6BA07497" w14:textId="77777777" w:rsidR="00781D77" w:rsidRPr="0096589B" w:rsidRDefault="00781D77" w:rsidP="00BF74D4">
      <w:pPr>
        <w:pStyle w:val="NoSpacing1"/>
        <w:rPr>
          <w:rFonts w:ascii="Times New Roman" w:hAnsi="Times New Roman" w:cs="Times New Roman"/>
          <w:sz w:val="24"/>
          <w:szCs w:val="24"/>
        </w:rPr>
      </w:pPr>
    </w:p>
    <w:p w14:paraId="05A5A72A" w14:textId="77777777" w:rsidR="007639B7" w:rsidRPr="0096589B" w:rsidRDefault="007639B7" w:rsidP="00BF74D4">
      <w:pPr>
        <w:spacing w:line="240" w:lineRule="auto"/>
        <w:rPr>
          <w:rFonts w:ascii="Times New Roman" w:hAnsi="Times New Roman" w:cs="Times New Roman"/>
          <w:b/>
          <w:sz w:val="24"/>
          <w:szCs w:val="24"/>
        </w:rPr>
      </w:pPr>
    </w:p>
    <w:p w14:paraId="3F0AB5B9" w14:textId="77777777" w:rsidR="00781D77" w:rsidRPr="0096589B" w:rsidRDefault="00781D77" w:rsidP="00BF74D4">
      <w:pPr>
        <w:spacing w:line="240" w:lineRule="auto"/>
        <w:rPr>
          <w:rFonts w:ascii="Times New Roman" w:hAnsi="Times New Roman" w:cs="Times New Roman"/>
          <w:b/>
          <w:sz w:val="24"/>
          <w:szCs w:val="24"/>
        </w:rPr>
      </w:pPr>
      <w:r w:rsidRPr="0096589B">
        <w:rPr>
          <w:rFonts w:ascii="Times New Roman" w:hAnsi="Times New Roman" w:cs="Times New Roman"/>
          <w:b/>
          <w:sz w:val="24"/>
          <w:szCs w:val="24"/>
        </w:rPr>
        <w:t>ABSTRACT</w:t>
      </w:r>
    </w:p>
    <w:p w14:paraId="4C4BC884" w14:textId="77777777" w:rsidR="005D4774" w:rsidRPr="0096589B" w:rsidRDefault="005D4774" w:rsidP="00BF74D4">
      <w:pPr>
        <w:spacing w:after="0" w:line="240" w:lineRule="auto"/>
        <w:jc w:val="both"/>
        <w:rPr>
          <w:rFonts w:ascii="Times New Roman" w:hAnsi="Times New Roman"/>
          <w:sz w:val="24"/>
        </w:rPr>
      </w:pPr>
      <w:r w:rsidRPr="0096589B">
        <w:rPr>
          <w:rFonts w:ascii="Times New Roman" w:hAnsi="Times New Roman"/>
          <w:sz w:val="24"/>
        </w:rPr>
        <w:t>This study assessed compliance with WHO maternity healthcare waste management guidelines among nurses and midwives at Nnamdi Azikiwe University Teaching Hospital, Nnewi. A descriptive cross-sectional design was used, and the study population comprised 70 nurses and midwives working in the maternity section of the hospital. A census sampling method was adopted because of the manageable population size. Data were collected using a self-structured questionnaire, which was subjected to reliability testing through the test–retest method and yielded a reliability index of 0.89. Descriptive statistics, including frequencies, percentages and mean scores, were used to answer the research questions, while the hypothesis was tested using the t-test at the 0.05 level of significance. The findings showed that the largest age group among respondents was 18–28 years, accounting for 55.7% of the sample. Most respondents were female (84%), while 16% were male. The majority of respondents (85.7%) demonstrated high knowledge of healthcare waste management, while 14.3% had low knowledge. Similarly, 78.6% of respondents reported high compliance with healthcare waste disposal practices, while 21.4% reported low compliance. Major factors affecting proper waste disposal included poor posting of healthcare waste disposal signs and the absence of a supervisory or monitoring nurses’ group for healthcare waste management. The study concludes that healthcare waste management practices among nurses and midwives in the maternity section were generally aligned with WHO guidelines. Regular training, adequate resources and improved supervision are recommended to sustain compliance.</w:t>
      </w:r>
    </w:p>
    <w:p w14:paraId="6FC9CBFD" w14:textId="5D2AC170" w:rsidR="00290113" w:rsidRPr="0096589B" w:rsidRDefault="00290113" w:rsidP="00BF74D4">
      <w:pPr>
        <w:spacing w:after="0" w:line="240" w:lineRule="auto"/>
        <w:jc w:val="both"/>
        <w:rPr>
          <w:rFonts w:ascii="Times New Roman" w:hAnsi="Times New Roman" w:cs="Times New Roman"/>
          <w:b/>
          <w:i/>
          <w:iCs/>
          <w:sz w:val="24"/>
          <w:szCs w:val="24"/>
        </w:rPr>
      </w:pPr>
      <w:r w:rsidRPr="0096589B">
        <w:rPr>
          <w:rFonts w:ascii="Times New Roman" w:hAnsi="Times New Roman" w:cs="Times New Roman"/>
          <w:b/>
          <w:sz w:val="24"/>
          <w:szCs w:val="24"/>
        </w:rPr>
        <w:t>Keywords:</w:t>
      </w:r>
      <w:r w:rsidR="005C2660" w:rsidRPr="0096589B">
        <w:rPr>
          <w:rFonts w:ascii="Times New Roman" w:hAnsi="Times New Roman" w:cs="Times New Roman"/>
          <w:sz w:val="24"/>
          <w:szCs w:val="24"/>
        </w:rPr>
        <w:t xml:space="preserve"> </w:t>
      </w:r>
      <w:r w:rsidR="005C2660" w:rsidRPr="0096589B">
        <w:rPr>
          <w:rFonts w:ascii="Times New Roman" w:hAnsi="Times New Roman" w:cs="Times New Roman"/>
          <w:i/>
          <w:iCs/>
          <w:sz w:val="24"/>
          <w:szCs w:val="24"/>
        </w:rPr>
        <w:t>Maternity</w:t>
      </w:r>
      <w:r w:rsidR="00587C0C" w:rsidRPr="0096589B">
        <w:rPr>
          <w:rFonts w:ascii="Times New Roman" w:hAnsi="Times New Roman" w:cs="Times New Roman"/>
          <w:i/>
          <w:iCs/>
          <w:sz w:val="24"/>
          <w:szCs w:val="24"/>
        </w:rPr>
        <w:t>,</w:t>
      </w:r>
      <w:r w:rsidR="005C2660" w:rsidRPr="0096589B">
        <w:rPr>
          <w:rFonts w:ascii="Times New Roman" w:hAnsi="Times New Roman" w:cs="Times New Roman"/>
          <w:i/>
          <w:iCs/>
          <w:sz w:val="24"/>
          <w:szCs w:val="24"/>
        </w:rPr>
        <w:t xml:space="preserve"> Healthcare Waste Management</w:t>
      </w:r>
      <w:r w:rsidR="00587C0C" w:rsidRPr="0096589B">
        <w:rPr>
          <w:rFonts w:ascii="Times New Roman" w:hAnsi="Times New Roman" w:cs="Times New Roman"/>
          <w:i/>
          <w:iCs/>
          <w:sz w:val="24"/>
          <w:szCs w:val="24"/>
        </w:rPr>
        <w:t>,</w:t>
      </w:r>
      <w:r w:rsidR="005C2660" w:rsidRPr="0096589B">
        <w:rPr>
          <w:rFonts w:ascii="Times New Roman" w:hAnsi="Times New Roman" w:cs="Times New Roman"/>
          <w:i/>
          <w:iCs/>
          <w:sz w:val="24"/>
          <w:szCs w:val="24"/>
        </w:rPr>
        <w:t xml:space="preserve"> Guidelines</w:t>
      </w:r>
      <w:r w:rsidR="00587C0C" w:rsidRPr="0096589B">
        <w:rPr>
          <w:rFonts w:ascii="Times New Roman" w:hAnsi="Times New Roman" w:cs="Times New Roman"/>
          <w:i/>
          <w:iCs/>
          <w:sz w:val="24"/>
          <w:szCs w:val="24"/>
        </w:rPr>
        <w:t>,</w:t>
      </w:r>
      <w:r w:rsidR="005C2660" w:rsidRPr="0096589B">
        <w:rPr>
          <w:rFonts w:ascii="Times New Roman" w:hAnsi="Times New Roman" w:cs="Times New Roman"/>
          <w:i/>
          <w:iCs/>
          <w:sz w:val="24"/>
          <w:szCs w:val="24"/>
        </w:rPr>
        <w:t xml:space="preserve"> </w:t>
      </w:r>
      <w:r w:rsidR="007E03DD" w:rsidRPr="0096589B">
        <w:rPr>
          <w:rFonts w:ascii="Times New Roman" w:hAnsi="Times New Roman" w:cs="Times New Roman"/>
          <w:i/>
          <w:iCs/>
          <w:sz w:val="24"/>
          <w:szCs w:val="24"/>
        </w:rPr>
        <w:t>waste segregation, Nurses</w:t>
      </w:r>
      <w:r w:rsidR="005C2660" w:rsidRPr="0096589B">
        <w:rPr>
          <w:rFonts w:ascii="Times New Roman" w:hAnsi="Times New Roman" w:cs="Times New Roman"/>
          <w:i/>
          <w:iCs/>
          <w:sz w:val="24"/>
          <w:szCs w:val="24"/>
        </w:rPr>
        <w:t xml:space="preserve"> and Midwives</w:t>
      </w:r>
    </w:p>
    <w:p w14:paraId="2BA38CB7" w14:textId="77777777" w:rsidR="00781D77" w:rsidRPr="0096589B" w:rsidRDefault="00781D77" w:rsidP="00BF74D4">
      <w:pPr>
        <w:spacing w:line="240" w:lineRule="auto"/>
        <w:jc w:val="both"/>
        <w:rPr>
          <w:rFonts w:ascii="Times New Roman" w:hAnsi="Times New Roman" w:cs="Times New Roman"/>
          <w:b/>
          <w:i/>
          <w:iCs/>
          <w:sz w:val="24"/>
          <w:szCs w:val="24"/>
        </w:rPr>
      </w:pPr>
    </w:p>
    <w:p w14:paraId="3C5A2039" w14:textId="77777777" w:rsidR="00457F29" w:rsidRPr="0096589B" w:rsidRDefault="00457F29" w:rsidP="00BF74D4">
      <w:pPr>
        <w:spacing w:line="240" w:lineRule="auto"/>
        <w:rPr>
          <w:rFonts w:ascii="Times New Roman" w:hAnsi="Times New Roman" w:cs="Times New Roman"/>
          <w:b/>
          <w:sz w:val="24"/>
          <w:szCs w:val="24"/>
        </w:rPr>
      </w:pPr>
      <w:r w:rsidRPr="0096589B">
        <w:rPr>
          <w:rFonts w:ascii="Times New Roman" w:hAnsi="Times New Roman" w:cs="Times New Roman"/>
          <w:b/>
          <w:sz w:val="24"/>
          <w:szCs w:val="24"/>
        </w:rPr>
        <w:t>INTRODUCTION</w:t>
      </w:r>
    </w:p>
    <w:p w14:paraId="15684A0C" w14:textId="77777777" w:rsidR="00A308C6" w:rsidRDefault="00A308C6" w:rsidP="00BF74D4">
      <w:pPr>
        <w:spacing w:line="240" w:lineRule="auto"/>
        <w:jc w:val="both"/>
        <w:rPr>
          <w:rFonts w:ascii="Times New Roman" w:hAnsi="Times New Roman"/>
          <w:sz w:val="24"/>
        </w:rPr>
      </w:pPr>
    </w:p>
    <w:p w14:paraId="5766D19E" w14:textId="48E4CC4A" w:rsidR="00A308C6" w:rsidRPr="0096589B" w:rsidRDefault="00A308C6" w:rsidP="00BF74D4">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 xml:space="preserve">Within the field of waste management, healthcare waste is accorded particular attention due to its potentially hazardous characteristics. Healthcare waste refers to all waste generated during healthcare-related activities in healthcare facilities, research institutions and laboratories. Approximately 75–80% of healthcare waste is classified as general, non-hazardous waste, whereas the remaining 10–25% is considered hazardous and is commonly </w:t>
      </w:r>
      <w:proofErr w:type="spellStart"/>
      <w:r w:rsidRPr="00A308C6">
        <w:rPr>
          <w:rFonts w:ascii="Times New Roman" w:hAnsi="Times New Roman" w:cs="Times New Roman"/>
          <w:sz w:val="24"/>
          <w:szCs w:val="24"/>
        </w:rPr>
        <w:t>categorised</w:t>
      </w:r>
      <w:proofErr w:type="spellEnd"/>
      <w:r w:rsidRPr="00A308C6">
        <w:rPr>
          <w:rFonts w:ascii="Times New Roman" w:hAnsi="Times New Roman" w:cs="Times New Roman"/>
          <w:sz w:val="24"/>
          <w:szCs w:val="24"/>
        </w:rPr>
        <w:t xml:space="preserve"> as biomedical waste. Biomedical waste encompasses any waste produced during the diagnosis, treatment or </w:t>
      </w:r>
      <w:proofErr w:type="spellStart"/>
      <w:r w:rsidRPr="00A308C6">
        <w:rPr>
          <w:rFonts w:ascii="Times New Roman" w:hAnsi="Times New Roman" w:cs="Times New Roman"/>
          <w:sz w:val="24"/>
          <w:szCs w:val="24"/>
        </w:rPr>
        <w:t>immunisation</w:t>
      </w:r>
      <w:proofErr w:type="spellEnd"/>
      <w:r w:rsidRPr="00A308C6">
        <w:rPr>
          <w:rFonts w:ascii="Times New Roman" w:hAnsi="Times New Roman" w:cs="Times New Roman"/>
          <w:sz w:val="24"/>
          <w:szCs w:val="24"/>
        </w:rPr>
        <w:t xml:space="preserve"> of humans or animals, as well as waste arising from related research </w:t>
      </w:r>
      <w:r w:rsidRPr="00A308C6">
        <w:rPr>
          <w:rFonts w:ascii="Times New Roman" w:hAnsi="Times New Roman" w:cs="Times New Roman"/>
          <w:sz w:val="24"/>
          <w:szCs w:val="24"/>
        </w:rPr>
        <w:lastRenderedPageBreak/>
        <w:t>activities, including the manufacture and testing of biological products. This category includes human anatomical waste, animal waste, microbiological and biotechnological waste, sharps, expired or discarded pharmaceuticals and cytotoxic drugs, solid and liquid waste, incineration residues, and chemical waste (World Health Organization, 2017). Consistent with these concerns, a recent facility-based assessment conducted in Benin identified deficiencies in biomedical waste collection, handling, segregation, transportation and disposal practices. The study highlighted the persistent need for enhanced staff training and the implementation of systematic, facility-level waste management procedures (</w:t>
      </w:r>
      <w:proofErr w:type="spellStart"/>
      <w:r w:rsidR="00CB38C9" w:rsidRPr="00CB38C9">
        <w:rPr>
          <w:rFonts w:ascii="Times New Roman" w:hAnsi="Times New Roman" w:cs="Times New Roman"/>
          <w:sz w:val="24"/>
          <w:szCs w:val="24"/>
        </w:rPr>
        <w:t>Soussia</w:t>
      </w:r>
      <w:proofErr w:type="spellEnd"/>
      <w:r w:rsidRPr="00A308C6">
        <w:rPr>
          <w:rFonts w:ascii="Times New Roman" w:hAnsi="Times New Roman" w:cs="Times New Roman"/>
          <w:sz w:val="24"/>
          <w:szCs w:val="24"/>
        </w:rPr>
        <w:t xml:space="preserve"> et al., 2025</w:t>
      </w:r>
      <w:r w:rsidR="00603223">
        <w:rPr>
          <w:rFonts w:ascii="Times New Roman" w:hAnsi="Times New Roman" w:cs="Times New Roman"/>
          <w:sz w:val="24"/>
          <w:szCs w:val="24"/>
        </w:rPr>
        <w:t xml:space="preserve">, </w:t>
      </w:r>
      <w:proofErr w:type="spellStart"/>
      <w:r w:rsidR="00CB38C9" w:rsidRPr="00CB38C9">
        <w:rPr>
          <w:rFonts w:ascii="Times New Roman" w:hAnsi="Times New Roman" w:cs="Times New Roman"/>
          <w:sz w:val="24"/>
          <w:szCs w:val="24"/>
        </w:rPr>
        <w:t>Aralu</w:t>
      </w:r>
      <w:proofErr w:type="spellEnd"/>
      <w:r w:rsidR="00CB38C9" w:rsidRPr="00CB38C9">
        <w:rPr>
          <w:rFonts w:ascii="Times New Roman" w:hAnsi="Times New Roman" w:cs="Times New Roman"/>
          <w:sz w:val="24"/>
          <w:szCs w:val="24"/>
        </w:rPr>
        <w:t xml:space="preserve"> </w:t>
      </w:r>
      <w:r w:rsidR="00603223">
        <w:rPr>
          <w:rFonts w:ascii="Times New Roman" w:hAnsi="Times New Roman" w:cs="Times New Roman"/>
          <w:sz w:val="24"/>
          <w:szCs w:val="24"/>
        </w:rPr>
        <w:t>et al., 2024</w:t>
      </w:r>
      <w:r w:rsidRPr="00A308C6">
        <w:rPr>
          <w:rFonts w:ascii="Times New Roman" w:hAnsi="Times New Roman" w:cs="Times New Roman"/>
          <w:sz w:val="24"/>
          <w:szCs w:val="24"/>
        </w:rPr>
        <w:t>).</w:t>
      </w:r>
    </w:p>
    <w:p w14:paraId="1F785C11" w14:textId="77777777" w:rsidR="00A308C6" w:rsidRDefault="00A308C6" w:rsidP="00BF74D4">
      <w:pPr>
        <w:spacing w:line="240" w:lineRule="auto"/>
        <w:jc w:val="both"/>
        <w:rPr>
          <w:rFonts w:ascii="Times New Roman" w:hAnsi="Times New Roman"/>
          <w:sz w:val="24"/>
        </w:rPr>
      </w:pPr>
    </w:p>
    <w:p w14:paraId="5C5EC65E" w14:textId="77777777"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 xml:space="preserve">According to </w:t>
      </w:r>
      <w:proofErr w:type="spellStart"/>
      <w:r w:rsidRPr="00A308C6">
        <w:rPr>
          <w:rFonts w:ascii="Times New Roman" w:hAnsi="Times New Roman" w:cs="Times New Roman"/>
          <w:sz w:val="24"/>
          <w:szCs w:val="24"/>
        </w:rPr>
        <w:t>Guzder</w:t>
      </w:r>
      <w:proofErr w:type="spellEnd"/>
      <w:r w:rsidRPr="00A308C6">
        <w:rPr>
          <w:rFonts w:ascii="Times New Roman" w:hAnsi="Times New Roman" w:cs="Times New Roman"/>
          <w:sz w:val="24"/>
          <w:szCs w:val="24"/>
        </w:rPr>
        <w:t xml:space="preserve"> (2020), healthcare waste encompasses all waste generated by hospitals, clinics, nursing homes, veterinary facilities, research institutions and laboratories during diagnostic, </w:t>
      </w:r>
      <w:proofErr w:type="spellStart"/>
      <w:r w:rsidRPr="00A308C6">
        <w:rPr>
          <w:rFonts w:ascii="Times New Roman" w:hAnsi="Times New Roman" w:cs="Times New Roman"/>
          <w:sz w:val="24"/>
          <w:szCs w:val="24"/>
        </w:rPr>
        <w:t>immunisation</w:t>
      </w:r>
      <w:proofErr w:type="spellEnd"/>
      <w:r w:rsidRPr="00A308C6">
        <w:rPr>
          <w:rFonts w:ascii="Times New Roman" w:hAnsi="Times New Roman" w:cs="Times New Roman"/>
          <w:sz w:val="24"/>
          <w:szCs w:val="24"/>
        </w:rPr>
        <w:t xml:space="preserve"> and treatment activities. Healthcare waste (HCW) is regarded as a distinct category of waste due to the presence of potentially hazardous materials that may pose risks to human health and the environment. Consequently, the effective management of healthcare waste has emerged as a significant public health and environmental challenge, particularly in developing countries.</w:t>
      </w:r>
    </w:p>
    <w:p w14:paraId="3AECE721" w14:textId="77777777" w:rsidR="00A308C6" w:rsidRPr="00A308C6" w:rsidRDefault="00A308C6" w:rsidP="00A308C6">
      <w:pPr>
        <w:spacing w:line="240" w:lineRule="auto"/>
        <w:jc w:val="both"/>
        <w:rPr>
          <w:rFonts w:ascii="Times New Roman" w:hAnsi="Times New Roman" w:cs="Times New Roman"/>
          <w:sz w:val="24"/>
          <w:szCs w:val="24"/>
        </w:rPr>
      </w:pPr>
    </w:p>
    <w:p w14:paraId="758DE14A" w14:textId="2D6BB4CE" w:rsidR="00A308C6" w:rsidRPr="0096589B"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A cross-sectional descriptive study conducted between April and May 2020 at a tertiary healthcare facility in Nigeria examined the public health risks associated with healthcare waste arising from its infectious and potentially contagious nature. Given that most healthcare facilities are concentrated in urban areas, inadequate management of healthcare waste can contribute to the spread of hazardous infections and create substantial risks for healthcare personnel, patients, surrounding communities and the environment. These concerns underscore the importance of implementing appropriate healthcare waste management practices to safeguard public health and environmental quality (World Health Organization, 2017).</w:t>
      </w:r>
    </w:p>
    <w:p w14:paraId="5C485223" w14:textId="77777777" w:rsidR="00A308C6" w:rsidRDefault="00A308C6" w:rsidP="00BF74D4">
      <w:pPr>
        <w:spacing w:line="240" w:lineRule="auto"/>
        <w:jc w:val="both"/>
        <w:rPr>
          <w:rFonts w:ascii="Times New Roman" w:hAnsi="Times New Roman"/>
          <w:sz w:val="24"/>
        </w:rPr>
      </w:pPr>
    </w:p>
    <w:p w14:paraId="34C49C6E" w14:textId="77777777"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 xml:space="preserve">Inadequate segregation of healthcare waste can lead to increased disposal costs and pose significant risks to both public health and the environment. Conversely, effective segregation practices facilitate the generation of a clean solid-waste stream that can be managed safely, efficiently and economically through methods such as recycling, composting and sanitary landfilling. Appropriate segregation also contributes substantially to reducing the overall volume of waste requiring </w:t>
      </w:r>
      <w:proofErr w:type="spellStart"/>
      <w:r w:rsidRPr="00A308C6">
        <w:rPr>
          <w:rFonts w:ascii="Times New Roman" w:hAnsi="Times New Roman" w:cs="Times New Roman"/>
          <w:sz w:val="24"/>
          <w:szCs w:val="24"/>
        </w:rPr>
        <w:t>specialised</w:t>
      </w:r>
      <w:proofErr w:type="spellEnd"/>
      <w:r w:rsidRPr="00A308C6">
        <w:rPr>
          <w:rFonts w:ascii="Times New Roman" w:hAnsi="Times New Roman" w:cs="Times New Roman"/>
          <w:sz w:val="24"/>
          <w:szCs w:val="24"/>
        </w:rPr>
        <w:t xml:space="preserve"> treatment and disposal. Consequently, identifying and understanding the factors that influence healthcare waste segregation </w:t>
      </w:r>
      <w:proofErr w:type="spellStart"/>
      <w:r w:rsidRPr="00A308C6">
        <w:rPr>
          <w:rFonts w:ascii="Times New Roman" w:hAnsi="Times New Roman" w:cs="Times New Roman"/>
          <w:sz w:val="24"/>
          <w:szCs w:val="24"/>
        </w:rPr>
        <w:t>behaviour</w:t>
      </w:r>
      <w:proofErr w:type="spellEnd"/>
      <w:r w:rsidRPr="00A308C6">
        <w:rPr>
          <w:rFonts w:ascii="Times New Roman" w:hAnsi="Times New Roman" w:cs="Times New Roman"/>
          <w:sz w:val="24"/>
          <w:szCs w:val="24"/>
        </w:rPr>
        <w:t xml:space="preserve"> is essential for the development of targeted interventions aimed at strengthening healthcare waste management systems.</w:t>
      </w:r>
    </w:p>
    <w:p w14:paraId="75B1F73B" w14:textId="77777777" w:rsidR="00A308C6" w:rsidRPr="00A308C6" w:rsidRDefault="00A308C6" w:rsidP="00A308C6">
      <w:pPr>
        <w:spacing w:line="240" w:lineRule="auto"/>
        <w:jc w:val="both"/>
        <w:rPr>
          <w:rFonts w:ascii="Times New Roman" w:hAnsi="Times New Roman" w:cs="Times New Roman"/>
          <w:sz w:val="24"/>
          <w:szCs w:val="24"/>
        </w:rPr>
      </w:pPr>
    </w:p>
    <w:p w14:paraId="7570829E" w14:textId="47669961" w:rsidR="00A308C6" w:rsidRPr="0096589B"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 xml:space="preserve">Against this background, the present study sought to assess the level of compliance among midwives and nurses with the World Health Organization guidelines for healthcare waste management in the maternity units of Nnamdi Azikiwe University Teaching Hospital (NAUTH), Nnewi, Anambra State (World Health Organization, 2017). The relevance of this assessment is further supported by a recent systematic review and meta-analysis conducted in Sub-Saharan </w:t>
      </w:r>
      <w:r w:rsidRPr="00A308C6">
        <w:rPr>
          <w:rFonts w:ascii="Times New Roman" w:hAnsi="Times New Roman" w:cs="Times New Roman"/>
          <w:sz w:val="24"/>
          <w:szCs w:val="24"/>
        </w:rPr>
        <w:lastRenderedPageBreak/>
        <w:t>Africa, which found that healthcare waste management practices among healthcare workers were significantly associated with factors such as training, knowledge, and access to relevant manuals and guidelines. These findings underscore the importance of guideline-based evaluations in efforts to improve healthcare waste management practices within healthcare settings (Berihun et al., 2025).</w:t>
      </w:r>
    </w:p>
    <w:p w14:paraId="067EDEF7" w14:textId="77777777" w:rsidR="00A308C6" w:rsidRDefault="00A308C6" w:rsidP="00BF74D4">
      <w:pPr>
        <w:spacing w:line="240" w:lineRule="auto"/>
        <w:jc w:val="both"/>
        <w:rPr>
          <w:rFonts w:ascii="Times New Roman" w:hAnsi="Times New Roman"/>
          <w:sz w:val="24"/>
        </w:rPr>
      </w:pPr>
    </w:p>
    <w:p w14:paraId="05B5C6B4" w14:textId="1ABDCA2A"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As a developing nation, Nigeria faces numerous competing healthcare challenges that place considerable pressure on limited resources. Consequently, healthcare waste management may not always receive the level of attention and priority required for its effective implementation (Amin, Gul, &amp; Mehrab, 201</w:t>
      </w:r>
      <w:r w:rsidR="00CB38C9">
        <w:rPr>
          <w:rFonts w:ascii="Times New Roman" w:hAnsi="Times New Roman" w:cs="Times New Roman"/>
          <w:sz w:val="24"/>
          <w:szCs w:val="24"/>
        </w:rPr>
        <w:t>3</w:t>
      </w:r>
      <w:r w:rsidRPr="00A308C6">
        <w:rPr>
          <w:rFonts w:ascii="Times New Roman" w:hAnsi="Times New Roman" w:cs="Times New Roman"/>
          <w:sz w:val="24"/>
          <w:szCs w:val="24"/>
        </w:rPr>
        <w:t>). This situation presents a significant challenge in many developing countries, where institutional capacity and infrastructural provisions for healthcare waste management are often inadequate. In some instances, clinical waste is disposed of in open dumpsites alongside municipal solid waste, thereby increasing the likelihood of public exposure to potentially infectious materials. Such practices may contribute to the transmission and outbreak of infectious diseases within surrounding communities (</w:t>
      </w:r>
      <w:proofErr w:type="spellStart"/>
      <w:r w:rsidRPr="00A308C6">
        <w:rPr>
          <w:rFonts w:ascii="Times New Roman" w:hAnsi="Times New Roman" w:cs="Times New Roman"/>
          <w:sz w:val="24"/>
          <w:szCs w:val="24"/>
        </w:rPr>
        <w:t>Ferronato</w:t>
      </w:r>
      <w:proofErr w:type="spellEnd"/>
      <w:r w:rsidRPr="00A308C6">
        <w:rPr>
          <w:rFonts w:ascii="Times New Roman" w:hAnsi="Times New Roman" w:cs="Times New Roman"/>
          <w:sz w:val="24"/>
          <w:szCs w:val="24"/>
        </w:rPr>
        <w:t xml:space="preserve"> &amp; Torretta, 2019). Although healthcare waste represents only a relatively small fraction of total municipal waste, its safe and effective management remains a critical public health and environmental concern globally.</w:t>
      </w:r>
    </w:p>
    <w:p w14:paraId="2994AD86" w14:textId="77777777" w:rsidR="00A308C6" w:rsidRPr="00A308C6" w:rsidRDefault="00A308C6" w:rsidP="00A308C6">
      <w:pPr>
        <w:spacing w:line="240" w:lineRule="auto"/>
        <w:jc w:val="both"/>
        <w:rPr>
          <w:rFonts w:ascii="Times New Roman" w:hAnsi="Times New Roman" w:cs="Times New Roman"/>
          <w:sz w:val="24"/>
          <w:szCs w:val="24"/>
        </w:rPr>
      </w:pPr>
    </w:p>
    <w:p w14:paraId="47D1C81E" w14:textId="77777777"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According to the World Health Organization (2017), approximately 15% of the waste generated by healthcare facilities is classified as hazardous. To prevent contamination of the entire healthcare waste stream, this hazardous fraction must be appropriately segregated at the point of generation. The World Health Organization further estimates that unsafe disposal of injection-related waste contributes annually to approximately 8–16 million new cases of hepatitis B virus infection, 2.3–4.7 million cases of hepatitis C virus (HCV) infection, and between 80,000 and 160,000 cases of human immunodeficiency virus (HIV) infection, largely due to deficiencies in healthcare waste management systems (World Health Organization, 2017).</w:t>
      </w:r>
    </w:p>
    <w:p w14:paraId="55F709F4" w14:textId="77777777" w:rsidR="00A308C6" w:rsidRPr="00A308C6" w:rsidRDefault="00A308C6" w:rsidP="00A308C6">
      <w:pPr>
        <w:spacing w:line="240" w:lineRule="auto"/>
        <w:jc w:val="both"/>
        <w:rPr>
          <w:rFonts w:ascii="Times New Roman" w:hAnsi="Times New Roman" w:cs="Times New Roman"/>
          <w:sz w:val="24"/>
          <w:szCs w:val="24"/>
        </w:rPr>
      </w:pPr>
    </w:p>
    <w:p w14:paraId="57BAE2D0" w14:textId="0145B46E" w:rsidR="00A308C6" w:rsidRPr="0096589B"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Furthermore, variations in healthcare workers’ knowledge, attitudes and practices across different settings highlight the need for effective operational systems that facilitate the translation of awareness and knowledge into consistent and safe waste-handling practices. Strengthening such systems is essential for promoting sustainable improvements in healthcare waste management and reducing associated health and environmental risks (Asomugha et al., 2023).</w:t>
      </w:r>
    </w:p>
    <w:p w14:paraId="51F57BAF" w14:textId="77777777" w:rsidR="00A308C6" w:rsidRDefault="00A308C6" w:rsidP="00BF74D4">
      <w:pPr>
        <w:spacing w:line="240" w:lineRule="auto"/>
        <w:jc w:val="both"/>
        <w:rPr>
          <w:rFonts w:ascii="Times New Roman" w:hAnsi="Times New Roman"/>
          <w:sz w:val="24"/>
        </w:rPr>
      </w:pPr>
    </w:p>
    <w:p w14:paraId="5A42F74E" w14:textId="77777777"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 xml:space="preserve">Healthcare waste is widely </w:t>
      </w:r>
      <w:proofErr w:type="spellStart"/>
      <w:r w:rsidRPr="00A308C6">
        <w:rPr>
          <w:rFonts w:ascii="Times New Roman" w:hAnsi="Times New Roman" w:cs="Times New Roman"/>
          <w:sz w:val="24"/>
          <w:szCs w:val="24"/>
        </w:rPr>
        <w:t>recognised</w:t>
      </w:r>
      <w:proofErr w:type="spellEnd"/>
      <w:r w:rsidRPr="00A308C6">
        <w:rPr>
          <w:rFonts w:ascii="Times New Roman" w:hAnsi="Times New Roman" w:cs="Times New Roman"/>
          <w:sz w:val="24"/>
          <w:szCs w:val="24"/>
        </w:rPr>
        <w:t xml:space="preserve"> as one of the most hazardous categories of waste globally, surpassed only by radioactive waste in terms of potential risk. Consequently, the effective management of healthcare waste is of paramount importance due to its potential adverse effects on human health and the environment when improperly handled. Healthcare workers play a central role in the implementation of healthcare waste management practices. Among these professionals, midwives occupy a particularly important position, as they are directly involved in the provision of antenatal, intrapartum and postnatal care and are therefore responsible for </w:t>
      </w:r>
      <w:r w:rsidRPr="00A308C6">
        <w:rPr>
          <w:rFonts w:ascii="Times New Roman" w:hAnsi="Times New Roman" w:cs="Times New Roman"/>
          <w:sz w:val="24"/>
          <w:szCs w:val="24"/>
        </w:rPr>
        <w:lastRenderedPageBreak/>
        <w:t>ensuring the safe management of waste generated during maternity services (World Health Organization, 2017). Evidence from recent studies indicates that structured educational interventions can significantly enhance healthcare workers’ knowledge and self-reported practices relating to biomedical waste management, highlighting the importance of identifying and addressing the training and support requirements of nurses and midwives (Hamed et al., 2025).</w:t>
      </w:r>
    </w:p>
    <w:p w14:paraId="5616531C" w14:textId="77777777" w:rsidR="00A308C6" w:rsidRPr="00A308C6" w:rsidRDefault="00A308C6" w:rsidP="00A308C6">
      <w:pPr>
        <w:spacing w:line="240" w:lineRule="auto"/>
        <w:jc w:val="both"/>
        <w:rPr>
          <w:rFonts w:ascii="Times New Roman" w:hAnsi="Times New Roman" w:cs="Times New Roman"/>
          <w:sz w:val="24"/>
          <w:szCs w:val="24"/>
        </w:rPr>
      </w:pPr>
    </w:p>
    <w:p w14:paraId="317F48F7" w14:textId="77777777"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The present study employed a survey of midwives and nurses to evaluate their knowledge of, and adherence to, healthcare waste management guidelines. Accurate information regarding the types and quantities of clinical waste generated within healthcare facilities is essential for effective planning, resource allocation and budgeting for the management of hazardous waste streams (World Health Organization, 2017). Inadequate planning for healthcare waste management may result in deficiencies across key stages of the waste management process, including segregation at the point of generation, collection, storage and final disposal.</w:t>
      </w:r>
    </w:p>
    <w:p w14:paraId="7B1F05DE" w14:textId="77777777" w:rsidR="00A308C6" w:rsidRPr="00A308C6" w:rsidRDefault="00A308C6" w:rsidP="00A308C6">
      <w:pPr>
        <w:spacing w:line="240" w:lineRule="auto"/>
        <w:jc w:val="both"/>
        <w:rPr>
          <w:rFonts w:ascii="Times New Roman" w:hAnsi="Times New Roman" w:cs="Times New Roman"/>
          <w:sz w:val="24"/>
          <w:szCs w:val="24"/>
        </w:rPr>
      </w:pPr>
    </w:p>
    <w:p w14:paraId="70310331" w14:textId="77777777"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 xml:space="preserve">Substandard healthcare waste management practices pose considerable risks to healthcare personnel, patients and the wider environment. Several operational deficiencies have been identified as contributing factors, including the absence of </w:t>
      </w:r>
      <w:proofErr w:type="spellStart"/>
      <w:r w:rsidRPr="00A308C6">
        <w:rPr>
          <w:rFonts w:ascii="Times New Roman" w:hAnsi="Times New Roman" w:cs="Times New Roman"/>
          <w:sz w:val="24"/>
          <w:szCs w:val="24"/>
        </w:rPr>
        <w:t>colour</w:t>
      </w:r>
      <w:proofErr w:type="spellEnd"/>
      <w:r w:rsidRPr="00A308C6">
        <w:rPr>
          <w:rFonts w:ascii="Times New Roman" w:hAnsi="Times New Roman" w:cs="Times New Roman"/>
          <w:sz w:val="24"/>
          <w:szCs w:val="24"/>
        </w:rPr>
        <w:t>-coded containers or bags for waste segregation at the point of generation and the lack of clear guidelines and protocols to support healthcare workers in appropriate segregation and disposal procedures. Such shortcomings can undermine the effectiveness of healthcare waste management systems within healthcare facilities.</w:t>
      </w:r>
    </w:p>
    <w:p w14:paraId="23545E39" w14:textId="77777777" w:rsidR="00A308C6" w:rsidRPr="00A308C6" w:rsidRDefault="00A308C6" w:rsidP="00A308C6">
      <w:pPr>
        <w:spacing w:line="240" w:lineRule="auto"/>
        <w:jc w:val="both"/>
        <w:rPr>
          <w:rFonts w:ascii="Times New Roman" w:hAnsi="Times New Roman" w:cs="Times New Roman"/>
          <w:sz w:val="24"/>
          <w:szCs w:val="24"/>
        </w:rPr>
      </w:pPr>
    </w:p>
    <w:p w14:paraId="001BCFEA" w14:textId="76AF6813" w:rsidR="00A308C6" w:rsidRPr="0096589B"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 xml:space="preserve">Furthermore, the improper management of healthcare waste extends its adverse effects beyond healthcare settings, exposing visitors and surrounding communities to potential health risks through the contamination of soil, air and water resources. As institutions dedicated to promoting and safeguarding public health, healthcare facilities have a responsibility to ensure that their waste management practices </w:t>
      </w:r>
      <w:proofErr w:type="spellStart"/>
      <w:r w:rsidRPr="00A308C6">
        <w:rPr>
          <w:rFonts w:ascii="Times New Roman" w:hAnsi="Times New Roman" w:cs="Times New Roman"/>
          <w:sz w:val="24"/>
          <w:szCs w:val="24"/>
        </w:rPr>
        <w:t>minimise</w:t>
      </w:r>
      <w:proofErr w:type="spellEnd"/>
      <w:r w:rsidRPr="00A308C6">
        <w:rPr>
          <w:rFonts w:ascii="Times New Roman" w:hAnsi="Times New Roman" w:cs="Times New Roman"/>
          <w:sz w:val="24"/>
          <w:szCs w:val="24"/>
        </w:rPr>
        <w:t xml:space="preserve"> environmental contamination and prevent the creation of additional health hazards for the populations they serve.</w:t>
      </w:r>
    </w:p>
    <w:p w14:paraId="1954C61D" w14:textId="77777777" w:rsidR="00A308C6" w:rsidRDefault="00A308C6" w:rsidP="00BF74D4">
      <w:pPr>
        <w:spacing w:line="240" w:lineRule="auto"/>
        <w:jc w:val="both"/>
        <w:rPr>
          <w:rFonts w:ascii="Times New Roman" w:hAnsi="Times New Roman"/>
          <w:sz w:val="24"/>
        </w:rPr>
      </w:pPr>
    </w:p>
    <w:p w14:paraId="2AFF1025" w14:textId="77777777"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 xml:space="preserve">The increasing </w:t>
      </w:r>
      <w:proofErr w:type="spellStart"/>
      <w:r w:rsidRPr="00A308C6">
        <w:rPr>
          <w:rFonts w:ascii="Times New Roman" w:hAnsi="Times New Roman" w:cs="Times New Roman"/>
          <w:sz w:val="24"/>
          <w:szCs w:val="24"/>
        </w:rPr>
        <w:t>utilisation</w:t>
      </w:r>
      <w:proofErr w:type="spellEnd"/>
      <w:r w:rsidRPr="00A308C6">
        <w:rPr>
          <w:rFonts w:ascii="Times New Roman" w:hAnsi="Times New Roman" w:cs="Times New Roman"/>
          <w:sz w:val="24"/>
          <w:szCs w:val="24"/>
        </w:rPr>
        <w:t xml:space="preserve"> of healthcare services has contributed to a corresponding rise in the volume of healthcare waste generated. </w:t>
      </w:r>
      <w:proofErr w:type="spellStart"/>
      <w:r w:rsidRPr="00A308C6">
        <w:rPr>
          <w:rFonts w:ascii="Times New Roman" w:hAnsi="Times New Roman" w:cs="Times New Roman"/>
          <w:sz w:val="24"/>
          <w:szCs w:val="24"/>
        </w:rPr>
        <w:t>Minoglou</w:t>
      </w:r>
      <w:proofErr w:type="spellEnd"/>
      <w:r w:rsidRPr="00A308C6">
        <w:rPr>
          <w:rFonts w:ascii="Times New Roman" w:hAnsi="Times New Roman" w:cs="Times New Roman"/>
          <w:sz w:val="24"/>
          <w:szCs w:val="24"/>
        </w:rPr>
        <w:t xml:space="preserve"> et al. (2017) observed that healthcare waste generation is closely linked to both access to healthcare services and the level of healthcare activity. This trend highlights the growing need for effective healthcare waste management practices at Nnamdi Azikiwe University Teaching Hospital (NAUTH), particularly within the maternity unit, where substantial quantities of sharps, blood-contaminated materials and other bodily fluid waste are routinely produced. As the economic challenges facing the country continue to intensify, healthcare waste management has become an increasingly significant concern, presenting complex operational and resource-related challenges.</w:t>
      </w:r>
    </w:p>
    <w:p w14:paraId="161B2446" w14:textId="77777777" w:rsidR="00A308C6" w:rsidRPr="00A308C6" w:rsidRDefault="00A308C6" w:rsidP="00A308C6">
      <w:pPr>
        <w:spacing w:line="240" w:lineRule="auto"/>
        <w:jc w:val="both"/>
        <w:rPr>
          <w:rFonts w:ascii="Times New Roman" w:hAnsi="Times New Roman" w:cs="Times New Roman"/>
          <w:sz w:val="24"/>
          <w:szCs w:val="24"/>
        </w:rPr>
      </w:pPr>
    </w:p>
    <w:p w14:paraId="2A4B5A30" w14:textId="77777777"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lastRenderedPageBreak/>
        <w:t>Although numerous studies have examined healthcare waste management practices, limited attention has been directed towards maternity units, despite their unique waste-generation profile and the heightened risks associated with blood, body fluids and sharps. Consequently, there remains a need for focused investigations in this critical area of healthcare waste management. Particular emphasis should also be placed on the consistent use of personal protective equipment by healthcare workers involved in waste handling, as well as on enhancing awareness of the occupational and environmental risks associated with improper waste management practices (</w:t>
      </w:r>
      <w:proofErr w:type="spellStart"/>
      <w:r w:rsidRPr="00A308C6">
        <w:rPr>
          <w:rFonts w:ascii="Times New Roman" w:hAnsi="Times New Roman" w:cs="Times New Roman"/>
          <w:sz w:val="24"/>
          <w:szCs w:val="24"/>
        </w:rPr>
        <w:t>Guzder</w:t>
      </w:r>
      <w:proofErr w:type="spellEnd"/>
      <w:r w:rsidRPr="00A308C6">
        <w:rPr>
          <w:rFonts w:ascii="Times New Roman" w:hAnsi="Times New Roman" w:cs="Times New Roman"/>
          <w:sz w:val="24"/>
          <w:szCs w:val="24"/>
        </w:rPr>
        <w:t>, 2020; World Health Organization, 2017).</w:t>
      </w:r>
    </w:p>
    <w:p w14:paraId="27CFA53A" w14:textId="77777777" w:rsidR="00A308C6" w:rsidRPr="00A308C6" w:rsidRDefault="00A308C6" w:rsidP="00A308C6">
      <w:pPr>
        <w:spacing w:line="240" w:lineRule="auto"/>
        <w:jc w:val="both"/>
        <w:rPr>
          <w:rFonts w:ascii="Times New Roman" w:hAnsi="Times New Roman" w:cs="Times New Roman"/>
          <w:sz w:val="24"/>
          <w:szCs w:val="24"/>
        </w:rPr>
      </w:pPr>
    </w:p>
    <w:p w14:paraId="640267FA" w14:textId="77777777"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 xml:space="preserve">Effective healthcare waste management relies on adequate </w:t>
      </w:r>
      <w:proofErr w:type="spellStart"/>
      <w:r w:rsidRPr="00A308C6">
        <w:rPr>
          <w:rFonts w:ascii="Times New Roman" w:hAnsi="Times New Roman" w:cs="Times New Roman"/>
          <w:sz w:val="24"/>
          <w:szCs w:val="24"/>
        </w:rPr>
        <w:t>organisational</w:t>
      </w:r>
      <w:proofErr w:type="spellEnd"/>
      <w:r w:rsidRPr="00A308C6">
        <w:rPr>
          <w:rFonts w:ascii="Times New Roman" w:hAnsi="Times New Roman" w:cs="Times New Roman"/>
          <w:sz w:val="24"/>
          <w:szCs w:val="24"/>
        </w:rPr>
        <w:t xml:space="preserve"> structures, sustainable financial investment and the active involvement of appropriately trained personnel. However, observations suggest that healthcare facilities often allocate insufficient resources to the management of clinical waste. To promote sustainable waste management practices, healthcare institutions should invest in essential materials such as </w:t>
      </w:r>
      <w:proofErr w:type="spellStart"/>
      <w:r w:rsidRPr="00A308C6">
        <w:rPr>
          <w:rFonts w:ascii="Times New Roman" w:hAnsi="Times New Roman" w:cs="Times New Roman"/>
          <w:sz w:val="24"/>
          <w:szCs w:val="24"/>
        </w:rPr>
        <w:t>colour</w:t>
      </w:r>
      <w:proofErr w:type="spellEnd"/>
      <w:r w:rsidRPr="00A308C6">
        <w:rPr>
          <w:rFonts w:ascii="Times New Roman" w:hAnsi="Times New Roman" w:cs="Times New Roman"/>
          <w:sz w:val="24"/>
          <w:szCs w:val="24"/>
        </w:rPr>
        <w:t>-coded waste bags and provide regular training for healthcare waste generators to ensure appropriate segregation, handling and disposal procedures. Against this backdrop, the present study was undertaken to evaluate healthcare waste management practices within a healthcare facility in Anambra State (World Health Organization, 2017). The findings are expected to identify areas in which midwives and nurses may require additional training or institutional support to enhance compliance with World Health Organization guidelines on healthcare waste management. Furthermore, the study seeks to increase awareness among healthcare professionals regarding the critical role of proper waste management in safeguarding public health and protecting the environment.</w:t>
      </w:r>
    </w:p>
    <w:p w14:paraId="4B5BCDB7" w14:textId="77777777" w:rsidR="00A308C6" w:rsidRPr="00A308C6" w:rsidRDefault="00A308C6" w:rsidP="00A308C6">
      <w:pPr>
        <w:spacing w:line="240" w:lineRule="auto"/>
        <w:jc w:val="both"/>
        <w:rPr>
          <w:rFonts w:ascii="Times New Roman" w:hAnsi="Times New Roman" w:cs="Times New Roman"/>
          <w:sz w:val="24"/>
          <w:szCs w:val="24"/>
        </w:rPr>
      </w:pPr>
    </w:p>
    <w:p w14:paraId="1BEFD4E7" w14:textId="77777777"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The indiscriminate disposal of untreated hospital waste alongside municipal waste streams increases the likelihood that pathogenic microorganisms will survive, proliferate and potentially undergo mutation within the waste environment. Such conditions may facilitate disease outbreaks and contribute to a higher burden of communicable diseases within affected communities. Inappropriate segregation and disposal of healthcare waste have been associated with the transmission of infectious diseases, including hepatitis B, hepatitis C, measles, acquired immunodeficiency syndrome (AIDS), tuberculosis, chickenpox and cholera. Despite these risks, the materials and infrastructure required for effective healthcare waste segregation and disposal are not always adequately provided by responsible authorities. These deficiencies constitute a substantial threat to healthcare workers, patients, the environment and the wider community.</w:t>
      </w:r>
    </w:p>
    <w:p w14:paraId="5AC75937" w14:textId="77777777" w:rsidR="00A308C6" w:rsidRPr="00A308C6" w:rsidRDefault="00A308C6" w:rsidP="00A308C6">
      <w:pPr>
        <w:spacing w:line="240" w:lineRule="auto"/>
        <w:jc w:val="both"/>
        <w:rPr>
          <w:rFonts w:ascii="Times New Roman" w:hAnsi="Times New Roman" w:cs="Times New Roman"/>
          <w:sz w:val="24"/>
          <w:szCs w:val="24"/>
        </w:rPr>
      </w:pPr>
    </w:p>
    <w:p w14:paraId="1C4E259E" w14:textId="2CB66EC5" w:rsidR="00A308C6" w:rsidRPr="0096589B"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Moreover, evidence has linked cases of healthcare-associated infections among healthcare workers to exposure resulting from improperly managed healthcare waste. Such incidents have, in some cases, contributed to severe health outcomes and premature mortality among affected personnel (</w:t>
      </w:r>
      <w:proofErr w:type="spellStart"/>
      <w:r w:rsidRPr="00A308C6">
        <w:rPr>
          <w:rFonts w:ascii="Times New Roman" w:hAnsi="Times New Roman" w:cs="Times New Roman"/>
          <w:sz w:val="24"/>
          <w:szCs w:val="24"/>
        </w:rPr>
        <w:t>Awodele</w:t>
      </w:r>
      <w:proofErr w:type="spellEnd"/>
      <w:r w:rsidRPr="00A308C6">
        <w:rPr>
          <w:rFonts w:ascii="Times New Roman" w:hAnsi="Times New Roman" w:cs="Times New Roman"/>
          <w:sz w:val="24"/>
          <w:szCs w:val="24"/>
        </w:rPr>
        <w:t xml:space="preserve"> et al., 2016). These concerns underscore the urgent need for strengthened healthcare waste management systems, improved resource allocation and sustained capacity-building initiatives to </w:t>
      </w:r>
      <w:proofErr w:type="spellStart"/>
      <w:r w:rsidRPr="00A308C6">
        <w:rPr>
          <w:rFonts w:ascii="Times New Roman" w:hAnsi="Times New Roman" w:cs="Times New Roman"/>
          <w:sz w:val="24"/>
          <w:szCs w:val="24"/>
        </w:rPr>
        <w:t>minimise</w:t>
      </w:r>
      <w:proofErr w:type="spellEnd"/>
      <w:r w:rsidRPr="00A308C6">
        <w:rPr>
          <w:rFonts w:ascii="Times New Roman" w:hAnsi="Times New Roman" w:cs="Times New Roman"/>
          <w:sz w:val="24"/>
          <w:szCs w:val="24"/>
        </w:rPr>
        <w:t xml:space="preserve"> occupational and public health risks associated with healthcare waste.</w:t>
      </w:r>
    </w:p>
    <w:p w14:paraId="6621D6C0"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sz w:val="24"/>
        </w:rPr>
        <w:lastRenderedPageBreak/>
        <w:t xml:space="preserve">Healthcare waste management has become an important public health concern worldwide due to the increasing volume of waste generated by healthcare facilities. Hospitals, clinics and maternity </w:t>
      </w:r>
      <w:proofErr w:type="spellStart"/>
      <w:r w:rsidRPr="0096589B">
        <w:rPr>
          <w:rFonts w:ascii="Times New Roman" w:hAnsi="Times New Roman"/>
          <w:sz w:val="24"/>
        </w:rPr>
        <w:t>centres</w:t>
      </w:r>
      <w:proofErr w:type="spellEnd"/>
      <w:r w:rsidRPr="0096589B">
        <w:rPr>
          <w:rFonts w:ascii="Times New Roman" w:hAnsi="Times New Roman"/>
          <w:sz w:val="24"/>
        </w:rPr>
        <w:t xml:space="preserve"> produce large quantities of waste daily, some of which are hazardous and capable of causing serious health problems if not properly managed. Globally, healthcare waste poses significant risks to healthcare workers, patients, waste handlers and the general public. Improper disposal of healthcare waste can result in environmental contamination and increased transmission of infectious diseases. In many healthcare settings, waste generated from maternity units includes highly infectious materials, such as placenta, blood-soaked gauze, sharps and other medical supplies used during delivery procedures. According to the World Health Organization (2017), proper healthcare waste management is a critical component of infection prevention and control within healthcare systems. The </w:t>
      </w:r>
      <w:proofErr w:type="spellStart"/>
      <w:r w:rsidRPr="0096589B">
        <w:rPr>
          <w:rFonts w:ascii="Times New Roman" w:hAnsi="Times New Roman"/>
          <w:sz w:val="24"/>
        </w:rPr>
        <w:t>organisation</w:t>
      </w:r>
      <w:proofErr w:type="spellEnd"/>
      <w:r w:rsidRPr="0096589B">
        <w:rPr>
          <w:rFonts w:ascii="Times New Roman" w:hAnsi="Times New Roman"/>
          <w:sz w:val="24"/>
        </w:rPr>
        <w:t xml:space="preserve"> has developed guidelines to ensure the safe handling, segregation, transportation, treatment and disposal of healthcare waste.</w:t>
      </w:r>
    </w:p>
    <w:p w14:paraId="3B38744B" w14:textId="77777777" w:rsidR="00B4618D" w:rsidRPr="0096589B" w:rsidRDefault="00000000">
      <w:r w:rsidRPr="0096589B">
        <w:t>Although healthcare waste management has been widely studied, evidence focusing specifically on maternity units, where blood, body fluids and sharps are commonly generated, remains limited in this setting.</w:t>
      </w:r>
    </w:p>
    <w:p w14:paraId="7FD23457" w14:textId="747D6F7D" w:rsidR="00457F29" w:rsidRPr="0096589B" w:rsidRDefault="00A308C6" w:rsidP="00530C57">
      <w:pPr>
        <w:spacing w:line="240" w:lineRule="auto"/>
        <w:jc w:val="both"/>
        <w:rPr>
          <w:rFonts w:ascii="Times New Roman" w:hAnsi="Times New Roman" w:cs="Times New Roman"/>
          <w:sz w:val="24"/>
          <w:szCs w:val="24"/>
        </w:rPr>
      </w:pPr>
      <w:r>
        <w:rPr>
          <w:rFonts w:ascii="Times New Roman" w:hAnsi="Times New Roman"/>
          <w:sz w:val="24"/>
        </w:rPr>
        <w:t xml:space="preserve"> </w:t>
      </w:r>
      <w:r w:rsidRPr="00A308C6">
        <w:rPr>
          <w:rFonts w:ascii="Times New Roman" w:hAnsi="Times New Roman"/>
          <w:sz w:val="24"/>
        </w:rPr>
        <w:t>In response to the challenges outlined above, the researcher developed an interest in evaluating healthcare waste management practices among healthcare workers in Anambra State. Accordingly, the present study focused on assessing the level of compliance with World Health Organization maternity healthcare waste management guidelines among midwives and nurses working at Nnamdi Azikiwe University Teaching Hospital (NAUTH), Nnewi. Specifically, the study aimed to examine healthcare waste management practices in relation to WHO guidelines among midwives and nurses within the maternity unit of NAUTH, Nnewi, Anambra State.</w:t>
      </w:r>
      <w:r>
        <w:rPr>
          <w:rFonts w:ascii="Times New Roman" w:hAnsi="Times New Roman"/>
          <w:sz w:val="24"/>
        </w:rPr>
        <w:t xml:space="preserve"> </w:t>
      </w:r>
      <w:r w:rsidR="00457F29" w:rsidRPr="0096589B">
        <w:rPr>
          <w:rFonts w:ascii="Times New Roman" w:hAnsi="Times New Roman"/>
          <w:sz w:val="24"/>
        </w:rPr>
        <w:t>The specific objectives were to:</w:t>
      </w:r>
    </w:p>
    <w:p w14:paraId="3E2ED84E" w14:textId="77777777" w:rsidR="00457F29" w:rsidRPr="0096589B" w:rsidRDefault="00A12BD0" w:rsidP="00BF74D4">
      <w:pPr>
        <w:pStyle w:val="ListParagraph1"/>
        <w:numPr>
          <w:ilvl w:val="0"/>
          <w:numId w:val="1"/>
        </w:numPr>
        <w:spacing w:line="240" w:lineRule="auto"/>
        <w:jc w:val="both"/>
        <w:rPr>
          <w:rFonts w:ascii="Times New Roman" w:hAnsi="Times New Roman" w:cs="Times New Roman"/>
          <w:sz w:val="24"/>
          <w:szCs w:val="24"/>
        </w:rPr>
      </w:pPr>
      <w:r w:rsidRPr="0096589B">
        <w:rPr>
          <w:rFonts w:ascii="Times New Roman" w:hAnsi="Times New Roman"/>
          <w:sz w:val="24"/>
        </w:rPr>
        <w:t>assess the level of knowledge of waste management among midwives/nurses.</w:t>
      </w:r>
    </w:p>
    <w:p w14:paraId="262CF4FD" w14:textId="77777777" w:rsidR="007639B7" w:rsidRPr="0096589B" w:rsidRDefault="00A12BD0" w:rsidP="00BF74D4">
      <w:pPr>
        <w:pStyle w:val="ListParagraph1"/>
        <w:numPr>
          <w:ilvl w:val="0"/>
          <w:numId w:val="1"/>
        </w:numPr>
        <w:spacing w:line="240" w:lineRule="auto"/>
        <w:jc w:val="both"/>
        <w:rPr>
          <w:rFonts w:ascii="Times New Roman" w:hAnsi="Times New Roman" w:cs="Times New Roman"/>
          <w:b/>
          <w:sz w:val="24"/>
          <w:szCs w:val="24"/>
        </w:rPr>
      </w:pPr>
      <w:r w:rsidRPr="0096589B">
        <w:rPr>
          <w:rFonts w:ascii="Times New Roman" w:hAnsi="Times New Roman"/>
          <w:sz w:val="24"/>
        </w:rPr>
        <w:t>ascertain the compliance of midwives/nurses with World Health Organization guidelines for general waste management.</w:t>
      </w:r>
    </w:p>
    <w:p w14:paraId="25BF60C8" w14:textId="77777777" w:rsidR="00457F29" w:rsidRPr="0096589B" w:rsidRDefault="00457F29" w:rsidP="00BF74D4">
      <w:pPr>
        <w:pStyle w:val="ListParagraph1"/>
        <w:spacing w:line="240" w:lineRule="auto"/>
        <w:ind w:left="0"/>
        <w:jc w:val="both"/>
        <w:rPr>
          <w:rFonts w:ascii="Times New Roman" w:hAnsi="Times New Roman" w:cs="Times New Roman"/>
          <w:b/>
          <w:sz w:val="24"/>
          <w:szCs w:val="24"/>
        </w:rPr>
      </w:pPr>
      <w:r w:rsidRPr="0096589B">
        <w:rPr>
          <w:rFonts w:ascii="Times New Roman" w:hAnsi="Times New Roman" w:cs="Times New Roman"/>
          <w:b/>
          <w:sz w:val="24"/>
          <w:szCs w:val="24"/>
        </w:rPr>
        <w:t>Hypotheses</w:t>
      </w:r>
    </w:p>
    <w:p w14:paraId="39F0AE73" w14:textId="77777777" w:rsidR="00457F29" w:rsidRPr="0096589B" w:rsidRDefault="00457F29" w:rsidP="00BF74D4">
      <w:pPr>
        <w:spacing w:line="240" w:lineRule="auto"/>
        <w:jc w:val="both"/>
        <w:rPr>
          <w:rFonts w:ascii="Times New Roman" w:hAnsi="Times New Roman" w:cs="Times New Roman"/>
          <w:b/>
          <w:sz w:val="24"/>
          <w:szCs w:val="24"/>
        </w:rPr>
      </w:pPr>
      <w:r w:rsidRPr="0096589B">
        <w:rPr>
          <w:rFonts w:ascii="Times New Roman" w:hAnsi="Times New Roman"/>
          <w:sz w:val="24"/>
        </w:rPr>
        <w:t>The following null hypothesis was stated and tested at the 0.05 level of significance.</w:t>
      </w:r>
    </w:p>
    <w:p w14:paraId="61614ACA" w14:textId="77777777" w:rsidR="00457F29" w:rsidRPr="0096589B" w:rsidRDefault="00457F29" w:rsidP="00BF74D4">
      <w:pPr>
        <w:spacing w:line="240" w:lineRule="auto"/>
        <w:jc w:val="both"/>
        <w:rPr>
          <w:rFonts w:ascii="Times New Roman" w:hAnsi="Times New Roman" w:cs="Times New Roman"/>
          <w:b/>
          <w:sz w:val="24"/>
          <w:szCs w:val="24"/>
        </w:rPr>
      </w:pPr>
      <w:r w:rsidRPr="0096589B">
        <w:rPr>
          <w:rFonts w:ascii="Times New Roman" w:hAnsi="Times New Roman"/>
          <w:b/>
          <w:sz w:val="24"/>
        </w:rPr>
        <w:t>Ho1: There is no significant difference between the mean rating scores of midwives and nurses (with the designations of Deputy Director of Nursing to Senior Nursing Officer) regarding their knowledge of WHO guidelines for waste management.</w:t>
      </w:r>
    </w:p>
    <w:p w14:paraId="6C7F1F7E" w14:textId="77777777" w:rsidR="00457F29" w:rsidRPr="0096589B" w:rsidRDefault="00457F29" w:rsidP="00BF74D4">
      <w:pPr>
        <w:spacing w:line="240" w:lineRule="auto"/>
        <w:rPr>
          <w:rFonts w:ascii="Times New Roman" w:hAnsi="Times New Roman" w:cs="Times New Roman"/>
          <w:b/>
          <w:sz w:val="24"/>
          <w:szCs w:val="24"/>
        </w:rPr>
      </w:pPr>
      <w:r w:rsidRPr="0096589B">
        <w:rPr>
          <w:rFonts w:ascii="Times New Roman" w:hAnsi="Times New Roman" w:cs="Times New Roman"/>
          <w:b/>
          <w:sz w:val="24"/>
          <w:szCs w:val="24"/>
        </w:rPr>
        <w:t>METHODOLOGY</w:t>
      </w:r>
    </w:p>
    <w:p w14:paraId="0ED934CF" w14:textId="268CD158" w:rsidR="00E64D74" w:rsidRPr="0096589B" w:rsidRDefault="00457F29" w:rsidP="00E64D74">
      <w:pPr>
        <w:spacing w:line="240" w:lineRule="auto"/>
        <w:jc w:val="both"/>
        <w:rPr>
          <w:rFonts w:ascii="Times New Roman" w:hAnsi="Times New Roman"/>
          <w:sz w:val="24"/>
        </w:rPr>
      </w:pPr>
      <w:r w:rsidRPr="0096589B">
        <w:rPr>
          <w:rFonts w:ascii="Times New Roman" w:hAnsi="Times New Roman"/>
          <w:sz w:val="24"/>
        </w:rPr>
        <w:t xml:space="preserve">A cross-sectional research design is a type of study design in which data are collected at a single point in time or over a short period from a population or sample to examine the prevalence, characteristics and relationships of variables. The target population of this survey consisted of midwives and nurses working in both wards and clinics in the maternity section of NAUTH, Nnewi. The population of the study comprised 70 midwives/nurses working in the maternity section of Nnamdi Azikiwe University Teaching Hospital, Nnewi. A census sampling method was employed, which involved the use of all members of the population for the study. This method was chosen because the researcher had enquired about the total population of midwives/nurses in the maternity unit and considered the size (70) small enough and manageable </w:t>
      </w:r>
      <w:r w:rsidRPr="0096589B">
        <w:rPr>
          <w:rFonts w:ascii="Times New Roman" w:hAnsi="Times New Roman"/>
          <w:sz w:val="24"/>
        </w:rPr>
        <w:lastRenderedPageBreak/>
        <w:t>within the time and resources available for the study. All respondents were allowed to participate once they met the inclusion criteria (</w:t>
      </w:r>
      <w:proofErr w:type="spellStart"/>
      <w:r w:rsidRPr="0096589B">
        <w:rPr>
          <w:rFonts w:ascii="Times New Roman" w:hAnsi="Times New Roman"/>
          <w:sz w:val="24"/>
        </w:rPr>
        <w:t>Gizalew</w:t>
      </w:r>
      <w:proofErr w:type="spellEnd"/>
      <w:r w:rsidRPr="0096589B">
        <w:rPr>
          <w:rFonts w:ascii="Times New Roman" w:hAnsi="Times New Roman"/>
          <w:sz w:val="24"/>
        </w:rPr>
        <w:t xml:space="preserve"> et al., 20</w:t>
      </w:r>
      <w:r w:rsidR="00CB38C9">
        <w:rPr>
          <w:rFonts w:ascii="Times New Roman" w:hAnsi="Times New Roman"/>
          <w:sz w:val="24"/>
        </w:rPr>
        <w:t>21</w:t>
      </w:r>
      <w:r w:rsidRPr="0096589B">
        <w:rPr>
          <w:rFonts w:ascii="Times New Roman" w:hAnsi="Times New Roman"/>
          <w:sz w:val="24"/>
        </w:rPr>
        <w:t>). This was a quantitative study on the assessment of nurses’/midwives’ compliance with WHO guidelines on healthcare waste management practice. The primary data involved collecting information directly from the source and were designed and implemented by the researcher. Copies of the questionnaire were distributed by the researcher to the appropriate number of midwives and nurses in both the wards and clinics and were retrieved from the respondents. Survey (site visitation): the types of waste generated at various maternity wards and clinics were identified through direct surveillance (site visitation) and the use of a questionnaire. Descriptive statistics were used for data analysis. Measures of central tendency (mean) and simple percentages were used to answer the research questions,</w:t>
      </w:r>
      <w:r w:rsidR="00E64D74" w:rsidRPr="0096589B">
        <w:rPr>
          <w:rFonts w:ascii="Times New Roman" w:hAnsi="Times New Roman"/>
          <w:sz w:val="24"/>
        </w:rPr>
        <w:t xml:space="preserve"> </w:t>
      </w:r>
      <w:r w:rsidRPr="0096589B">
        <w:rPr>
          <w:rFonts w:ascii="Times New Roman" w:hAnsi="Times New Roman"/>
          <w:sz w:val="24"/>
        </w:rPr>
        <w:t xml:space="preserve">while </w:t>
      </w:r>
      <w:r w:rsidR="00E64D74" w:rsidRPr="0096589B">
        <w:rPr>
          <w:rFonts w:ascii="Times New Roman" w:hAnsi="Times New Roman"/>
          <w:sz w:val="24"/>
        </w:rPr>
        <w:t>an independent samples t-test was conducted to determine whether there was a significant difference between midwives and nurses in their knowledge of WHO guidelines for healthcare waste management.</w:t>
      </w:r>
    </w:p>
    <w:p w14:paraId="5719B39B" w14:textId="668B7375" w:rsidR="00457F29" w:rsidRPr="0096589B" w:rsidRDefault="00457F29" w:rsidP="00E64D74">
      <w:pPr>
        <w:spacing w:line="240" w:lineRule="auto"/>
        <w:jc w:val="both"/>
        <w:rPr>
          <w:rFonts w:ascii="Times New Roman" w:hAnsi="Times New Roman" w:cs="Times New Roman"/>
          <w:b/>
          <w:sz w:val="24"/>
          <w:szCs w:val="24"/>
        </w:rPr>
      </w:pPr>
      <w:r w:rsidRPr="0096589B">
        <w:rPr>
          <w:rFonts w:ascii="Times New Roman" w:hAnsi="Times New Roman" w:cs="Times New Roman"/>
          <w:b/>
          <w:sz w:val="24"/>
          <w:szCs w:val="24"/>
        </w:rPr>
        <w:t>RESULTS AND DISCUSSION</w:t>
      </w:r>
    </w:p>
    <w:p w14:paraId="100C1B60"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sz w:val="24"/>
        </w:rPr>
        <w:t xml:space="preserve">This chapter presents the findings obtained from the structured questionnaire administered to 70 midwives and nurses working in the maternity section of Nnamdi Azikiwe University Teaching Hospital, Nnewi. Results are </w:t>
      </w:r>
      <w:proofErr w:type="spellStart"/>
      <w:r w:rsidRPr="0096589B">
        <w:rPr>
          <w:rFonts w:ascii="Times New Roman" w:hAnsi="Times New Roman"/>
          <w:sz w:val="24"/>
        </w:rPr>
        <w:t>organised</w:t>
      </w:r>
      <w:proofErr w:type="spellEnd"/>
      <w:r w:rsidRPr="0096589B">
        <w:rPr>
          <w:rFonts w:ascii="Times New Roman" w:hAnsi="Times New Roman"/>
          <w:sz w:val="24"/>
        </w:rPr>
        <w:t xml:space="preserve"> according to the three research questions and two hypotheses. Demographic characteristics are presented first, followed by the main study variables.</w:t>
      </w:r>
    </w:p>
    <w:p w14:paraId="3B82F217" w14:textId="77777777" w:rsidR="00457F29" w:rsidRPr="0096589B" w:rsidRDefault="00457F29" w:rsidP="00BF74D4">
      <w:pPr>
        <w:spacing w:line="240" w:lineRule="auto"/>
        <w:jc w:val="both"/>
        <w:rPr>
          <w:rFonts w:ascii="Times New Roman" w:hAnsi="Times New Roman" w:cs="Times New Roman"/>
          <w:b/>
          <w:sz w:val="24"/>
          <w:szCs w:val="24"/>
        </w:rPr>
      </w:pPr>
      <w:r w:rsidRPr="0096589B">
        <w:rPr>
          <w:rFonts w:ascii="Times New Roman" w:hAnsi="Times New Roman" w:cs="Times New Roman"/>
          <w:b/>
          <w:sz w:val="24"/>
          <w:szCs w:val="24"/>
        </w:rPr>
        <w:t>4.1.1</w:t>
      </w:r>
      <w:r w:rsidRPr="0096589B">
        <w:rPr>
          <w:rFonts w:ascii="Times New Roman" w:hAnsi="Times New Roman" w:cs="Times New Roman"/>
          <w:b/>
          <w:sz w:val="24"/>
          <w:szCs w:val="24"/>
        </w:rPr>
        <w:tab/>
        <w:t xml:space="preserve">Results </w:t>
      </w:r>
    </w:p>
    <w:p w14:paraId="298E2962" w14:textId="77777777" w:rsidR="00457F29" w:rsidRPr="0096589B" w:rsidRDefault="00457F29" w:rsidP="00BF74D4">
      <w:pPr>
        <w:spacing w:line="240" w:lineRule="auto"/>
        <w:jc w:val="both"/>
        <w:rPr>
          <w:rFonts w:ascii="Times New Roman" w:hAnsi="Times New Roman" w:cs="Times New Roman"/>
          <w:b/>
          <w:sz w:val="24"/>
          <w:szCs w:val="24"/>
        </w:rPr>
      </w:pPr>
      <w:r w:rsidRPr="0096589B">
        <w:rPr>
          <w:rFonts w:ascii="Times New Roman" w:hAnsi="Times New Roman" w:cs="Times New Roman"/>
          <w:b/>
          <w:sz w:val="24"/>
          <w:szCs w:val="24"/>
        </w:rPr>
        <w:t>Section A: Demographic characteristics of Respondents</w:t>
      </w:r>
    </w:p>
    <w:p w14:paraId="4DD663F3" w14:textId="77777777" w:rsidR="00457F29" w:rsidRPr="0096589B" w:rsidRDefault="00457F29" w:rsidP="00BF74D4">
      <w:pPr>
        <w:spacing w:line="240" w:lineRule="auto"/>
        <w:jc w:val="both"/>
        <w:rPr>
          <w:rFonts w:ascii="Times New Roman" w:hAnsi="Times New Roman" w:cs="Times New Roman"/>
          <w:b/>
          <w:sz w:val="24"/>
          <w:szCs w:val="24"/>
        </w:rPr>
      </w:pPr>
      <w:r w:rsidRPr="0096589B">
        <w:rPr>
          <w:rFonts w:ascii="Times New Roman" w:hAnsi="Times New Roman" w:cs="Times New Roman"/>
          <w:b/>
          <w:noProof/>
          <w:sz w:val="24"/>
          <w:szCs w:val="24"/>
        </w:rPr>
        <w:drawing>
          <wp:inline distT="0" distB="0" distL="0" distR="0" wp14:anchorId="7949751E" wp14:editId="121F02CD">
            <wp:extent cx="5486400" cy="2910205"/>
            <wp:effectExtent l="19050" t="0" r="19050" b="4396"/>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4C548D4"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cs="Times New Roman"/>
          <w:b/>
          <w:sz w:val="24"/>
          <w:szCs w:val="24"/>
        </w:rPr>
        <w:t>Fig 1:</w:t>
      </w:r>
      <w:r w:rsidRPr="0096589B">
        <w:rPr>
          <w:rFonts w:ascii="Times New Roman" w:hAnsi="Times New Roman" w:cs="Times New Roman"/>
          <w:sz w:val="24"/>
          <w:szCs w:val="24"/>
        </w:rPr>
        <w:t xml:space="preserve"> Showing age distribution of the respondents.</w:t>
      </w:r>
    </w:p>
    <w:p w14:paraId="0F87C7E8"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sz w:val="24"/>
        </w:rPr>
        <w:t>The age distribution of participants is shown in Figure 1. More than half (55.7%) were aged 18-28 years, 25.7% were aged 29-39 years and 18.6% were aged 40-50 years; none was above 50 years.</w:t>
      </w:r>
    </w:p>
    <w:p w14:paraId="670CCF6B"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cs="Times New Roman"/>
          <w:sz w:val="24"/>
          <w:szCs w:val="24"/>
        </w:rPr>
        <w:lastRenderedPageBreak/>
        <w:t xml:space="preserve">                                                                       .                                  </w:t>
      </w:r>
    </w:p>
    <w:p w14:paraId="717E284A"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cs="Times New Roman"/>
          <w:noProof/>
          <w:sz w:val="24"/>
          <w:szCs w:val="24"/>
        </w:rPr>
        <w:drawing>
          <wp:inline distT="0" distB="0" distL="0" distR="0" wp14:anchorId="4ABB3289" wp14:editId="0A8E973A">
            <wp:extent cx="5486400" cy="3200400"/>
            <wp:effectExtent l="0" t="0" r="0" b="0"/>
            <wp:docPr id="5" name="Chart 5987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FDC98B8"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cs="Times New Roman"/>
          <w:b/>
          <w:sz w:val="24"/>
          <w:szCs w:val="24"/>
        </w:rPr>
        <w:t>Fig. 2</w:t>
      </w:r>
      <w:r w:rsidRPr="0096589B">
        <w:rPr>
          <w:rFonts w:ascii="Times New Roman" w:hAnsi="Times New Roman" w:cs="Times New Roman"/>
          <w:sz w:val="24"/>
          <w:szCs w:val="24"/>
        </w:rPr>
        <w:t xml:space="preserve"> Showing sex distribution of the respondents</w:t>
      </w:r>
    </w:p>
    <w:p w14:paraId="1CDB8BCF"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sz w:val="24"/>
        </w:rPr>
        <w:t>Figure 2 indicates that the majority of respondents (84%) were female, while 16% were male.</w:t>
      </w:r>
    </w:p>
    <w:p w14:paraId="2D8F4A2F" w14:textId="77777777" w:rsidR="00457F29" w:rsidRPr="0096589B" w:rsidRDefault="00457F29" w:rsidP="00BF74D4">
      <w:pPr>
        <w:spacing w:line="240" w:lineRule="auto"/>
        <w:rPr>
          <w:rFonts w:ascii="Times New Roman" w:hAnsi="Times New Roman" w:cs="Times New Roman"/>
          <w:sz w:val="24"/>
          <w:szCs w:val="24"/>
        </w:rPr>
      </w:pPr>
    </w:p>
    <w:p w14:paraId="6D1DB993"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cs="Times New Roman"/>
          <w:noProof/>
          <w:sz w:val="24"/>
          <w:szCs w:val="24"/>
        </w:rPr>
        <w:drawing>
          <wp:inline distT="0" distB="0" distL="0" distR="0" wp14:anchorId="1B4C3D4D" wp14:editId="56D87369">
            <wp:extent cx="5486400" cy="3200400"/>
            <wp:effectExtent l="0" t="0" r="0" b="0"/>
            <wp:docPr id="6" name="Chart 598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86527B4" w14:textId="77777777" w:rsidR="00457F29" w:rsidRPr="0096589B" w:rsidRDefault="00457F29" w:rsidP="00BF74D4">
      <w:pPr>
        <w:spacing w:after="0" w:line="240" w:lineRule="auto"/>
        <w:jc w:val="both"/>
        <w:rPr>
          <w:rFonts w:ascii="Times New Roman" w:hAnsi="Times New Roman" w:cs="Times New Roman"/>
          <w:sz w:val="24"/>
          <w:szCs w:val="24"/>
        </w:rPr>
      </w:pPr>
      <w:r w:rsidRPr="0096589B">
        <w:rPr>
          <w:rFonts w:ascii="Times New Roman" w:hAnsi="Times New Roman" w:cs="Times New Roman"/>
          <w:b/>
          <w:sz w:val="24"/>
          <w:szCs w:val="24"/>
        </w:rPr>
        <w:t>Fig. 3:</w:t>
      </w:r>
      <w:r w:rsidRPr="0096589B">
        <w:rPr>
          <w:rFonts w:ascii="Times New Roman" w:hAnsi="Times New Roman" w:cs="Times New Roman"/>
          <w:sz w:val="24"/>
          <w:szCs w:val="24"/>
        </w:rPr>
        <w:t xml:space="preserve"> Showing marital status of the respondents.</w:t>
      </w:r>
    </w:p>
    <w:p w14:paraId="4BB0DC10"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sz w:val="24"/>
        </w:rPr>
        <w:lastRenderedPageBreak/>
        <w:t>With regard to marital status (Figure 3), 61.4% of respondents were single and 38.6% were married.</w:t>
      </w:r>
    </w:p>
    <w:p w14:paraId="5AF72A14" w14:textId="77777777" w:rsidR="00457F29" w:rsidRPr="0096589B" w:rsidRDefault="00457F29" w:rsidP="00BF74D4">
      <w:pPr>
        <w:spacing w:line="240" w:lineRule="auto"/>
        <w:rPr>
          <w:rFonts w:ascii="Times New Roman" w:hAnsi="Times New Roman" w:cs="Times New Roman"/>
          <w:sz w:val="24"/>
          <w:szCs w:val="24"/>
        </w:rPr>
      </w:pPr>
      <w:r w:rsidRPr="0096589B">
        <w:rPr>
          <w:rFonts w:ascii="Times New Roman" w:hAnsi="Times New Roman" w:cs="Times New Roman"/>
          <w:sz w:val="24"/>
          <w:szCs w:val="24"/>
        </w:rPr>
        <w:br w:type="page"/>
      </w:r>
    </w:p>
    <w:p w14:paraId="57161A0E"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cs="Times New Roman"/>
          <w:b/>
          <w:sz w:val="24"/>
          <w:szCs w:val="24"/>
        </w:rPr>
        <w:lastRenderedPageBreak/>
        <w:t>Table 1:</w:t>
      </w:r>
      <w:r w:rsidRPr="0096589B">
        <w:rPr>
          <w:rFonts w:ascii="Times New Roman" w:hAnsi="Times New Roman" w:cs="Times New Roman"/>
          <w:sz w:val="24"/>
          <w:szCs w:val="24"/>
        </w:rPr>
        <w:t xml:space="preserve"> Showing the highest educational qualification attained                                  n=70</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92"/>
        <w:gridCol w:w="3192"/>
        <w:gridCol w:w="3192"/>
      </w:tblGrid>
      <w:tr w:rsidR="00457F29" w:rsidRPr="0096589B" w14:paraId="3A5C8593" w14:textId="77777777" w:rsidTr="007639B7">
        <w:tc>
          <w:tcPr>
            <w:tcW w:w="3192" w:type="dxa"/>
            <w:tcBorders>
              <w:top w:val="single" w:sz="4" w:space="0" w:color="auto"/>
              <w:bottom w:val="single" w:sz="4" w:space="0" w:color="auto"/>
            </w:tcBorders>
          </w:tcPr>
          <w:p w14:paraId="05F26E4B" w14:textId="77777777" w:rsidR="00457F29" w:rsidRPr="0096589B" w:rsidRDefault="00457F29" w:rsidP="00BF74D4">
            <w:pPr>
              <w:jc w:val="center"/>
              <w:rPr>
                <w:rFonts w:ascii="Times New Roman" w:hAnsi="Times New Roman" w:cs="Times New Roman"/>
                <w:b/>
                <w:sz w:val="24"/>
                <w:szCs w:val="24"/>
              </w:rPr>
            </w:pPr>
            <w:r w:rsidRPr="0096589B">
              <w:rPr>
                <w:rFonts w:ascii="Times New Roman" w:hAnsi="Times New Roman" w:cs="Times New Roman"/>
                <w:b/>
                <w:sz w:val="24"/>
                <w:szCs w:val="24"/>
              </w:rPr>
              <w:t>Educational level</w:t>
            </w:r>
          </w:p>
        </w:tc>
        <w:tc>
          <w:tcPr>
            <w:tcW w:w="3192" w:type="dxa"/>
            <w:tcBorders>
              <w:top w:val="single" w:sz="4" w:space="0" w:color="auto"/>
              <w:bottom w:val="single" w:sz="4" w:space="0" w:color="auto"/>
            </w:tcBorders>
          </w:tcPr>
          <w:p w14:paraId="407DF99B" w14:textId="77777777" w:rsidR="00457F29" w:rsidRPr="0096589B" w:rsidRDefault="00457F29" w:rsidP="00BF74D4">
            <w:pPr>
              <w:jc w:val="center"/>
              <w:rPr>
                <w:rFonts w:ascii="Times New Roman" w:hAnsi="Times New Roman" w:cs="Times New Roman"/>
                <w:b/>
                <w:sz w:val="24"/>
                <w:szCs w:val="24"/>
              </w:rPr>
            </w:pPr>
            <w:r w:rsidRPr="0096589B">
              <w:rPr>
                <w:rFonts w:ascii="Times New Roman" w:hAnsi="Times New Roman" w:cs="Times New Roman"/>
                <w:b/>
                <w:sz w:val="24"/>
                <w:szCs w:val="24"/>
              </w:rPr>
              <w:t>Frequency (n-70)</w:t>
            </w:r>
          </w:p>
        </w:tc>
        <w:tc>
          <w:tcPr>
            <w:tcW w:w="3192" w:type="dxa"/>
            <w:tcBorders>
              <w:top w:val="single" w:sz="4" w:space="0" w:color="auto"/>
              <w:bottom w:val="single" w:sz="4" w:space="0" w:color="auto"/>
            </w:tcBorders>
          </w:tcPr>
          <w:p w14:paraId="3BDD784A" w14:textId="77777777" w:rsidR="00457F29" w:rsidRPr="0096589B" w:rsidRDefault="00457F29" w:rsidP="00BF74D4">
            <w:pPr>
              <w:jc w:val="center"/>
              <w:rPr>
                <w:rFonts w:ascii="Times New Roman" w:hAnsi="Times New Roman" w:cs="Times New Roman"/>
                <w:b/>
                <w:sz w:val="24"/>
                <w:szCs w:val="24"/>
              </w:rPr>
            </w:pPr>
            <w:r w:rsidRPr="0096589B">
              <w:rPr>
                <w:rFonts w:ascii="Times New Roman" w:hAnsi="Times New Roman" w:cs="Times New Roman"/>
                <w:b/>
                <w:sz w:val="24"/>
                <w:szCs w:val="24"/>
              </w:rPr>
              <w:t>Percentage (%)</w:t>
            </w:r>
          </w:p>
        </w:tc>
      </w:tr>
      <w:tr w:rsidR="00457F29" w:rsidRPr="0096589B" w14:paraId="361F073D" w14:textId="77777777" w:rsidTr="007639B7">
        <w:tc>
          <w:tcPr>
            <w:tcW w:w="3192" w:type="dxa"/>
            <w:tcBorders>
              <w:top w:val="single" w:sz="4" w:space="0" w:color="auto"/>
            </w:tcBorders>
          </w:tcPr>
          <w:p w14:paraId="0A7D3850" w14:textId="77777777" w:rsidR="00457F29" w:rsidRPr="0096589B" w:rsidRDefault="00457F29" w:rsidP="00BF74D4">
            <w:pPr>
              <w:jc w:val="center"/>
              <w:rPr>
                <w:rFonts w:ascii="Times New Roman" w:hAnsi="Times New Roman" w:cs="Times New Roman"/>
                <w:sz w:val="24"/>
                <w:szCs w:val="24"/>
              </w:rPr>
            </w:pPr>
            <w:proofErr w:type="spellStart"/>
            <w:r w:rsidRPr="0096589B">
              <w:rPr>
                <w:rFonts w:ascii="Times New Roman" w:hAnsi="Times New Roman" w:cs="Times New Roman"/>
                <w:sz w:val="24"/>
                <w:szCs w:val="24"/>
              </w:rPr>
              <w:t>BNSc</w:t>
            </w:r>
            <w:proofErr w:type="spellEnd"/>
          </w:p>
        </w:tc>
        <w:tc>
          <w:tcPr>
            <w:tcW w:w="3192" w:type="dxa"/>
            <w:tcBorders>
              <w:top w:val="single" w:sz="4" w:space="0" w:color="auto"/>
            </w:tcBorders>
          </w:tcPr>
          <w:p w14:paraId="00E61BB9" w14:textId="77777777" w:rsidR="00457F29" w:rsidRPr="0096589B" w:rsidRDefault="00457F29" w:rsidP="00BF74D4">
            <w:pPr>
              <w:jc w:val="center"/>
              <w:rPr>
                <w:rFonts w:ascii="Times New Roman" w:hAnsi="Times New Roman" w:cs="Times New Roman"/>
                <w:sz w:val="24"/>
                <w:szCs w:val="24"/>
              </w:rPr>
            </w:pPr>
            <w:r w:rsidRPr="0096589B">
              <w:rPr>
                <w:rFonts w:ascii="Times New Roman" w:hAnsi="Times New Roman" w:cs="Times New Roman"/>
                <w:sz w:val="24"/>
                <w:szCs w:val="24"/>
              </w:rPr>
              <w:t>40</w:t>
            </w:r>
          </w:p>
        </w:tc>
        <w:tc>
          <w:tcPr>
            <w:tcW w:w="3192" w:type="dxa"/>
            <w:tcBorders>
              <w:top w:val="single" w:sz="4" w:space="0" w:color="auto"/>
            </w:tcBorders>
          </w:tcPr>
          <w:p w14:paraId="16C246B3" w14:textId="77777777" w:rsidR="00457F29" w:rsidRPr="0096589B" w:rsidRDefault="00457F29" w:rsidP="00BF74D4">
            <w:pPr>
              <w:jc w:val="center"/>
              <w:rPr>
                <w:rFonts w:ascii="Times New Roman" w:hAnsi="Times New Roman" w:cs="Times New Roman"/>
                <w:sz w:val="24"/>
                <w:szCs w:val="24"/>
              </w:rPr>
            </w:pPr>
            <w:r w:rsidRPr="0096589B">
              <w:rPr>
                <w:rFonts w:ascii="Times New Roman" w:hAnsi="Times New Roman" w:cs="Times New Roman"/>
                <w:sz w:val="24"/>
                <w:szCs w:val="24"/>
              </w:rPr>
              <w:t>57.1</w:t>
            </w:r>
          </w:p>
        </w:tc>
      </w:tr>
      <w:tr w:rsidR="00457F29" w:rsidRPr="0096589B" w14:paraId="28CB0772" w14:textId="77777777" w:rsidTr="007639B7">
        <w:tc>
          <w:tcPr>
            <w:tcW w:w="3192" w:type="dxa"/>
          </w:tcPr>
          <w:p w14:paraId="5F6575B4" w14:textId="77777777" w:rsidR="00457F29" w:rsidRPr="0096589B" w:rsidRDefault="00457F29" w:rsidP="00BF74D4">
            <w:pPr>
              <w:jc w:val="center"/>
              <w:rPr>
                <w:rFonts w:ascii="Times New Roman" w:hAnsi="Times New Roman" w:cs="Times New Roman"/>
                <w:sz w:val="24"/>
                <w:szCs w:val="24"/>
              </w:rPr>
            </w:pPr>
            <w:proofErr w:type="spellStart"/>
            <w:r w:rsidRPr="0096589B">
              <w:rPr>
                <w:rFonts w:ascii="Times New Roman" w:hAnsi="Times New Roman" w:cs="Times New Roman"/>
                <w:sz w:val="24"/>
                <w:szCs w:val="24"/>
              </w:rPr>
              <w:t>Msc</w:t>
            </w:r>
            <w:proofErr w:type="spellEnd"/>
          </w:p>
        </w:tc>
        <w:tc>
          <w:tcPr>
            <w:tcW w:w="3192" w:type="dxa"/>
          </w:tcPr>
          <w:p w14:paraId="526167EF" w14:textId="77777777" w:rsidR="00457F29" w:rsidRPr="0096589B" w:rsidRDefault="00457F29" w:rsidP="00BF74D4">
            <w:pPr>
              <w:jc w:val="center"/>
              <w:rPr>
                <w:rFonts w:ascii="Times New Roman" w:hAnsi="Times New Roman" w:cs="Times New Roman"/>
                <w:sz w:val="24"/>
                <w:szCs w:val="24"/>
              </w:rPr>
            </w:pPr>
            <w:r w:rsidRPr="0096589B">
              <w:rPr>
                <w:rFonts w:ascii="Times New Roman" w:hAnsi="Times New Roman" w:cs="Times New Roman"/>
                <w:sz w:val="24"/>
                <w:szCs w:val="24"/>
              </w:rPr>
              <w:t>20</w:t>
            </w:r>
          </w:p>
        </w:tc>
        <w:tc>
          <w:tcPr>
            <w:tcW w:w="3192" w:type="dxa"/>
          </w:tcPr>
          <w:p w14:paraId="7DDD2B17" w14:textId="77777777" w:rsidR="00457F29" w:rsidRPr="0096589B" w:rsidRDefault="00457F29" w:rsidP="00BF74D4">
            <w:pPr>
              <w:jc w:val="center"/>
              <w:rPr>
                <w:rFonts w:ascii="Times New Roman" w:hAnsi="Times New Roman" w:cs="Times New Roman"/>
                <w:sz w:val="24"/>
                <w:szCs w:val="24"/>
              </w:rPr>
            </w:pPr>
            <w:r w:rsidRPr="0096589B">
              <w:rPr>
                <w:rFonts w:ascii="Times New Roman" w:hAnsi="Times New Roman" w:cs="Times New Roman"/>
                <w:sz w:val="24"/>
                <w:szCs w:val="24"/>
              </w:rPr>
              <w:t>28.6</w:t>
            </w:r>
          </w:p>
        </w:tc>
      </w:tr>
      <w:tr w:rsidR="00457F29" w:rsidRPr="0096589B" w14:paraId="04BC9AA2" w14:textId="77777777" w:rsidTr="007639B7">
        <w:tc>
          <w:tcPr>
            <w:tcW w:w="3192" w:type="dxa"/>
            <w:tcBorders>
              <w:bottom w:val="single" w:sz="4" w:space="0" w:color="auto"/>
            </w:tcBorders>
          </w:tcPr>
          <w:p w14:paraId="0FE95E15" w14:textId="77777777" w:rsidR="00457F29" w:rsidRPr="0096589B" w:rsidRDefault="00457F29" w:rsidP="00BF74D4">
            <w:pPr>
              <w:jc w:val="center"/>
              <w:rPr>
                <w:rFonts w:ascii="Times New Roman" w:hAnsi="Times New Roman" w:cs="Times New Roman"/>
                <w:sz w:val="24"/>
                <w:szCs w:val="24"/>
              </w:rPr>
            </w:pPr>
            <w:proofErr w:type="spellStart"/>
            <w:proofErr w:type="gramStart"/>
            <w:r w:rsidRPr="0096589B">
              <w:rPr>
                <w:rFonts w:ascii="Times New Roman" w:hAnsi="Times New Roman" w:cs="Times New Roman"/>
                <w:sz w:val="24"/>
                <w:szCs w:val="24"/>
              </w:rPr>
              <w:t>Ph.D</w:t>
            </w:r>
            <w:proofErr w:type="spellEnd"/>
            <w:proofErr w:type="gramEnd"/>
          </w:p>
        </w:tc>
        <w:tc>
          <w:tcPr>
            <w:tcW w:w="3192" w:type="dxa"/>
            <w:tcBorders>
              <w:bottom w:val="single" w:sz="4" w:space="0" w:color="auto"/>
            </w:tcBorders>
          </w:tcPr>
          <w:p w14:paraId="06CB11EA" w14:textId="77777777" w:rsidR="00457F29" w:rsidRPr="0096589B" w:rsidRDefault="00457F29" w:rsidP="00BF74D4">
            <w:pPr>
              <w:jc w:val="center"/>
              <w:rPr>
                <w:rFonts w:ascii="Times New Roman" w:hAnsi="Times New Roman" w:cs="Times New Roman"/>
                <w:sz w:val="24"/>
                <w:szCs w:val="24"/>
              </w:rPr>
            </w:pPr>
            <w:r w:rsidRPr="0096589B">
              <w:rPr>
                <w:rFonts w:ascii="Times New Roman" w:hAnsi="Times New Roman" w:cs="Times New Roman"/>
                <w:sz w:val="24"/>
                <w:szCs w:val="24"/>
              </w:rPr>
              <w:t>10</w:t>
            </w:r>
          </w:p>
        </w:tc>
        <w:tc>
          <w:tcPr>
            <w:tcW w:w="3192" w:type="dxa"/>
            <w:tcBorders>
              <w:bottom w:val="single" w:sz="4" w:space="0" w:color="auto"/>
            </w:tcBorders>
          </w:tcPr>
          <w:p w14:paraId="377B0005" w14:textId="77777777" w:rsidR="00457F29" w:rsidRPr="0096589B" w:rsidRDefault="00457F29" w:rsidP="00BF74D4">
            <w:pPr>
              <w:jc w:val="center"/>
              <w:rPr>
                <w:rFonts w:ascii="Times New Roman" w:hAnsi="Times New Roman" w:cs="Times New Roman"/>
                <w:sz w:val="24"/>
                <w:szCs w:val="24"/>
              </w:rPr>
            </w:pPr>
            <w:r w:rsidRPr="0096589B">
              <w:rPr>
                <w:rFonts w:ascii="Times New Roman" w:hAnsi="Times New Roman" w:cs="Times New Roman"/>
                <w:sz w:val="24"/>
                <w:szCs w:val="24"/>
              </w:rPr>
              <w:t>14.3</w:t>
            </w:r>
          </w:p>
        </w:tc>
      </w:tr>
      <w:tr w:rsidR="00457F29" w:rsidRPr="0096589B" w14:paraId="7F4B48A6" w14:textId="77777777" w:rsidTr="007639B7">
        <w:tc>
          <w:tcPr>
            <w:tcW w:w="3192" w:type="dxa"/>
            <w:tcBorders>
              <w:top w:val="single" w:sz="4" w:space="0" w:color="auto"/>
              <w:bottom w:val="single" w:sz="4" w:space="0" w:color="auto"/>
            </w:tcBorders>
          </w:tcPr>
          <w:p w14:paraId="5284F205" w14:textId="77777777" w:rsidR="00457F29" w:rsidRPr="0096589B" w:rsidRDefault="00457F29" w:rsidP="00BF74D4">
            <w:pPr>
              <w:jc w:val="center"/>
              <w:rPr>
                <w:rFonts w:ascii="Times New Roman" w:hAnsi="Times New Roman" w:cs="Times New Roman"/>
                <w:b/>
                <w:sz w:val="24"/>
                <w:szCs w:val="24"/>
              </w:rPr>
            </w:pPr>
            <w:r w:rsidRPr="0096589B">
              <w:rPr>
                <w:rFonts w:ascii="Times New Roman" w:hAnsi="Times New Roman" w:cs="Times New Roman"/>
                <w:b/>
                <w:sz w:val="24"/>
                <w:szCs w:val="24"/>
              </w:rPr>
              <w:t>Total</w:t>
            </w:r>
          </w:p>
        </w:tc>
        <w:tc>
          <w:tcPr>
            <w:tcW w:w="3192" w:type="dxa"/>
            <w:tcBorders>
              <w:top w:val="single" w:sz="4" w:space="0" w:color="auto"/>
              <w:bottom w:val="single" w:sz="4" w:space="0" w:color="auto"/>
            </w:tcBorders>
          </w:tcPr>
          <w:p w14:paraId="51459A5C" w14:textId="77777777" w:rsidR="00457F29" w:rsidRPr="0096589B" w:rsidRDefault="00457F29" w:rsidP="00BF74D4">
            <w:pPr>
              <w:jc w:val="center"/>
              <w:rPr>
                <w:rFonts w:ascii="Times New Roman" w:hAnsi="Times New Roman" w:cs="Times New Roman"/>
                <w:b/>
                <w:sz w:val="24"/>
                <w:szCs w:val="24"/>
              </w:rPr>
            </w:pPr>
            <w:r w:rsidRPr="0096589B">
              <w:rPr>
                <w:rFonts w:ascii="Times New Roman" w:hAnsi="Times New Roman" w:cs="Times New Roman"/>
                <w:b/>
                <w:sz w:val="24"/>
                <w:szCs w:val="24"/>
              </w:rPr>
              <w:t>70</w:t>
            </w:r>
          </w:p>
        </w:tc>
        <w:tc>
          <w:tcPr>
            <w:tcW w:w="3192" w:type="dxa"/>
            <w:tcBorders>
              <w:top w:val="single" w:sz="4" w:space="0" w:color="auto"/>
              <w:bottom w:val="single" w:sz="4" w:space="0" w:color="auto"/>
            </w:tcBorders>
          </w:tcPr>
          <w:p w14:paraId="763F8E84" w14:textId="77777777" w:rsidR="00457F29" w:rsidRPr="0096589B" w:rsidRDefault="00457F29" w:rsidP="00BF74D4">
            <w:pPr>
              <w:jc w:val="center"/>
              <w:rPr>
                <w:rFonts w:ascii="Times New Roman" w:hAnsi="Times New Roman" w:cs="Times New Roman"/>
                <w:b/>
                <w:sz w:val="24"/>
                <w:szCs w:val="24"/>
              </w:rPr>
            </w:pPr>
            <w:r w:rsidRPr="0096589B">
              <w:rPr>
                <w:rFonts w:ascii="Times New Roman" w:hAnsi="Times New Roman" w:cs="Times New Roman"/>
                <w:b/>
                <w:sz w:val="24"/>
                <w:szCs w:val="24"/>
              </w:rPr>
              <w:t>100</w:t>
            </w:r>
          </w:p>
        </w:tc>
      </w:tr>
    </w:tbl>
    <w:p w14:paraId="062EFB53" w14:textId="77777777" w:rsidR="00457F29" w:rsidRPr="0096589B" w:rsidRDefault="00457F29" w:rsidP="00BF74D4">
      <w:pPr>
        <w:spacing w:line="240" w:lineRule="auto"/>
        <w:jc w:val="both"/>
        <w:rPr>
          <w:rFonts w:ascii="Times New Roman" w:hAnsi="Times New Roman" w:cs="Times New Roman"/>
          <w:sz w:val="24"/>
          <w:szCs w:val="24"/>
        </w:rPr>
      </w:pPr>
    </w:p>
    <w:p w14:paraId="536C4BBC"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sz w:val="24"/>
        </w:rPr>
        <w:t xml:space="preserve">Table 1 shows that over half of the respondents (57.1%) held a </w:t>
      </w:r>
      <w:proofErr w:type="spellStart"/>
      <w:r w:rsidRPr="0096589B">
        <w:rPr>
          <w:rFonts w:ascii="Times New Roman" w:hAnsi="Times New Roman"/>
          <w:sz w:val="24"/>
        </w:rPr>
        <w:t>BNSc</w:t>
      </w:r>
      <w:proofErr w:type="spellEnd"/>
      <w:r w:rsidRPr="0096589B">
        <w:rPr>
          <w:rFonts w:ascii="Times New Roman" w:hAnsi="Times New Roman"/>
          <w:sz w:val="24"/>
        </w:rPr>
        <w:t xml:space="preserve"> degree, 28.6% had a Master’s degree and 14.3% possessed a PhD.</w:t>
      </w:r>
    </w:p>
    <w:p w14:paraId="7CA2480E"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cs="Times New Roman"/>
          <w:b/>
          <w:sz w:val="24"/>
          <w:szCs w:val="24"/>
        </w:rPr>
        <w:t>Table .2:</w:t>
      </w:r>
      <w:r w:rsidRPr="0096589B">
        <w:rPr>
          <w:rFonts w:ascii="Times New Roman" w:hAnsi="Times New Roman" w:cs="Times New Roman"/>
          <w:sz w:val="24"/>
          <w:szCs w:val="24"/>
        </w:rPr>
        <w:t xml:space="preserve"> Showing employment status of the respondents.                          n=70</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92"/>
        <w:gridCol w:w="3192"/>
        <w:gridCol w:w="3192"/>
      </w:tblGrid>
      <w:tr w:rsidR="00457F29" w:rsidRPr="0096589B" w14:paraId="1949EE6D" w14:textId="77777777" w:rsidTr="007639B7">
        <w:tc>
          <w:tcPr>
            <w:tcW w:w="3192" w:type="dxa"/>
            <w:tcBorders>
              <w:top w:val="single" w:sz="4" w:space="0" w:color="auto"/>
              <w:bottom w:val="single" w:sz="4" w:space="0" w:color="auto"/>
            </w:tcBorders>
          </w:tcPr>
          <w:p w14:paraId="78B33C57" w14:textId="77777777" w:rsidR="00457F29" w:rsidRPr="0096589B" w:rsidRDefault="00457F29" w:rsidP="00BF74D4">
            <w:pPr>
              <w:jc w:val="center"/>
              <w:rPr>
                <w:rFonts w:ascii="Times New Roman" w:hAnsi="Times New Roman" w:cs="Times New Roman"/>
                <w:b/>
                <w:sz w:val="24"/>
                <w:szCs w:val="24"/>
              </w:rPr>
            </w:pPr>
            <w:r w:rsidRPr="0096589B">
              <w:rPr>
                <w:rFonts w:ascii="Times New Roman" w:hAnsi="Times New Roman" w:cs="Times New Roman"/>
                <w:b/>
                <w:sz w:val="24"/>
                <w:szCs w:val="24"/>
              </w:rPr>
              <w:t>Employment status</w:t>
            </w:r>
          </w:p>
        </w:tc>
        <w:tc>
          <w:tcPr>
            <w:tcW w:w="3192" w:type="dxa"/>
            <w:tcBorders>
              <w:top w:val="single" w:sz="4" w:space="0" w:color="auto"/>
              <w:bottom w:val="single" w:sz="4" w:space="0" w:color="auto"/>
            </w:tcBorders>
          </w:tcPr>
          <w:p w14:paraId="0F1ECE2B" w14:textId="77777777" w:rsidR="00457F29" w:rsidRPr="0096589B" w:rsidRDefault="00457F29" w:rsidP="00BF74D4">
            <w:pPr>
              <w:jc w:val="center"/>
              <w:rPr>
                <w:rFonts w:ascii="Times New Roman" w:hAnsi="Times New Roman" w:cs="Times New Roman"/>
                <w:b/>
                <w:sz w:val="24"/>
                <w:szCs w:val="24"/>
              </w:rPr>
            </w:pPr>
            <w:r w:rsidRPr="0096589B">
              <w:rPr>
                <w:rFonts w:ascii="Times New Roman" w:hAnsi="Times New Roman" w:cs="Times New Roman"/>
                <w:b/>
                <w:sz w:val="24"/>
                <w:szCs w:val="24"/>
              </w:rPr>
              <w:t>Frequency (n-70)</w:t>
            </w:r>
          </w:p>
        </w:tc>
        <w:tc>
          <w:tcPr>
            <w:tcW w:w="3192" w:type="dxa"/>
            <w:tcBorders>
              <w:top w:val="single" w:sz="4" w:space="0" w:color="auto"/>
              <w:bottom w:val="single" w:sz="4" w:space="0" w:color="auto"/>
            </w:tcBorders>
          </w:tcPr>
          <w:p w14:paraId="2BD80524" w14:textId="77777777" w:rsidR="00457F29" w:rsidRPr="0096589B" w:rsidRDefault="00457F29" w:rsidP="00BF74D4">
            <w:pPr>
              <w:jc w:val="center"/>
              <w:rPr>
                <w:rFonts w:ascii="Times New Roman" w:hAnsi="Times New Roman" w:cs="Times New Roman"/>
                <w:b/>
                <w:sz w:val="24"/>
                <w:szCs w:val="24"/>
              </w:rPr>
            </w:pPr>
            <w:r w:rsidRPr="0096589B">
              <w:rPr>
                <w:rFonts w:ascii="Times New Roman" w:hAnsi="Times New Roman" w:cs="Times New Roman"/>
                <w:b/>
                <w:sz w:val="24"/>
                <w:szCs w:val="24"/>
              </w:rPr>
              <w:t>Percentage (%)</w:t>
            </w:r>
          </w:p>
        </w:tc>
      </w:tr>
      <w:tr w:rsidR="00457F29" w:rsidRPr="0096589B" w14:paraId="7A3ACC9C" w14:textId="77777777" w:rsidTr="007639B7">
        <w:tc>
          <w:tcPr>
            <w:tcW w:w="3192" w:type="dxa"/>
            <w:tcBorders>
              <w:top w:val="single" w:sz="4" w:space="0" w:color="auto"/>
            </w:tcBorders>
          </w:tcPr>
          <w:p w14:paraId="444C95DA" w14:textId="77777777" w:rsidR="00457F29" w:rsidRPr="0096589B" w:rsidRDefault="00457F29" w:rsidP="00BF74D4">
            <w:pPr>
              <w:jc w:val="center"/>
              <w:rPr>
                <w:rFonts w:ascii="Times New Roman" w:hAnsi="Times New Roman" w:cs="Times New Roman"/>
                <w:sz w:val="24"/>
                <w:szCs w:val="24"/>
              </w:rPr>
            </w:pPr>
            <w:r w:rsidRPr="0096589B">
              <w:rPr>
                <w:rFonts w:ascii="Times New Roman" w:hAnsi="Times New Roman" w:cs="Times New Roman"/>
                <w:sz w:val="24"/>
                <w:szCs w:val="24"/>
              </w:rPr>
              <w:t>Full time</w:t>
            </w:r>
          </w:p>
        </w:tc>
        <w:tc>
          <w:tcPr>
            <w:tcW w:w="3192" w:type="dxa"/>
            <w:tcBorders>
              <w:top w:val="single" w:sz="4" w:space="0" w:color="auto"/>
            </w:tcBorders>
          </w:tcPr>
          <w:p w14:paraId="491DA642" w14:textId="77777777" w:rsidR="00457F29" w:rsidRPr="0096589B" w:rsidRDefault="00457F29" w:rsidP="00BF74D4">
            <w:pPr>
              <w:jc w:val="center"/>
              <w:rPr>
                <w:rFonts w:ascii="Times New Roman" w:hAnsi="Times New Roman" w:cs="Times New Roman"/>
                <w:sz w:val="24"/>
                <w:szCs w:val="24"/>
              </w:rPr>
            </w:pPr>
            <w:r w:rsidRPr="0096589B">
              <w:rPr>
                <w:rFonts w:ascii="Times New Roman" w:hAnsi="Times New Roman" w:cs="Times New Roman"/>
                <w:sz w:val="24"/>
                <w:szCs w:val="24"/>
              </w:rPr>
              <w:t>51</w:t>
            </w:r>
          </w:p>
        </w:tc>
        <w:tc>
          <w:tcPr>
            <w:tcW w:w="3192" w:type="dxa"/>
            <w:tcBorders>
              <w:top w:val="single" w:sz="4" w:space="0" w:color="auto"/>
            </w:tcBorders>
          </w:tcPr>
          <w:p w14:paraId="1180188E" w14:textId="77777777" w:rsidR="00457F29" w:rsidRPr="0096589B" w:rsidRDefault="00457F29" w:rsidP="00BF74D4">
            <w:pPr>
              <w:jc w:val="center"/>
              <w:rPr>
                <w:rFonts w:ascii="Times New Roman" w:hAnsi="Times New Roman" w:cs="Times New Roman"/>
                <w:sz w:val="24"/>
                <w:szCs w:val="24"/>
              </w:rPr>
            </w:pPr>
            <w:r w:rsidRPr="0096589B">
              <w:rPr>
                <w:rFonts w:ascii="Times New Roman" w:hAnsi="Times New Roman" w:cs="Times New Roman"/>
                <w:sz w:val="24"/>
                <w:szCs w:val="24"/>
              </w:rPr>
              <w:t>72.9</w:t>
            </w:r>
          </w:p>
        </w:tc>
      </w:tr>
      <w:tr w:rsidR="00457F29" w:rsidRPr="0096589B" w14:paraId="34D139A1" w14:textId="77777777" w:rsidTr="007639B7">
        <w:tc>
          <w:tcPr>
            <w:tcW w:w="3192" w:type="dxa"/>
            <w:tcBorders>
              <w:bottom w:val="single" w:sz="4" w:space="0" w:color="auto"/>
            </w:tcBorders>
          </w:tcPr>
          <w:p w14:paraId="3CC87262" w14:textId="77777777" w:rsidR="00457F29" w:rsidRPr="0096589B" w:rsidRDefault="00457F29" w:rsidP="00BF74D4">
            <w:pPr>
              <w:jc w:val="center"/>
              <w:rPr>
                <w:rFonts w:ascii="Times New Roman" w:hAnsi="Times New Roman" w:cs="Times New Roman"/>
                <w:sz w:val="24"/>
                <w:szCs w:val="24"/>
              </w:rPr>
            </w:pPr>
            <w:r w:rsidRPr="0096589B">
              <w:rPr>
                <w:rFonts w:ascii="Times New Roman" w:hAnsi="Times New Roman" w:cs="Times New Roman"/>
                <w:sz w:val="24"/>
                <w:szCs w:val="24"/>
              </w:rPr>
              <w:t>Part time</w:t>
            </w:r>
          </w:p>
        </w:tc>
        <w:tc>
          <w:tcPr>
            <w:tcW w:w="3192" w:type="dxa"/>
            <w:tcBorders>
              <w:bottom w:val="single" w:sz="4" w:space="0" w:color="auto"/>
            </w:tcBorders>
          </w:tcPr>
          <w:p w14:paraId="70D9013A" w14:textId="77777777" w:rsidR="00457F29" w:rsidRPr="0096589B" w:rsidRDefault="00457F29" w:rsidP="00BF74D4">
            <w:pPr>
              <w:jc w:val="center"/>
              <w:rPr>
                <w:rFonts w:ascii="Times New Roman" w:hAnsi="Times New Roman" w:cs="Times New Roman"/>
                <w:sz w:val="24"/>
                <w:szCs w:val="24"/>
              </w:rPr>
            </w:pPr>
            <w:r w:rsidRPr="0096589B">
              <w:rPr>
                <w:rFonts w:ascii="Times New Roman" w:hAnsi="Times New Roman" w:cs="Times New Roman"/>
                <w:sz w:val="24"/>
                <w:szCs w:val="24"/>
              </w:rPr>
              <w:t>19</w:t>
            </w:r>
          </w:p>
        </w:tc>
        <w:tc>
          <w:tcPr>
            <w:tcW w:w="3192" w:type="dxa"/>
            <w:tcBorders>
              <w:bottom w:val="single" w:sz="4" w:space="0" w:color="auto"/>
            </w:tcBorders>
          </w:tcPr>
          <w:p w14:paraId="5010EFED" w14:textId="77777777" w:rsidR="00457F29" w:rsidRPr="0096589B" w:rsidRDefault="00457F29" w:rsidP="00BF74D4">
            <w:pPr>
              <w:jc w:val="center"/>
              <w:rPr>
                <w:rFonts w:ascii="Times New Roman" w:hAnsi="Times New Roman" w:cs="Times New Roman"/>
                <w:sz w:val="24"/>
                <w:szCs w:val="24"/>
              </w:rPr>
            </w:pPr>
            <w:r w:rsidRPr="0096589B">
              <w:rPr>
                <w:rFonts w:ascii="Times New Roman" w:hAnsi="Times New Roman" w:cs="Times New Roman"/>
                <w:sz w:val="24"/>
                <w:szCs w:val="24"/>
              </w:rPr>
              <w:t>27.1</w:t>
            </w:r>
          </w:p>
        </w:tc>
      </w:tr>
      <w:tr w:rsidR="00457F29" w:rsidRPr="0096589B" w14:paraId="00AF6971" w14:textId="77777777" w:rsidTr="007639B7">
        <w:tc>
          <w:tcPr>
            <w:tcW w:w="3192" w:type="dxa"/>
            <w:tcBorders>
              <w:top w:val="single" w:sz="4" w:space="0" w:color="auto"/>
              <w:bottom w:val="single" w:sz="4" w:space="0" w:color="auto"/>
            </w:tcBorders>
          </w:tcPr>
          <w:p w14:paraId="599CA9DB" w14:textId="77777777" w:rsidR="00457F29" w:rsidRPr="0096589B" w:rsidRDefault="00457F29" w:rsidP="00BF74D4">
            <w:pPr>
              <w:jc w:val="center"/>
              <w:rPr>
                <w:rFonts w:ascii="Times New Roman" w:hAnsi="Times New Roman" w:cs="Times New Roman"/>
                <w:b/>
                <w:sz w:val="24"/>
                <w:szCs w:val="24"/>
              </w:rPr>
            </w:pPr>
            <w:r w:rsidRPr="0096589B">
              <w:rPr>
                <w:rFonts w:ascii="Times New Roman" w:hAnsi="Times New Roman" w:cs="Times New Roman"/>
                <w:b/>
                <w:sz w:val="24"/>
                <w:szCs w:val="24"/>
              </w:rPr>
              <w:t>Total</w:t>
            </w:r>
          </w:p>
        </w:tc>
        <w:tc>
          <w:tcPr>
            <w:tcW w:w="3192" w:type="dxa"/>
            <w:tcBorders>
              <w:top w:val="single" w:sz="4" w:space="0" w:color="auto"/>
              <w:bottom w:val="single" w:sz="4" w:space="0" w:color="auto"/>
            </w:tcBorders>
          </w:tcPr>
          <w:p w14:paraId="6A2D24A0" w14:textId="77777777" w:rsidR="00457F29" w:rsidRPr="0096589B" w:rsidRDefault="00457F29" w:rsidP="00BF74D4">
            <w:pPr>
              <w:jc w:val="center"/>
              <w:rPr>
                <w:rFonts w:ascii="Times New Roman" w:hAnsi="Times New Roman" w:cs="Times New Roman"/>
                <w:b/>
                <w:sz w:val="24"/>
                <w:szCs w:val="24"/>
              </w:rPr>
            </w:pPr>
            <w:r w:rsidRPr="0096589B">
              <w:rPr>
                <w:rFonts w:ascii="Times New Roman" w:hAnsi="Times New Roman" w:cs="Times New Roman"/>
                <w:b/>
                <w:sz w:val="24"/>
                <w:szCs w:val="24"/>
              </w:rPr>
              <w:t>70</w:t>
            </w:r>
          </w:p>
        </w:tc>
        <w:tc>
          <w:tcPr>
            <w:tcW w:w="3192" w:type="dxa"/>
            <w:tcBorders>
              <w:top w:val="single" w:sz="4" w:space="0" w:color="auto"/>
              <w:bottom w:val="single" w:sz="4" w:space="0" w:color="auto"/>
            </w:tcBorders>
          </w:tcPr>
          <w:p w14:paraId="60E307CF" w14:textId="77777777" w:rsidR="00457F29" w:rsidRPr="0096589B" w:rsidRDefault="00457F29" w:rsidP="00BF74D4">
            <w:pPr>
              <w:jc w:val="center"/>
              <w:rPr>
                <w:rFonts w:ascii="Times New Roman" w:hAnsi="Times New Roman" w:cs="Times New Roman"/>
                <w:b/>
                <w:sz w:val="24"/>
                <w:szCs w:val="24"/>
              </w:rPr>
            </w:pPr>
            <w:r w:rsidRPr="0096589B">
              <w:rPr>
                <w:rFonts w:ascii="Times New Roman" w:hAnsi="Times New Roman" w:cs="Times New Roman"/>
                <w:b/>
                <w:sz w:val="24"/>
                <w:szCs w:val="24"/>
              </w:rPr>
              <w:t>100</w:t>
            </w:r>
          </w:p>
        </w:tc>
      </w:tr>
    </w:tbl>
    <w:p w14:paraId="646CD456" w14:textId="77777777" w:rsidR="00457F29" w:rsidRPr="0096589B" w:rsidRDefault="00457F29" w:rsidP="00BF74D4">
      <w:pPr>
        <w:spacing w:line="240" w:lineRule="auto"/>
        <w:jc w:val="both"/>
        <w:rPr>
          <w:rFonts w:ascii="Times New Roman" w:hAnsi="Times New Roman" w:cs="Times New Roman"/>
          <w:sz w:val="24"/>
          <w:szCs w:val="24"/>
        </w:rPr>
      </w:pPr>
    </w:p>
    <w:p w14:paraId="3E1AE19A"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sz w:val="24"/>
        </w:rPr>
        <w:t>From Table 2, 72.9% of the respondents worked full-time, while 27.1% worked part-time.</w:t>
      </w:r>
    </w:p>
    <w:p w14:paraId="284DA7A4" w14:textId="77777777" w:rsidR="00457F29" w:rsidRPr="0096589B" w:rsidRDefault="00457F29" w:rsidP="00BF74D4">
      <w:pPr>
        <w:spacing w:line="240" w:lineRule="auto"/>
        <w:rPr>
          <w:rFonts w:ascii="Times New Roman" w:hAnsi="Times New Roman" w:cs="Times New Roman"/>
          <w:sz w:val="24"/>
          <w:szCs w:val="24"/>
        </w:rPr>
      </w:pPr>
      <w:r w:rsidRPr="0096589B">
        <w:rPr>
          <w:rFonts w:ascii="Times New Roman" w:hAnsi="Times New Roman" w:cs="Times New Roman"/>
          <w:sz w:val="24"/>
          <w:szCs w:val="24"/>
        </w:rPr>
        <w:br w:type="page"/>
      </w:r>
    </w:p>
    <w:p w14:paraId="4624F81F"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cs="Times New Roman"/>
          <w:spacing w:val="-2"/>
          <w:sz w:val="24"/>
          <w:szCs w:val="24"/>
        </w:rPr>
        <w:lastRenderedPageBreak/>
        <w:t>n=70</w:t>
      </w:r>
      <w:r w:rsidRPr="0096589B">
        <w:rPr>
          <w:rFonts w:ascii="Times New Roman" w:hAnsi="Times New Roman" w:cs="Times New Roman"/>
          <w:noProof/>
          <w:sz w:val="24"/>
          <w:szCs w:val="24"/>
        </w:rPr>
        <w:drawing>
          <wp:anchor distT="0" distB="0" distL="114300" distR="114300" simplePos="0" relativeHeight="251660288" behindDoc="0" locked="0" layoutInCell="1" allowOverlap="1" wp14:anchorId="48D06513" wp14:editId="7DC27340">
            <wp:simplePos x="0" y="0"/>
            <wp:positionH relativeFrom="column">
              <wp:align>left</wp:align>
            </wp:positionH>
            <wp:positionV relativeFrom="paragraph">
              <wp:align>top</wp:align>
            </wp:positionV>
            <wp:extent cx="4637405" cy="3081020"/>
            <wp:effectExtent l="0" t="0" r="0" b="0"/>
            <wp:wrapSquare wrapText="bothSides"/>
            <wp:docPr id="7"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134FAA49" w14:textId="77777777" w:rsidR="00457F29" w:rsidRPr="0096589B" w:rsidRDefault="00000000" w:rsidP="00BF74D4">
      <w:pPr>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27CC46ED">
          <v:shapetype id="_x0000_t202" coordsize="21600,21600" o:spt="202" path="m,l,21600r21600,l21600,xe">
            <v:stroke joinstyle="miter"/>
            <v:path gradientshapeok="t" o:connecttype="rect"/>
          </v:shapetype>
          <v:shape id="Text Box 11" o:spid="_x0000_s2079" type="#_x0000_t202" style="position:absolute;left:0;text-align:left;margin-left:-77.5pt;margin-top:59.3pt;width:185.5pt;height:74.1pt;z-index:251667456;visibility:visible" filled="f" stroked="f">
            <v:path arrowok="t"/>
            <v:textbox>
              <w:txbxContent>
                <w:p w14:paraId="0AE36351" w14:textId="77777777" w:rsidR="007639B7" w:rsidRDefault="007639B7" w:rsidP="00457F29">
                  <w:pPr>
                    <w:pStyle w:val="ListParagraph1"/>
                    <w:numPr>
                      <w:ilvl w:val="0"/>
                      <w:numId w:val="27"/>
                    </w:numPr>
                    <w:rPr>
                      <w:sz w:val="20"/>
                      <w:szCs w:val="20"/>
                    </w:rPr>
                  </w:pPr>
                  <w:r w:rsidRPr="000F5C73">
                    <w:rPr>
                      <w:color w:val="C0504D" w:themeColor="accent2"/>
                      <w:sz w:val="20"/>
                      <w:szCs w:val="20"/>
                    </w:rPr>
                    <w:t>(DDN)</w:t>
                  </w:r>
                  <w:r>
                    <w:rPr>
                      <w:sz w:val="20"/>
                      <w:szCs w:val="20"/>
                    </w:rPr>
                    <w:t xml:space="preserve"> Deputy Director (</w:t>
                  </w:r>
                  <w:proofErr w:type="spellStart"/>
                  <w:r>
                    <w:rPr>
                      <w:sz w:val="20"/>
                      <w:szCs w:val="20"/>
                    </w:rPr>
                    <w:t>Nsg</w:t>
                  </w:r>
                  <w:proofErr w:type="spellEnd"/>
                  <w:r>
                    <w:rPr>
                      <w:sz w:val="20"/>
                      <w:szCs w:val="20"/>
                    </w:rPr>
                    <w:t xml:space="preserve">) </w:t>
                  </w:r>
                </w:p>
                <w:p w14:paraId="5065C49C" w14:textId="77777777" w:rsidR="007639B7" w:rsidRDefault="007639B7" w:rsidP="00457F29">
                  <w:pPr>
                    <w:pStyle w:val="ListParagraph1"/>
                    <w:numPr>
                      <w:ilvl w:val="0"/>
                      <w:numId w:val="27"/>
                    </w:numPr>
                    <w:rPr>
                      <w:sz w:val="20"/>
                      <w:szCs w:val="20"/>
                    </w:rPr>
                  </w:pPr>
                  <w:r w:rsidRPr="000F5C73">
                    <w:rPr>
                      <w:color w:val="8064A2" w:themeColor="accent4"/>
                      <w:sz w:val="20"/>
                      <w:szCs w:val="20"/>
                    </w:rPr>
                    <w:t>(CNO)</w:t>
                  </w:r>
                  <w:r>
                    <w:rPr>
                      <w:sz w:val="20"/>
                      <w:szCs w:val="20"/>
                    </w:rPr>
                    <w:t xml:space="preserve"> Chief Nursing Officer </w:t>
                  </w:r>
                </w:p>
                <w:p w14:paraId="6B3478A0" w14:textId="77777777" w:rsidR="007639B7" w:rsidRDefault="007639B7" w:rsidP="00457F29">
                  <w:pPr>
                    <w:pStyle w:val="ListParagraph1"/>
                    <w:numPr>
                      <w:ilvl w:val="0"/>
                      <w:numId w:val="27"/>
                    </w:numPr>
                    <w:rPr>
                      <w:sz w:val="20"/>
                      <w:szCs w:val="20"/>
                    </w:rPr>
                  </w:pPr>
                  <w:r w:rsidRPr="000F5C73">
                    <w:rPr>
                      <w:color w:val="4F81BD" w:themeColor="accent1"/>
                      <w:sz w:val="20"/>
                      <w:szCs w:val="20"/>
                    </w:rPr>
                    <w:t>(PNO)</w:t>
                  </w:r>
                  <w:r>
                    <w:rPr>
                      <w:sz w:val="20"/>
                      <w:szCs w:val="20"/>
                    </w:rPr>
                    <w:t xml:space="preserve"> Principal Nursing Officer </w:t>
                  </w:r>
                </w:p>
                <w:p w14:paraId="570477CD" w14:textId="77777777" w:rsidR="007639B7" w:rsidRDefault="007639B7" w:rsidP="00457F29">
                  <w:pPr>
                    <w:pStyle w:val="ListParagraph1"/>
                    <w:numPr>
                      <w:ilvl w:val="0"/>
                      <w:numId w:val="27"/>
                    </w:numPr>
                    <w:rPr>
                      <w:sz w:val="20"/>
                      <w:szCs w:val="20"/>
                    </w:rPr>
                  </w:pPr>
                  <w:r w:rsidRPr="000F5C73">
                    <w:rPr>
                      <w:color w:val="9BBB59" w:themeColor="accent3"/>
                      <w:sz w:val="20"/>
                      <w:szCs w:val="20"/>
                    </w:rPr>
                    <w:t>(SNO)</w:t>
                  </w:r>
                  <w:r>
                    <w:rPr>
                      <w:sz w:val="20"/>
                      <w:szCs w:val="20"/>
                    </w:rPr>
                    <w:t xml:space="preserve"> Nursing Officer </w:t>
                  </w:r>
                </w:p>
              </w:txbxContent>
            </v:textbox>
          </v:shape>
        </w:pict>
      </w:r>
      <w:r w:rsidR="00457F29" w:rsidRPr="0096589B">
        <w:rPr>
          <w:rFonts w:ascii="Times New Roman" w:hAnsi="Times New Roman" w:cs="Times New Roman"/>
          <w:sz w:val="24"/>
          <w:szCs w:val="24"/>
        </w:rPr>
        <w:br w:type="textWrapping" w:clear="all"/>
      </w:r>
    </w:p>
    <w:p w14:paraId="72447102"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cs="Times New Roman"/>
          <w:b/>
          <w:sz w:val="24"/>
          <w:szCs w:val="24"/>
        </w:rPr>
        <w:t>Fig 4:</w:t>
      </w:r>
      <w:r w:rsidRPr="0096589B">
        <w:rPr>
          <w:rFonts w:ascii="Times New Roman" w:hAnsi="Times New Roman" w:cs="Times New Roman"/>
          <w:sz w:val="24"/>
          <w:szCs w:val="24"/>
        </w:rPr>
        <w:t xml:space="preserve"> Above is showing the designation of the midwives/Nurses.</w:t>
      </w:r>
    </w:p>
    <w:p w14:paraId="46B0464C"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sz w:val="24"/>
        </w:rPr>
        <w:t>Figure 4 shows the designation of respondents: Senior Nursing Officer (SNO), 34%; Chief Nursing Officer (CNO), 34%; Principal Nursing Officer (PNO), 16%; and Deputy Director of Nursing (DDN), 16%.</w:t>
      </w:r>
    </w:p>
    <w:p w14:paraId="7385B317" w14:textId="77777777" w:rsidR="00A12BD0" w:rsidRPr="0096589B" w:rsidRDefault="00A12BD0" w:rsidP="00BF74D4">
      <w:pPr>
        <w:spacing w:line="240" w:lineRule="auto"/>
        <w:jc w:val="both"/>
        <w:rPr>
          <w:rFonts w:ascii="Times New Roman" w:hAnsi="Times New Roman" w:cs="Times New Roman"/>
          <w:sz w:val="24"/>
          <w:szCs w:val="24"/>
        </w:rPr>
      </w:pPr>
    </w:p>
    <w:p w14:paraId="6B345F41" w14:textId="77777777" w:rsidR="00457F29" w:rsidRPr="0096589B" w:rsidRDefault="00457F29" w:rsidP="00BF74D4">
      <w:pPr>
        <w:spacing w:before="216" w:line="240" w:lineRule="auto"/>
        <w:ind w:left="1" w:right="1"/>
        <w:rPr>
          <w:rFonts w:ascii="Times New Roman" w:hAnsi="Times New Roman" w:cs="Times New Roman"/>
          <w:sz w:val="24"/>
          <w:szCs w:val="24"/>
        </w:rPr>
      </w:pPr>
      <w:r w:rsidRPr="0096589B">
        <w:rPr>
          <w:rFonts w:ascii="Times New Roman" w:hAnsi="Times New Roman" w:cs="Times New Roman"/>
          <w:b/>
          <w:sz w:val="24"/>
          <w:szCs w:val="24"/>
        </w:rPr>
        <w:t xml:space="preserve">Table 3: </w:t>
      </w:r>
      <w:r w:rsidRPr="0096589B">
        <w:rPr>
          <w:rFonts w:ascii="Times New Roman" w:hAnsi="Times New Roman" w:cs="Times New Roman"/>
          <w:sz w:val="24"/>
          <w:szCs w:val="24"/>
        </w:rPr>
        <w:t>Categorization of Respondents’ Knowledge of HCW</w:t>
      </w:r>
      <w:r w:rsidRPr="0096589B">
        <w:rPr>
          <w:rFonts w:ascii="Times New Roman" w:hAnsi="Times New Roman" w:cs="Times New Roman"/>
          <w:spacing w:val="-2"/>
          <w:sz w:val="24"/>
          <w:szCs w:val="24"/>
        </w:rPr>
        <w:t xml:space="preserve"> Management            n=70</w:t>
      </w:r>
    </w:p>
    <w:p w14:paraId="53374203" w14:textId="77777777" w:rsidR="00457F29" w:rsidRPr="0096589B" w:rsidRDefault="00457F29" w:rsidP="00BF74D4">
      <w:pPr>
        <w:pStyle w:val="BodyText"/>
        <w:spacing w:before="1" w:after="1"/>
        <w:rPr>
          <w:sz w:val="24"/>
          <w:szCs w:val="24"/>
        </w:rPr>
      </w:pPr>
    </w:p>
    <w:tbl>
      <w:tblPr>
        <w:tblW w:w="9761"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631"/>
        <w:gridCol w:w="2077"/>
        <w:gridCol w:w="1253"/>
        <w:gridCol w:w="1800"/>
      </w:tblGrid>
      <w:tr w:rsidR="00457F29" w:rsidRPr="0096589B" w14:paraId="272F785E" w14:textId="77777777" w:rsidTr="007639B7">
        <w:trPr>
          <w:trHeight w:val="711"/>
        </w:trPr>
        <w:tc>
          <w:tcPr>
            <w:tcW w:w="4631" w:type="dxa"/>
          </w:tcPr>
          <w:p w14:paraId="09EC619B" w14:textId="77777777" w:rsidR="00457F29" w:rsidRPr="0096589B" w:rsidRDefault="00457F29" w:rsidP="00BF74D4">
            <w:pPr>
              <w:pStyle w:val="TableParagraph"/>
              <w:ind w:left="8"/>
              <w:rPr>
                <w:b/>
                <w:sz w:val="24"/>
                <w:szCs w:val="24"/>
              </w:rPr>
            </w:pPr>
            <w:r w:rsidRPr="0096589B">
              <w:rPr>
                <w:b/>
                <w:spacing w:val="-2"/>
                <w:sz w:val="24"/>
                <w:szCs w:val="24"/>
              </w:rPr>
              <w:t>Variable</w:t>
            </w:r>
          </w:p>
        </w:tc>
        <w:tc>
          <w:tcPr>
            <w:tcW w:w="2077" w:type="dxa"/>
          </w:tcPr>
          <w:p w14:paraId="4C693C18" w14:textId="77777777" w:rsidR="00457F29" w:rsidRPr="0096589B" w:rsidRDefault="00457F29" w:rsidP="00BF74D4">
            <w:pPr>
              <w:pStyle w:val="TableParagraph"/>
              <w:ind w:left="10"/>
              <w:rPr>
                <w:b/>
                <w:sz w:val="24"/>
                <w:szCs w:val="24"/>
              </w:rPr>
            </w:pPr>
            <w:r w:rsidRPr="0096589B">
              <w:rPr>
                <w:b/>
                <w:sz w:val="24"/>
                <w:szCs w:val="24"/>
              </w:rPr>
              <w:t>Categorization</w:t>
            </w:r>
            <w:r w:rsidRPr="0096589B">
              <w:rPr>
                <w:b/>
                <w:spacing w:val="-2"/>
                <w:sz w:val="24"/>
                <w:szCs w:val="24"/>
              </w:rPr>
              <w:t xml:space="preserve"> status</w:t>
            </w:r>
          </w:p>
        </w:tc>
        <w:tc>
          <w:tcPr>
            <w:tcW w:w="1253" w:type="dxa"/>
          </w:tcPr>
          <w:p w14:paraId="7C3334D0" w14:textId="77777777" w:rsidR="00457F29" w:rsidRPr="0096589B" w:rsidRDefault="00457F29" w:rsidP="00BF74D4">
            <w:pPr>
              <w:pStyle w:val="TableParagraph"/>
              <w:ind w:left="11"/>
              <w:rPr>
                <w:b/>
                <w:sz w:val="24"/>
                <w:szCs w:val="24"/>
              </w:rPr>
            </w:pPr>
            <w:r w:rsidRPr="0096589B">
              <w:rPr>
                <w:b/>
                <w:spacing w:val="-2"/>
                <w:sz w:val="24"/>
                <w:szCs w:val="24"/>
              </w:rPr>
              <w:t>Frequency</w:t>
            </w:r>
          </w:p>
        </w:tc>
        <w:tc>
          <w:tcPr>
            <w:tcW w:w="1800" w:type="dxa"/>
          </w:tcPr>
          <w:p w14:paraId="537E166F" w14:textId="77777777" w:rsidR="00457F29" w:rsidRPr="0096589B" w:rsidRDefault="00457F29" w:rsidP="00BF74D4">
            <w:pPr>
              <w:pStyle w:val="TableParagraph"/>
              <w:ind w:left="11"/>
              <w:rPr>
                <w:b/>
                <w:sz w:val="24"/>
                <w:szCs w:val="24"/>
              </w:rPr>
            </w:pPr>
            <w:proofErr w:type="gramStart"/>
            <w:r w:rsidRPr="0096589B">
              <w:rPr>
                <w:b/>
                <w:sz w:val="24"/>
                <w:szCs w:val="24"/>
              </w:rPr>
              <w:t>Percentage</w:t>
            </w:r>
            <w:r w:rsidRPr="0096589B">
              <w:rPr>
                <w:b/>
                <w:spacing w:val="-5"/>
                <w:sz w:val="24"/>
                <w:szCs w:val="24"/>
              </w:rPr>
              <w:t>(</w:t>
            </w:r>
            <w:proofErr w:type="gramEnd"/>
            <w:r w:rsidRPr="0096589B">
              <w:rPr>
                <w:b/>
                <w:spacing w:val="-5"/>
                <w:sz w:val="24"/>
                <w:szCs w:val="24"/>
              </w:rPr>
              <w:t>%)</w:t>
            </w:r>
          </w:p>
        </w:tc>
      </w:tr>
      <w:tr w:rsidR="00457F29" w:rsidRPr="0096589B" w14:paraId="6AFCA021" w14:textId="77777777" w:rsidTr="007639B7">
        <w:trPr>
          <w:trHeight w:val="711"/>
        </w:trPr>
        <w:tc>
          <w:tcPr>
            <w:tcW w:w="4631" w:type="dxa"/>
            <w:vMerge w:val="restart"/>
          </w:tcPr>
          <w:p w14:paraId="63297208" w14:textId="77777777" w:rsidR="00457F29" w:rsidRPr="0096589B" w:rsidRDefault="00457F29" w:rsidP="00BF74D4">
            <w:pPr>
              <w:pStyle w:val="TableParagraph"/>
              <w:spacing w:before="98"/>
              <w:ind w:left="355"/>
              <w:jc w:val="left"/>
              <w:rPr>
                <w:sz w:val="24"/>
                <w:szCs w:val="24"/>
              </w:rPr>
            </w:pPr>
            <w:r w:rsidRPr="0096589B">
              <w:rPr>
                <w:sz w:val="24"/>
                <w:szCs w:val="24"/>
              </w:rPr>
              <w:t xml:space="preserve">Level of respondents Knowledge on HCW </w:t>
            </w:r>
            <w:r w:rsidRPr="0096589B">
              <w:rPr>
                <w:spacing w:val="-2"/>
                <w:sz w:val="24"/>
                <w:szCs w:val="24"/>
              </w:rPr>
              <w:t>management</w:t>
            </w:r>
          </w:p>
        </w:tc>
        <w:tc>
          <w:tcPr>
            <w:tcW w:w="2077" w:type="dxa"/>
          </w:tcPr>
          <w:p w14:paraId="48088C79" w14:textId="77777777" w:rsidR="00457F29" w:rsidRPr="0096589B" w:rsidRDefault="00457F29" w:rsidP="00BF74D4">
            <w:pPr>
              <w:pStyle w:val="TableParagraph"/>
              <w:ind w:left="10" w:right="1"/>
              <w:rPr>
                <w:sz w:val="24"/>
                <w:szCs w:val="24"/>
              </w:rPr>
            </w:pPr>
            <w:r w:rsidRPr="0096589B">
              <w:rPr>
                <w:spacing w:val="-5"/>
                <w:sz w:val="24"/>
                <w:szCs w:val="24"/>
              </w:rPr>
              <w:t>Low</w:t>
            </w:r>
          </w:p>
        </w:tc>
        <w:tc>
          <w:tcPr>
            <w:tcW w:w="1253" w:type="dxa"/>
          </w:tcPr>
          <w:p w14:paraId="0B01E98F" w14:textId="77777777" w:rsidR="00457F29" w:rsidRPr="0096589B" w:rsidRDefault="00457F29" w:rsidP="00BF74D4">
            <w:pPr>
              <w:pStyle w:val="TableParagraph"/>
              <w:ind w:left="11"/>
              <w:rPr>
                <w:sz w:val="24"/>
                <w:szCs w:val="24"/>
              </w:rPr>
            </w:pPr>
            <w:r w:rsidRPr="0096589B">
              <w:rPr>
                <w:spacing w:val="-5"/>
                <w:sz w:val="24"/>
                <w:szCs w:val="24"/>
              </w:rPr>
              <w:t>10</w:t>
            </w:r>
          </w:p>
        </w:tc>
        <w:tc>
          <w:tcPr>
            <w:tcW w:w="1800" w:type="dxa"/>
          </w:tcPr>
          <w:p w14:paraId="6369C021" w14:textId="77777777" w:rsidR="00457F29" w:rsidRPr="0096589B" w:rsidRDefault="00457F29" w:rsidP="00BF74D4">
            <w:pPr>
              <w:pStyle w:val="TableParagraph"/>
              <w:ind w:left="11"/>
              <w:rPr>
                <w:sz w:val="24"/>
                <w:szCs w:val="24"/>
              </w:rPr>
            </w:pPr>
            <w:r w:rsidRPr="0096589B">
              <w:rPr>
                <w:spacing w:val="-4"/>
                <w:sz w:val="24"/>
                <w:szCs w:val="24"/>
              </w:rPr>
              <w:t>14.3</w:t>
            </w:r>
          </w:p>
        </w:tc>
      </w:tr>
      <w:tr w:rsidR="00457F29" w:rsidRPr="0096589B" w14:paraId="2867EB45" w14:textId="77777777" w:rsidTr="007639B7">
        <w:trPr>
          <w:trHeight w:val="715"/>
        </w:trPr>
        <w:tc>
          <w:tcPr>
            <w:tcW w:w="4631" w:type="dxa"/>
            <w:vMerge/>
            <w:tcBorders>
              <w:top w:val="nil"/>
            </w:tcBorders>
          </w:tcPr>
          <w:p w14:paraId="789812A3" w14:textId="77777777" w:rsidR="00457F29" w:rsidRPr="0096589B" w:rsidRDefault="00457F29" w:rsidP="00BF74D4">
            <w:pPr>
              <w:spacing w:line="240" w:lineRule="auto"/>
              <w:rPr>
                <w:rFonts w:ascii="Times New Roman" w:hAnsi="Times New Roman" w:cs="Times New Roman"/>
                <w:sz w:val="24"/>
                <w:szCs w:val="24"/>
              </w:rPr>
            </w:pPr>
          </w:p>
        </w:tc>
        <w:tc>
          <w:tcPr>
            <w:tcW w:w="2077" w:type="dxa"/>
          </w:tcPr>
          <w:p w14:paraId="7D0FF2C5" w14:textId="77777777" w:rsidR="00457F29" w:rsidRPr="0096589B" w:rsidRDefault="00457F29" w:rsidP="00BF74D4">
            <w:pPr>
              <w:pStyle w:val="TableParagraph"/>
              <w:ind w:left="10"/>
              <w:rPr>
                <w:sz w:val="24"/>
                <w:szCs w:val="24"/>
              </w:rPr>
            </w:pPr>
            <w:r w:rsidRPr="0096589B">
              <w:rPr>
                <w:spacing w:val="-4"/>
                <w:sz w:val="24"/>
                <w:szCs w:val="24"/>
              </w:rPr>
              <w:t>High</w:t>
            </w:r>
          </w:p>
        </w:tc>
        <w:tc>
          <w:tcPr>
            <w:tcW w:w="1253" w:type="dxa"/>
          </w:tcPr>
          <w:p w14:paraId="67E15DA2" w14:textId="77777777" w:rsidR="00457F29" w:rsidRPr="0096589B" w:rsidRDefault="00457F29" w:rsidP="00BF74D4">
            <w:pPr>
              <w:pStyle w:val="TableParagraph"/>
              <w:ind w:left="11"/>
              <w:rPr>
                <w:sz w:val="24"/>
                <w:szCs w:val="24"/>
              </w:rPr>
            </w:pPr>
            <w:r w:rsidRPr="0096589B">
              <w:rPr>
                <w:spacing w:val="-5"/>
                <w:sz w:val="24"/>
                <w:szCs w:val="24"/>
              </w:rPr>
              <w:t>60</w:t>
            </w:r>
          </w:p>
        </w:tc>
        <w:tc>
          <w:tcPr>
            <w:tcW w:w="1800" w:type="dxa"/>
          </w:tcPr>
          <w:p w14:paraId="4BD2099C" w14:textId="77777777" w:rsidR="00457F29" w:rsidRPr="0096589B" w:rsidRDefault="00457F29" w:rsidP="00BF74D4">
            <w:pPr>
              <w:spacing w:line="240" w:lineRule="auto"/>
              <w:jc w:val="center"/>
              <w:rPr>
                <w:rFonts w:ascii="Times New Roman" w:hAnsi="Times New Roman" w:cs="Times New Roman"/>
                <w:sz w:val="24"/>
                <w:szCs w:val="24"/>
              </w:rPr>
            </w:pPr>
            <w:r w:rsidRPr="0096589B">
              <w:rPr>
                <w:rFonts w:ascii="Times New Roman" w:hAnsi="Times New Roman" w:cs="Times New Roman"/>
                <w:sz w:val="24"/>
                <w:szCs w:val="24"/>
              </w:rPr>
              <w:t>85.7</w:t>
            </w:r>
          </w:p>
          <w:p w14:paraId="53C785E1" w14:textId="77777777" w:rsidR="00457F29" w:rsidRPr="0096589B" w:rsidRDefault="00457F29" w:rsidP="00BF74D4">
            <w:pPr>
              <w:pStyle w:val="TableParagraph"/>
              <w:ind w:left="11"/>
              <w:rPr>
                <w:sz w:val="24"/>
                <w:szCs w:val="24"/>
              </w:rPr>
            </w:pPr>
          </w:p>
        </w:tc>
      </w:tr>
    </w:tbl>
    <w:p w14:paraId="35B98A70" w14:textId="77777777" w:rsidR="00457F29" w:rsidRPr="0096589B" w:rsidRDefault="00457F29" w:rsidP="00BF74D4">
      <w:pPr>
        <w:pStyle w:val="BodyText"/>
        <w:spacing w:before="12"/>
        <w:rPr>
          <w:sz w:val="24"/>
          <w:szCs w:val="24"/>
        </w:rPr>
      </w:pPr>
    </w:p>
    <w:p w14:paraId="2A00B265"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sz w:val="24"/>
        </w:rPr>
        <w:t>As shown in Table 3, the majority of respondents (85.7%) demonstrated high knowledge of healthcare waste (HCW) management, while 14.3% demonstrated low knowledge.</w:t>
      </w:r>
    </w:p>
    <w:p w14:paraId="77C8A002" w14:textId="77777777" w:rsidR="00457F29" w:rsidRPr="0096589B" w:rsidRDefault="00457F29" w:rsidP="00BF74D4">
      <w:pPr>
        <w:spacing w:line="240" w:lineRule="auto"/>
        <w:jc w:val="both"/>
        <w:rPr>
          <w:rFonts w:ascii="Times New Roman" w:hAnsi="Times New Roman" w:cs="Times New Roman"/>
          <w:sz w:val="24"/>
          <w:szCs w:val="24"/>
        </w:rPr>
      </w:pPr>
    </w:p>
    <w:p w14:paraId="66AF6C54" w14:textId="77777777" w:rsidR="00457F29" w:rsidRPr="0096589B" w:rsidRDefault="00457F29" w:rsidP="00BF74D4">
      <w:pPr>
        <w:spacing w:before="216" w:line="240" w:lineRule="auto"/>
        <w:ind w:left="1" w:right="1"/>
        <w:rPr>
          <w:rFonts w:ascii="Times New Roman" w:hAnsi="Times New Roman" w:cs="Times New Roman"/>
          <w:sz w:val="24"/>
          <w:szCs w:val="24"/>
        </w:rPr>
      </w:pPr>
      <w:r w:rsidRPr="0096589B">
        <w:rPr>
          <w:rFonts w:ascii="Times New Roman" w:hAnsi="Times New Roman" w:cs="Times New Roman"/>
          <w:b/>
          <w:sz w:val="24"/>
          <w:szCs w:val="24"/>
        </w:rPr>
        <w:t>Table</w:t>
      </w:r>
      <w:r w:rsidRPr="0096589B">
        <w:rPr>
          <w:rFonts w:ascii="Times New Roman" w:hAnsi="Times New Roman" w:cs="Times New Roman"/>
          <w:b/>
          <w:spacing w:val="-3"/>
          <w:sz w:val="24"/>
          <w:szCs w:val="24"/>
        </w:rPr>
        <w:t>.</w:t>
      </w:r>
      <w:r w:rsidRPr="0096589B">
        <w:rPr>
          <w:rFonts w:ascii="Times New Roman" w:hAnsi="Times New Roman" w:cs="Times New Roman"/>
          <w:b/>
          <w:sz w:val="24"/>
          <w:szCs w:val="24"/>
        </w:rPr>
        <w:t xml:space="preserve">4: </w:t>
      </w:r>
      <w:r w:rsidRPr="0096589B">
        <w:rPr>
          <w:rFonts w:ascii="Times New Roman" w:hAnsi="Times New Roman" w:cs="Times New Roman"/>
          <w:sz w:val="24"/>
          <w:szCs w:val="24"/>
        </w:rPr>
        <w:t>Level of respondents’ compliance of HCW</w:t>
      </w:r>
      <w:r w:rsidRPr="0096589B">
        <w:rPr>
          <w:rFonts w:ascii="Times New Roman" w:hAnsi="Times New Roman" w:cs="Times New Roman"/>
          <w:spacing w:val="-2"/>
          <w:sz w:val="24"/>
          <w:szCs w:val="24"/>
        </w:rPr>
        <w:t xml:space="preserve"> Management                               n=70</w:t>
      </w:r>
    </w:p>
    <w:p w14:paraId="72DBB93D" w14:textId="77777777" w:rsidR="00457F29" w:rsidRPr="0096589B" w:rsidRDefault="00457F29" w:rsidP="00BF74D4">
      <w:pPr>
        <w:pStyle w:val="BodyText"/>
        <w:spacing w:before="1" w:after="1"/>
        <w:rPr>
          <w:sz w:val="24"/>
          <w:szCs w:val="24"/>
        </w:rPr>
      </w:pPr>
    </w:p>
    <w:tbl>
      <w:tblPr>
        <w:tblW w:w="9671"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631"/>
        <w:gridCol w:w="2077"/>
        <w:gridCol w:w="1253"/>
        <w:gridCol w:w="1710"/>
      </w:tblGrid>
      <w:tr w:rsidR="00457F29" w:rsidRPr="0096589B" w14:paraId="5FBB5774" w14:textId="77777777" w:rsidTr="007639B7">
        <w:trPr>
          <w:trHeight w:val="711"/>
        </w:trPr>
        <w:tc>
          <w:tcPr>
            <w:tcW w:w="4631" w:type="dxa"/>
          </w:tcPr>
          <w:p w14:paraId="725E5A7C" w14:textId="77777777" w:rsidR="00457F29" w:rsidRPr="0096589B" w:rsidRDefault="00457F29" w:rsidP="00BF74D4">
            <w:pPr>
              <w:pStyle w:val="TableParagraph"/>
              <w:ind w:left="8"/>
              <w:rPr>
                <w:b/>
                <w:sz w:val="24"/>
                <w:szCs w:val="24"/>
              </w:rPr>
            </w:pPr>
            <w:r w:rsidRPr="0096589B">
              <w:rPr>
                <w:b/>
                <w:spacing w:val="-2"/>
                <w:sz w:val="24"/>
                <w:szCs w:val="24"/>
              </w:rPr>
              <w:lastRenderedPageBreak/>
              <w:t>Variable</w:t>
            </w:r>
          </w:p>
        </w:tc>
        <w:tc>
          <w:tcPr>
            <w:tcW w:w="2077" w:type="dxa"/>
          </w:tcPr>
          <w:p w14:paraId="28C234AB" w14:textId="77777777" w:rsidR="00457F29" w:rsidRPr="0096589B" w:rsidRDefault="00457F29" w:rsidP="00BF74D4">
            <w:pPr>
              <w:pStyle w:val="TableParagraph"/>
              <w:ind w:left="10"/>
              <w:rPr>
                <w:b/>
                <w:sz w:val="24"/>
                <w:szCs w:val="24"/>
              </w:rPr>
            </w:pPr>
            <w:r w:rsidRPr="0096589B">
              <w:rPr>
                <w:b/>
                <w:sz w:val="24"/>
                <w:szCs w:val="24"/>
              </w:rPr>
              <w:t>Categorization</w:t>
            </w:r>
            <w:r w:rsidRPr="0096589B">
              <w:rPr>
                <w:b/>
                <w:spacing w:val="-2"/>
                <w:sz w:val="24"/>
                <w:szCs w:val="24"/>
              </w:rPr>
              <w:t xml:space="preserve"> status</w:t>
            </w:r>
          </w:p>
        </w:tc>
        <w:tc>
          <w:tcPr>
            <w:tcW w:w="1253" w:type="dxa"/>
          </w:tcPr>
          <w:p w14:paraId="3D6B5412" w14:textId="77777777" w:rsidR="00457F29" w:rsidRPr="0096589B" w:rsidRDefault="00457F29" w:rsidP="00BF74D4">
            <w:pPr>
              <w:pStyle w:val="TableParagraph"/>
              <w:ind w:left="11"/>
              <w:rPr>
                <w:b/>
                <w:sz w:val="24"/>
                <w:szCs w:val="24"/>
              </w:rPr>
            </w:pPr>
            <w:r w:rsidRPr="0096589B">
              <w:rPr>
                <w:b/>
                <w:spacing w:val="-2"/>
                <w:sz w:val="24"/>
                <w:szCs w:val="24"/>
              </w:rPr>
              <w:t>Frequency</w:t>
            </w:r>
          </w:p>
        </w:tc>
        <w:tc>
          <w:tcPr>
            <w:tcW w:w="1710" w:type="dxa"/>
          </w:tcPr>
          <w:p w14:paraId="5985091C" w14:textId="77777777" w:rsidR="00457F29" w:rsidRPr="0096589B" w:rsidRDefault="00457F29" w:rsidP="00BF74D4">
            <w:pPr>
              <w:pStyle w:val="TableParagraph"/>
              <w:ind w:left="11"/>
              <w:rPr>
                <w:b/>
                <w:sz w:val="24"/>
                <w:szCs w:val="24"/>
              </w:rPr>
            </w:pPr>
            <w:proofErr w:type="gramStart"/>
            <w:r w:rsidRPr="0096589B">
              <w:rPr>
                <w:b/>
                <w:sz w:val="24"/>
                <w:szCs w:val="24"/>
              </w:rPr>
              <w:t>Percentage</w:t>
            </w:r>
            <w:r w:rsidRPr="0096589B">
              <w:rPr>
                <w:b/>
                <w:spacing w:val="-5"/>
                <w:sz w:val="24"/>
                <w:szCs w:val="24"/>
              </w:rPr>
              <w:t>(</w:t>
            </w:r>
            <w:proofErr w:type="gramEnd"/>
            <w:r w:rsidRPr="0096589B">
              <w:rPr>
                <w:b/>
                <w:spacing w:val="-5"/>
                <w:sz w:val="24"/>
                <w:szCs w:val="24"/>
              </w:rPr>
              <w:t>%)</w:t>
            </w:r>
          </w:p>
        </w:tc>
      </w:tr>
      <w:tr w:rsidR="00457F29" w:rsidRPr="0096589B" w14:paraId="32A8A2BD" w14:textId="77777777" w:rsidTr="007639B7">
        <w:trPr>
          <w:trHeight w:val="711"/>
        </w:trPr>
        <w:tc>
          <w:tcPr>
            <w:tcW w:w="4631" w:type="dxa"/>
            <w:vMerge w:val="restart"/>
          </w:tcPr>
          <w:p w14:paraId="3116E6A4" w14:textId="77777777" w:rsidR="00457F29" w:rsidRPr="0096589B" w:rsidRDefault="00457F29" w:rsidP="00BF74D4">
            <w:pPr>
              <w:pStyle w:val="TableParagraph"/>
              <w:spacing w:before="98"/>
              <w:ind w:left="355"/>
              <w:jc w:val="left"/>
              <w:rPr>
                <w:sz w:val="24"/>
                <w:szCs w:val="24"/>
              </w:rPr>
            </w:pPr>
            <w:r w:rsidRPr="0096589B">
              <w:rPr>
                <w:sz w:val="24"/>
                <w:szCs w:val="24"/>
              </w:rPr>
              <w:t xml:space="preserve">Level of </w:t>
            </w:r>
            <w:proofErr w:type="gramStart"/>
            <w:r w:rsidRPr="0096589B">
              <w:rPr>
                <w:sz w:val="24"/>
                <w:szCs w:val="24"/>
              </w:rPr>
              <w:t>respondents</w:t>
            </w:r>
            <w:proofErr w:type="gramEnd"/>
            <w:r w:rsidRPr="0096589B">
              <w:rPr>
                <w:sz w:val="24"/>
                <w:szCs w:val="24"/>
              </w:rPr>
              <w:t xml:space="preserve"> compliance on HCW disposal</w:t>
            </w:r>
          </w:p>
        </w:tc>
        <w:tc>
          <w:tcPr>
            <w:tcW w:w="2077" w:type="dxa"/>
          </w:tcPr>
          <w:p w14:paraId="569AF1D3" w14:textId="77777777" w:rsidR="00457F29" w:rsidRPr="0096589B" w:rsidRDefault="00457F29" w:rsidP="00BF74D4">
            <w:pPr>
              <w:pStyle w:val="TableParagraph"/>
              <w:ind w:left="10" w:right="1"/>
              <w:rPr>
                <w:sz w:val="24"/>
                <w:szCs w:val="24"/>
              </w:rPr>
            </w:pPr>
            <w:r w:rsidRPr="0096589B">
              <w:rPr>
                <w:spacing w:val="-5"/>
                <w:sz w:val="24"/>
                <w:szCs w:val="24"/>
              </w:rPr>
              <w:t>Low</w:t>
            </w:r>
          </w:p>
        </w:tc>
        <w:tc>
          <w:tcPr>
            <w:tcW w:w="1253" w:type="dxa"/>
          </w:tcPr>
          <w:p w14:paraId="113C1A1A" w14:textId="77777777" w:rsidR="00457F29" w:rsidRPr="0096589B" w:rsidRDefault="00457F29" w:rsidP="00BF74D4">
            <w:pPr>
              <w:pStyle w:val="TableParagraph"/>
              <w:ind w:left="11"/>
              <w:rPr>
                <w:sz w:val="24"/>
                <w:szCs w:val="24"/>
              </w:rPr>
            </w:pPr>
            <w:r w:rsidRPr="0096589B">
              <w:rPr>
                <w:spacing w:val="-5"/>
                <w:sz w:val="24"/>
                <w:szCs w:val="24"/>
              </w:rPr>
              <w:t>15</w:t>
            </w:r>
          </w:p>
        </w:tc>
        <w:tc>
          <w:tcPr>
            <w:tcW w:w="1710" w:type="dxa"/>
          </w:tcPr>
          <w:p w14:paraId="49C200E1" w14:textId="77777777" w:rsidR="00457F29" w:rsidRPr="0096589B" w:rsidRDefault="00457F29" w:rsidP="00BF74D4">
            <w:pPr>
              <w:pStyle w:val="TableParagraph"/>
              <w:ind w:left="11"/>
              <w:rPr>
                <w:sz w:val="24"/>
                <w:szCs w:val="24"/>
              </w:rPr>
            </w:pPr>
            <w:r w:rsidRPr="0096589B">
              <w:rPr>
                <w:spacing w:val="-4"/>
                <w:sz w:val="24"/>
                <w:szCs w:val="24"/>
              </w:rPr>
              <w:t>21.4</w:t>
            </w:r>
          </w:p>
        </w:tc>
      </w:tr>
      <w:tr w:rsidR="00457F29" w:rsidRPr="0096589B" w14:paraId="40056312" w14:textId="77777777" w:rsidTr="007639B7">
        <w:trPr>
          <w:trHeight w:val="715"/>
        </w:trPr>
        <w:tc>
          <w:tcPr>
            <w:tcW w:w="4631" w:type="dxa"/>
            <w:vMerge/>
            <w:tcBorders>
              <w:top w:val="nil"/>
            </w:tcBorders>
          </w:tcPr>
          <w:p w14:paraId="0A77EED3" w14:textId="77777777" w:rsidR="00457F29" w:rsidRPr="0096589B" w:rsidRDefault="00457F29" w:rsidP="00BF74D4">
            <w:pPr>
              <w:spacing w:line="240" w:lineRule="auto"/>
              <w:rPr>
                <w:rFonts w:ascii="Times New Roman" w:hAnsi="Times New Roman" w:cs="Times New Roman"/>
                <w:sz w:val="24"/>
                <w:szCs w:val="24"/>
              </w:rPr>
            </w:pPr>
          </w:p>
        </w:tc>
        <w:tc>
          <w:tcPr>
            <w:tcW w:w="2077" w:type="dxa"/>
          </w:tcPr>
          <w:p w14:paraId="3611D70A" w14:textId="77777777" w:rsidR="00457F29" w:rsidRPr="0096589B" w:rsidRDefault="00457F29" w:rsidP="00BF74D4">
            <w:pPr>
              <w:pStyle w:val="TableParagraph"/>
              <w:ind w:left="10"/>
              <w:rPr>
                <w:sz w:val="24"/>
                <w:szCs w:val="24"/>
              </w:rPr>
            </w:pPr>
            <w:r w:rsidRPr="0096589B">
              <w:rPr>
                <w:spacing w:val="-4"/>
                <w:sz w:val="24"/>
                <w:szCs w:val="24"/>
              </w:rPr>
              <w:t>High</w:t>
            </w:r>
          </w:p>
        </w:tc>
        <w:tc>
          <w:tcPr>
            <w:tcW w:w="1253" w:type="dxa"/>
          </w:tcPr>
          <w:p w14:paraId="657371EC" w14:textId="77777777" w:rsidR="00457F29" w:rsidRPr="0096589B" w:rsidRDefault="00457F29" w:rsidP="00BF74D4">
            <w:pPr>
              <w:pStyle w:val="TableParagraph"/>
              <w:ind w:left="11"/>
              <w:rPr>
                <w:sz w:val="24"/>
                <w:szCs w:val="24"/>
              </w:rPr>
            </w:pPr>
            <w:r w:rsidRPr="0096589B">
              <w:rPr>
                <w:spacing w:val="-5"/>
                <w:sz w:val="24"/>
                <w:szCs w:val="24"/>
              </w:rPr>
              <w:t>55</w:t>
            </w:r>
          </w:p>
        </w:tc>
        <w:tc>
          <w:tcPr>
            <w:tcW w:w="1710" w:type="dxa"/>
          </w:tcPr>
          <w:p w14:paraId="18E65C07" w14:textId="77777777" w:rsidR="00457F29" w:rsidRPr="0096589B" w:rsidRDefault="00457F29" w:rsidP="00BF74D4">
            <w:pPr>
              <w:spacing w:line="240" w:lineRule="auto"/>
              <w:jc w:val="center"/>
              <w:rPr>
                <w:rFonts w:ascii="Times New Roman" w:hAnsi="Times New Roman" w:cs="Times New Roman"/>
                <w:sz w:val="24"/>
                <w:szCs w:val="24"/>
              </w:rPr>
            </w:pPr>
            <w:r w:rsidRPr="0096589B">
              <w:rPr>
                <w:rFonts w:ascii="Times New Roman" w:hAnsi="Times New Roman" w:cs="Times New Roman"/>
                <w:sz w:val="24"/>
                <w:szCs w:val="24"/>
              </w:rPr>
              <w:t>78.6</w:t>
            </w:r>
          </w:p>
          <w:p w14:paraId="58654498" w14:textId="77777777" w:rsidR="00457F29" w:rsidRPr="0096589B" w:rsidRDefault="00457F29" w:rsidP="00BF74D4">
            <w:pPr>
              <w:pStyle w:val="TableParagraph"/>
              <w:ind w:left="11"/>
              <w:rPr>
                <w:sz w:val="24"/>
                <w:szCs w:val="24"/>
              </w:rPr>
            </w:pPr>
          </w:p>
        </w:tc>
      </w:tr>
    </w:tbl>
    <w:p w14:paraId="29B679F0" w14:textId="77777777" w:rsidR="00457F29" w:rsidRPr="0096589B" w:rsidRDefault="00457F29" w:rsidP="00BF74D4">
      <w:pPr>
        <w:pStyle w:val="BodyText"/>
        <w:spacing w:before="12"/>
        <w:rPr>
          <w:sz w:val="24"/>
          <w:szCs w:val="24"/>
        </w:rPr>
      </w:pPr>
    </w:p>
    <w:p w14:paraId="5870C234"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sz w:val="24"/>
        </w:rPr>
        <w:t>Table 4 reveals that 78.6% of respondents reported high compliance with HCW disposal practices in line with WHO guidelines, while 21.4% reported low compliance.</w:t>
      </w:r>
    </w:p>
    <w:p w14:paraId="78D732CF" w14:textId="77777777" w:rsidR="00A12BD0" w:rsidRPr="0096589B" w:rsidRDefault="00A12BD0" w:rsidP="00BF74D4">
      <w:pPr>
        <w:spacing w:line="240" w:lineRule="auto"/>
        <w:jc w:val="both"/>
        <w:rPr>
          <w:rFonts w:ascii="Times New Roman" w:hAnsi="Times New Roman" w:cs="Times New Roman"/>
          <w:sz w:val="24"/>
          <w:szCs w:val="24"/>
        </w:rPr>
      </w:pPr>
    </w:p>
    <w:p w14:paraId="72C51AF1" w14:textId="77777777" w:rsidR="00457F29" w:rsidRPr="0096589B" w:rsidRDefault="00457F29" w:rsidP="00BF74D4">
      <w:pPr>
        <w:spacing w:line="240" w:lineRule="auto"/>
        <w:jc w:val="both"/>
        <w:rPr>
          <w:rFonts w:ascii="Times New Roman" w:hAnsi="Times New Roman" w:cs="Times New Roman"/>
          <w:b/>
          <w:sz w:val="24"/>
          <w:szCs w:val="24"/>
        </w:rPr>
      </w:pPr>
      <w:r w:rsidRPr="0096589B">
        <w:rPr>
          <w:rFonts w:ascii="Times New Roman" w:hAnsi="Times New Roman" w:cs="Times New Roman"/>
          <w:b/>
          <w:sz w:val="24"/>
          <w:szCs w:val="24"/>
        </w:rPr>
        <w:t xml:space="preserve">Test of Hypothesis </w:t>
      </w:r>
    </w:p>
    <w:p w14:paraId="0EA7978D" w14:textId="77777777" w:rsidR="00457F29" w:rsidRPr="0096589B" w:rsidRDefault="00457F29" w:rsidP="00BF74D4">
      <w:pPr>
        <w:spacing w:line="240" w:lineRule="auto"/>
        <w:ind w:left="720" w:hanging="720"/>
        <w:jc w:val="both"/>
        <w:rPr>
          <w:rFonts w:ascii="Times New Roman" w:hAnsi="Times New Roman" w:cs="Times New Roman"/>
          <w:sz w:val="24"/>
          <w:szCs w:val="24"/>
        </w:rPr>
      </w:pPr>
      <w:r w:rsidRPr="0096589B">
        <w:rPr>
          <w:rFonts w:ascii="Times New Roman" w:hAnsi="Times New Roman"/>
          <w:b/>
          <w:sz w:val="24"/>
        </w:rPr>
        <w:t>Ho1: There is no significant difference between the mean rating scores of midwives and nurses regarding their knowledge of WHO guidelines for waste management.</w:t>
      </w:r>
    </w:p>
    <w:p w14:paraId="4E6DA369" w14:textId="77777777" w:rsidR="00457F29" w:rsidRPr="0096589B" w:rsidRDefault="00457F29" w:rsidP="00BF74D4">
      <w:pPr>
        <w:tabs>
          <w:tab w:val="left" w:pos="720"/>
        </w:tabs>
        <w:spacing w:after="0" w:line="240" w:lineRule="auto"/>
        <w:rPr>
          <w:rFonts w:ascii="Times New Roman" w:hAnsi="Times New Roman" w:cs="Times New Roman"/>
          <w:sz w:val="24"/>
          <w:szCs w:val="24"/>
        </w:rPr>
      </w:pPr>
      <w:r w:rsidRPr="0096589B">
        <w:rPr>
          <w:rFonts w:ascii="Times New Roman" w:hAnsi="Times New Roman" w:cs="Times New Roman"/>
          <w:sz w:val="24"/>
          <w:szCs w:val="24"/>
        </w:rPr>
        <w:t xml:space="preserve">Table </w:t>
      </w:r>
      <w:r w:rsidR="00CE4011" w:rsidRPr="0096589B">
        <w:rPr>
          <w:rFonts w:ascii="Times New Roman" w:hAnsi="Times New Roman" w:cs="Times New Roman"/>
          <w:sz w:val="24"/>
          <w:szCs w:val="24"/>
        </w:rPr>
        <w:t>5</w:t>
      </w:r>
      <w:r w:rsidRPr="0096589B">
        <w:rPr>
          <w:rFonts w:ascii="Times New Roman" w:hAnsi="Times New Roman" w:cs="Times New Roman"/>
          <w:sz w:val="24"/>
          <w:szCs w:val="24"/>
        </w:rPr>
        <w:t>: t-test Analysis of significant difference between the mean rating scores of midwives and Nurses on their knowledge of WHO guidelines for waste management.</w:t>
      </w:r>
    </w:p>
    <w:tbl>
      <w:tblPr>
        <w:tblStyle w:val="TableGrid"/>
        <w:tblW w:w="9252"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5"/>
        <w:gridCol w:w="806"/>
        <w:gridCol w:w="1116"/>
        <w:gridCol w:w="890"/>
        <w:gridCol w:w="827"/>
        <w:gridCol w:w="890"/>
        <w:gridCol w:w="916"/>
        <w:gridCol w:w="991"/>
        <w:gridCol w:w="211"/>
      </w:tblGrid>
      <w:tr w:rsidR="00457F29" w:rsidRPr="0096589B" w14:paraId="73FD2C25" w14:textId="77777777" w:rsidTr="007639B7">
        <w:trPr>
          <w:trHeight w:val="285"/>
        </w:trPr>
        <w:tc>
          <w:tcPr>
            <w:tcW w:w="2605" w:type="dxa"/>
            <w:tcBorders>
              <w:top w:val="single" w:sz="4" w:space="0" w:color="auto"/>
              <w:bottom w:val="single" w:sz="4" w:space="0" w:color="auto"/>
            </w:tcBorders>
          </w:tcPr>
          <w:p w14:paraId="5F22CCE8" w14:textId="77777777" w:rsidR="00457F29" w:rsidRPr="0096589B" w:rsidRDefault="00457F29" w:rsidP="00BF74D4">
            <w:pPr>
              <w:autoSpaceDE w:val="0"/>
              <w:adjustRightInd w:val="0"/>
              <w:rPr>
                <w:rFonts w:ascii="Times New Roman" w:eastAsia="BookAntiqua-Bold" w:hAnsi="Times New Roman" w:cs="Times New Roman"/>
                <w:b/>
                <w:bCs/>
                <w:sz w:val="24"/>
                <w:szCs w:val="24"/>
              </w:rPr>
            </w:pPr>
            <w:r w:rsidRPr="0096589B">
              <w:rPr>
                <w:rFonts w:ascii="Times New Roman" w:eastAsia="BookAntiqua-Bold" w:hAnsi="Times New Roman" w:cs="Times New Roman"/>
                <w:b/>
                <w:bCs/>
                <w:sz w:val="24"/>
                <w:szCs w:val="24"/>
              </w:rPr>
              <w:t>Respondents</w:t>
            </w:r>
          </w:p>
        </w:tc>
        <w:tc>
          <w:tcPr>
            <w:tcW w:w="806" w:type="dxa"/>
            <w:tcBorders>
              <w:top w:val="single" w:sz="4" w:space="0" w:color="auto"/>
              <w:bottom w:val="single" w:sz="4" w:space="0" w:color="auto"/>
            </w:tcBorders>
          </w:tcPr>
          <w:p w14:paraId="551BD159" w14:textId="77777777" w:rsidR="00457F29" w:rsidRPr="0096589B" w:rsidRDefault="00000000" w:rsidP="00BF74D4">
            <w:pPr>
              <w:autoSpaceDE w:val="0"/>
              <w:adjustRightInd w:val="0"/>
              <w:jc w:val="center"/>
              <w:rPr>
                <w:rFonts w:ascii="Times New Roman" w:eastAsia="BookAntiqua-Bold" w:hAnsi="Times New Roman" w:cs="Times New Roman"/>
                <w:b/>
                <w:bCs/>
                <w:sz w:val="24"/>
                <w:szCs w:val="24"/>
              </w:rPr>
            </w:pPr>
            <w:r>
              <w:rPr>
                <w:rFonts w:ascii="Times New Roman" w:hAnsi="Times New Roman" w:cs="Times New Roman"/>
                <w:noProof/>
                <w:sz w:val="24"/>
                <w:szCs w:val="24"/>
              </w:rPr>
              <w:pict w14:anchorId="62C9C27E">
                <v:oval id="Oval 12" o:spid="_x0000_s2077" style="position:absolute;left:0;text-align:left;margin-left:38.3pt;margin-top:.45pt;width:9.95pt;height:3.55pt;z-index:2516654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" fillcolor="white [3201]" strokecolor="white [3212]" strokeweight="2pt">
                  <v:path arrowok="t"/>
                </v:oval>
              </w:pict>
            </w:r>
            <w:r w:rsidR="00457F29" w:rsidRPr="0096589B">
              <w:rPr>
                <w:rFonts w:ascii="Times New Roman" w:eastAsia="BookAntiqua-Bold" w:hAnsi="Times New Roman" w:cs="Times New Roman"/>
                <w:b/>
                <w:bCs/>
                <w:sz w:val="24"/>
                <w:szCs w:val="24"/>
              </w:rPr>
              <w:t>N</w:t>
            </w:r>
          </w:p>
        </w:tc>
        <w:tc>
          <w:tcPr>
            <w:tcW w:w="1116" w:type="dxa"/>
            <w:tcBorders>
              <w:top w:val="single" w:sz="4" w:space="0" w:color="auto"/>
              <w:bottom w:val="single" w:sz="4" w:space="0" w:color="auto"/>
            </w:tcBorders>
          </w:tcPr>
          <w:p w14:paraId="273B20D8" w14:textId="77777777" w:rsidR="00457F29" w:rsidRPr="0096589B" w:rsidRDefault="00457F29" w:rsidP="00BF74D4">
            <w:pPr>
              <w:autoSpaceDE w:val="0"/>
              <w:adjustRightInd w:val="0"/>
              <w:jc w:val="center"/>
              <w:rPr>
                <w:rFonts w:ascii="Times New Roman" w:eastAsia="BookAntiqua-Bold" w:hAnsi="Times New Roman" w:cs="Times New Roman"/>
                <w:b/>
                <w:bCs/>
                <w:sz w:val="24"/>
                <w:szCs w:val="24"/>
              </w:rPr>
            </w:pPr>
          </w:p>
        </w:tc>
        <w:tc>
          <w:tcPr>
            <w:tcW w:w="890" w:type="dxa"/>
            <w:tcBorders>
              <w:top w:val="single" w:sz="4" w:space="0" w:color="auto"/>
              <w:bottom w:val="single" w:sz="4" w:space="0" w:color="auto"/>
            </w:tcBorders>
          </w:tcPr>
          <w:p w14:paraId="2267CC52" w14:textId="77777777" w:rsidR="00457F29" w:rsidRPr="0096589B" w:rsidRDefault="00457F29" w:rsidP="00BF74D4">
            <w:pPr>
              <w:autoSpaceDE w:val="0"/>
              <w:adjustRightInd w:val="0"/>
              <w:jc w:val="center"/>
              <w:rPr>
                <w:rFonts w:ascii="Times New Roman" w:eastAsia="BookAntiqua-Bold" w:hAnsi="Times New Roman" w:cs="Times New Roman"/>
                <w:b/>
                <w:bCs/>
                <w:sz w:val="24"/>
                <w:szCs w:val="24"/>
              </w:rPr>
            </w:pPr>
            <w:r w:rsidRPr="0096589B">
              <w:rPr>
                <w:rFonts w:ascii="Times New Roman" w:eastAsia="BookAntiqua-Bold" w:hAnsi="Times New Roman" w:cs="Times New Roman"/>
                <w:b/>
                <w:bCs/>
                <w:sz w:val="24"/>
                <w:szCs w:val="24"/>
              </w:rPr>
              <w:t>SD</w:t>
            </w:r>
          </w:p>
        </w:tc>
        <w:tc>
          <w:tcPr>
            <w:tcW w:w="827" w:type="dxa"/>
            <w:tcBorders>
              <w:top w:val="single" w:sz="4" w:space="0" w:color="auto"/>
              <w:bottom w:val="single" w:sz="4" w:space="0" w:color="auto"/>
            </w:tcBorders>
          </w:tcPr>
          <w:p w14:paraId="03163511" w14:textId="77777777" w:rsidR="00457F29" w:rsidRPr="0096589B" w:rsidRDefault="00457F29" w:rsidP="00BF74D4">
            <w:pPr>
              <w:autoSpaceDE w:val="0"/>
              <w:adjustRightInd w:val="0"/>
              <w:jc w:val="center"/>
              <w:rPr>
                <w:rFonts w:ascii="Times New Roman" w:eastAsia="BookAntiqua-Bold" w:hAnsi="Times New Roman" w:cs="Times New Roman"/>
                <w:b/>
                <w:bCs/>
                <w:sz w:val="24"/>
                <w:szCs w:val="24"/>
              </w:rPr>
            </w:pPr>
            <w:proofErr w:type="spellStart"/>
            <w:r w:rsidRPr="0096589B">
              <w:rPr>
                <w:rFonts w:ascii="Times New Roman" w:eastAsia="BookAntiqua-Bold" w:hAnsi="Times New Roman" w:cs="Times New Roman"/>
                <w:b/>
                <w:bCs/>
                <w:sz w:val="24"/>
                <w:szCs w:val="24"/>
              </w:rPr>
              <w:t>Df</w:t>
            </w:r>
            <w:proofErr w:type="spellEnd"/>
          </w:p>
        </w:tc>
        <w:tc>
          <w:tcPr>
            <w:tcW w:w="890" w:type="dxa"/>
            <w:tcBorders>
              <w:top w:val="single" w:sz="4" w:space="0" w:color="auto"/>
              <w:bottom w:val="single" w:sz="4" w:space="0" w:color="auto"/>
            </w:tcBorders>
          </w:tcPr>
          <w:p w14:paraId="05FE8766" w14:textId="77777777" w:rsidR="00457F29" w:rsidRPr="0096589B" w:rsidRDefault="00457F29" w:rsidP="00BF74D4">
            <w:pPr>
              <w:autoSpaceDE w:val="0"/>
              <w:adjustRightInd w:val="0"/>
              <w:jc w:val="center"/>
              <w:rPr>
                <w:rFonts w:ascii="Times New Roman" w:eastAsia="BookAntiqua-Bold" w:hAnsi="Times New Roman" w:cs="Times New Roman"/>
                <w:b/>
                <w:bCs/>
                <w:sz w:val="24"/>
                <w:szCs w:val="24"/>
              </w:rPr>
            </w:pPr>
            <w:r w:rsidRPr="0096589B">
              <w:rPr>
                <w:rFonts w:ascii="Times New Roman" w:eastAsia="BookAntiqua-Bold" w:hAnsi="Times New Roman" w:cs="Times New Roman"/>
                <w:b/>
                <w:bCs/>
                <w:sz w:val="24"/>
                <w:szCs w:val="24"/>
              </w:rPr>
              <w:t>p</w:t>
            </w:r>
          </w:p>
        </w:tc>
        <w:tc>
          <w:tcPr>
            <w:tcW w:w="2118" w:type="dxa"/>
            <w:gridSpan w:val="3"/>
            <w:tcBorders>
              <w:top w:val="single" w:sz="4" w:space="0" w:color="auto"/>
              <w:bottom w:val="single" w:sz="4" w:space="0" w:color="auto"/>
            </w:tcBorders>
          </w:tcPr>
          <w:p w14:paraId="109D0CB5" w14:textId="77777777" w:rsidR="00457F29" w:rsidRPr="0096589B" w:rsidRDefault="00457F29" w:rsidP="00BF74D4">
            <w:pPr>
              <w:autoSpaceDE w:val="0"/>
              <w:adjustRightInd w:val="0"/>
              <w:jc w:val="center"/>
              <w:rPr>
                <w:rFonts w:ascii="Times New Roman" w:eastAsia="BookAntiqua-Bold" w:hAnsi="Times New Roman" w:cs="Times New Roman"/>
                <w:b/>
                <w:bCs/>
                <w:sz w:val="24"/>
                <w:szCs w:val="24"/>
              </w:rPr>
            </w:pPr>
            <w:r w:rsidRPr="0096589B">
              <w:rPr>
                <w:rFonts w:ascii="Times New Roman" w:eastAsia="BookAntiqua-Bold" w:hAnsi="Times New Roman" w:cs="Times New Roman"/>
                <w:b/>
                <w:bCs/>
                <w:sz w:val="24"/>
                <w:szCs w:val="24"/>
              </w:rPr>
              <w:t>Decision</w:t>
            </w:r>
          </w:p>
        </w:tc>
      </w:tr>
      <w:tr w:rsidR="00457F29" w:rsidRPr="0096589B" w14:paraId="363E1AE3" w14:textId="77777777" w:rsidTr="007639B7">
        <w:trPr>
          <w:trHeight w:val="463"/>
        </w:trPr>
        <w:tc>
          <w:tcPr>
            <w:tcW w:w="2605" w:type="dxa"/>
            <w:tcBorders>
              <w:top w:val="single" w:sz="4" w:space="0" w:color="auto"/>
            </w:tcBorders>
          </w:tcPr>
          <w:p w14:paraId="5293856F" w14:textId="77777777" w:rsidR="00457F29" w:rsidRPr="0096589B" w:rsidRDefault="00457F29" w:rsidP="00BF74D4">
            <w:pPr>
              <w:autoSpaceDE w:val="0"/>
              <w:adjustRightInd w:val="0"/>
              <w:rPr>
                <w:rFonts w:ascii="Times New Roman" w:eastAsia="BookAntiqua-Bold" w:hAnsi="Times New Roman" w:cs="Times New Roman"/>
                <w:bCs/>
                <w:sz w:val="24"/>
                <w:szCs w:val="24"/>
              </w:rPr>
            </w:pPr>
            <w:r w:rsidRPr="0096589B">
              <w:rPr>
                <w:rFonts w:ascii="Times New Roman" w:hAnsi="Times New Roman" w:cs="Times New Roman"/>
                <w:bCs/>
                <w:sz w:val="24"/>
                <w:szCs w:val="24"/>
              </w:rPr>
              <w:t>Midwives</w:t>
            </w:r>
            <w:r w:rsidRPr="0096589B">
              <w:rPr>
                <w:rFonts w:ascii="Times New Roman" w:hAnsi="Times New Roman" w:cs="Times New Roman"/>
                <w:bCs/>
                <w:sz w:val="24"/>
                <w:szCs w:val="24"/>
              </w:rPr>
              <w:tab/>
            </w:r>
          </w:p>
        </w:tc>
        <w:tc>
          <w:tcPr>
            <w:tcW w:w="806" w:type="dxa"/>
            <w:tcBorders>
              <w:top w:val="single" w:sz="4" w:space="0" w:color="auto"/>
            </w:tcBorders>
          </w:tcPr>
          <w:p w14:paraId="0072CA78"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r w:rsidRPr="0096589B">
              <w:rPr>
                <w:rFonts w:ascii="Times New Roman" w:eastAsia="BookAntiqua-Bold" w:hAnsi="Times New Roman" w:cs="Times New Roman"/>
                <w:bCs/>
                <w:sz w:val="24"/>
                <w:szCs w:val="24"/>
              </w:rPr>
              <w:t>40</w:t>
            </w:r>
          </w:p>
        </w:tc>
        <w:tc>
          <w:tcPr>
            <w:tcW w:w="1116" w:type="dxa"/>
            <w:tcBorders>
              <w:top w:val="single" w:sz="4" w:space="0" w:color="auto"/>
            </w:tcBorders>
          </w:tcPr>
          <w:p w14:paraId="4ECE1A96"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r w:rsidRPr="0096589B">
              <w:rPr>
                <w:rFonts w:ascii="Times New Roman" w:hAnsi="Times New Roman" w:cs="Times New Roman"/>
                <w:sz w:val="24"/>
                <w:szCs w:val="24"/>
              </w:rPr>
              <w:t>3.00</w:t>
            </w:r>
          </w:p>
        </w:tc>
        <w:tc>
          <w:tcPr>
            <w:tcW w:w="890" w:type="dxa"/>
            <w:tcBorders>
              <w:top w:val="single" w:sz="4" w:space="0" w:color="auto"/>
            </w:tcBorders>
          </w:tcPr>
          <w:p w14:paraId="53DEC0C9"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r w:rsidRPr="0096589B">
              <w:rPr>
                <w:rFonts w:ascii="Times New Roman" w:hAnsi="Times New Roman" w:cs="Times New Roman"/>
                <w:sz w:val="24"/>
                <w:szCs w:val="24"/>
              </w:rPr>
              <w:t>0.72</w:t>
            </w:r>
          </w:p>
        </w:tc>
        <w:tc>
          <w:tcPr>
            <w:tcW w:w="827" w:type="dxa"/>
            <w:tcBorders>
              <w:top w:val="single" w:sz="4" w:space="0" w:color="auto"/>
            </w:tcBorders>
          </w:tcPr>
          <w:p w14:paraId="2396D196"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p>
        </w:tc>
        <w:tc>
          <w:tcPr>
            <w:tcW w:w="890" w:type="dxa"/>
            <w:tcBorders>
              <w:top w:val="single" w:sz="4" w:space="0" w:color="auto"/>
            </w:tcBorders>
          </w:tcPr>
          <w:p w14:paraId="6BF336EA"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p>
        </w:tc>
        <w:tc>
          <w:tcPr>
            <w:tcW w:w="2118" w:type="dxa"/>
            <w:gridSpan w:val="3"/>
            <w:tcBorders>
              <w:top w:val="single" w:sz="4" w:space="0" w:color="auto"/>
            </w:tcBorders>
          </w:tcPr>
          <w:p w14:paraId="6C8E9D86"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p>
        </w:tc>
      </w:tr>
      <w:tr w:rsidR="00457F29" w:rsidRPr="0096589B" w14:paraId="32700491" w14:textId="77777777" w:rsidTr="007639B7">
        <w:trPr>
          <w:trHeight w:val="382"/>
        </w:trPr>
        <w:tc>
          <w:tcPr>
            <w:tcW w:w="2605" w:type="dxa"/>
          </w:tcPr>
          <w:p w14:paraId="079A3E06" w14:textId="77777777" w:rsidR="00457F29" w:rsidRPr="0096589B" w:rsidRDefault="00457F29" w:rsidP="00BF74D4">
            <w:pPr>
              <w:autoSpaceDE w:val="0"/>
              <w:adjustRightInd w:val="0"/>
              <w:rPr>
                <w:rFonts w:ascii="Times New Roman" w:eastAsia="BookAntiqua-Bold" w:hAnsi="Times New Roman" w:cs="Times New Roman"/>
                <w:bCs/>
                <w:sz w:val="24"/>
                <w:szCs w:val="24"/>
              </w:rPr>
            </w:pPr>
          </w:p>
        </w:tc>
        <w:tc>
          <w:tcPr>
            <w:tcW w:w="806" w:type="dxa"/>
          </w:tcPr>
          <w:p w14:paraId="434A3190"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p>
        </w:tc>
        <w:tc>
          <w:tcPr>
            <w:tcW w:w="1116" w:type="dxa"/>
          </w:tcPr>
          <w:p w14:paraId="105C42CC"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p>
        </w:tc>
        <w:tc>
          <w:tcPr>
            <w:tcW w:w="890" w:type="dxa"/>
          </w:tcPr>
          <w:p w14:paraId="3E7B4BA6"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p>
        </w:tc>
        <w:tc>
          <w:tcPr>
            <w:tcW w:w="827" w:type="dxa"/>
          </w:tcPr>
          <w:p w14:paraId="1B11FA58"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r w:rsidRPr="0096589B">
              <w:rPr>
                <w:rFonts w:ascii="Times New Roman" w:eastAsia="BookAntiqua-Bold" w:hAnsi="Times New Roman" w:cs="Times New Roman"/>
                <w:bCs/>
                <w:sz w:val="24"/>
                <w:szCs w:val="24"/>
              </w:rPr>
              <w:t>68</w:t>
            </w:r>
          </w:p>
        </w:tc>
        <w:tc>
          <w:tcPr>
            <w:tcW w:w="890" w:type="dxa"/>
          </w:tcPr>
          <w:p w14:paraId="1BBDD00C"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r w:rsidRPr="0096589B">
              <w:rPr>
                <w:rFonts w:ascii="Times New Roman" w:eastAsia="BookAntiqua-Bold" w:hAnsi="Times New Roman" w:cs="Times New Roman"/>
                <w:bCs/>
                <w:sz w:val="24"/>
                <w:szCs w:val="24"/>
              </w:rPr>
              <w:t>0.58</w:t>
            </w:r>
          </w:p>
        </w:tc>
        <w:tc>
          <w:tcPr>
            <w:tcW w:w="2118" w:type="dxa"/>
            <w:gridSpan w:val="3"/>
          </w:tcPr>
          <w:p w14:paraId="5BE31A2D"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r w:rsidRPr="0096589B">
              <w:rPr>
                <w:rFonts w:ascii="Times New Roman" w:eastAsia="BookAntiqua-Bold" w:hAnsi="Times New Roman" w:cs="Times New Roman"/>
                <w:bCs/>
                <w:sz w:val="24"/>
                <w:szCs w:val="24"/>
              </w:rPr>
              <w:t>Accepted</w:t>
            </w:r>
          </w:p>
        </w:tc>
      </w:tr>
      <w:tr w:rsidR="00457F29" w:rsidRPr="0096589B" w14:paraId="178AE676" w14:textId="77777777" w:rsidTr="007639B7">
        <w:trPr>
          <w:gridAfter w:val="1"/>
          <w:wAfter w:w="211" w:type="dxa"/>
          <w:trHeight w:val="302"/>
        </w:trPr>
        <w:tc>
          <w:tcPr>
            <w:tcW w:w="2605" w:type="dxa"/>
            <w:tcBorders>
              <w:bottom w:val="single" w:sz="4" w:space="0" w:color="auto"/>
            </w:tcBorders>
          </w:tcPr>
          <w:p w14:paraId="0E6C0ED0" w14:textId="77777777" w:rsidR="00457F29" w:rsidRPr="0096589B" w:rsidRDefault="00457F29" w:rsidP="00BF74D4">
            <w:pPr>
              <w:autoSpaceDE w:val="0"/>
              <w:adjustRightInd w:val="0"/>
              <w:rPr>
                <w:rFonts w:ascii="Times New Roman" w:hAnsi="Times New Roman" w:cs="Times New Roman"/>
                <w:bCs/>
                <w:sz w:val="24"/>
                <w:szCs w:val="24"/>
              </w:rPr>
            </w:pPr>
            <w:r w:rsidRPr="0096589B">
              <w:rPr>
                <w:rFonts w:ascii="Times New Roman" w:hAnsi="Times New Roman" w:cs="Times New Roman"/>
                <w:bCs/>
                <w:sz w:val="24"/>
                <w:szCs w:val="24"/>
              </w:rPr>
              <w:t>Nurses</w:t>
            </w:r>
          </w:p>
        </w:tc>
        <w:tc>
          <w:tcPr>
            <w:tcW w:w="806" w:type="dxa"/>
            <w:tcBorders>
              <w:bottom w:val="single" w:sz="4" w:space="0" w:color="auto"/>
            </w:tcBorders>
          </w:tcPr>
          <w:p w14:paraId="6280F6C3"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r w:rsidRPr="0096589B">
              <w:rPr>
                <w:rFonts w:ascii="Times New Roman" w:eastAsia="BookAntiqua-Bold" w:hAnsi="Times New Roman" w:cs="Times New Roman"/>
                <w:bCs/>
                <w:sz w:val="24"/>
                <w:szCs w:val="24"/>
              </w:rPr>
              <w:t>30</w:t>
            </w:r>
          </w:p>
        </w:tc>
        <w:tc>
          <w:tcPr>
            <w:tcW w:w="1116" w:type="dxa"/>
            <w:tcBorders>
              <w:bottom w:val="single" w:sz="4" w:space="0" w:color="auto"/>
            </w:tcBorders>
          </w:tcPr>
          <w:p w14:paraId="08876F55" w14:textId="77777777" w:rsidR="00457F29" w:rsidRPr="0096589B" w:rsidRDefault="00457F29" w:rsidP="00BF74D4">
            <w:pPr>
              <w:autoSpaceDE w:val="0"/>
              <w:adjustRightInd w:val="0"/>
              <w:jc w:val="center"/>
              <w:rPr>
                <w:rFonts w:ascii="Times New Roman" w:hAnsi="Times New Roman" w:cs="Times New Roman"/>
                <w:sz w:val="24"/>
                <w:szCs w:val="24"/>
              </w:rPr>
            </w:pPr>
            <w:r w:rsidRPr="0096589B">
              <w:rPr>
                <w:rFonts w:ascii="Times New Roman" w:hAnsi="Times New Roman" w:cs="Times New Roman"/>
                <w:sz w:val="24"/>
                <w:szCs w:val="24"/>
              </w:rPr>
              <w:t>2.87</w:t>
            </w:r>
          </w:p>
        </w:tc>
        <w:tc>
          <w:tcPr>
            <w:tcW w:w="890" w:type="dxa"/>
            <w:tcBorders>
              <w:bottom w:val="single" w:sz="4" w:space="0" w:color="auto"/>
            </w:tcBorders>
          </w:tcPr>
          <w:p w14:paraId="4EC6D736" w14:textId="77777777" w:rsidR="00457F29" w:rsidRPr="0096589B" w:rsidRDefault="00457F29" w:rsidP="00BF74D4">
            <w:pPr>
              <w:autoSpaceDE w:val="0"/>
              <w:adjustRightInd w:val="0"/>
              <w:jc w:val="center"/>
              <w:rPr>
                <w:rFonts w:ascii="Times New Roman" w:hAnsi="Times New Roman" w:cs="Times New Roman"/>
                <w:sz w:val="24"/>
                <w:szCs w:val="24"/>
              </w:rPr>
            </w:pPr>
            <w:r w:rsidRPr="0096589B">
              <w:rPr>
                <w:rFonts w:ascii="Times New Roman" w:hAnsi="Times New Roman" w:cs="Times New Roman"/>
                <w:sz w:val="24"/>
                <w:szCs w:val="24"/>
              </w:rPr>
              <w:t>0.91</w:t>
            </w:r>
          </w:p>
        </w:tc>
        <w:tc>
          <w:tcPr>
            <w:tcW w:w="827" w:type="dxa"/>
            <w:tcBorders>
              <w:bottom w:val="single" w:sz="4" w:space="0" w:color="auto"/>
            </w:tcBorders>
          </w:tcPr>
          <w:p w14:paraId="3D3B0976"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p>
        </w:tc>
        <w:tc>
          <w:tcPr>
            <w:tcW w:w="890" w:type="dxa"/>
            <w:tcBorders>
              <w:bottom w:val="single" w:sz="4" w:space="0" w:color="auto"/>
            </w:tcBorders>
          </w:tcPr>
          <w:p w14:paraId="1CE6BB5A"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p>
        </w:tc>
        <w:tc>
          <w:tcPr>
            <w:tcW w:w="916" w:type="dxa"/>
            <w:tcBorders>
              <w:bottom w:val="single" w:sz="4" w:space="0" w:color="auto"/>
            </w:tcBorders>
          </w:tcPr>
          <w:p w14:paraId="5AAE2A1C"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p>
        </w:tc>
        <w:tc>
          <w:tcPr>
            <w:tcW w:w="991" w:type="dxa"/>
            <w:tcBorders>
              <w:bottom w:val="single" w:sz="4" w:space="0" w:color="auto"/>
            </w:tcBorders>
          </w:tcPr>
          <w:p w14:paraId="669259C6" w14:textId="77777777" w:rsidR="00457F29" w:rsidRPr="0096589B" w:rsidRDefault="00457F29" w:rsidP="00BF74D4">
            <w:pPr>
              <w:autoSpaceDE w:val="0"/>
              <w:adjustRightInd w:val="0"/>
              <w:jc w:val="center"/>
              <w:rPr>
                <w:rFonts w:ascii="Times New Roman" w:eastAsia="BookAntiqua-Bold" w:hAnsi="Times New Roman" w:cs="Times New Roman"/>
                <w:bCs/>
                <w:sz w:val="24"/>
                <w:szCs w:val="24"/>
              </w:rPr>
            </w:pPr>
          </w:p>
        </w:tc>
      </w:tr>
    </w:tbl>
    <w:p w14:paraId="46B7F510" w14:textId="77777777" w:rsidR="00457F29" w:rsidRPr="0096589B" w:rsidRDefault="00457F29" w:rsidP="00BF74D4">
      <w:pPr>
        <w:spacing w:line="240" w:lineRule="auto"/>
        <w:rPr>
          <w:rFonts w:ascii="Times New Roman" w:hAnsi="Times New Roman" w:cs="Times New Roman"/>
          <w:sz w:val="24"/>
          <w:szCs w:val="24"/>
        </w:rPr>
      </w:pPr>
    </w:p>
    <w:p w14:paraId="1A41497F" w14:textId="77777777" w:rsidR="00457F29" w:rsidRPr="0096589B" w:rsidRDefault="00457F29" w:rsidP="00BF74D4">
      <w:pPr>
        <w:spacing w:line="240" w:lineRule="auto"/>
        <w:jc w:val="both"/>
        <w:rPr>
          <w:rFonts w:ascii="Times New Roman" w:hAnsi="Times New Roman" w:cs="Times New Roman"/>
          <w:sz w:val="24"/>
          <w:szCs w:val="24"/>
        </w:rPr>
      </w:pPr>
      <w:r w:rsidRPr="0096589B">
        <w:rPr>
          <w:rFonts w:ascii="Times New Roman" w:hAnsi="Times New Roman"/>
          <w:sz w:val="24"/>
        </w:rPr>
        <w:t xml:space="preserve">Table 5 shows </w:t>
      </w:r>
      <w:proofErr w:type="spellStart"/>
      <w:r w:rsidRPr="0096589B">
        <w:rPr>
          <w:rFonts w:ascii="Times New Roman" w:hAnsi="Times New Roman"/>
          <w:sz w:val="24"/>
        </w:rPr>
        <w:t>df</w:t>
      </w:r>
      <w:proofErr w:type="spellEnd"/>
      <w:r w:rsidRPr="0096589B">
        <w:rPr>
          <w:rFonts w:ascii="Times New Roman" w:hAnsi="Times New Roman"/>
          <w:sz w:val="24"/>
        </w:rPr>
        <w:t xml:space="preserve"> = 68 and p = 0.58 (p &gt; 0.05). The null hypothesis is therefore accepted; no statistically significant difference exists between the two groups.</w:t>
      </w:r>
    </w:p>
    <w:p w14:paraId="55AD4914" w14:textId="77777777" w:rsidR="00457F29" w:rsidRPr="0096589B" w:rsidRDefault="00457F29" w:rsidP="00BF74D4">
      <w:pPr>
        <w:spacing w:line="240" w:lineRule="auto"/>
        <w:rPr>
          <w:rFonts w:ascii="Times New Roman" w:hAnsi="Times New Roman" w:cs="Times New Roman"/>
          <w:sz w:val="24"/>
          <w:szCs w:val="24"/>
        </w:rPr>
      </w:pPr>
      <w:r w:rsidRPr="0096589B">
        <w:rPr>
          <w:rFonts w:ascii="Times New Roman" w:hAnsi="Times New Roman" w:cs="Times New Roman"/>
          <w:b/>
          <w:sz w:val="24"/>
          <w:szCs w:val="24"/>
        </w:rPr>
        <w:t>Discussion of Findings</w:t>
      </w:r>
    </w:p>
    <w:p w14:paraId="73D96A17" w14:textId="77777777" w:rsidR="00457F29" w:rsidRPr="0096589B" w:rsidRDefault="00457F29" w:rsidP="00BF74D4">
      <w:pPr>
        <w:spacing w:line="240" w:lineRule="auto"/>
        <w:jc w:val="both"/>
        <w:rPr>
          <w:rFonts w:ascii="Times New Roman" w:hAnsi="Times New Roman" w:cs="Times New Roman"/>
          <w:b/>
          <w:sz w:val="24"/>
          <w:szCs w:val="24"/>
        </w:rPr>
      </w:pPr>
      <w:r w:rsidRPr="0096589B">
        <w:rPr>
          <w:rFonts w:ascii="Times New Roman" w:hAnsi="Times New Roman" w:cs="Times New Roman"/>
          <w:b/>
          <w:sz w:val="24"/>
          <w:szCs w:val="24"/>
        </w:rPr>
        <w:t>Level of knowledge of waste management among midwives/nurses</w:t>
      </w:r>
    </w:p>
    <w:p w14:paraId="220115FE" w14:textId="77777777" w:rsidR="00A308C6" w:rsidRDefault="00A308C6" w:rsidP="00BF74D4">
      <w:pPr>
        <w:spacing w:line="240" w:lineRule="auto"/>
        <w:jc w:val="both"/>
        <w:rPr>
          <w:rFonts w:ascii="Times New Roman" w:hAnsi="Times New Roman"/>
          <w:sz w:val="24"/>
        </w:rPr>
      </w:pPr>
    </w:p>
    <w:p w14:paraId="2638B4BB" w14:textId="77777777"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The study revealed a high level of knowledge regarding healthcare waste management among midwives and nurses in the maternity unit of Nnamdi Azikiwe University Teaching Hospital (NAUTH), Nnewi, with 85.7% demonstrating good knowledge. This finding is consistent with several previous Nigerian and international studies that have similarly reported adequate knowledge levels among frontline healthcare workers, particularly in settings where basic training has been provided.</w:t>
      </w:r>
    </w:p>
    <w:p w14:paraId="687A2EF1" w14:textId="77777777" w:rsidR="00A308C6" w:rsidRPr="00A308C6" w:rsidRDefault="00A308C6" w:rsidP="00A308C6">
      <w:pPr>
        <w:spacing w:line="240" w:lineRule="auto"/>
        <w:jc w:val="both"/>
        <w:rPr>
          <w:rFonts w:ascii="Times New Roman" w:hAnsi="Times New Roman" w:cs="Times New Roman"/>
          <w:sz w:val="24"/>
          <w:szCs w:val="24"/>
        </w:rPr>
      </w:pPr>
    </w:p>
    <w:p w14:paraId="3267B88E" w14:textId="1B5A6A3B"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 xml:space="preserve">Nevertheless, existing evidence indicates that knowledge does not necessarily translate into appropriate practice, which may account for reports of suboptimal compliance in some resource-constrained contexts despite satisfactory awareness levels. Empirical studies have shown that a </w:t>
      </w:r>
      <w:r w:rsidRPr="00A308C6">
        <w:rPr>
          <w:rFonts w:ascii="Times New Roman" w:hAnsi="Times New Roman" w:cs="Times New Roman"/>
          <w:sz w:val="24"/>
          <w:szCs w:val="24"/>
        </w:rPr>
        <w:lastRenderedPageBreak/>
        <w:t>considerable proportion of healthcare workers possess good knowledge of healthcare waste management practices (Elsayed &amp; Gab-Allah, 201</w:t>
      </w:r>
      <w:r w:rsidR="00CB38C9">
        <w:rPr>
          <w:rFonts w:ascii="Times New Roman" w:hAnsi="Times New Roman" w:cs="Times New Roman"/>
          <w:sz w:val="24"/>
          <w:szCs w:val="24"/>
        </w:rPr>
        <w:t>9</w:t>
      </w:r>
      <w:r w:rsidRPr="00A308C6">
        <w:rPr>
          <w:rFonts w:ascii="Times New Roman" w:hAnsi="Times New Roman" w:cs="Times New Roman"/>
          <w:sz w:val="24"/>
          <w:szCs w:val="24"/>
        </w:rPr>
        <w:t>; Letho et al., 2021; Musa et al., 2023). In contrast, other studies have documented low levels of knowledge among healthcare personnel, particularly in low- and middle-income countries (</w:t>
      </w:r>
      <w:proofErr w:type="spellStart"/>
      <w:r w:rsidR="00CB38C9" w:rsidRPr="00CB38C9">
        <w:rPr>
          <w:rFonts w:ascii="Times New Roman" w:hAnsi="Times New Roman" w:cs="Times New Roman"/>
          <w:sz w:val="24"/>
          <w:szCs w:val="24"/>
        </w:rPr>
        <w:t>Agbanusi</w:t>
      </w:r>
      <w:proofErr w:type="spellEnd"/>
      <w:r w:rsidRPr="00A308C6">
        <w:rPr>
          <w:rFonts w:ascii="Times New Roman" w:hAnsi="Times New Roman" w:cs="Times New Roman"/>
          <w:sz w:val="24"/>
          <w:szCs w:val="24"/>
        </w:rPr>
        <w:t xml:space="preserve">, 2022; </w:t>
      </w:r>
      <w:proofErr w:type="spellStart"/>
      <w:r w:rsidRPr="00A308C6">
        <w:rPr>
          <w:rFonts w:ascii="Times New Roman" w:hAnsi="Times New Roman" w:cs="Times New Roman"/>
          <w:sz w:val="24"/>
          <w:szCs w:val="24"/>
        </w:rPr>
        <w:t>Kuchibanda</w:t>
      </w:r>
      <w:proofErr w:type="spellEnd"/>
      <w:r w:rsidRPr="00A308C6">
        <w:rPr>
          <w:rFonts w:ascii="Times New Roman" w:hAnsi="Times New Roman" w:cs="Times New Roman"/>
          <w:sz w:val="24"/>
          <w:szCs w:val="24"/>
        </w:rPr>
        <w:t xml:space="preserve"> &amp; Mayo, 2015; Rutayisire et al., 2019; Tadesse &amp; Kumie, 2014).</w:t>
      </w:r>
    </w:p>
    <w:p w14:paraId="501FF3BB" w14:textId="77777777" w:rsidR="00A308C6" w:rsidRPr="00A308C6" w:rsidRDefault="00A308C6" w:rsidP="00A308C6">
      <w:pPr>
        <w:spacing w:line="240" w:lineRule="auto"/>
        <w:jc w:val="both"/>
        <w:rPr>
          <w:rFonts w:ascii="Times New Roman" w:hAnsi="Times New Roman" w:cs="Times New Roman"/>
          <w:sz w:val="24"/>
          <w:szCs w:val="24"/>
        </w:rPr>
      </w:pPr>
    </w:p>
    <w:p w14:paraId="4322CE71" w14:textId="77371D79" w:rsidR="00A308C6" w:rsidRPr="0096589B"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Several factors have been identified as barriers to adequate knowledge of healthcare waste management, including insufficient training, negligence, negative attitudes and limited awareness among healthcare workers (</w:t>
      </w:r>
      <w:proofErr w:type="spellStart"/>
      <w:r w:rsidRPr="00A308C6">
        <w:rPr>
          <w:rFonts w:ascii="Times New Roman" w:hAnsi="Times New Roman" w:cs="Times New Roman"/>
          <w:sz w:val="24"/>
          <w:szCs w:val="24"/>
        </w:rPr>
        <w:t>Debalkie</w:t>
      </w:r>
      <w:proofErr w:type="spellEnd"/>
      <w:r w:rsidRPr="00A308C6">
        <w:rPr>
          <w:rFonts w:ascii="Times New Roman" w:hAnsi="Times New Roman" w:cs="Times New Roman"/>
          <w:sz w:val="24"/>
          <w:szCs w:val="24"/>
        </w:rPr>
        <w:t xml:space="preserve"> &amp; Kumie, 2017; </w:t>
      </w:r>
      <w:proofErr w:type="spellStart"/>
      <w:r w:rsidRPr="00A308C6">
        <w:rPr>
          <w:rFonts w:ascii="Times New Roman" w:hAnsi="Times New Roman" w:cs="Times New Roman"/>
          <w:sz w:val="24"/>
          <w:szCs w:val="24"/>
        </w:rPr>
        <w:t>Kuchibanda</w:t>
      </w:r>
      <w:proofErr w:type="spellEnd"/>
      <w:r w:rsidRPr="00A308C6">
        <w:rPr>
          <w:rFonts w:ascii="Times New Roman" w:hAnsi="Times New Roman" w:cs="Times New Roman"/>
          <w:sz w:val="24"/>
          <w:szCs w:val="24"/>
        </w:rPr>
        <w:t xml:space="preserve"> &amp; Mayo, 2015). In this regard, training </w:t>
      </w:r>
      <w:proofErr w:type="spellStart"/>
      <w:r w:rsidRPr="00A308C6">
        <w:rPr>
          <w:rFonts w:ascii="Times New Roman" w:hAnsi="Times New Roman" w:cs="Times New Roman"/>
          <w:sz w:val="24"/>
          <w:szCs w:val="24"/>
        </w:rPr>
        <w:t>programmes</w:t>
      </w:r>
      <w:proofErr w:type="spellEnd"/>
      <w:r w:rsidRPr="00A308C6">
        <w:rPr>
          <w:rFonts w:ascii="Times New Roman" w:hAnsi="Times New Roman" w:cs="Times New Roman"/>
          <w:sz w:val="24"/>
          <w:szCs w:val="24"/>
        </w:rPr>
        <w:t xml:space="preserve"> have been widely </w:t>
      </w:r>
      <w:proofErr w:type="spellStart"/>
      <w:r w:rsidRPr="00A308C6">
        <w:rPr>
          <w:rFonts w:ascii="Times New Roman" w:hAnsi="Times New Roman" w:cs="Times New Roman"/>
          <w:sz w:val="24"/>
          <w:szCs w:val="24"/>
        </w:rPr>
        <w:t>recognised</w:t>
      </w:r>
      <w:proofErr w:type="spellEnd"/>
      <w:r w:rsidRPr="00A308C6">
        <w:rPr>
          <w:rFonts w:ascii="Times New Roman" w:hAnsi="Times New Roman" w:cs="Times New Roman"/>
          <w:sz w:val="24"/>
          <w:szCs w:val="24"/>
        </w:rPr>
        <w:t xml:space="preserve"> as essential interventions for enhancing healthcare workers’ knowledge of waste management practices (Elsayed &amp; Gab-Allah, 201</w:t>
      </w:r>
      <w:r w:rsidR="00CB38C9">
        <w:rPr>
          <w:rFonts w:ascii="Times New Roman" w:hAnsi="Times New Roman" w:cs="Times New Roman"/>
          <w:sz w:val="24"/>
          <w:szCs w:val="24"/>
        </w:rPr>
        <w:t>9</w:t>
      </w:r>
      <w:r w:rsidRPr="00A308C6">
        <w:rPr>
          <w:rFonts w:ascii="Times New Roman" w:hAnsi="Times New Roman" w:cs="Times New Roman"/>
          <w:sz w:val="24"/>
          <w:szCs w:val="24"/>
        </w:rPr>
        <w:t xml:space="preserve">; </w:t>
      </w:r>
      <w:proofErr w:type="spellStart"/>
      <w:r w:rsidRPr="00A308C6">
        <w:rPr>
          <w:rFonts w:ascii="Times New Roman" w:hAnsi="Times New Roman" w:cs="Times New Roman"/>
          <w:sz w:val="24"/>
          <w:szCs w:val="24"/>
        </w:rPr>
        <w:t>Imchen</w:t>
      </w:r>
      <w:proofErr w:type="spellEnd"/>
      <w:r w:rsidRPr="00A308C6">
        <w:rPr>
          <w:rFonts w:ascii="Times New Roman" w:hAnsi="Times New Roman" w:cs="Times New Roman"/>
          <w:sz w:val="24"/>
          <w:szCs w:val="24"/>
        </w:rPr>
        <w:t xml:space="preserve"> et al., 2017). Furthermore, evidence suggests that post-educational interventions can significantly improve the proportion of healthcare providers achieving good knowledge scores in relation to healthcare waste management (Elsayed &amp; Gab-Allah, 201</w:t>
      </w:r>
      <w:r w:rsidR="00CB38C9">
        <w:rPr>
          <w:rFonts w:ascii="Times New Roman" w:hAnsi="Times New Roman" w:cs="Times New Roman"/>
          <w:sz w:val="24"/>
          <w:szCs w:val="24"/>
        </w:rPr>
        <w:t>9</w:t>
      </w:r>
      <w:r w:rsidRPr="00A308C6">
        <w:rPr>
          <w:rFonts w:ascii="Times New Roman" w:hAnsi="Times New Roman" w:cs="Times New Roman"/>
          <w:sz w:val="24"/>
          <w:szCs w:val="24"/>
        </w:rPr>
        <w:t>).</w:t>
      </w:r>
    </w:p>
    <w:p w14:paraId="6F208DBA" w14:textId="77777777" w:rsidR="00457F29" w:rsidRPr="0096589B" w:rsidRDefault="00457F29" w:rsidP="00BF74D4">
      <w:pPr>
        <w:spacing w:line="240" w:lineRule="auto"/>
        <w:jc w:val="both"/>
        <w:rPr>
          <w:rFonts w:ascii="Times New Roman" w:hAnsi="Times New Roman" w:cs="Times New Roman"/>
          <w:b/>
          <w:sz w:val="24"/>
          <w:szCs w:val="24"/>
        </w:rPr>
      </w:pPr>
      <w:r w:rsidRPr="0096589B">
        <w:rPr>
          <w:rFonts w:ascii="Times New Roman" w:hAnsi="Times New Roman" w:cs="Times New Roman"/>
          <w:b/>
          <w:sz w:val="24"/>
          <w:szCs w:val="24"/>
        </w:rPr>
        <w:t>Levels of compliance of midwives/nurses to the practice of healthcare waste disposal using the W.H.O guideline</w:t>
      </w:r>
    </w:p>
    <w:p w14:paraId="3E7452CE" w14:textId="1EE95117" w:rsidR="00A308C6" w:rsidRDefault="00A308C6" w:rsidP="00BF74D4">
      <w:pPr>
        <w:spacing w:line="240" w:lineRule="auto"/>
        <w:jc w:val="both"/>
        <w:rPr>
          <w:rFonts w:ascii="Times New Roman" w:hAnsi="Times New Roman"/>
          <w:sz w:val="24"/>
        </w:rPr>
      </w:pPr>
      <w:r>
        <w:rPr>
          <w:rFonts w:ascii="Times New Roman" w:hAnsi="Times New Roman"/>
          <w:sz w:val="24"/>
        </w:rPr>
        <w:t xml:space="preserve"> </w:t>
      </w:r>
    </w:p>
    <w:p w14:paraId="4EE48521" w14:textId="77777777" w:rsidR="00A308C6" w:rsidRPr="00A308C6" w:rsidRDefault="00A308C6" w:rsidP="00A308C6">
      <w:pPr>
        <w:spacing w:line="240" w:lineRule="auto"/>
        <w:jc w:val="both"/>
        <w:rPr>
          <w:rFonts w:ascii="Times New Roman" w:hAnsi="Times New Roman"/>
          <w:sz w:val="24"/>
        </w:rPr>
      </w:pPr>
      <w:r w:rsidRPr="00A308C6">
        <w:rPr>
          <w:rFonts w:ascii="Times New Roman" w:hAnsi="Times New Roman"/>
          <w:sz w:val="24"/>
        </w:rPr>
        <w:t>Compliance with the World Health Organization maternity healthcare waste management guidelines was also found to be high in the present study (78.6%). This indicates that the majority of respondents reported adherence to healthcare waste disposal practices within the study setting. The compliance of midwives and nurses with WHO-recommended healthcare waste management protocols constitutes a critical component of occupational safety, infection prevention and environmental sustainability within healthcare facilities.</w:t>
      </w:r>
    </w:p>
    <w:p w14:paraId="2FD418C8" w14:textId="77777777" w:rsidR="00A308C6" w:rsidRPr="00A308C6" w:rsidRDefault="00A308C6" w:rsidP="00A308C6">
      <w:pPr>
        <w:spacing w:line="240" w:lineRule="auto"/>
        <w:jc w:val="both"/>
        <w:rPr>
          <w:rFonts w:ascii="Times New Roman" w:hAnsi="Times New Roman"/>
          <w:sz w:val="24"/>
        </w:rPr>
      </w:pPr>
    </w:p>
    <w:p w14:paraId="53DF1ED0" w14:textId="77777777" w:rsidR="00A308C6" w:rsidRDefault="00A308C6" w:rsidP="00A308C6">
      <w:pPr>
        <w:spacing w:line="240" w:lineRule="auto"/>
        <w:jc w:val="both"/>
        <w:rPr>
          <w:rFonts w:ascii="Times New Roman" w:hAnsi="Times New Roman"/>
          <w:sz w:val="24"/>
        </w:rPr>
      </w:pPr>
      <w:r w:rsidRPr="00A308C6">
        <w:rPr>
          <w:rFonts w:ascii="Times New Roman" w:hAnsi="Times New Roman"/>
          <w:sz w:val="24"/>
        </w:rPr>
        <w:t>Existing literature reveals variability in compliance levels among healthcare workers, including midwives and nurses, with established healthcare waste disposal guidelines (</w:t>
      </w:r>
      <w:proofErr w:type="spellStart"/>
      <w:r w:rsidRPr="00A308C6">
        <w:rPr>
          <w:rFonts w:ascii="Times New Roman" w:hAnsi="Times New Roman"/>
          <w:sz w:val="24"/>
        </w:rPr>
        <w:t>Berdida</w:t>
      </w:r>
      <w:proofErr w:type="spellEnd"/>
      <w:r w:rsidRPr="00A308C6">
        <w:rPr>
          <w:rFonts w:ascii="Times New Roman" w:hAnsi="Times New Roman"/>
          <w:sz w:val="24"/>
        </w:rPr>
        <w:t xml:space="preserve">, 2022; </w:t>
      </w:r>
      <w:proofErr w:type="spellStart"/>
      <w:r w:rsidRPr="00A308C6">
        <w:rPr>
          <w:rFonts w:ascii="Times New Roman" w:hAnsi="Times New Roman"/>
          <w:sz w:val="24"/>
        </w:rPr>
        <w:t>Morikane</w:t>
      </w:r>
      <w:proofErr w:type="spellEnd"/>
      <w:r w:rsidRPr="00A308C6">
        <w:rPr>
          <w:rFonts w:ascii="Times New Roman" w:hAnsi="Times New Roman"/>
          <w:sz w:val="24"/>
        </w:rPr>
        <w:t xml:space="preserve"> et al., 2021; Njue et al., 2015). While some studies have documented satisfactory waste management practices, others have reported suboptimal levels of compliance, thereby highlighting persistent gaps and the need for improvement in practice (Akkajit et al., 2020; </w:t>
      </w:r>
      <w:proofErr w:type="spellStart"/>
      <w:r w:rsidRPr="00A308C6">
        <w:rPr>
          <w:rFonts w:ascii="Times New Roman" w:hAnsi="Times New Roman"/>
          <w:sz w:val="24"/>
        </w:rPr>
        <w:t>Berdida</w:t>
      </w:r>
      <w:proofErr w:type="spellEnd"/>
      <w:r w:rsidRPr="00A308C6">
        <w:rPr>
          <w:rFonts w:ascii="Times New Roman" w:hAnsi="Times New Roman"/>
          <w:sz w:val="24"/>
        </w:rPr>
        <w:t>, 2022; Njue et al., 2015).</w:t>
      </w:r>
      <w:r>
        <w:rPr>
          <w:rFonts w:ascii="Times New Roman" w:hAnsi="Times New Roman"/>
          <w:sz w:val="24"/>
        </w:rPr>
        <w:t xml:space="preserve"> </w:t>
      </w:r>
    </w:p>
    <w:p w14:paraId="415A3934" w14:textId="77777777" w:rsidR="00A308C6" w:rsidRDefault="00A308C6" w:rsidP="00A308C6">
      <w:pPr>
        <w:spacing w:line="240" w:lineRule="auto"/>
        <w:jc w:val="both"/>
        <w:rPr>
          <w:rFonts w:ascii="Times New Roman" w:hAnsi="Times New Roman"/>
          <w:sz w:val="24"/>
        </w:rPr>
      </w:pPr>
    </w:p>
    <w:p w14:paraId="2164CA6B" w14:textId="77777777" w:rsidR="00A308C6" w:rsidRPr="00A308C6"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t xml:space="preserve">Compliance with healthcare waste management guidelines is influenced by several key factors, including the availability of training, levels of awareness, adequacy of resources, and the extent of </w:t>
      </w:r>
      <w:proofErr w:type="spellStart"/>
      <w:r w:rsidRPr="00A308C6">
        <w:rPr>
          <w:rFonts w:ascii="Times New Roman" w:hAnsi="Times New Roman" w:cs="Times New Roman"/>
          <w:sz w:val="24"/>
          <w:szCs w:val="24"/>
        </w:rPr>
        <w:t>organisational</w:t>
      </w:r>
      <w:proofErr w:type="spellEnd"/>
      <w:r w:rsidRPr="00A308C6">
        <w:rPr>
          <w:rFonts w:ascii="Times New Roman" w:hAnsi="Times New Roman" w:cs="Times New Roman"/>
          <w:sz w:val="24"/>
          <w:szCs w:val="24"/>
        </w:rPr>
        <w:t xml:space="preserve"> support. Conversely, barriers to effective compliance include deficiencies across critical stages of the waste management process, particularly in segregation, collection, transportation, storage, treatment and final disposal practices.</w:t>
      </w:r>
    </w:p>
    <w:p w14:paraId="32B636C6" w14:textId="77777777" w:rsidR="00A308C6" w:rsidRPr="00A308C6" w:rsidRDefault="00A308C6" w:rsidP="00A308C6">
      <w:pPr>
        <w:spacing w:line="240" w:lineRule="auto"/>
        <w:jc w:val="both"/>
        <w:rPr>
          <w:rFonts w:ascii="Times New Roman" w:hAnsi="Times New Roman" w:cs="Times New Roman"/>
          <w:sz w:val="24"/>
          <w:szCs w:val="24"/>
        </w:rPr>
      </w:pPr>
    </w:p>
    <w:p w14:paraId="5378084B" w14:textId="136023D9" w:rsidR="00A308C6" w:rsidRPr="0096589B" w:rsidRDefault="00A308C6" w:rsidP="00A308C6">
      <w:pPr>
        <w:spacing w:line="240" w:lineRule="auto"/>
        <w:jc w:val="both"/>
        <w:rPr>
          <w:rFonts w:ascii="Times New Roman" w:hAnsi="Times New Roman" w:cs="Times New Roman"/>
          <w:sz w:val="24"/>
          <w:szCs w:val="24"/>
        </w:rPr>
      </w:pPr>
      <w:r w:rsidRPr="00A308C6">
        <w:rPr>
          <w:rFonts w:ascii="Times New Roman" w:hAnsi="Times New Roman" w:cs="Times New Roman"/>
          <w:sz w:val="24"/>
          <w:szCs w:val="24"/>
        </w:rPr>
        <w:lastRenderedPageBreak/>
        <w:t xml:space="preserve">Strengthening adherence to healthcare waste disposal guidelines therefore requires the implementation of targeted interventions, such as continuous professional training </w:t>
      </w:r>
      <w:proofErr w:type="spellStart"/>
      <w:r w:rsidRPr="00A308C6">
        <w:rPr>
          <w:rFonts w:ascii="Times New Roman" w:hAnsi="Times New Roman" w:cs="Times New Roman"/>
          <w:sz w:val="24"/>
          <w:szCs w:val="24"/>
        </w:rPr>
        <w:t>programmes</w:t>
      </w:r>
      <w:proofErr w:type="spellEnd"/>
      <w:r w:rsidRPr="00A308C6">
        <w:rPr>
          <w:rFonts w:ascii="Times New Roman" w:hAnsi="Times New Roman" w:cs="Times New Roman"/>
          <w:sz w:val="24"/>
          <w:szCs w:val="24"/>
        </w:rPr>
        <w:t>, provision of sufficient resources and the establishment of robust monitoring and evaluation systems. In this regard, improving the knowledge, attitudes and practices of nurses and midwives in relation to healthcare waste management is fundamental to ensuring a safe, effective and environmentally sustainable healthcare system (Akkajit et al., 2020).</w:t>
      </w:r>
    </w:p>
    <w:p w14:paraId="039D4E83" w14:textId="77777777" w:rsidR="00457F29" w:rsidRPr="0096589B" w:rsidRDefault="00457F29" w:rsidP="00BF74D4">
      <w:pPr>
        <w:spacing w:line="240" w:lineRule="auto"/>
        <w:rPr>
          <w:rFonts w:ascii="Times New Roman" w:hAnsi="Times New Roman" w:cs="Times New Roman"/>
          <w:b/>
          <w:sz w:val="24"/>
          <w:szCs w:val="24"/>
        </w:rPr>
      </w:pPr>
      <w:r w:rsidRPr="0096589B">
        <w:rPr>
          <w:rFonts w:ascii="Times New Roman" w:hAnsi="Times New Roman" w:cs="Times New Roman"/>
          <w:b/>
          <w:sz w:val="24"/>
          <w:szCs w:val="24"/>
        </w:rPr>
        <w:t>Recommendations</w:t>
      </w:r>
    </w:p>
    <w:p w14:paraId="44D9A333" w14:textId="77777777" w:rsidR="00457F29" w:rsidRPr="0096589B" w:rsidRDefault="00457F29" w:rsidP="00BF74D4">
      <w:pPr>
        <w:spacing w:line="240" w:lineRule="auto"/>
        <w:rPr>
          <w:rFonts w:ascii="Times New Roman" w:hAnsi="Times New Roman" w:cs="Times New Roman"/>
          <w:b/>
          <w:sz w:val="24"/>
          <w:szCs w:val="24"/>
        </w:rPr>
      </w:pPr>
      <w:r w:rsidRPr="0096589B">
        <w:rPr>
          <w:rFonts w:ascii="Times New Roman" w:hAnsi="Times New Roman"/>
          <w:sz w:val="24"/>
        </w:rPr>
        <w:t>Recommendations for improving the compliance of maternity healthcare waste management practices with WHO guidelines among midwives:</w:t>
      </w:r>
    </w:p>
    <w:p w14:paraId="461088C2" w14:textId="77777777" w:rsidR="00A308C6" w:rsidRDefault="00A308C6" w:rsidP="00BF74D4">
      <w:pPr>
        <w:spacing w:after="0" w:line="240" w:lineRule="auto"/>
        <w:ind w:left="450" w:hanging="450"/>
        <w:jc w:val="both"/>
        <w:rPr>
          <w:rFonts w:ascii="Times New Roman" w:hAnsi="Times New Roman"/>
          <w:sz w:val="24"/>
        </w:rPr>
      </w:pPr>
    </w:p>
    <w:p w14:paraId="008E3BA1" w14:textId="77777777" w:rsidR="00A308C6" w:rsidRPr="00A308C6" w:rsidRDefault="00A308C6" w:rsidP="00A308C6">
      <w:pPr>
        <w:spacing w:after="0" w:line="240" w:lineRule="auto"/>
        <w:rPr>
          <w:rFonts w:ascii="Times New Roman" w:eastAsia="Times New Roman" w:hAnsi="Times New Roman" w:cs="Times New Roman"/>
          <w:sz w:val="24"/>
          <w:szCs w:val="24"/>
        </w:rPr>
      </w:pPr>
      <w:proofErr w:type="gramStart"/>
      <w:r w:rsidRPr="00A308C6">
        <w:rPr>
          <w:rFonts w:ascii="Times New Roman" w:eastAsia="Times New Roman" w:hAnsi="Symbol" w:cs="Times New Roman"/>
          <w:sz w:val="24"/>
          <w:szCs w:val="24"/>
        </w:rPr>
        <w:t></w:t>
      </w:r>
      <w:r w:rsidRPr="00A308C6">
        <w:rPr>
          <w:rFonts w:ascii="Times New Roman" w:eastAsia="Times New Roman" w:hAnsi="Times New Roman" w:cs="Times New Roman"/>
          <w:sz w:val="24"/>
          <w:szCs w:val="24"/>
        </w:rPr>
        <w:t xml:space="preserve">  </w:t>
      </w:r>
      <w:r w:rsidRPr="00A308C6">
        <w:rPr>
          <w:rFonts w:ascii="Times New Roman" w:eastAsia="Times New Roman" w:hAnsi="Times New Roman" w:cs="Times New Roman"/>
          <w:b/>
          <w:bCs/>
          <w:sz w:val="24"/>
          <w:szCs w:val="24"/>
        </w:rPr>
        <w:t>Strengthening</w:t>
      </w:r>
      <w:proofErr w:type="gramEnd"/>
      <w:r w:rsidRPr="00A308C6">
        <w:rPr>
          <w:rFonts w:ascii="Times New Roman" w:eastAsia="Times New Roman" w:hAnsi="Times New Roman" w:cs="Times New Roman"/>
          <w:b/>
          <w:bCs/>
          <w:sz w:val="24"/>
          <w:szCs w:val="24"/>
        </w:rPr>
        <w:t xml:space="preserve"> training </w:t>
      </w:r>
      <w:proofErr w:type="spellStart"/>
      <w:r w:rsidRPr="00A308C6">
        <w:rPr>
          <w:rFonts w:ascii="Times New Roman" w:eastAsia="Times New Roman" w:hAnsi="Times New Roman" w:cs="Times New Roman"/>
          <w:b/>
          <w:bCs/>
          <w:sz w:val="24"/>
          <w:szCs w:val="24"/>
        </w:rPr>
        <w:t>programmes</w:t>
      </w:r>
      <w:proofErr w:type="spellEnd"/>
      <w:r w:rsidRPr="00A308C6">
        <w:rPr>
          <w:rFonts w:ascii="Times New Roman" w:eastAsia="Times New Roman" w:hAnsi="Times New Roman" w:cs="Times New Roman"/>
          <w:b/>
          <w:bCs/>
          <w:sz w:val="24"/>
          <w:szCs w:val="24"/>
        </w:rPr>
        <w:t>:</w:t>
      </w:r>
      <w:r w:rsidRPr="00A308C6">
        <w:rPr>
          <w:rFonts w:ascii="Times New Roman" w:eastAsia="Times New Roman" w:hAnsi="Times New Roman" w:cs="Times New Roman"/>
          <w:sz w:val="24"/>
          <w:szCs w:val="24"/>
        </w:rPr>
        <w:t xml:space="preserve"> Hospital management should establish comprehensive and routinely conducted training initiatives for midwives, with a specific focus on World Health Organization guidelines for healthcare waste management. Such training should encompass appropriate waste segregation, safe handling and disposal procedures, as well as the correct and consistent use of personal protective equipment. </w:t>
      </w:r>
    </w:p>
    <w:p w14:paraId="61DE3371" w14:textId="6B922F41" w:rsidR="00A308C6" w:rsidRPr="0096589B" w:rsidRDefault="00A308C6" w:rsidP="00A308C6">
      <w:pPr>
        <w:spacing w:after="0" w:line="240" w:lineRule="auto"/>
        <w:ind w:left="450" w:hanging="450"/>
        <w:jc w:val="both"/>
        <w:rPr>
          <w:rFonts w:ascii="Times New Roman" w:hAnsi="Times New Roman" w:cs="Times New Roman"/>
          <w:b/>
          <w:sz w:val="24"/>
          <w:szCs w:val="24"/>
        </w:rPr>
      </w:pPr>
      <w:proofErr w:type="gramStart"/>
      <w:r w:rsidRPr="00A308C6">
        <w:rPr>
          <w:rFonts w:ascii="Times New Roman" w:eastAsia="Times New Roman" w:hAnsi="Symbol" w:cs="Times New Roman"/>
          <w:sz w:val="24"/>
          <w:szCs w:val="24"/>
        </w:rPr>
        <w:t></w:t>
      </w:r>
      <w:r w:rsidRPr="00A308C6">
        <w:rPr>
          <w:rFonts w:ascii="Times New Roman" w:eastAsia="Times New Roman" w:hAnsi="Times New Roman" w:cs="Times New Roman"/>
          <w:sz w:val="24"/>
          <w:szCs w:val="24"/>
        </w:rPr>
        <w:t xml:space="preserve">  </w:t>
      </w:r>
      <w:r w:rsidRPr="00A308C6">
        <w:rPr>
          <w:rFonts w:ascii="Times New Roman" w:eastAsia="Times New Roman" w:hAnsi="Times New Roman" w:cs="Times New Roman"/>
          <w:b/>
          <w:bCs/>
          <w:sz w:val="24"/>
          <w:szCs w:val="24"/>
        </w:rPr>
        <w:t>Adequate</w:t>
      </w:r>
      <w:proofErr w:type="gramEnd"/>
      <w:r w:rsidRPr="00A308C6">
        <w:rPr>
          <w:rFonts w:ascii="Times New Roman" w:eastAsia="Times New Roman" w:hAnsi="Times New Roman" w:cs="Times New Roman"/>
          <w:b/>
          <w:bCs/>
          <w:sz w:val="24"/>
          <w:szCs w:val="24"/>
        </w:rPr>
        <w:t xml:space="preserve"> resource provision:</w:t>
      </w:r>
      <w:r w:rsidRPr="00A308C6">
        <w:rPr>
          <w:rFonts w:ascii="Times New Roman" w:eastAsia="Times New Roman" w:hAnsi="Times New Roman" w:cs="Times New Roman"/>
          <w:sz w:val="24"/>
          <w:szCs w:val="24"/>
        </w:rPr>
        <w:t xml:space="preserve"> Hospital authorities should ensure the consistent availability of essential resources required for effective healthcare waste management. These include appropriate safety equipment, designated waste disposal containers and adequately equipped waste treatment facilities, all of which are necessary to support full compliance with established waste management guidelines.</w:t>
      </w:r>
    </w:p>
    <w:p w14:paraId="2CC8F5A5" w14:textId="77777777" w:rsidR="00457F29" w:rsidRPr="0096589B" w:rsidRDefault="00457F29" w:rsidP="00BF74D4">
      <w:pPr>
        <w:spacing w:line="240" w:lineRule="auto"/>
        <w:jc w:val="both"/>
        <w:rPr>
          <w:rFonts w:ascii="Times New Roman" w:hAnsi="Times New Roman" w:cs="Times New Roman"/>
          <w:b/>
          <w:sz w:val="24"/>
          <w:szCs w:val="24"/>
        </w:rPr>
      </w:pPr>
      <w:r w:rsidRPr="0096589B">
        <w:rPr>
          <w:rFonts w:ascii="Times New Roman" w:hAnsi="Times New Roman" w:cs="Times New Roman"/>
          <w:b/>
          <w:sz w:val="24"/>
          <w:szCs w:val="24"/>
        </w:rPr>
        <w:t xml:space="preserve">Conclusion </w:t>
      </w:r>
    </w:p>
    <w:p w14:paraId="04A6F6E7" w14:textId="77777777" w:rsidR="00FB255C" w:rsidRPr="0096589B" w:rsidRDefault="00FB255C" w:rsidP="00BF74D4">
      <w:pPr>
        <w:spacing w:line="240" w:lineRule="auto"/>
        <w:jc w:val="both"/>
        <w:rPr>
          <w:rFonts w:ascii="Times New Roman" w:hAnsi="Times New Roman"/>
          <w:sz w:val="24"/>
        </w:rPr>
      </w:pPr>
      <w:r w:rsidRPr="0096589B">
        <w:rPr>
          <w:rFonts w:ascii="Times New Roman" w:hAnsi="Times New Roman"/>
          <w:sz w:val="24"/>
        </w:rPr>
        <w:t>The study concludes that nurses and midwives in the maternity section of Nnamdi Azikiwe University Teaching Hospital, Nnewi, demonstrated generally high knowledge of healthcare waste management and reported high compliance with WHO-related disposal practices. The findings showed that 85.7% of respondents had high knowledge of HCW management, while 78.6% reported high compliance with HCW disposal. The hypothesis testing further indicated no statistically significant difference between midwives and nurses in their knowledge of WHO guidelines for waste management (p = 0.58). Despite these findings, some barriers to effective waste management remained, including poor posting of HCW disposal signs and the absence of a supervisory or monitoring nurses’ group for HCW management. Strengthening regular training, improving access to waste management resources and instituting consistent supervision may support sustained compliance. The findings should be interpreted within the scope of the study setting and the self-reported nature of the data.</w:t>
      </w:r>
    </w:p>
    <w:p w14:paraId="036078E6" w14:textId="59E6C1D5" w:rsidR="005D4774" w:rsidRPr="0096589B" w:rsidRDefault="005D4774" w:rsidP="00BF74D4">
      <w:pPr>
        <w:spacing w:line="240" w:lineRule="auto"/>
        <w:jc w:val="both"/>
        <w:rPr>
          <w:rFonts w:ascii="Times New Roman" w:hAnsi="Times New Roman" w:cs="Times New Roman"/>
          <w:sz w:val="24"/>
          <w:szCs w:val="24"/>
        </w:rPr>
      </w:pPr>
      <w:r w:rsidRPr="0096589B">
        <w:rPr>
          <w:rFonts w:ascii="Times New Roman" w:hAnsi="Times New Roman" w:cs="Times New Roman"/>
          <w:b/>
          <w:bCs/>
          <w:sz w:val="24"/>
          <w:szCs w:val="24"/>
        </w:rPr>
        <w:t>Limitation</w:t>
      </w:r>
      <w:r w:rsidRPr="0096589B">
        <w:rPr>
          <w:rFonts w:ascii="Times New Roman" w:hAnsi="Times New Roman" w:cs="Times New Roman"/>
          <w:sz w:val="24"/>
          <w:szCs w:val="24"/>
        </w:rPr>
        <w:br/>
        <w:t xml:space="preserve">This study was limited to 70 nurses and midwives in the maternity section of a single teaching hospital; therefore, the findings may not be </w:t>
      </w:r>
      <w:proofErr w:type="spellStart"/>
      <w:r w:rsidRPr="0096589B">
        <w:rPr>
          <w:rFonts w:ascii="Times New Roman" w:hAnsi="Times New Roman" w:cs="Times New Roman"/>
          <w:sz w:val="24"/>
          <w:szCs w:val="24"/>
        </w:rPr>
        <w:t>generalisable</w:t>
      </w:r>
      <w:proofErr w:type="spellEnd"/>
      <w:r w:rsidRPr="0096589B">
        <w:rPr>
          <w:rFonts w:ascii="Times New Roman" w:hAnsi="Times New Roman" w:cs="Times New Roman"/>
          <w:sz w:val="24"/>
          <w:szCs w:val="24"/>
        </w:rPr>
        <w:t xml:space="preserve"> to other departments or healthcare facilities. The use of a self-structured questionnaire may also have introduced response bias, particularly for self-reported compliance. Observational verification of actual waste disposal practices was limited to site visitation, and the study did not assess long-term changes in compliance after training or supervision. </w:t>
      </w:r>
    </w:p>
    <w:p w14:paraId="591C5E91" w14:textId="77777777" w:rsidR="005C5D07" w:rsidRPr="0096589B" w:rsidRDefault="005C5D07" w:rsidP="00BF74D4">
      <w:pPr>
        <w:spacing w:line="240" w:lineRule="auto"/>
        <w:jc w:val="both"/>
        <w:rPr>
          <w:rFonts w:ascii="Times New Roman" w:hAnsi="Times New Roman" w:cs="Times New Roman"/>
          <w:sz w:val="24"/>
          <w:szCs w:val="24"/>
        </w:rPr>
      </w:pPr>
    </w:p>
    <w:p w14:paraId="141D8066" w14:textId="77777777" w:rsidR="005D4774" w:rsidRPr="0096589B" w:rsidRDefault="005D4774" w:rsidP="005D4774">
      <w:pPr>
        <w:rPr>
          <w:b/>
          <w:bCs/>
        </w:rPr>
      </w:pPr>
      <w:r w:rsidRPr="0096589B">
        <w:rPr>
          <w:b/>
          <w:bCs/>
        </w:rPr>
        <w:lastRenderedPageBreak/>
        <w:t>Declaration of AI Use</w:t>
      </w:r>
    </w:p>
    <w:p w14:paraId="4AD382C0" w14:textId="77777777" w:rsidR="005D4774" w:rsidRPr="0096589B" w:rsidRDefault="005D4774" w:rsidP="005D4774">
      <w:pPr>
        <w:jc w:val="both"/>
      </w:pPr>
      <w:r w:rsidRPr="0096589B">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44D160F" w14:textId="77777777" w:rsidR="005C5D07" w:rsidRPr="0096589B" w:rsidRDefault="005C5D07" w:rsidP="005C5D07">
      <w:pPr>
        <w:pStyle w:val="NoSpacing"/>
        <w:rPr>
          <w:rFonts w:ascii="Arial" w:hAnsi="Arial" w:cs="Arial"/>
          <w:lang w:val="en-US"/>
        </w:rPr>
      </w:pPr>
    </w:p>
    <w:p w14:paraId="5C54163D" w14:textId="77777777" w:rsidR="005C5D07" w:rsidRPr="0096589B" w:rsidRDefault="005C5D07" w:rsidP="00BF74D4">
      <w:pPr>
        <w:spacing w:line="240" w:lineRule="auto"/>
        <w:jc w:val="both"/>
        <w:rPr>
          <w:rFonts w:ascii="Times New Roman" w:hAnsi="Times New Roman" w:cs="Times New Roman"/>
          <w:sz w:val="24"/>
          <w:szCs w:val="24"/>
        </w:rPr>
      </w:pPr>
    </w:p>
    <w:p w14:paraId="20E6055E" w14:textId="77777777" w:rsidR="00781D77" w:rsidRPr="0096589B" w:rsidRDefault="00781D77" w:rsidP="00BF74D4">
      <w:pPr>
        <w:spacing w:after="0" w:line="240" w:lineRule="auto"/>
        <w:rPr>
          <w:rFonts w:ascii="Times New Roman" w:hAnsi="Times New Roman" w:cs="Times New Roman"/>
          <w:b/>
          <w:sz w:val="24"/>
          <w:szCs w:val="24"/>
        </w:rPr>
      </w:pPr>
      <w:r w:rsidRPr="0096589B">
        <w:rPr>
          <w:rFonts w:ascii="Times New Roman" w:hAnsi="Times New Roman" w:cs="Times New Roman"/>
          <w:b/>
          <w:sz w:val="24"/>
          <w:szCs w:val="24"/>
        </w:rPr>
        <w:t>REFERENCES</w:t>
      </w:r>
    </w:p>
    <w:p w14:paraId="514F2B80" w14:textId="77777777" w:rsidR="00CB38C9" w:rsidRDefault="00CB38C9" w:rsidP="00CB38C9">
      <w:pPr>
        <w:spacing w:after="0" w:line="240" w:lineRule="auto"/>
        <w:ind w:left="540" w:hanging="540"/>
        <w:jc w:val="both"/>
        <w:rPr>
          <w:rFonts w:ascii="Times New Roman" w:eastAsia="Times New Roman" w:hAnsi="Times New Roman" w:cs="Times New Roman"/>
          <w:sz w:val="24"/>
          <w:szCs w:val="24"/>
          <w:lang w:val="nl-BE"/>
        </w:rPr>
      </w:pPr>
    </w:p>
    <w:p w14:paraId="3CAB4C3C" w14:textId="27B7CD64"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r w:rsidRPr="00CB38C9">
        <w:rPr>
          <w:rFonts w:ascii="Times New Roman" w:eastAsia="Times New Roman" w:hAnsi="Times New Roman" w:cs="Times New Roman"/>
          <w:sz w:val="24"/>
          <w:szCs w:val="24"/>
          <w:lang w:val="nl-BE"/>
        </w:rPr>
        <w:t xml:space="preserve">Akkajit, P., Romin, H., &amp; Assawadithalerd, M. (2020). </w:t>
      </w:r>
      <w:r w:rsidRPr="00CB38C9">
        <w:rPr>
          <w:rFonts w:ascii="Times New Roman" w:eastAsia="Times New Roman" w:hAnsi="Times New Roman" w:cs="Times New Roman"/>
          <w:sz w:val="24"/>
          <w:szCs w:val="24"/>
        </w:rPr>
        <w:t xml:space="preserve">Assessment of knowledge, attitude, and practice in respect of medical waste management among healthcare workers in clinics. </w:t>
      </w:r>
      <w:r w:rsidRPr="00CB38C9">
        <w:rPr>
          <w:rFonts w:ascii="Times New Roman" w:eastAsia="Times New Roman" w:hAnsi="Times New Roman" w:cs="Times New Roman"/>
          <w:i/>
          <w:iCs/>
          <w:sz w:val="24"/>
          <w:szCs w:val="24"/>
        </w:rPr>
        <w:t>Journal of Environmental and Public Health, 2020</w:t>
      </w:r>
      <w:r w:rsidRPr="00CB38C9">
        <w:rPr>
          <w:rFonts w:ascii="Times New Roman" w:eastAsia="Times New Roman" w:hAnsi="Times New Roman" w:cs="Times New Roman"/>
          <w:sz w:val="24"/>
          <w:szCs w:val="24"/>
        </w:rPr>
        <w:t xml:space="preserve">, Article 8745472. </w:t>
      </w:r>
      <w:hyperlink r:id="rId12" w:tgtFrame="_new" w:history="1">
        <w:r w:rsidRPr="00CB38C9">
          <w:rPr>
            <w:rFonts w:ascii="Times New Roman" w:eastAsia="Times New Roman" w:hAnsi="Times New Roman" w:cs="Times New Roman"/>
            <w:color w:val="0000FF"/>
            <w:sz w:val="24"/>
            <w:szCs w:val="24"/>
            <w:u w:val="single"/>
          </w:rPr>
          <w:t>https://doi.org/10.1155/2020/8745472</w:t>
        </w:r>
      </w:hyperlink>
      <w:r w:rsidRPr="00CB38C9">
        <w:rPr>
          <w:rFonts w:ascii="Times New Roman" w:eastAsia="Times New Roman" w:hAnsi="Times New Roman" w:cs="Times New Roman"/>
          <w:sz w:val="24"/>
          <w:szCs w:val="24"/>
        </w:rPr>
        <w:t xml:space="preserve"> </w:t>
      </w:r>
    </w:p>
    <w:p w14:paraId="12987CA1" w14:textId="7E016C58"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r w:rsidRPr="00CB38C9">
        <w:rPr>
          <w:rFonts w:ascii="Times New Roman" w:eastAsia="Times New Roman" w:hAnsi="Times New Roman" w:cs="Times New Roman"/>
          <w:sz w:val="24"/>
          <w:szCs w:val="24"/>
        </w:rPr>
        <w:t xml:space="preserve">Amin, R., Gul, R., &amp; Mehrab, A. (2013). Hospital waste management: Practices in different hospitals of Distt. Peshawar. </w:t>
      </w:r>
      <w:r w:rsidRPr="00CB38C9">
        <w:rPr>
          <w:rFonts w:ascii="Times New Roman" w:eastAsia="Times New Roman" w:hAnsi="Times New Roman" w:cs="Times New Roman"/>
          <w:i/>
          <w:iCs/>
          <w:sz w:val="24"/>
          <w:szCs w:val="24"/>
        </w:rPr>
        <w:t>The Professional Medical Journal, 20</w:t>
      </w:r>
      <w:r w:rsidRPr="00CB38C9">
        <w:rPr>
          <w:rFonts w:ascii="Times New Roman" w:eastAsia="Times New Roman" w:hAnsi="Times New Roman" w:cs="Times New Roman"/>
          <w:sz w:val="24"/>
          <w:szCs w:val="24"/>
        </w:rPr>
        <w:t xml:space="preserve">(6), 988–994. </w:t>
      </w:r>
      <w:hyperlink r:id="rId13" w:tgtFrame="_new" w:history="1">
        <w:r w:rsidRPr="00CB38C9">
          <w:rPr>
            <w:rFonts w:ascii="Times New Roman" w:eastAsia="Times New Roman" w:hAnsi="Times New Roman" w:cs="Times New Roman"/>
            <w:color w:val="0000FF"/>
            <w:sz w:val="24"/>
            <w:szCs w:val="24"/>
            <w:u w:val="single"/>
          </w:rPr>
          <w:t>https://www.theprofesional.com/index.php/tpmj/article/view/1684</w:t>
        </w:r>
      </w:hyperlink>
      <w:r w:rsidRPr="00CB38C9">
        <w:rPr>
          <w:rFonts w:ascii="Times New Roman" w:eastAsia="Times New Roman" w:hAnsi="Times New Roman" w:cs="Times New Roman"/>
          <w:sz w:val="24"/>
          <w:szCs w:val="24"/>
        </w:rPr>
        <w:t xml:space="preserve"> </w:t>
      </w:r>
    </w:p>
    <w:p w14:paraId="7EF1F65D" w14:textId="41EBFFA1"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proofErr w:type="spellStart"/>
      <w:r w:rsidRPr="00CB38C9">
        <w:rPr>
          <w:rFonts w:ascii="Times New Roman" w:eastAsia="Times New Roman" w:hAnsi="Times New Roman" w:cs="Times New Roman"/>
          <w:sz w:val="24"/>
          <w:szCs w:val="24"/>
        </w:rPr>
        <w:t>Awodele</w:t>
      </w:r>
      <w:proofErr w:type="spellEnd"/>
      <w:r w:rsidRPr="00CB38C9">
        <w:rPr>
          <w:rFonts w:ascii="Times New Roman" w:eastAsia="Times New Roman" w:hAnsi="Times New Roman" w:cs="Times New Roman"/>
          <w:sz w:val="24"/>
          <w:szCs w:val="24"/>
        </w:rPr>
        <w:t xml:space="preserve">, O., </w:t>
      </w:r>
      <w:proofErr w:type="spellStart"/>
      <w:r w:rsidRPr="00CB38C9">
        <w:rPr>
          <w:rFonts w:ascii="Times New Roman" w:eastAsia="Times New Roman" w:hAnsi="Times New Roman" w:cs="Times New Roman"/>
          <w:sz w:val="24"/>
          <w:szCs w:val="24"/>
        </w:rPr>
        <w:t>Adewoye</w:t>
      </w:r>
      <w:proofErr w:type="spellEnd"/>
      <w:r w:rsidRPr="00CB38C9">
        <w:rPr>
          <w:rFonts w:ascii="Times New Roman" w:eastAsia="Times New Roman" w:hAnsi="Times New Roman" w:cs="Times New Roman"/>
          <w:sz w:val="24"/>
          <w:szCs w:val="24"/>
        </w:rPr>
        <w:t xml:space="preserve">, A. A., &amp; Oparah, A. C. (2016). Assessment of medical waste management in seven hospitals in Lagos, Nigeria. </w:t>
      </w:r>
      <w:r w:rsidRPr="00CB38C9">
        <w:rPr>
          <w:rFonts w:ascii="Times New Roman" w:eastAsia="Times New Roman" w:hAnsi="Times New Roman" w:cs="Times New Roman"/>
          <w:i/>
          <w:iCs/>
          <w:sz w:val="24"/>
          <w:szCs w:val="24"/>
        </w:rPr>
        <w:t>BMC Public Health, 16</w:t>
      </w:r>
      <w:r w:rsidRPr="00CB38C9">
        <w:rPr>
          <w:rFonts w:ascii="Times New Roman" w:eastAsia="Times New Roman" w:hAnsi="Times New Roman" w:cs="Times New Roman"/>
          <w:sz w:val="24"/>
          <w:szCs w:val="24"/>
        </w:rPr>
        <w:t xml:space="preserve">, Article 269. </w:t>
      </w:r>
      <w:hyperlink r:id="rId14" w:tgtFrame="_new" w:history="1">
        <w:r w:rsidRPr="00CB38C9">
          <w:rPr>
            <w:rFonts w:ascii="Times New Roman" w:eastAsia="Times New Roman" w:hAnsi="Times New Roman" w:cs="Times New Roman"/>
            <w:color w:val="0000FF"/>
            <w:sz w:val="24"/>
            <w:szCs w:val="24"/>
            <w:u w:val="single"/>
          </w:rPr>
          <w:t>https://doi.org/10.1186/s12889-016-2916-1</w:t>
        </w:r>
      </w:hyperlink>
      <w:r w:rsidRPr="00CB38C9">
        <w:rPr>
          <w:rFonts w:ascii="Times New Roman" w:eastAsia="Times New Roman" w:hAnsi="Times New Roman" w:cs="Times New Roman"/>
          <w:sz w:val="24"/>
          <w:szCs w:val="24"/>
        </w:rPr>
        <w:t xml:space="preserve"> </w:t>
      </w:r>
    </w:p>
    <w:p w14:paraId="238551BC" w14:textId="39FF2B42"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proofErr w:type="spellStart"/>
      <w:r w:rsidRPr="00CB38C9">
        <w:rPr>
          <w:rFonts w:ascii="Times New Roman" w:eastAsia="Times New Roman" w:hAnsi="Times New Roman" w:cs="Times New Roman"/>
          <w:sz w:val="24"/>
          <w:szCs w:val="24"/>
        </w:rPr>
        <w:t>Berdida</w:t>
      </w:r>
      <w:proofErr w:type="spellEnd"/>
      <w:r w:rsidRPr="00CB38C9">
        <w:rPr>
          <w:rFonts w:ascii="Times New Roman" w:eastAsia="Times New Roman" w:hAnsi="Times New Roman" w:cs="Times New Roman"/>
          <w:sz w:val="24"/>
          <w:szCs w:val="24"/>
        </w:rPr>
        <w:t xml:space="preserve">, D. J. E. (2022). Nursing staff compliance and adherence to standard precautions during the COVID-19 pandemic: A cross-sectional study. </w:t>
      </w:r>
      <w:r w:rsidRPr="00CB38C9">
        <w:rPr>
          <w:rFonts w:ascii="Times New Roman" w:eastAsia="Times New Roman" w:hAnsi="Times New Roman" w:cs="Times New Roman"/>
          <w:i/>
          <w:iCs/>
          <w:sz w:val="24"/>
          <w:szCs w:val="24"/>
        </w:rPr>
        <w:t>Nursing &amp; Health Sciences, 25</w:t>
      </w:r>
      <w:r w:rsidRPr="00CB38C9">
        <w:rPr>
          <w:rFonts w:ascii="Times New Roman" w:eastAsia="Times New Roman" w:hAnsi="Times New Roman" w:cs="Times New Roman"/>
          <w:sz w:val="24"/>
          <w:szCs w:val="24"/>
        </w:rPr>
        <w:t xml:space="preserve">(1), 108–119. </w:t>
      </w:r>
      <w:hyperlink r:id="rId15" w:tgtFrame="_new" w:history="1">
        <w:r w:rsidRPr="00CB38C9">
          <w:rPr>
            <w:rFonts w:ascii="Times New Roman" w:eastAsia="Times New Roman" w:hAnsi="Times New Roman" w:cs="Times New Roman"/>
            <w:color w:val="0000FF"/>
            <w:sz w:val="24"/>
            <w:szCs w:val="24"/>
            <w:u w:val="single"/>
          </w:rPr>
          <w:t>https://doi.org/10.1111/nhs.12998</w:t>
        </w:r>
      </w:hyperlink>
      <w:r w:rsidRPr="00CB38C9">
        <w:rPr>
          <w:rFonts w:ascii="Times New Roman" w:eastAsia="Times New Roman" w:hAnsi="Times New Roman" w:cs="Times New Roman"/>
          <w:sz w:val="24"/>
          <w:szCs w:val="24"/>
        </w:rPr>
        <w:t xml:space="preserve"> </w:t>
      </w:r>
    </w:p>
    <w:p w14:paraId="4C9D6E31" w14:textId="26C95C23"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proofErr w:type="spellStart"/>
      <w:r w:rsidRPr="00CB38C9">
        <w:rPr>
          <w:rFonts w:ascii="Times New Roman" w:eastAsia="Times New Roman" w:hAnsi="Times New Roman" w:cs="Times New Roman"/>
          <w:sz w:val="24"/>
          <w:szCs w:val="24"/>
        </w:rPr>
        <w:t>Debalkie</w:t>
      </w:r>
      <w:proofErr w:type="spellEnd"/>
      <w:r w:rsidRPr="00CB38C9">
        <w:rPr>
          <w:rFonts w:ascii="Times New Roman" w:eastAsia="Times New Roman" w:hAnsi="Times New Roman" w:cs="Times New Roman"/>
          <w:sz w:val="24"/>
          <w:szCs w:val="24"/>
        </w:rPr>
        <w:t xml:space="preserve">, D., &amp; Kumie, A. (2017). Healthcare waste management: The current issue in </w:t>
      </w:r>
      <w:proofErr w:type="spellStart"/>
      <w:r w:rsidRPr="00CB38C9">
        <w:rPr>
          <w:rFonts w:ascii="Times New Roman" w:eastAsia="Times New Roman" w:hAnsi="Times New Roman" w:cs="Times New Roman"/>
          <w:sz w:val="24"/>
          <w:szCs w:val="24"/>
        </w:rPr>
        <w:t>Menellik</w:t>
      </w:r>
      <w:proofErr w:type="spellEnd"/>
      <w:r w:rsidRPr="00CB38C9">
        <w:rPr>
          <w:rFonts w:ascii="Times New Roman" w:eastAsia="Times New Roman" w:hAnsi="Times New Roman" w:cs="Times New Roman"/>
          <w:sz w:val="24"/>
          <w:szCs w:val="24"/>
        </w:rPr>
        <w:t xml:space="preserve"> II Referral Hospital, Ethiopia. </w:t>
      </w:r>
      <w:r w:rsidRPr="00CB38C9">
        <w:rPr>
          <w:rFonts w:ascii="Times New Roman" w:eastAsia="Times New Roman" w:hAnsi="Times New Roman" w:cs="Times New Roman"/>
          <w:i/>
          <w:iCs/>
          <w:sz w:val="24"/>
          <w:szCs w:val="24"/>
        </w:rPr>
        <w:t>Current World Environment, 12</w:t>
      </w:r>
      <w:r w:rsidRPr="00CB38C9">
        <w:rPr>
          <w:rFonts w:ascii="Times New Roman" w:eastAsia="Times New Roman" w:hAnsi="Times New Roman" w:cs="Times New Roman"/>
          <w:sz w:val="24"/>
          <w:szCs w:val="24"/>
        </w:rPr>
        <w:t xml:space="preserve">(1), 42–52. </w:t>
      </w:r>
      <w:hyperlink r:id="rId16" w:tgtFrame="_new" w:history="1">
        <w:r w:rsidRPr="00CB38C9">
          <w:rPr>
            <w:rFonts w:ascii="Times New Roman" w:eastAsia="Times New Roman" w:hAnsi="Times New Roman" w:cs="Times New Roman"/>
            <w:color w:val="0000FF"/>
            <w:sz w:val="24"/>
            <w:szCs w:val="24"/>
            <w:u w:val="single"/>
          </w:rPr>
          <w:t>https://doi.org/10.12944/CWE.12.1.06</w:t>
        </w:r>
      </w:hyperlink>
      <w:r w:rsidRPr="00CB38C9">
        <w:rPr>
          <w:rFonts w:ascii="Times New Roman" w:eastAsia="Times New Roman" w:hAnsi="Times New Roman" w:cs="Times New Roman"/>
          <w:sz w:val="24"/>
          <w:szCs w:val="24"/>
        </w:rPr>
        <w:t xml:space="preserve"> </w:t>
      </w:r>
    </w:p>
    <w:p w14:paraId="4E991FEC" w14:textId="1872AB16"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r w:rsidRPr="00CB38C9">
        <w:rPr>
          <w:rFonts w:ascii="Times New Roman" w:eastAsia="Times New Roman" w:hAnsi="Times New Roman" w:cs="Times New Roman"/>
          <w:sz w:val="24"/>
          <w:szCs w:val="24"/>
        </w:rPr>
        <w:t xml:space="preserve">Elsayed, D. M. S., &amp; Gab-Allah, H. A. M. (2019). Effect of an educational program for healthcare providers regarding healthcare waste management at maternal and child health centers. </w:t>
      </w:r>
      <w:r w:rsidRPr="00CB38C9">
        <w:rPr>
          <w:rFonts w:ascii="Times New Roman" w:eastAsia="Times New Roman" w:hAnsi="Times New Roman" w:cs="Times New Roman"/>
          <w:i/>
          <w:iCs/>
          <w:sz w:val="24"/>
          <w:szCs w:val="24"/>
        </w:rPr>
        <w:t>The Malaysian Journal of Nursing, 11</w:t>
      </w:r>
      <w:r w:rsidRPr="00CB38C9">
        <w:rPr>
          <w:rFonts w:ascii="Times New Roman" w:eastAsia="Times New Roman" w:hAnsi="Times New Roman" w:cs="Times New Roman"/>
          <w:sz w:val="24"/>
          <w:szCs w:val="24"/>
        </w:rPr>
        <w:t xml:space="preserve">(2), 57–68. https://doi.org/10.31674/mjn.2019.v11i02.007 </w:t>
      </w:r>
    </w:p>
    <w:p w14:paraId="636A7D92" w14:textId="05B4DF60"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proofErr w:type="spellStart"/>
      <w:r w:rsidRPr="00CB38C9">
        <w:rPr>
          <w:rFonts w:ascii="Times New Roman" w:eastAsia="Times New Roman" w:hAnsi="Times New Roman" w:cs="Times New Roman"/>
          <w:sz w:val="24"/>
          <w:szCs w:val="24"/>
        </w:rPr>
        <w:t>Ferronato</w:t>
      </w:r>
      <w:proofErr w:type="spellEnd"/>
      <w:r w:rsidRPr="00CB38C9">
        <w:rPr>
          <w:rFonts w:ascii="Times New Roman" w:eastAsia="Times New Roman" w:hAnsi="Times New Roman" w:cs="Times New Roman"/>
          <w:sz w:val="24"/>
          <w:szCs w:val="24"/>
        </w:rPr>
        <w:t xml:space="preserve">, N., &amp; Torretta, V. (2019). Waste mismanagement in developing countries: A review of global issues. </w:t>
      </w:r>
      <w:r w:rsidRPr="00CB38C9">
        <w:rPr>
          <w:rFonts w:ascii="Times New Roman" w:eastAsia="Times New Roman" w:hAnsi="Times New Roman" w:cs="Times New Roman"/>
          <w:i/>
          <w:iCs/>
          <w:sz w:val="24"/>
          <w:szCs w:val="24"/>
        </w:rPr>
        <w:t>International Journal of Environmental Research and Public Health, 16</w:t>
      </w:r>
      <w:r w:rsidRPr="00CB38C9">
        <w:rPr>
          <w:rFonts w:ascii="Times New Roman" w:eastAsia="Times New Roman" w:hAnsi="Times New Roman" w:cs="Times New Roman"/>
          <w:sz w:val="24"/>
          <w:szCs w:val="24"/>
        </w:rPr>
        <w:t xml:space="preserve">(6), Article 1060. </w:t>
      </w:r>
      <w:hyperlink r:id="rId17" w:tgtFrame="_new" w:history="1">
        <w:r w:rsidRPr="00CB38C9">
          <w:rPr>
            <w:rFonts w:ascii="Times New Roman" w:eastAsia="Times New Roman" w:hAnsi="Times New Roman" w:cs="Times New Roman"/>
            <w:color w:val="0000FF"/>
            <w:sz w:val="24"/>
            <w:szCs w:val="24"/>
            <w:u w:val="single"/>
          </w:rPr>
          <w:t>https://doi.org/10.3390/ijerph16061060</w:t>
        </w:r>
      </w:hyperlink>
      <w:r w:rsidRPr="00CB38C9">
        <w:rPr>
          <w:rFonts w:ascii="Times New Roman" w:eastAsia="Times New Roman" w:hAnsi="Times New Roman" w:cs="Times New Roman"/>
          <w:sz w:val="24"/>
          <w:szCs w:val="24"/>
        </w:rPr>
        <w:t xml:space="preserve"> </w:t>
      </w:r>
    </w:p>
    <w:p w14:paraId="076025E8" w14:textId="0347E069"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proofErr w:type="spellStart"/>
      <w:r w:rsidRPr="00CB38C9">
        <w:rPr>
          <w:rFonts w:ascii="Times New Roman" w:eastAsia="Times New Roman" w:hAnsi="Times New Roman" w:cs="Times New Roman"/>
          <w:sz w:val="24"/>
          <w:szCs w:val="24"/>
        </w:rPr>
        <w:t>Gizalew</w:t>
      </w:r>
      <w:proofErr w:type="spellEnd"/>
      <w:r w:rsidRPr="00CB38C9">
        <w:rPr>
          <w:rFonts w:ascii="Times New Roman" w:eastAsia="Times New Roman" w:hAnsi="Times New Roman" w:cs="Times New Roman"/>
          <w:sz w:val="24"/>
          <w:szCs w:val="24"/>
        </w:rPr>
        <w:t xml:space="preserve">, E. S., Girma, M. S., </w:t>
      </w:r>
      <w:proofErr w:type="spellStart"/>
      <w:r w:rsidRPr="00CB38C9">
        <w:rPr>
          <w:rFonts w:ascii="Times New Roman" w:eastAsia="Times New Roman" w:hAnsi="Times New Roman" w:cs="Times New Roman"/>
          <w:sz w:val="24"/>
          <w:szCs w:val="24"/>
        </w:rPr>
        <w:t>Haftu</w:t>
      </w:r>
      <w:proofErr w:type="spellEnd"/>
      <w:r w:rsidRPr="00CB38C9">
        <w:rPr>
          <w:rFonts w:ascii="Times New Roman" w:eastAsia="Times New Roman" w:hAnsi="Times New Roman" w:cs="Times New Roman"/>
          <w:sz w:val="24"/>
          <w:szCs w:val="24"/>
        </w:rPr>
        <w:t xml:space="preserve">, D. S., </w:t>
      </w:r>
      <w:proofErr w:type="spellStart"/>
      <w:r w:rsidRPr="00CB38C9">
        <w:rPr>
          <w:rFonts w:ascii="Times New Roman" w:eastAsia="Times New Roman" w:hAnsi="Times New Roman" w:cs="Times New Roman"/>
          <w:sz w:val="24"/>
          <w:szCs w:val="24"/>
        </w:rPr>
        <w:t>Churko</w:t>
      </w:r>
      <w:proofErr w:type="spellEnd"/>
      <w:r w:rsidRPr="00CB38C9">
        <w:rPr>
          <w:rFonts w:ascii="Times New Roman" w:eastAsia="Times New Roman" w:hAnsi="Times New Roman" w:cs="Times New Roman"/>
          <w:sz w:val="24"/>
          <w:szCs w:val="24"/>
        </w:rPr>
        <w:t xml:space="preserve">, C., &amp; Girma, Z. S. (2021). Health-care waste management and risk factors among health professionals in public health facilities of South Omo Zone, South West Ethiopia, 2018. </w:t>
      </w:r>
      <w:r w:rsidRPr="00CB38C9">
        <w:rPr>
          <w:rFonts w:ascii="Times New Roman" w:eastAsia="Times New Roman" w:hAnsi="Times New Roman" w:cs="Times New Roman"/>
          <w:i/>
          <w:iCs/>
          <w:sz w:val="24"/>
          <w:szCs w:val="24"/>
        </w:rPr>
        <w:t>Journal of Healthcare Leadership, 13</w:t>
      </w:r>
      <w:r w:rsidRPr="00CB38C9">
        <w:rPr>
          <w:rFonts w:ascii="Times New Roman" w:eastAsia="Times New Roman" w:hAnsi="Times New Roman" w:cs="Times New Roman"/>
          <w:sz w:val="24"/>
          <w:szCs w:val="24"/>
        </w:rPr>
        <w:t xml:space="preserve">, 119–128. </w:t>
      </w:r>
      <w:hyperlink r:id="rId18" w:tgtFrame="_new" w:history="1">
        <w:r w:rsidRPr="00CB38C9">
          <w:rPr>
            <w:rFonts w:ascii="Times New Roman" w:eastAsia="Times New Roman" w:hAnsi="Times New Roman" w:cs="Times New Roman"/>
            <w:color w:val="0000FF"/>
            <w:sz w:val="24"/>
            <w:szCs w:val="24"/>
            <w:u w:val="single"/>
          </w:rPr>
          <w:t>https://doi.org/10.2147/JHL.S300729</w:t>
        </w:r>
      </w:hyperlink>
      <w:r w:rsidRPr="00CB38C9">
        <w:rPr>
          <w:rFonts w:ascii="Times New Roman" w:eastAsia="Times New Roman" w:hAnsi="Times New Roman" w:cs="Times New Roman"/>
          <w:sz w:val="24"/>
          <w:szCs w:val="24"/>
        </w:rPr>
        <w:t xml:space="preserve"> </w:t>
      </w:r>
    </w:p>
    <w:p w14:paraId="0E9ADCEC" w14:textId="7778BB89"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proofErr w:type="spellStart"/>
      <w:r w:rsidRPr="00CB38C9">
        <w:rPr>
          <w:rFonts w:ascii="Times New Roman" w:eastAsia="Times New Roman" w:hAnsi="Times New Roman" w:cs="Times New Roman"/>
          <w:sz w:val="24"/>
          <w:szCs w:val="24"/>
        </w:rPr>
        <w:t>Guzder</w:t>
      </w:r>
      <w:proofErr w:type="spellEnd"/>
      <w:r w:rsidRPr="00CB38C9">
        <w:rPr>
          <w:rFonts w:ascii="Times New Roman" w:eastAsia="Times New Roman" w:hAnsi="Times New Roman" w:cs="Times New Roman"/>
          <w:sz w:val="24"/>
          <w:szCs w:val="24"/>
        </w:rPr>
        <w:t xml:space="preserve">, K. (2020, May 29). What are the different types of healthcare waste and why are they important? </w:t>
      </w:r>
      <w:r w:rsidRPr="00CB38C9">
        <w:rPr>
          <w:rFonts w:ascii="Times New Roman" w:eastAsia="Times New Roman" w:hAnsi="Times New Roman" w:cs="Times New Roman"/>
          <w:i/>
          <w:iCs/>
          <w:sz w:val="24"/>
          <w:szCs w:val="24"/>
        </w:rPr>
        <w:t>High Speed Training</w:t>
      </w:r>
      <w:r w:rsidRPr="00CB38C9">
        <w:rPr>
          <w:rFonts w:ascii="Times New Roman" w:eastAsia="Times New Roman" w:hAnsi="Times New Roman" w:cs="Times New Roman"/>
          <w:sz w:val="24"/>
          <w:szCs w:val="24"/>
        </w:rPr>
        <w:t xml:space="preserve">. </w:t>
      </w:r>
    </w:p>
    <w:p w14:paraId="661A0094" w14:textId="2C2442E4"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proofErr w:type="spellStart"/>
      <w:r w:rsidRPr="00CB38C9">
        <w:rPr>
          <w:rFonts w:ascii="Times New Roman" w:eastAsia="Times New Roman" w:hAnsi="Times New Roman" w:cs="Times New Roman"/>
          <w:sz w:val="24"/>
          <w:szCs w:val="24"/>
        </w:rPr>
        <w:lastRenderedPageBreak/>
        <w:t>Imchen</w:t>
      </w:r>
      <w:proofErr w:type="spellEnd"/>
      <w:r w:rsidRPr="00CB38C9">
        <w:rPr>
          <w:rFonts w:ascii="Times New Roman" w:eastAsia="Times New Roman" w:hAnsi="Times New Roman" w:cs="Times New Roman"/>
          <w:sz w:val="24"/>
          <w:szCs w:val="24"/>
        </w:rPr>
        <w:t xml:space="preserve">, T., Kumari, R., Singh, J. V., Srivastava, K., &amp; Singh, A. (2017). Study of biomedical waste management among healthcare personnel at a tertiary hospital in Lucknow district. </w:t>
      </w:r>
      <w:r w:rsidRPr="00CB38C9">
        <w:rPr>
          <w:rFonts w:ascii="Times New Roman" w:eastAsia="Times New Roman" w:hAnsi="Times New Roman" w:cs="Times New Roman"/>
          <w:i/>
          <w:iCs/>
          <w:sz w:val="24"/>
          <w:szCs w:val="24"/>
        </w:rPr>
        <w:t>International Journal of Community Medicine and Public Health, 4</w:t>
      </w:r>
      <w:r w:rsidRPr="00CB38C9">
        <w:rPr>
          <w:rFonts w:ascii="Times New Roman" w:eastAsia="Times New Roman" w:hAnsi="Times New Roman" w:cs="Times New Roman"/>
          <w:sz w:val="24"/>
          <w:szCs w:val="24"/>
        </w:rPr>
        <w:t xml:space="preserve">(5), 1483–1487. </w:t>
      </w:r>
      <w:hyperlink r:id="rId19" w:tgtFrame="_new" w:history="1">
        <w:r w:rsidRPr="00CB38C9">
          <w:rPr>
            <w:rFonts w:ascii="Times New Roman" w:eastAsia="Times New Roman" w:hAnsi="Times New Roman" w:cs="Times New Roman"/>
            <w:color w:val="0000FF"/>
            <w:sz w:val="24"/>
            <w:szCs w:val="24"/>
            <w:u w:val="single"/>
          </w:rPr>
          <w:t>https://doi.org/10.18203/2394-6040.ijcmph20171460</w:t>
        </w:r>
      </w:hyperlink>
      <w:r w:rsidRPr="00CB38C9">
        <w:rPr>
          <w:rFonts w:ascii="Times New Roman" w:eastAsia="Times New Roman" w:hAnsi="Times New Roman" w:cs="Times New Roman"/>
          <w:sz w:val="24"/>
          <w:szCs w:val="24"/>
        </w:rPr>
        <w:t xml:space="preserve"> </w:t>
      </w:r>
    </w:p>
    <w:p w14:paraId="0E952C79" w14:textId="76AA08A3"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proofErr w:type="spellStart"/>
      <w:r w:rsidRPr="00CB38C9">
        <w:rPr>
          <w:rFonts w:ascii="Times New Roman" w:eastAsia="Times New Roman" w:hAnsi="Times New Roman" w:cs="Times New Roman"/>
          <w:sz w:val="24"/>
          <w:szCs w:val="24"/>
        </w:rPr>
        <w:t>Agbanusi</w:t>
      </w:r>
      <w:proofErr w:type="spellEnd"/>
      <w:r w:rsidRPr="00CB38C9">
        <w:rPr>
          <w:rFonts w:ascii="Times New Roman" w:eastAsia="Times New Roman" w:hAnsi="Times New Roman" w:cs="Times New Roman"/>
          <w:sz w:val="24"/>
          <w:szCs w:val="24"/>
        </w:rPr>
        <w:t xml:space="preserve">, U. J. (2022). Assessment of healthcare waste management strategies in selected hospitals in Abuja, Nigeria. </w:t>
      </w:r>
      <w:proofErr w:type="spellStart"/>
      <w:r w:rsidRPr="00CB38C9">
        <w:rPr>
          <w:rFonts w:ascii="Times New Roman" w:eastAsia="Times New Roman" w:hAnsi="Times New Roman" w:cs="Times New Roman"/>
          <w:i/>
          <w:iCs/>
          <w:sz w:val="24"/>
          <w:szCs w:val="24"/>
        </w:rPr>
        <w:t>Texila</w:t>
      </w:r>
      <w:proofErr w:type="spellEnd"/>
      <w:r w:rsidRPr="00CB38C9">
        <w:rPr>
          <w:rFonts w:ascii="Times New Roman" w:eastAsia="Times New Roman" w:hAnsi="Times New Roman" w:cs="Times New Roman"/>
          <w:i/>
          <w:iCs/>
          <w:sz w:val="24"/>
          <w:szCs w:val="24"/>
        </w:rPr>
        <w:t xml:space="preserve"> International Journal of Public Health, 10</w:t>
      </w:r>
      <w:r w:rsidRPr="00CB38C9">
        <w:rPr>
          <w:rFonts w:ascii="Times New Roman" w:eastAsia="Times New Roman" w:hAnsi="Times New Roman" w:cs="Times New Roman"/>
          <w:sz w:val="24"/>
          <w:szCs w:val="24"/>
        </w:rPr>
        <w:t xml:space="preserve">(4), 166–178. </w:t>
      </w:r>
      <w:hyperlink r:id="rId20" w:tgtFrame="_new" w:history="1">
        <w:r w:rsidRPr="00CB38C9">
          <w:rPr>
            <w:rFonts w:ascii="Times New Roman" w:eastAsia="Times New Roman" w:hAnsi="Times New Roman" w:cs="Times New Roman"/>
            <w:color w:val="0000FF"/>
            <w:sz w:val="24"/>
            <w:szCs w:val="24"/>
            <w:u w:val="single"/>
          </w:rPr>
          <w:t>https://doi.org/10.21522/TIJPH.2013.10.04.Art016</w:t>
        </w:r>
      </w:hyperlink>
      <w:r w:rsidRPr="00CB38C9">
        <w:rPr>
          <w:rFonts w:ascii="Times New Roman" w:eastAsia="Times New Roman" w:hAnsi="Times New Roman" w:cs="Times New Roman"/>
          <w:sz w:val="24"/>
          <w:szCs w:val="24"/>
        </w:rPr>
        <w:t xml:space="preserve"> </w:t>
      </w:r>
    </w:p>
    <w:p w14:paraId="0BD7D75B" w14:textId="19CBDEE4"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proofErr w:type="spellStart"/>
      <w:r w:rsidRPr="00CB38C9">
        <w:rPr>
          <w:rFonts w:ascii="Times New Roman" w:eastAsia="Times New Roman" w:hAnsi="Times New Roman" w:cs="Times New Roman"/>
          <w:sz w:val="24"/>
          <w:szCs w:val="24"/>
        </w:rPr>
        <w:t>Kuchibanda</w:t>
      </w:r>
      <w:proofErr w:type="spellEnd"/>
      <w:r w:rsidRPr="00CB38C9">
        <w:rPr>
          <w:rFonts w:ascii="Times New Roman" w:eastAsia="Times New Roman" w:hAnsi="Times New Roman" w:cs="Times New Roman"/>
          <w:sz w:val="24"/>
          <w:szCs w:val="24"/>
        </w:rPr>
        <w:t xml:space="preserve">, K., &amp; Mayo, A. W. (2015). Public health risks from mismanagement of healthcare wastes in </w:t>
      </w:r>
      <w:proofErr w:type="spellStart"/>
      <w:r w:rsidRPr="00CB38C9">
        <w:rPr>
          <w:rFonts w:ascii="Times New Roman" w:eastAsia="Times New Roman" w:hAnsi="Times New Roman" w:cs="Times New Roman"/>
          <w:sz w:val="24"/>
          <w:szCs w:val="24"/>
        </w:rPr>
        <w:t>Shinyanga</w:t>
      </w:r>
      <w:proofErr w:type="spellEnd"/>
      <w:r w:rsidRPr="00CB38C9">
        <w:rPr>
          <w:rFonts w:ascii="Times New Roman" w:eastAsia="Times New Roman" w:hAnsi="Times New Roman" w:cs="Times New Roman"/>
          <w:sz w:val="24"/>
          <w:szCs w:val="24"/>
        </w:rPr>
        <w:t xml:space="preserve"> Municipality health facilities, Tanzania. </w:t>
      </w:r>
      <w:r w:rsidRPr="00CB38C9">
        <w:rPr>
          <w:rFonts w:ascii="Times New Roman" w:eastAsia="Times New Roman" w:hAnsi="Times New Roman" w:cs="Times New Roman"/>
          <w:i/>
          <w:iCs/>
          <w:sz w:val="24"/>
          <w:szCs w:val="24"/>
        </w:rPr>
        <w:t>The Scientific World Journal, 2015</w:t>
      </w:r>
      <w:r w:rsidRPr="00CB38C9">
        <w:rPr>
          <w:rFonts w:ascii="Times New Roman" w:eastAsia="Times New Roman" w:hAnsi="Times New Roman" w:cs="Times New Roman"/>
          <w:sz w:val="24"/>
          <w:szCs w:val="24"/>
        </w:rPr>
        <w:t xml:space="preserve">, Article 981756. </w:t>
      </w:r>
      <w:hyperlink r:id="rId21" w:tgtFrame="_new" w:history="1">
        <w:r w:rsidRPr="00CB38C9">
          <w:rPr>
            <w:rFonts w:ascii="Times New Roman" w:eastAsia="Times New Roman" w:hAnsi="Times New Roman" w:cs="Times New Roman"/>
            <w:color w:val="0000FF"/>
            <w:sz w:val="24"/>
            <w:szCs w:val="24"/>
            <w:u w:val="single"/>
          </w:rPr>
          <w:t>https://doi.org/10.1155/2015/981756</w:t>
        </w:r>
      </w:hyperlink>
      <w:r w:rsidRPr="00CB38C9">
        <w:rPr>
          <w:rFonts w:ascii="Times New Roman" w:eastAsia="Times New Roman" w:hAnsi="Times New Roman" w:cs="Times New Roman"/>
          <w:sz w:val="24"/>
          <w:szCs w:val="24"/>
        </w:rPr>
        <w:t xml:space="preserve"> </w:t>
      </w:r>
    </w:p>
    <w:p w14:paraId="726D76C7" w14:textId="71BAE0A6"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r w:rsidRPr="00CB38C9">
        <w:rPr>
          <w:rFonts w:ascii="Times New Roman" w:eastAsia="Times New Roman" w:hAnsi="Times New Roman" w:cs="Times New Roman"/>
          <w:sz w:val="24"/>
          <w:szCs w:val="24"/>
        </w:rPr>
        <w:t xml:space="preserve">Letho, Z., Yangdon, T., Lhamo, C., Limbu, C. B., Yoezer, S., </w:t>
      </w:r>
      <w:proofErr w:type="spellStart"/>
      <w:r w:rsidRPr="00CB38C9">
        <w:rPr>
          <w:rFonts w:ascii="Times New Roman" w:eastAsia="Times New Roman" w:hAnsi="Times New Roman" w:cs="Times New Roman"/>
          <w:sz w:val="24"/>
          <w:szCs w:val="24"/>
        </w:rPr>
        <w:t>Jamtsho</w:t>
      </w:r>
      <w:proofErr w:type="spellEnd"/>
      <w:r w:rsidRPr="00CB38C9">
        <w:rPr>
          <w:rFonts w:ascii="Times New Roman" w:eastAsia="Times New Roman" w:hAnsi="Times New Roman" w:cs="Times New Roman"/>
          <w:sz w:val="24"/>
          <w:szCs w:val="24"/>
        </w:rPr>
        <w:t xml:space="preserve">, T., Chhetri, P., &amp; Tshering, D. (2021). Awareness and practice of medical waste management among healthcare providers in National Referral Hospital. </w:t>
      </w:r>
      <w:r w:rsidRPr="00CB38C9">
        <w:rPr>
          <w:rFonts w:ascii="Times New Roman" w:eastAsia="Times New Roman" w:hAnsi="Times New Roman" w:cs="Times New Roman"/>
          <w:i/>
          <w:iCs/>
          <w:sz w:val="24"/>
          <w:szCs w:val="24"/>
        </w:rPr>
        <w:t>PLOS ONE, 16</w:t>
      </w:r>
      <w:r w:rsidRPr="00CB38C9">
        <w:rPr>
          <w:rFonts w:ascii="Times New Roman" w:eastAsia="Times New Roman" w:hAnsi="Times New Roman" w:cs="Times New Roman"/>
          <w:sz w:val="24"/>
          <w:szCs w:val="24"/>
        </w:rPr>
        <w:t xml:space="preserve">(1), Article e0243817. </w:t>
      </w:r>
      <w:hyperlink r:id="rId22" w:tgtFrame="_new" w:history="1">
        <w:r w:rsidRPr="00CB38C9">
          <w:rPr>
            <w:rFonts w:ascii="Times New Roman" w:eastAsia="Times New Roman" w:hAnsi="Times New Roman" w:cs="Times New Roman"/>
            <w:color w:val="0000FF"/>
            <w:sz w:val="24"/>
            <w:szCs w:val="24"/>
            <w:u w:val="single"/>
          </w:rPr>
          <w:t>https://doi.org/10.1371/journal.pone.0243817</w:t>
        </w:r>
      </w:hyperlink>
      <w:r w:rsidRPr="00CB38C9">
        <w:rPr>
          <w:rFonts w:ascii="Times New Roman" w:eastAsia="Times New Roman" w:hAnsi="Times New Roman" w:cs="Times New Roman"/>
          <w:sz w:val="24"/>
          <w:szCs w:val="24"/>
        </w:rPr>
        <w:t xml:space="preserve"> </w:t>
      </w:r>
    </w:p>
    <w:p w14:paraId="6C729D63" w14:textId="25CDF0CC"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r w:rsidRPr="00CB38C9">
        <w:rPr>
          <w:rFonts w:ascii="Times New Roman" w:eastAsia="Times New Roman" w:hAnsi="Times New Roman" w:cs="Times New Roman"/>
          <w:sz w:val="24"/>
          <w:szCs w:val="24"/>
          <w:lang w:val="nl-BE"/>
        </w:rPr>
        <w:t xml:space="preserve">Minoglou, M., Gerassimidou, S., &amp; Komilis, D. (2017). </w:t>
      </w:r>
      <w:r w:rsidRPr="00CB38C9">
        <w:rPr>
          <w:rFonts w:ascii="Times New Roman" w:eastAsia="Times New Roman" w:hAnsi="Times New Roman" w:cs="Times New Roman"/>
          <w:sz w:val="24"/>
          <w:szCs w:val="24"/>
        </w:rPr>
        <w:t xml:space="preserve">Healthcare waste generation worldwide and its dependence on socio-economic and environmental factors. </w:t>
      </w:r>
      <w:r w:rsidRPr="00CB38C9">
        <w:rPr>
          <w:rFonts w:ascii="Times New Roman" w:eastAsia="Times New Roman" w:hAnsi="Times New Roman" w:cs="Times New Roman"/>
          <w:i/>
          <w:iCs/>
          <w:sz w:val="24"/>
          <w:szCs w:val="24"/>
        </w:rPr>
        <w:t>Sustainability, 9</w:t>
      </w:r>
      <w:r w:rsidRPr="00CB38C9">
        <w:rPr>
          <w:rFonts w:ascii="Times New Roman" w:eastAsia="Times New Roman" w:hAnsi="Times New Roman" w:cs="Times New Roman"/>
          <w:sz w:val="24"/>
          <w:szCs w:val="24"/>
        </w:rPr>
        <w:t xml:space="preserve">(2), Article 220. </w:t>
      </w:r>
      <w:hyperlink r:id="rId23" w:tgtFrame="_new" w:history="1">
        <w:r w:rsidRPr="00CB38C9">
          <w:rPr>
            <w:rFonts w:ascii="Times New Roman" w:eastAsia="Times New Roman" w:hAnsi="Times New Roman" w:cs="Times New Roman"/>
            <w:color w:val="0000FF"/>
            <w:sz w:val="24"/>
            <w:szCs w:val="24"/>
            <w:u w:val="single"/>
          </w:rPr>
          <w:t>https://doi.org/10.3390/su9020220</w:t>
        </w:r>
      </w:hyperlink>
      <w:r w:rsidRPr="00CB38C9">
        <w:rPr>
          <w:rFonts w:ascii="Times New Roman" w:eastAsia="Times New Roman" w:hAnsi="Times New Roman" w:cs="Times New Roman"/>
          <w:sz w:val="24"/>
          <w:szCs w:val="24"/>
        </w:rPr>
        <w:t xml:space="preserve"> </w:t>
      </w:r>
    </w:p>
    <w:p w14:paraId="040CCACA" w14:textId="60056D63"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proofErr w:type="spellStart"/>
      <w:r w:rsidRPr="00CB38C9">
        <w:rPr>
          <w:rFonts w:ascii="Times New Roman" w:eastAsia="Times New Roman" w:hAnsi="Times New Roman" w:cs="Times New Roman"/>
          <w:sz w:val="24"/>
          <w:szCs w:val="24"/>
        </w:rPr>
        <w:t>Morikane</w:t>
      </w:r>
      <w:proofErr w:type="spellEnd"/>
      <w:r w:rsidRPr="00CB38C9">
        <w:rPr>
          <w:rFonts w:ascii="Times New Roman" w:eastAsia="Times New Roman" w:hAnsi="Times New Roman" w:cs="Times New Roman"/>
          <w:sz w:val="24"/>
          <w:szCs w:val="24"/>
        </w:rPr>
        <w:t xml:space="preserve">, K., Russo, P. L., Lee, K. Y., Chakravarthy, M., Ling, M. L., Saguil, E., Spencer, M., Danker, W., Seno, A., &amp; Edmiston Charles, E., Jr. (2021). Expert commentary on the challenges and opportunities for surgical site infection prevention through implementation of evidence-based guidelines in the Asia-Pacific region. </w:t>
      </w:r>
      <w:r w:rsidRPr="00CB38C9">
        <w:rPr>
          <w:rFonts w:ascii="Times New Roman" w:eastAsia="Times New Roman" w:hAnsi="Times New Roman" w:cs="Times New Roman"/>
          <w:i/>
          <w:iCs/>
          <w:sz w:val="24"/>
          <w:szCs w:val="24"/>
        </w:rPr>
        <w:t>Antimicrobial Resistance &amp; Infection Control, 10</w:t>
      </w:r>
      <w:r w:rsidRPr="00CB38C9">
        <w:rPr>
          <w:rFonts w:ascii="Times New Roman" w:eastAsia="Times New Roman" w:hAnsi="Times New Roman" w:cs="Times New Roman"/>
          <w:sz w:val="24"/>
          <w:szCs w:val="24"/>
        </w:rPr>
        <w:t xml:space="preserve">, Article 65. </w:t>
      </w:r>
      <w:hyperlink r:id="rId24" w:tgtFrame="_new" w:history="1">
        <w:r w:rsidRPr="00CB38C9">
          <w:rPr>
            <w:rFonts w:ascii="Times New Roman" w:eastAsia="Times New Roman" w:hAnsi="Times New Roman" w:cs="Times New Roman"/>
            <w:color w:val="0000FF"/>
            <w:sz w:val="24"/>
            <w:szCs w:val="24"/>
            <w:u w:val="single"/>
          </w:rPr>
          <w:t>https://doi.org/10.1186/s13756-021-00916-9</w:t>
        </w:r>
      </w:hyperlink>
      <w:r w:rsidRPr="00CB38C9">
        <w:rPr>
          <w:rFonts w:ascii="Times New Roman" w:eastAsia="Times New Roman" w:hAnsi="Times New Roman" w:cs="Times New Roman"/>
          <w:sz w:val="24"/>
          <w:szCs w:val="24"/>
        </w:rPr>
        <w:t xml:space="preserve"> </w:t>
      </w:r>
    </w:p>
    <w:p w14:paraId="79CC698B" w14:textId="41124DAA"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r w:rsidRPr="00CB38C9">
        <w:rPr>
          <w:rFonts w:ascii="Times New Roman" w:eastAsia="Times New Roman" w:hAnsi="Times New Roman" w:cs="Times New Roman"/>
          <w:sz w:val="24"/>
          <w:szCs w:val="24"/>
        </w:rPr>
        <w:t xml:space="preserve">Musa, S., Aliyu, A., </w:t>
      </w:r>
      <w:proofErr w:type="spellStart"/>
      <w:r w:rsidRPr="00CB38C9">
        <w:rPr>
          <w:rFonts w:ascii="Times New Roman" w:eastAsia="Times New Roman" w:hAnsi="Times New Roman" w:cs="Times New Roman"/>
          <w:sz w:val="24"/>
          <w:szCs w:val="24"/>
        </w:rPr>
        <w:t>Ikwuka</w:t>
      </w:r>
      <w:proofErr w:type="spellEnd"/>
      <w:r w:rsidRPr="00CB38C9">
        <w:rPr>
          <w:rFonts w:ascii="Times New Roman" w:eastAsia="Times New Roman" w:hAnsi="Times New Roman" w:cs="Times New Roman"/>
          <w:sz w:val="24"/>
          <w:szCs w:val="24"/>
        </w:rPr>
        <w:t xml:space="preserve">, A. O., &amp; Udeh, F. C. (2023). Knowledge and practice of healthcare waste management among healthcare workers at Yusuf </w:t>
      </w:r>
      <w:proofErr w:type="spellStart"/>
      <w:r w:rsidRPr="00CB38C9">
        <w:rPr>
          <w:rFonts w:ascii="Times New Roman" w:eastAsia="Times New Roman" w:hAnsi="Times New Roman" w:cs="Times New Roman"/>
          <w:sz w:val="24"/>
          <w:szCs w:val="24"/>
        </w:rPr>
        <w:t>Dantsoho</w:t>
      </w:r>
      <w:proofErr w:type="spellEnd"/>
      <w:r w:rsidRPr="00CB38C9">
        <w:rPr>
          <w:rFonts w:ascii="Times New Roman" w:eastAsia="Times New Roman" w:hAnsi="Times New Roman" w:cs="Times New Roman"/>
          <w:sz w:val="24"/>
          <w:szCs w:val="24"/>
        </w:rPr>
        <w:t xml:space="preserve"> Memorial Hospital (YDMH), Kaduna, Nigeria. </w:t>
      </w:r>
      <w:r w:rsidRPr="00CB38C9">
        <w:rPr>
          <w:rFonts w:ascii="Times New Roman" w:eastAsia="Times New Roman" w:hAnsi="Times New Roman" w:cs="Times New Roman"/>
          <w:i/>
          <w:iCs/>
          <w:sz w:val="24"/>
          <w:szCs w:val="24"/>
        </w:rPr>
        <w:t>European Journal of Clinical Medicine, 4</w:t>
      </w:r>
      <w:r w:rsidRPr="00CB38C9">
        <w:rPr>
          <w:rFonts w:ascii="Times New Roman" w:eastAsia="Times New Roman" w:hAnsi="Times New Roman" w:cs="Times New Roman"/>
          <w:sz w:val="24"/>
          <w:szCs w:val="24"/>
        </w:rPr>
        <w:t xml:space="preserve">(2), 31–36. </w:t>
      </w:r>
      <w:hyperlink r:id="rId25" w:tgtFrame="_new" w:history="1">
        <w:r w:rsidRPr="00CB38C9">
          <w:rPr>
            <w:rFonts w:ascii="Times New Roman" w:eastAsia="Times New Roman" w:hAnsi="Times New Roman" w:cs="Times New Roman"/>
            <w:color w:val="0000FF"/>
            <w:sz w:val="24"/>
            <w:szCs w:val="24"/>
            <w:u w:val="single"/>
          </w:rPr>
          <w:t>https://doi.org/10.24018/clinicmed.2023.4.2.249</w:t>
        </w:r>
      </w:hyperlink>
      <w:r w:rsidRPr="00CB38C9">
        <w:rPr>
          <w:rFonts w:ascii="Times New Roman" w:eastAsia="Times New Roman" w:hAnsi="Times New Roman" w:cs="Times New Roman"/>
          <w:sz w:val="24"/>
          <w:szCs w:val="24"/>
        </w:rPr>
        <w:t xml:space="preserve"> </w:t>
      </w:r>
    </w:p>
    <w:p w14:paraId="31F9E23F" w14:textId="03966FF8"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r w:rsidRPr="00CB38C9">
        <w:rPr>
          <w:rFonts w:ascii="Times New Roman" w:eastAsia="Times New Roman" w:hAnsi="Times New Roman" w:cs="Times New Roman"/>
          <w:sz w:val="24"/>
          <w:szCs w:val="24"/>
        </w:rPr>
        <w:t xml:space="preserve">Njue, P. M., Cheboi, K. S., &amp; </w:t>
      </w:r>
      <w:proofErr w:type="spellStart"/>
      <w:r w:rsidRPr="00CB38C9">
        <w:rPr>
          <w:rFonts w:ascii="Times New Roman" w:eastAsia="Times New Roman" w:hAnsi="Times New Roman" w:cs="Times New Roman"/>
          <w:sz w:val="24"/>
          <w:szCs w:val="24"/>
        </w:rPr>
        <w:t>Shadrak</w:t>
      </w:r>
      <w:proofErr w:type="spellEnd"/>
      <w:r w:rsidRPr="00CB38C9">
        <w:rPr>
          <w:rFonts w:ascii="Times New Roman" w:eastAsia="Times New Roman" w:hAnsi="Times New Roman" w:cs="Times New Roman"/>
          <w:sz w:val="24"/>
          <w:szCs w:val="24"/>
        </w:rPr>
        <w:t xml:space="preserve">, O. (2015). Adherence to healthcare waste management guidelines among nurses and waste handlers in Thika Sub-county, Kenya. </w:t>
      </w:r>
      <w:r w:rsidRPr="00CB38C9">
        <w:rPr>
          <w:rFonts w:ascii="Times New Roman" w:eastAsia="Times New Roman" w:hAnsi="Times New Roman" w:cs="Times New Roman"/>
          <w:i/>
          <w:iCs/>
          <w:sz w:val="24"/>
          <w:szCs w:val="24"/>
        </w:rPr>
        <w:t>Ethiopian Journal of Health Sciences, 25</w:t>
      </w:r>
      <w:r w:rsidRPr="00CB38C9">
        <w:rPr>
          <w:rFonts w:ascii="Times New Roman" w:eastAsia="Times New Roman" w:hAnsi="Times New Roman" w:cs="Times New Roman"/>
          <w:sz w:val="24"/>
          <w:szCs w:val="24"/>
        </w:rPr>
        <w:t xml:space="preserve">(4), 295–304. </w:t>
      </w:r>
      <w:hyperlink r:id="rId26" w:tgtFrame="_new" w:history="1">
        <w:r w:rsidRPr="00CB38C9">
          <w:rPr>
            <w:rFonts w:ascii="Times New Roman" w:eastAsia="Times New Roman" w:hAnsi="Times New Roman" w:cs="Times New Roman"/>
            <w:color w:val="0000FF"/>
            <w:sz w:val="24"/>
            <w:szCs w:val="24"/>
            <w:u w:val="single"/>
          </w:rPr>
          <w:t>https://doi.org/10.4314/ejhs.v25i4.2</w:t>
        </w:r>
      </w:hyperlink>
      <w:r w:rsidRPr="00CB38C9">
        <w:rPr>
          <w:rFonts w:ascii="Times New Roman" w:eastAsia="Times New Roman" w:hAnsi="Times New Roman" w:cs="Times New Roman"/>
          <w:sz w:val="24"/>
          <w:szCs w:val="24"/>
        </w:rPr>
        <w:t xml:space="preserve"> </w:t>
      </w:r>
    </w:p>
    <w:p w14:paraId="5A696254" w14:textId="37580713"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r w:rsidRPr="00CB38C9">
        <w:rPr>
          <w:rFonts w:ascii="Times New Roman" w:eastAsia="Times New Roman" w:hAnsi="Times New Roman" w:cs="Times New Roman"/>
          <w:sz w:val="24"/>
          <w:szCs w:val="24"/>
        </w:rPr>
        <w:t xml:space="preserve">Rutayisire, E., Nsabimana, J. A., &amp; Habtu, M. (2019). Knowledge and practice for bio-medical waste management among healthcare personnel at </w:t>
      </w:r>
      <w:proofErr w:type="spellStart"/>
      <w:r w:rsidRPr="00CB38C9">
        <w:rPr>
          <w:rFonts w:ascii="Times New Roman" w:eastAsia="Times New Roman" w:hAnsi="Times New Roman" w:cs="Times New Roman"/>
          <w:sz w:val="24"/>
          <w:szCs w:val="24"/>
        </w:rPr>
        <w:t>Kabgayi</w:t>
      </w:r>
      <w:proofErr w:type="spellEnd"/>
      <w:r w:rsidRPr="00CB38C9">
        <w:rPr>
          <w:rFonts w:ascii="Times New Roman" w:eastAsia="Times New Roman" w:hAnsi="Times New Roman" w:cs="Times New Roman"/>
          <w:sz w:val="24"/>
          <w:szCs w:val="24"/>
        </w:rPr>
        <w:t xml:space="preserve"> District Hospital, Rwanda. </w:t>
      </w:r>
      <w:r w:rsidRPr="00CB38C9">
        <w:rPr>
          <w:rFonts w:ascii="Times New Roman" w:eastAsia="Times New Roman" w:hAnsi="Times New Roman" w:cs="Times New Roman"/>
          <w:i/>
          <w:iCs/>
          <w:sz w:val="24"/>
          <w:szCs w:val="24"/>
        </w:rPr>
        <w:t>Journal of Public Health International, 1</w:t>
      </w:r>
      <w:r w:rsidRPr="00CB38C9">
        <w:rPr>
          <w:rFonts w:ascii="Times New Roman" w:eastAsia="Times New Roman" w:hAnsi="Times New Roman" w:cs="Times New Roman"/>
          <w:sz w:val="24"/>
          <w:szCs w:val="24"/>
        </w:rPr>
        <w:t xml:space="preserve">(4), 36–44. </w:t>
      </w:r>
      <w:hyperlink r:id="rId27" w:tgtFrame="_new" w:history="1">
        <w:r w:rsidRPr="00CB38C9">
          <w:rPr>
            <w:rFonts w:ascii="Times New Roman" w:eastAsia="Times New Roman" w:hAnsi="Times New Roman" w:cs="Times New Roman"/>
            <w:color w:val="0000FF"/>
            <w:sz w:val="24"/>
            <w:szCs w:val="24"/>
            <w:u w:val="single"/>
          </w:rPr>
          <w:t>https://doi.org/10.14302/issn.2641-4538.jphi-19-3005</w:t>
        </w:r>
      </w:hyperlink>
      <w:r w:rsidRPr="00CB38C9">
        <w:rPr>
          <w:rFonts w:ascii="Times New Roman" w:eastAsia="Times New Roman" w:hAnsi="Times New Roman" w:cs="Times New Roman"/>
          <w:sz w:val="24"/>
          <w:szCs w:val="24"/>
        </w:rPr>
        <w:t xml:space="preserve"> </w:t>
      </w:r>
    </w:p>
    <w:p w14:paraId="17EE0962" w14:textId="1813EF15"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r w:rsidRPr="00CB38C9">
        <w:rPr>
          <w:rFonts w:ascii="Times New Roman" w:eastAsia="Times New Roman" w:hAnsi="Times New Roman" w:cs="Times New Roman"/>
          <w:sz w:val="24"/>
          <w:szCs w:val="24"/>
          <w:lang w:val="nl-BE"/>
        </w:rPr>
        <w:t xml:space="preserve">Tadesse, M. L., &amp; Kumie, A. (2014). </w:t>
      </w:r>
      <w:r w:rsidRPr="00CB38C9">
        <w:rPr>
          <w:rFonts w:ascii="Times New Roman" w:eastAsia="Times New Roman" w:hAnsi="Times New Roman" w:cs="Times New Roman"/>
          <w:sz w:val="24"/>
          <w:szCs w:val="24"/>
        </w:rPr>
        <w:t xml:space="preserve">Healthcare waste generation and management practice in government health centers of Addis Ababa, Ethiopia. </w:t>
      </w:r>
      <w:r w:rsidRPr="00CB38C9">
        <w:rPr>
          <w:rFonts w:ascii="Times New Roman" w:eastAsia="Times New Roman" w:hAnsi="Times New Roman" w:cs="Times New Roman"/>
          <w:i/>
          <w:iCs/>
          <w:sz w:val="24"/>
          <w:szCs w:val="24"/>
        </w:rPr>
        <w:t>BMC Public Health, 14</w:t>
      </w:r>
      <w:r w:rsidRPr="00CB38C9">
        <w:rPr>
          <w:rFonts w:ascii="Times New Roman" w:eastAsia="Times New Roman" w:hAnsi="Times New Roman" w:cs="Times New Roman"/>
          <w:sz w:val="24"/>
          <w:szCs w:val="24"/>
        </w:rPr>
        <w:t xml:space="preserve">, Article 1221. </w:t>
      </w:r>
      <w:hyperlink r:id="rId28" w:tgtFrame="_new" w:history="1">
        <w:r w:rsidRPr="00CB38C9">
          <w:rPr>
            <w:rFonts w:ascii="Times New Roman" w:eastAsia="Times New Roman" w:hAnsi="Times New Roman" w:cs="Times New Roman"/>
            <w:color w:val="0000FF"/>
            <w:sz w:val="24"/>
            <w:szCs w:val="24"/>
            <w:u w:val="single"/>
          </w:rPr>
          <w:t>https://doi.org/10.1186/1471-2458-14-1221</w:t>
        </w:r>
      </w:hyperlink>
      <w:r w:rsidRPr="00CB38C9">
        <w:rPr>
          <w:rFonts w:ascii="Times New Roman" w:eastAsia="Times New Roman" w:hAnsi="Times New Roman" w:cs="Times New Roman"/>
          <w:sz w:val="24"/>
          <w:szCs w:val="24"/>
        </w:rPr>
        <w:t xml:space="preserve"> </w:t>
      </w:r>
    </w:p>
    <w:p w14:paraId="21EAB86A" w14:textId="497DF5D4"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r w:rsidRPr="00CB38C9">
        <w:rPr>
          <w:rFonts w:ascii="Times New Roman" w:eastAsia="Times New Roman" w:hAnsi="Times New Roman" w:cs="Times New Roman"/>
          <w:sz w:val="24"/>
          <w:szCs w:val="24"/>
        </w:rPr>
        <w:t xml:space="preserve">World Health Organization. (2017). </w:t>
      </w:r>
      <w:r w:rsidRPr="00CB38C9">
        <w:rPr>
          <w:rFonts w:ascii="Times New Roman" w:eastAsia="Times New Roman" w:hAnsi="Times New Roman" w:cs="Times New Roman"/>
          <w:i/>
          <w:iCs/>
          <w:sz w:val="24"/>
          <w:szCs w:val="24"/>
        </w:rPr>
        <w:t>Safe management of wastes from health-care activities: A summary</w:t>
      </w:r>
      <w:r w:rsidRPr="00CB38C9">
        <w:rPr>
          <w:rFonts w:ascii="Times New Roman" w:eastAsia="Times New Roman" w:hAnsi="Times New Roman" w:cs="Times New Roman"/>
          <w:sz w:val="24"/>
          <w:szCs w:val="24"/>
        </w:rPr>
        <w:t xml:space="preserve"> (WHO/FWC/WSH/17.05). </w:t>
      </w:r>
      <w:hyperlink r:id="rId29" w:tgtFrame="_new" w:history="1">
        <w:r w:rsidRPr="00CB38C9">
          <w:rPr>
            <w:rFonts w:ascii="Times New Roman" w:eastAsia="Times New Roman" w:hAnsi="Times New Roman" w:cs="Times New Roman"/>
            <w:color w:val="0000FF"/>
            <w:sz w:val="24"/>
            <w:szCs w:val="24"/>
            <w:u w:val="single"/>
          </w:rPr>
          <w:t>https://www.who.int/publications/i/item/WHO-FWC-WSH-17.05</w:t>
        </w:r>
      </w:hyperlink>
      <w:r w:rsidRPr="00CB38C9">
        <w:rPr>
          <w:rFonts w:ascii="Times New Roman" w:eastAsia="Times New Roman" w:hAnsi="Times New Roman" w:cs="Times New Roman"/>
          <w:sz w:val="24"/>
          <w:szCs w:val="24"/>
        </w:rPr>
        <w:t xml:space="preserve"> </w:t>
      </w:r>
    </w:p>
    <w:p w14:paraId="44B17CBF" w14:textId="680C03D4"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proofErr w:type="spellStart"/>
      <w:r w:rsidRPr="00CB38C9">
        <w:rPr>
          <w:rFonts w:ascii="Times New Roman" w:eastAsia="Times New Roman" w:hAnsi="Times New Roman" w:cs="Times New Roman"/>
          <w:sz w:val="24"/>
          <w:szCs w:val="24"/>
        </w:rPr>
        <w:t>Soussia</w:t>
      </w:r>
      <w:proofErr w:type="spellEnd"/>
      <w:r w:rsidRPr="00CB38C9">
        <w:rPr>
          <w:rFonts w:ascii="Times New Roman" w:eastAsia="Times New Roman" w:hAnsi="Times New Roman" w:cs="Times New Roman"/>
          <w:sz w:val="24"/>
          <w:szCs w:val="24"/>
        </w:rPr>
        <w:t xml:space="preserve">, T., </w:t>
      </w:r>
      <w:proofErr w:type="spellStart"/>
      <w:r w:rsidRPr="00CB38C9">
        <w:rPr>
          <w:rFonts w:ascii="Times New Roman" w:eastAsia="Times New Roman" w:hAnsi="Times New Roman" w:cs="Times New Roman"/>
          <w:sz w:val="24"/>
          <w:szCs w:val="24"/>
        </w:rPr>
        <w:t>Moudila-Mankassa</w:t>
      </w:r>
      <w:proofErr w:type="spellEnd"/>
      <w:r w:rsidRPr="00CB38C9">
        <w:rPr>
          <w:rFonts w:ascii="Times New Roman" w:eastAsia="Times New Roman" w:hAnsi="Times New Roman" w:cs="Times New Roman"/>
          <w:sz w:val="24"/>
          <w:szCs w:val="24"/>
        </w:rPr>
        <w:t xml:space="preserve">, L., </w:t>
      </w:r>
      <w:proofErr w:type="spellStart"/>
      <w:r w:rsidRPr="00CB38C9">
        <w:rPr>
          <w:rFonts w:ascii="Times New Roman" w:eastAsia="Times New Roman" w:hAnsi="Times New Roman" w:cs="Times New Roman"/>
          <w:sz w:val="24"/>
          <w:szCs w:val="24"/>
        </w:rPr>
        <w:t>Bokossa</w:t>
      </w:r>
      <w:proofErr w:type="spellEnd"/>
      <w:r w:rsidRPr="00CB38C9">
        <w:rPr>
          <w:rFonts w:ascii="Times New Roman" w:eastAsia="Times New Roman" w:hAnsi="Times New Roman" w:cs="Times New Roman"/>
          <w:sz w:val="24"/>
          <w:szCs w:val="24"/>
        </w:rPr>
        <w:t xml:space="preserve">, H., </w:t>
      </w:r>
      <w:proofErr w:type="spellStart"/>
      <w:r w:rsidRPr="00CB38C9">
        <w:rPr>
          <w:rFonts w:ascii="Times New Roman" w:eastAsia="Times New Roman" w:hAnsi="Times New Roman" w:cs="Times New Roman"/>
          <w:sz w:val="24"/>
          <w:szCs w:val="24"/>
        </w:rPr>
        <w:t>Kpamegan</w:t>
      </w:r>
      <w:proofErr w:type="spellEnd"/>
      <w:r w:rsidRPr="00CB38C9">
        <w:rPr>
          <w:rFonts w:ascii="Times New Roman" w:eastAsia="Times New Roman" w:hAnsi="Times New Roman" w:cs="Times New Roman"/>
          <w:sz w:val="24"/>
          <w:szCs w:val="24"/>
        </w:rPr>
        <w:t xml:space="preserve">, B. B., Sossa, J. C., Vigan, J., </w:t>
      </w:r>
      <w:proofErr w:type="spellStart"/>
      <w:r w:rsidRPr="00CB38C9">
        <w:rPr>
          <w:rFonts w:ascii="Times New Roman" w:eastAsia="Times New Roman" w:hAnsi="Times New Roman" w:cs="Times New Roman"/>
          <w:sz w:val="24"/>
          <w:szCs w:val="24"/>
        </w:rPr>
        <w:t>Odoulami</w:t>
      </w:r>
      <w:proofErr w:type="spellEnd"/>
      <w:r w:rsidRPr="00CB38C9">
        <w:rPr>
          <w:rFonts w:ascii="Times New Roman" w:eastAsia="Times New Roman" w:hAnsi="Times New Roman" w:cs="Times New Roman"/>
          <w:sz w:val="24"/>
          <w:szCs w:val="24"/>
        </w:rPr>
        <w:t xml:space="preserve">, L., &amp; Baba-Moussa, L. S. (2025). Biomedical waste management at </w:t>
      </w:r>
      <w:proofErr w:type="spellStart"/>
      <w:r w:rsidRPr="00CB38C9">
        <w:rPr>
          <w:rFonts w:ascii="Times New Roman" w:eastAsia="Times New Roman" w:hAnsi="Times New Roman" w:cs="Times New Roman"/>
          <w:sz w:val="24"/>
          <w:szCs w:val="24"/>
        </w:rPr>
        <w:t>Sokponta</w:t>
      </w:r>
      <w:proofErr w:type="spellEnd"/>
      <w:r w:rsidRPr="00CB38C9">
        <w:rPr>
          <w:rFonts w:ascii="Times New Roman" w:eastAsia="Times New Roman" w:hAnsi="Times New Roman" w:cs="Times New Roman"/>
          <w:sz w:val="24"/>
          <w:szCs w:val="24"/>
        </w:rPr>
        <w:t xml:space="preserve"> healthcare facility in Benin. </w:t>
      </w:r>
      <w:r w:rsidRPr="00CB38C9">
        <w:rPr>
          <w:rFonts w:ascii="Times New Roman" w:eastAsia="Times New Roman" w:hAnsi="Times New Roman" w:cs="Times New Roman"/>
          <w:i/>
          <w:iCs/>
          <w:sz w:val="24"/>
          <w:szCs w:val="24"/>
        </w:rPr>
        <w:t>International Journal of Environment and Climate Change, 15</w:t>
      </w:r>
      <w:r w:rsidRPr="00CB38C9">
        <w:rPr>
          <w:rFonts w:ascii="Times New Roman" w:eastAsia="Times New Roman" w:hAnsi="Times New Roman" w:cs="Times New Roman"/>
          <w:sz w:val="24"/>
          <w:szCs w:val="24"/>
        </w:rPr>
        <w:t xml:space="preserve">(1), 242–250. </w:t>
      </w:r>
      <w:hyperlink r:id="rId30" w:tgtFrame="_new" w:history="1">
        <w:r w:rsidRPr="00CB38C9">
          <w:rPr>
            <w:rFonts w:ascii="Times New Roman" w:eastAsia="Times New Roman" w:hAnsi="Times New Roman" w:cs="Times New Roman"/>
            <w:color w:val="0000FF"/>
            <w:sz w:val="24"/>
            <w:szCs w:val="24"/>
            <w:u w:val="single"/>
          </w:rPr>
          <w:t>https://doi.org/10.9734/ijecc/2025/v15i14688</w:t>
        </w:r>
      </w:hyperlink>
      <w:r w:rsidRPr="00CB38C9">
        <w:rPr>
          <w:rFonts w:ascii="Times New Roman" w:eastAsia="Times New Roman" w:hAnsi="Times New Roman" w:cs="Times New Roman"/>
          <w:sz w:val="24"/>
          <w:szCs w:val="24"/>
        </w:rPr>
        <w:t xml:space="preserve"> </w:t>
      </w:r>
    </w:p>
    <w:p w14:paraId="680B74BD" w14:textId="3A50E686"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r w:rsidRPr="00CB38C9">
        <w:rPr>
          <w:rFonts w:ascii="Times New Roman" w:eastAsia="Times New Roman" w:hAnsi="Times New Roman" w:cs="Times New Roman"/>
          <w:sz w:val="24"/>
          <w:szCs w:val="24"/>
        </w:rPr>
        <w:t xml:space="preserve">Asomugha, A., Nkem, B., &amp; </w:t>
      </w:r>
      <w:proofErr w:type="spellStart"/>
      <w:r w:rsidRPr="00CB38C9">
        <w:rPr>
          <w:rFonts w:ascii="Times New Roman" w:eastAsia="Times New Roman" w:hAnsi="Times New Roman" w:cs="Times New Roman"/>
          <w:sz w:val="24"/>
          <w:szCs w:val="24"/>
        </w:rPr>
        <w:t>Azudialu</w:t>
      </w:r>
      <w:proofErr w:type="spellEnd"/>
      <w:r w:rsidRPr="00CB38C9">
        <w:rPr>
          <w:rFonts w:ascii="Times New Roman" w:eastAsia="Times New Roman" w:hAnsi="Times New Roman" w:cs="Times New Roman"/>
          <w:sz w:val="24"/>
          <w:szCs w:val="24"/>
        </w:rPr>
        <w:t xml:space="preserve">, B. (2023). Comparative studies on knowledge, attitude and practice of health workers towards medical waste management in two developed </w:t>
      </w:r>
      <w:r w:rsidRPr="00CB38C9">
        <w:rPr>
          <w:rFonts w:ascii="Times New Roman" w:eastAsia="Times New Roman" w:hAnsi="Times New Roman" w:cs="Times New Roman"/>
          <w:sz w:val="24"/>
          <w:szCs w:val="24"/>
        </w:rPr>
        <w:lastRenderedPageBreak/>
        <w:t xml:space="preserve">regions of the world. </w:t>
      </w:r>
      <w:r w:rsidRPr="00CB38C9">
        <w:rPr>
          <w:rFonts w:ascii="Times New Roman" w:eastAsia="Times New Roman" w:hAnsi="Times New Roman" w:cs="Times New Roman"/>
          <w:i/>
          <w:iCs/>
          <w:sz w:val="24"/>
          <w:szCs w:val="24"/>
        </w:rPr>
        <w:t>Asian Journal of Current Research, 8</w:t>
      </w:r>
      <w:r w:rsidRPr="00CB38C9">
        <w:rPr>
          <w:rFonts w:ascii="Times New Roman" w:eastAsia="Times New Roman" w:hAnsi="Times New Roman" w:cs="Times New Roman"/>
          <w:sz w:val="24"/>
          <w:szCs w:val="24"/>
        </w:rPr>
        <w:t xml:space="preserve">(4), 10–23. </w:t>
      </w:r>
      <w:hyperlink r:id="rId31" w:tgtFrame="_new" w:history="1">
        <w:r w:rsidRPr="00CB38C9">
          <w:rPr>
            <w:rFonts w:ascii="Times New Roman" w:eastAsia="Times New Roman" w:hAnsi="Times New Roman" w:cs="Times New Roman"/>
            <w:color w:val="0000FF"/>
            <w:sz w:val="24"/>
            <w:szCs w:val="24"/>
            <w:u w:val="single"/>
          </w:rPr>
          <w:t>https://doi.org/10.56557/ajocr/2023/v8i48414</w:t>
        </w:r>
      </w:hyperlink>
      <w:r w:rsidRPr="00CB38C9">
        <w:rPr>
          <w:rFonts w:ascii="Times New Roman" w:eastAsia="Times New Roman" w:hAnsi="Times New Roman" w:cs="Times New Roman"/>
          <w:sz w:val="24"/>
          <w:szCs w:val="24"/>
        </w:rPr>
        <w:t xml:space="preserve"> </w:t>
      </w:r>
    </w:p>
    <w:p w14:paraId="1A8A7032" w14:textId="3EF82F23"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r w:rsidRPr="00CB38C9">
        <w:rPr>
          <w:rFonts w:ascii="Times New Roman" w:eastAsia="Times New Roman" w:hAnsi="Times New Roman" w:cs="Times New Roman"/>
          <w:sz w:val="24"/>
          <w:szCs w:val="24"/>
          <w:lang w:val="nl-BE"/>
        </w:rPr>
        <w:t xml:space="preserve">Berihun, G., Walle, Z., Desye, B., Daba, C., Geto, A. K., Kumlachew, L., &amp; Berhanu, L. (2025). </w:t>
      </w:r>
      <w:r w:rsidRPr="00CB38C9">
        <w:rPr>
          <w:rFonts w:ascii="Times New Roman" w:eastAsia="Times New Roman" w:hAnsi="Times New Roman" w:cs="Times New Roman"/>
          <w:sz w:val="24"/>
          <w:szCs w:val="24"/>
        </w:rPr>
        <w:t xml:space="preserve">Healthcare waste management practices and associated factors among healthcare workers in Sub-Saharan Africa: A systematic review and meta-analysis. </w:t>
      </w:r>
      <w:r w:rsidRPr="00CB38C9">
        <w:rPr>
          <w:rFonts w:ascii="Times New Roman" w:eastAsia="Times New Roman" w:hAnsi="Times New Roman" w:cs="Times New Roman"/>
          <w:i/>
          <w:iCs/>
          <w:sz w:val="24"/>
          <w:szCs w:val="24"/>
        </w:rPr>
        <w:t>PLOS ONE, 20</w:t>
      </w:r>
      <w:r w:rsidRPr="00CB38C9">
        <w:rPr>
          <w:rFonts w:ascii="Times New Roman" w:eastAsia="Times New Roman" w:hAnsi="Times New Roman" w:cs="Times New Roman"/>
          <w:sz w:val="24"/>
          <w:szCs w:val="24"/>
        </w:rPr>
        <w:t xml:space="preserve">(10), Article e0334290. </w:t>
      </w:r>
      <w:hyperlink r:id="rId32" w:tgtFrame="_new" w:history="1">
        <w:r w:rsidRPr="00CB38C9">
          <w:rPr>
            <w:rFonts w:ascii="Times New Roman" w:eastAsia="Times New Roman" w:hAnsi="Times New Roman" w:cs="Times New Roman"/>
            <w:color w:val="0000FF"/>
            <w:sz w:val="24"/>
            <w:szCs w:val="24"/>
            <w:u w:val="single"/>
          </w:rPr>
          <w:t>https://doi.org/10.1371/journal.pone.0334290</w:t>
        </w:r>
      </w:hyperlink>
      <w:r w:rsidRPr="00CB38C9">
        <w:rPr>
          <w:rFonts w:ascii="Times New Roman" w:eastAsia="Times New Roman" w:hAnsi="Times New Roman" w:cs="Times New Roman"/>
          <w:sz w:val="24"/>
          <w:szCs w:val="24"/>
        </w:rPr>
        <w:t xml:space="preserve"> </w:t>
      </w:r>
    </w:p>
    <w:p w14:paraId="4BFEF977" w14:textId="3C7B56F2" w:rsidR="00CB38C9" w:rsidRPr="00CB38C9" w:rsidRDefault="00CB38C9" w:rsidP="00CB38C9">
      <w:pPr>
        <w:spacing w:after="0" w:line="240" w:lineRule="auto"/>
        <w:ind w:left="540" w:hanging="540"/>
        <w:jc w:val="both"/>
        <w:rPr>
          <w:rFonts w:ascii="Times New Roman" w:eastAsia="Times New Roman" w:hAnsi="Times New Roman" w:cs="Times New Roman"/>
          <w:sz w:val="24"/>
          <w:szCs w:val="24"/>
        </w:rPr>
      </w:pPr>
      <w:r w:rsidRPr="00CB38C9">
        <w:rPr>
          <w:rFonts w:ascii="Times New Roman" w:eastAsia="Times New Roman" w:hAnsi="Times New Roman" w:cs="Times New Roman"/>
          <w:sz w:val="24"/>
          <w:szCs w:val="24"/>
        </w:rPr>
        <w:t xml:space="preserve">Hamed, A. E. M., </w:t>
      </w:r>
      <w:proofErr w:type="spellStart"/>
      <w:r w:rsidRPr="00CB38C9">
        <w:rPr>
          <w:rFonts w:ascii="Times New Roman" w:eastAsia="Times New Roman" w:hAnsi="Times New Roman" w:cs="Times New Roman"/>
          <w:sz w:val="24"/>
          <w:szCs w:val="24"/>
        </w:rPr>
        <w:t>Sefouhi</w:t>
      </w:r>
      <w:proofErr w:type="spellEnd"/>
      <w:r w:rsidRPr="00CB38C9">
        <w:rPr>
          <w:rFonts w:ascii="Times New Roman" w:eastAsia="Times New Roman" w:hAnsi="Times New Roman" w:cs="Times New Roman"/>
          <w:sz w:val="24"/>
          <w:szCs w:val="24"/>
        </w:rPr>
        <w:t xml:space="preserve">, L., Ibrahim, M. I. T., Attia, A. S., Barakat, A. M., &amp; Elsayed, E. E. (2025). From knowledge to impact: Revolutionizing nursing practices in biomedical waste management for sustainable healthcare excellence. </w:t>
      </w:r>
      <w:r w:rsidRPr="00CB38C9">
        <w:rPr>
          <w:rFonts w:ascii="Times New Roman" w:eastAsia="Times New Roman" w:hAnsi="Times New Roman" w:cs="Times New Roman"/>
          <w:i/>
          <w:iCs/>
          <w:sz w:val="24"/>
          <w:szCs w:val="24"/>
        </w:rPr>
        <w:t>BMC Nursing, 24</w:t>
      </w:r>
      <w:r w:rsidRPr="00CB38C9">
        <w:rPr>
          <w:rFonts w:ascii="Times New Roman" w:eastAsia="Times New Roman" w:hAnsi="Times New Roman" w:cs="Times New Roman"/>
          <w:sz w:val="24"/>
          <w:szCs w:val="24"/>
        </w:rPr>
        <w:t xml:space="preserve">, Article 469. </w:t>
      </w:r>
      <w:hyperlink r:id="rId33" w:tgtFrame="_new" w:history="1">
        <w:r w:rsidRPr="00CB38C9">
          <w:rPr>
            <w:rFonts w:ascii="Times New Roman" w:eastAsia="Times New Roman" w:hAnsi="Times New Roman" w:cs="Times New Roman"/>
            <w:color w:val="0000FF"/>
            <w:sz w:val="24"/>
            <w:szCs w:val="24"/>
            <w:u w:val="single"/>
          </w:rPr>
          <w:t>https://doi.org/10.1186/s12912-025-03073-1</w:t>
        </w:r>
      </w:hyperlink>
      <w:r w:rsidRPr="00CB38C9">
        <w:rPr>
          <w:rFonts w:ascii="Times New Roman" w:eastAsia="Times New Roman" w:hAnsi="Times New Roman" w:cs="Times New Roman"/>
          <w:sz w:val="24"/>
          <w:szCs w:val="24"/>
        </w:rPr>
        <w:t xml:space="preserve"> </w:t>
      </w:r>
    </w:p>
    <w:p w14:paraId="441D10F4" w14:textId="0C7E0E60" w:rsidR="00603223" w:rsidRDefault="00CB38C9" w:rsidP="00CB38C9">
      <w:pPr>
        <w:ind w:left="540" w:hanging="540"/>
        <w:jc w:val="both"/>
      </w:pPr>
      <w:proofErr w:type="spellStart"/>
      <w:r w:rsidRPr="00CB38C9">
        <w:rPr>
          <w:rFonts w:ascii="Times New Roman" w:eastAsia="Times New Roman" w:hAnsi="Times New Roman" w:cs="Times New Roman"/>
          <w:sz w:val="24"/>
          <w:szCs w:val="24"/>
        </w:rPr>
        <w:t>Aralu</w:t>
      </w:r>
      <w:proofErr w:type="spellEnd"/>
      <w:r w:rsidRPr="00CB38C9">
        <w:rPr>
          <w:rFonts w:ascii="Times New Roman" w:eastAsia="Times New Roman" w:hAnsi="Times New Roman" w:cs="Times New Roman"/>
          <w:sz w:val="24"/>
          <w:szCs w:val="24"/>
        </w:rPr>
        <w:t xml:space="preserve">, J. C., Enyindah, C., &amp; </w:t>
      </w:r>
      <w:proofErr w:type="spellStart"/>
      <w:r w:rsidRPr="00CB38C9">
        <w:rPr>
          <w:rFonts w:ascii="Times New Roman" w:eastAsia="Times New Roman" w:hAnsi="Times New Roman" w:cs="Times New Roman"/>
          <w:sz w:val="24"/>
          <w:szCs w:val="24"/>
        </w:rPr>
        <w:t>Wasini</w:t>
      </w:r>
      <w:proofErr w:type="spellEnd"/>
      <w:r w:rsidRPr="00CB38C9">
        <w:rPr>
          <w:rFonts w:ascii="Times New Roman" w:eastAsia="Times New Roman" w:hAnsi="Times New Roman" w:cs="Times New Roman"/>
          <w:sz w:val="24"/>
          <w:szCs w:val="24"/>
        </w:rPr>
        <w:t xml:space="preserve">, K. (2024). Knowledge of maternity healthcare waste management practice to World Health </w:t>
      </w:r>
      <w:proofErr w:type="spellStart"/>
      <w:r w:rsidRPr="00CB38C9">
        <w:rPr>
          <w:rFonts w:ascii="Times New Roman" w:eastAsia="Times New Roman" w:hAnsi="Times New Roman" w:cs="Times New Roman"/>
          <w:sz w:val="24"/>
          <w:szCs w:val="24"/>
        </w:rPr>
        <w:t>Organisation</w:t>
      </w:r>
      <w:proofErr w:type="spellEnd"/>
      <w:r w:rsidRPr="00CB38C9">
        <w:rPr>
          <w:rFonts w:ascii="Times New Roman" w:eastAsia="Times New Roman" w:hAnsi="Times New Roman" w:cs="Times New Roman"/>
          <w:sz w:val="24"/>
          <w:szCs w:val="24"/>
        </w:rPr>
        <w:t xml:space="preserve"> guidelines among midwives in Nnamdi Azikiwe University Teaching Hospital. </w:t>
      </w:r>
      <w:r w:rsidRPr="00CB38C9">
        <w:rPr>
          <w:rFonts w:ascii="Times New Roman" w:eastAsia="Times New Roman" w:hAnsi="Times New Roman" w:cs="Times New Roman"/>
          <w:i/>
          <w:iCs/>
          <w:sz w:val="24"/>
          <w:szCs w:val="24"/>
        </w:rPr>
        <w:t>Asian Journal of Research in Medicine and Medical Science, 6</w:t>
      </w:r>
      <w:r w:rsidRPr="00CB38C9">
        <w:rPr>
          <w:rFonts w:ascii="Times New Roman" w:eastAsia="Times New Roman" w:hAnsi="Times New Roman" w:cs="Times New Roman"/>
          <w:sz w:val="24"/>
          <w:szCs w:val="24"/>
        </w:rPr>
        <w:t xml:space="preserve">(1), 138–146. </w:t>
      </w:r>
      <w:hyperlink r:id="rId34" w:tgtFrame="_new" w:history="1">
        <w:r w:rsidRPr="00CB38C9">
          <w:rPr>
            <w:rFonts w:ascii="Times New Roman" w:eastAsia="Times New Roman" w:hAnsi="Times New Roman" w:cs="Times New Roman"/>
            <w:color w:val="0000FF"/>
            <w:sz w:val="24"/>
            <w:szCs w:val="24"/>
            <w:u w:val="single"/>
          </w:rPr>
          <w:t>https://www.jofmedical.com/index.php/AJRMMS/article/view/77</w:t>
        </w:r>
      </w:hyperlink>
      <w:r w:rsidRPr="00CB38C9">
        <w:rPr>
          <w:rFonts w:ascii="Times New Roman" w:eastAsia="Times New Roman" w:hAnsi="Times New Roman" w:cs="Times New Roman"/>
          <w:sz w:val="24"/>
          <w:szCs w:val="24"/>
        </w:rPr>
        <w:t xml:space="preserve"> </w:t>
      </w:r>
    </w:p>
    <w:sectPr w:rsidR="00603223" w:rsidSect="007639B7">
      <w:headerReference w:type="even" r:id="rId35"/>
      <w:headerReference w:type="default" r:id="rId36"/>
      <w:footerReference w:type="even" r:id="rId37"/>
      <w:footerReference w:type="default" r:id="rId38"/>
      <w:headerReference w:type="first" r:id="rId39"/>
      <w:footerReference w:type="firs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883DE" w14:textId="77777777" w:rsidR="00D54285" w:rsidRDefault="00D54285" w:rsidP="00353DC3">
      <w:pPr>
        <w:spacing w:after="0" w:line="240" w:lineRule="auto"/>
      </w:pPr>
      <w:r>
        <w:separator/>
      </w:r>
    </w:p>
  </w:endnote>
  <w:endnote w:type="continuationSeparator" w:id="0">
    <w:p w14:paraId="4755B702" w14:textId="77777777" w:rsidR="00D54285" w:rsidRDefault="00D54285" w:rsidP="00353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Bold">
    <w:altName w:val="Times New Roman"/>
    <w:charset w:val="00"/>
    <w:family w:val="roman"/>
    <w:pitch w:val="default"/>
  </w:font>
  <w:font w:name="Cambria-Italic">
    <w:altName w:val="Times New Roman"/>
    <w:charset w:val="00"/>
    <w:family w:val="roman"/>
    <w:pitch w:val="default"/>
  </w:font>
  <w:font w:name="BookAntiqua-Bold">
    <w:altName w:val="Arial Unicode MS"/>
    <w:charset w:val="88"/>
    <w:family w:val="auto"/>
    <w:pitch w:val="default"/>
    <w:sig w:usb0="00000000" w:usb1="0000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24CF3" w14:textId="77777777" w:rsidR="00166F61" w:rsidRDefault="00166F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1C56" w14:textId="77777777" w:rsidR="007639B7" w:rsidRDefault="007639B7">
    <w:pPr>
      <w:pStyle w:val="Footer"/>
      <w:jc w:val="center"/>
    </w:pPr>
    <w:r>
      <w:fldChar w:fldCharType="begin"/>
    </w:r>
    <w:r>
      <w:instrText xml:space="preserve"> PAGE   \* MERGEFORMAT </w:instrText>
    </w:r>
    <w:r>
      <w:fldChar w:fldCharType="separate"/>
    </w:r>
    <w:r w:rsidR="00587C0C">
      <w:rPr>
        <w:noProof/>
      </w:rPr>
      <w:t>2</w:t>
    </w:r>
    <w:r>
      <w:rPr>
        <w:noProof/>
      </w:rPr>
      <w:fldChar w:fldCharType="end"/>
    </w:r>
  </w:p>
  <w:p w14:paraId="41230661" w14:textId="77777777" w:rsidR="007639B7" w:rsidRDefault="007639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35D58" w14:textId="77777777" w:rsidR="00166F61" w:rsidRDefault="00166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99E66" w14:textId="77777777" w:rsidR="00D54285" w:rsidRDefault="00D54285" w:rsidP="00353DC3">
      <w:pPr>
        <w:spacing w:after="0" w:line="240" w:lineRule="auto"/>
      </w:pPr>
      <w:r>
        <w:separator/>
      </w:r>
    </w:p>
  </w:footnote>
  <w:footnote w:type="continuationSeparator" w:id="0">
    <w:p w14:paraId="6B078FEC" w14:textId="77777777" w:rsidR="00D54285" w:rsidRDefault="00D54285" w:rsidP="00353D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DD7D0" w14:textId="77777777" w:rsidR="00166F61" w:rsidRDefault="00000000">
    <w:pPr>
      <w:pStyle w:val="Header"/>
    </w:pPr>
    <w:r>
      <w:rPr>
        <w:noProof/>
      </w:rPr>
      <w:pict w14:anchorId="30FC48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76297"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8B99A" w14:textId="77777777" w:rsidR="00166F61" w:rsidRDefault="00000000">
    <w:pPr>
      <w:pStyle w:val="Header"/>
    </w:pPr>
    <w:r>
      <w:rPr>
        <w:noProof/>
      </w:rPr>
      <w:pict w14:anchorId="383F36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76298"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E8A59" w14:textId="77777777" w:rsidR="00166F61" w:rsidRDefault="00000000">
    <w:pPr>
      <w:pStyle w:val="Header"/>
    </w:pPr>
    <w:r>
      <w:rPr>
        <w:noProof/>
      </w:rPr>
      <w:pict w14:anchorId="4C3639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76296"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3"/>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000005"/>
    <w:multiLevelType w:val="multilevel"/>
    <w:tmpl w:val="00000005"/>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0000008"/>
    <w:multiLevelType w:val="multilevel"/>
    <w:tmpl w:val="00000008"/>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B20458"/>
    <w:multiLevelType w:val="multilevel"/>
    <w:tmpl w:val="06B20458"/>
    <w:lvl w:ilvl="0">
      <w:start w:val="1"/>
      <w:numFmt w:val="bullet"/>
      <w:lvlText w:val="•"/>
      <w:lvlJc w:val="left"/>
      <w:pPr>
        <w:ind w:left="360"/>
      </w:pPr>
      <w:rPr>
        <w:rFonts w:ascii="Wingdings" w:eastAsia="Wingdings" w:hAnsi="Wingdings" w:cs="Wingdings"/>
        <w:b w:val="0"/>
        <w:i w:val="0"/>
        <w:strike w:val="0"/>
        <w:dstrike w:val="0"/>
        <w:color w:val="000000"/>
        <w:sz w:val="24"/>
        <w:u w:val="none" w:color="000000"/>
        <w:shd w:val="clear" w:color="auto" w:fill="auto"/>
        <w:vertAlign w:val="baseline"/>
      </w:rPr>
    </w:lvl>
    <w:lvl w:ilvl="1">
      <w:start w:val="1"/>
      <w:numFmt w:val="bullet"/>
      <w:lvlText w:val="o"/>
      <w:lvlJc w:val="left"/>
      <w:pPr>
        <w:ind w:left="496"/>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lowerRoman"/>
      <w:lvlText w:val="%3."/>
      <w:lvlJc w:val="right"/>
      <w:pPr>
        <w:ind w:left="631"/>
      </w:pPr>
      <w:rPr>
        <w:b w:val="0"/>
        <w:i w:val="0"/>
        <w:strike w:val="0"/>
        <w:dstrike w:val="0"/>
        <w:color w:val="000000"/>
        <w:sz w:val="24"/>
        <w:u w:val="none" w:color="000000"/>
        <w:shd w:val="clear" w:color="auto" w:fill="auto"/>
        <w:vertAlign w:val="baseline"/>
      </w:rPr>
    </w:lvl>
    <w:lvl w:ilvl="3">
      <w:start w:val="1"/>
      <w:numFmt w:val="bullet"/>
      <w:lvlText w:val="•"/>
      <w:lvlJc w:val="left"/>
      <w:pPr>
        <w:ind w:left="1351"/>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2071"/>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2791"/>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3511"/>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4231"/>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4951"/>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4" w15:restartNumberingAfterBreak="0">
    <w:nsid w:val="091512E3"/>
    <w:multiLevelType w:val="hybridMultilevel"/>
    <w:tmpl w:val="72F48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1699F"/>
    <w:multiLevelType w:val="multilevel"/>
    <w:tmpl w:val="19F1699F"/>
    <w:lvl w:ilvl="0">
      <w:start w:val="1"/>
      <w:numFmt w:val="lowerLetter"/>
      <w:lvlText w:val="(%1)"/>
      <w:lvlJc w:val="left"/>
      <w:pPr>
        <w:ind w:left="705"/>
      </w:pPr>
      <w:rPr>
        <w:rFonts w:ascii="Arial" w:eastAsia="Arial" w:hAnsi="Arial" w:cs="Arial"/>
        <w:b w:val="0"/>
        <w:i w:val="0"/>
        <w:strike w:val="0"/>
        <w:dstrike w:val="0"/>
        <w:color w:val="000000"/>
        <w:sz w:val="24"/>
        <w:u w:val="none" w:color="000000"/>
        <w:shd w:val="clear" w:color="auto" w:fill="auto"/>
        <w:vertAlign w:val="baseline"/>
      </w:rPr>
    </w:lvl>
    <w:lvl w:ilvl="1">
      <w:start w:val="1"/>
      <w:numFmt w:val="lowerLetter"/>
      <w:lvlText w:val="%2"/>
      <w:lvlJc w:val="left"/>
      <w:pPr>
        <w:ind w:left="1425"/>
      </w:pPr>
      <w:rPr>
        <w:rFonts w:ascii="Arial" w:eastAsia="Arial" w:hAnsi="Arial" w:cs="Arial"/>
        <w:b w:val="0"/>
        <w:i w:val="0"/>
        <w:strike w:val="0"/>
        <w:dstrike w:val="0"/>
        <w:color w:val="000000"/>
        <w:sz w:val="24"/>
        <w:u w:val="none" w:color="000000"/>
        <w:shd w:val="clear" w:color="auto" w:fill="auto"/>
        <w:vertAlign w:val="baseline"/>
      </w:rPr>
    </w:lvl>
    <w:lvl w:ilvl="2">
      <w:start w:val="1"/>
      <w:numFmt w:val="lowerRoman"/>
      <w:lvlText w:val="%3"/>
      <w:lvlJc w:val="left"/>
      <w:pPr>
        <w:ind w:left="2145"/>
      </w:pPr>
      <w:rPr>
        <w:rFonts w:ascii="Arial" w:eastAsia="Arial" w:hAnsi="Arial" w:cs="Arial"/>
        <w:b w:val="0"/>
        <w:i w:val="0"/>
        <w:strike w:val="0"/>
        <w:dstrike w:val="0"/>
        <w:color w:val="000000"/>
        <w:sz w:val="24"/>
        <w:u w:val="none" w:color="000000"/>
        <w:shd w:val="clear" w:color="auto" w:fill="auto"/>
        <w:vertAlign w:val="baseline"/>
      </w:rPr>
    </w:lvl>
    <w:lvl w:ilvl="3">
      <w:start w:val="1"/>
      <w:numFmt w:val="decimal"/>
      <w:lvlText w:val="%4"/>
      <w:lvlJc w:val="left"/>
      <w:pPr>
        <w:ind w:left="2865"/>
      </w:pPr>
      <w:rPr>
        <w:rFonts w:ascii="Arial" w:eastAsia="Arial" w:hAnsi="Arial" w:cs="Arial"/>
        <w:b w:val="0"/>
        <w:i w:val="0"/>
        <w:strike w:val="0"/>
        <w:dstrike w:val="0"/>
        <w:color w:val="000000"/>
        <w:sz w:val="24"/>
        <w:u w:val="none" w:color="000000"/>
        <w:shd w:val="clear" w:color="auto" w:fill="auto"/>
        <w:vertAlign w:val="baseline"/>
      </w:rPr>
    </w:lvl>
    <w:lvl w:ilvl="4">
      <w:start w:val="1"/>
      <w:numFmt w:val="lowerLetter"/>
      <w:lvlText w:val="%5"/>
      <w:lvlJc w:val="left"/>
      <w:pPr>
        <w:ind w:left="3585"/>
      </w:pPr>
      <w:rPr>
        <w:rFonts w:ascii="Arial" w:eastAsia="Arial" w:hAnsi="Arial" w:cs="Arial"/>
        <w:b w:val="0"/>
        <w:i w:val="0"/>
        <w:strike w:val="0"/>
        <w:dstrike w:val="0"/>
        <w:color w:val="000000"/>
        <w:sz w:val="24"/>
        <w:u w:val="none" w:color="000000"/>
        <w:shd w:val="clear" w:color="auto" w:fill="auto"/>
        <w:vertAlign w:val="baseline"/>
      </w:rPr>
    </w:lvl>
    <w:lvl w:ilvl="5">
      <w:start w:val="1"/>
      <w:numFmt w:val="lowerRoman"/>
      <w:lvlText w:val="%6"/>
      <w:lvlJc w:val="left"/>
      <w:pPr>
        <w:ind w:left="4305"/>
      </w:pPr>
      <w:rPr>
        <w:rFonts w:ascii="Arial" w:eastAsia="Arial" w:hAnsi="Arial" w:cs="Arial"/>
        <w:b w:val="0"/>
        <w:i w:val="0"/>
        <w:strike w:val="0"/>
        <w:dstrike w:val="0"/>
        <w:color w:val="000000"/>
        <w:sz w:val="24"/>
        <w:u w:val="none" w:color="000000"/>
        <w:shd w:val="clear" w:color="auto" w:fill="auto"/>
        <w:vertAlign w:val="baseline"/>
      </w:rPr>
    </w:lvl>
    <w:lvl w:ilvl="6">
      <w:start w:val="1"/>
      <w:numFmt w:val="decimal"/>
      <w:lvlText w:val="%7"/>
      <w:lvlJc w:val="left"/>
      <w:pPr>
        <w:ind w:left="5025"/>
      </w:pPr>
      <w:rPr>
        <w:rFonts w:ascii="Arial" w:eastAsia="Arial" w:hAnsi="Arial" w:cs="Arial"/>
        <w:b w:val="0"/>
        <w:i w:val="0"/>
        <w:strike w:val="0"/>
        <w:dstrike w:val="0"/>
        <w:color w:val="000000"/>
        <w:sz w:val="24"/>
        <w:u w:val="none" w:color="000000"/>
        <w:shd w:val="clear" w:color="auto" w:fill="auto"/>
        <w:vertAlign w:val="baseline"/>
      </w:rPr>
    </w:lvl>
    <w:lvl w:ilvl="7">
      <w:start w:val="1"/>
      <w:numFmt w:val="lowerLetter"/>
      <w:lvlText w:val="%8"/>
      <w:lvlJc w:val="left"/>
      <w:pPr>
        <w:ind w:left="5745"/>
      </w:pPr>
      <w:rPr>
        <w:rFonts w:ascii="Arial" w:eastAsia="Arial" w:hAnsi="Arial" w:cs="Arial"/>
        <w:b w:val="0"/>
        <w:i w:val="0"/>
        <w:strike w:val="0"/>
        <w:dstrike w:val="0"/>
        <w:color w:val="000000"/>
        <w:sz w:val="24"/>
        <w:u w:val="none" w:color="000000"/>
        <w:shd w:val="clear" w:color="auto" w:fill="auto"/>
        <w:vertAlign w:val="baseline"/>
      </w:rPr>
    </w:lvl>
    <w:lvl w:ilvl="8">
      <w:start w:val="1"/>
      <w:numFmt w:val="lowerRoman"/>
      <w:lvlText w:val="%9"/>
      <w:lvlJc w:val="left"/>
      <w:pPr>
        <w:ind w:left="6465"/>
      </w:pPr>
      <w:rPr>
        <w:rFonts w:ascii="Arial" w:eastAsia="Arial" w:hAnsi="Arial" w:cs="Arial"/>
        <w:b w:val="0"/>
        <w:i w:val="0"/>
        <w:strike w:val="0"/>
        <w:dstrike w:val="0"/>
        <w:color w:val="000000"/>
        <w:sz w:val="24"/>
        <w:u w:val="none" w:color="000000"/>
        <w:shd w:val="clear" w:color="auto" w:fill="auto"/>
        <w:vertAlign w:val="baseline"/>
      </w:rPr>
    </w:lvl>
  </w:abstractNum>
  <w:abstractNum w:abstractNumId="6" w15:restartNumberingAfterBreak="0">
    <w:nsid w:val="1C662A88"/>
    <w:multiLevelType w:val="multilevel"/>
    <w:tmpl w:val="1C662A88"/>
    <w:lvl w:ilvl="0">
      <w:start w:val="1"/>
      <w:numFmt w:val="bullet"/>
      <w:lvlText w:val="•"/>
      <w:lvlJc w:val="left"/>
      <w:pPr>
        <w:ind w:left="360"/>
      </w:pPr>
      <w:rPr>
        <w:rFonts w:ascii="Wingdings" w:eastAsia="Wingdings" w:hAnsi="Wingdings" w:cs="Wingdings"/>
        <w:b w:val="0"/>
        <w:i w:val="0"/>
        <w:strike w:val="0"/>
        <w:dstrike w:val="0"/>
        <w:color w:val="000000"/>
        <w:sz w:val="24"/>
        <w:u w:val="none" w:color="000000"/>
        <w:shd w:val="clear" w:color="auto" w:fill="auto"/>
        <w:vertAlign w:val="baseline"/>
      </w:rPr>
    </w:lvl>
    <w:lvl w:ilvl="1">
      <w:start w:val="1"/>
      <w:numFmt w:val="bullet"/>
      <w:lvlText w:val="o"/>
      <w:lvlJc w:val="left"/>
      <w:pPr>
        <w:ind w:left="540"/>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lowerRoman"/>
      <w:lvlText w:val="%3."/>
      <w:lvlJc w:val="right"/>
      <w:pPr>
        <w:ind w:left="705"/>
      </w:pPr>
      <w:rPr>
        <w:b w:val="0"/>
        <w:i w:val="0"/>
        <w:strike w:val="0"/>
        <w:dstrike w:val="0"/>
        <w:color w:val="000000"/>
        <w:sz w:val="24"/>
        <w:u w:val="none" w:color="000000"/>
        <w:shd w:val="clear" w:color="auto" w:fill="auto"/>
        <w:vertAlign w:val="baseline"/>
      </w:rPr>
    </w:lvl>
    <w:lvl w:ilvl="3">
      <w:start w:val="1"/>
      <w:numFmt w:val="bullet"/>
      <w:lvlText w:val="•"/>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7" w15:restartNumberingAfterBreak="0">
    <w:nsid w:val="1F4B4A7E"/>
    <w:multiLevelType w:val="multilevel"/>
    <w:tmpl w:val="1F4B4A7E"/>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8" w15:restartNumberingAfterBreak="0">
    <w:nsid w:val="20A10074"/>
    <w:multiLevelType w:val="multilevel"/>
    <w:tmpl w:val="20A10074"/>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20DF55E0"/>
    <w:multiLevelType w:val="multilevel"/>
    <w:tmpl w:val="20DF55E0"/>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10" w15:restartNumberingAfterBreak="0">
    <w:nsid w:val="24451DEC"/>
    <w:multiLevelType w:val="multilevel"/>
    <w:tmpl w:val="24451DE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8024DE"/>
    <w:multiLevelType w:val="multilevel"/>
    <w:tmpl w:val="278024DE"/>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12" w15:restartNumberingAfterBreak="0">
    <w:nsid w:val="2F4530DA"/>
    <w:multiLevelType w:val="multilevel"/>
    <w:tmpl w:val="2F4530DA"/>
    <w:lvl w:ilvl="0">
      <w:start w:val="1"/>
      <w:numFmt w:val="bullet"/>
      <w:lvlText w:val=""/>
      <w:lvlJc w:val="left"/>
      <w:pPr>
        <w:ind w:left="720" w:hanging="360"/>
      </w:pPr>
      <w:rPr>
        <w:rFonts w:ascii="Symbol" w:hAnsi="Symbol" w:hint="default"/>
      </w:rPr>
    </w:lvl>
    <w:lvl w:ilvl="1">
      <w:start w:val="1"/>
      <w:numFmt w:val="decimal"/>
      <w:isLgl/>
      <w:lvlText w:val="%1.%2"/>
      <w:lvlJc w:val="left"/>
      <w:pPr>
        <w:ind w:left="900" w:hanging="540"/>
      </w:pPr>
      <w:rPr>
        <w:rFonts w:hint="default"/>
      </w:rPr>
    </w:lvl>
    <w:lvl w:ilvl="2">
      <w:start w:val="9"/>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0A32A9C"/>
    <w:multiLevelType w:val="multilevel"/>
    <w:tmpl w:val="30A32A9C"/>
    <w:lvl w:ilvl="0">
      <w:start w:val="1"/>
      <w:numFmt w:val="bullet"/>
      <w:lvlText w:val="•"/>
      <w:lvlJc w:val="left"/>
      <w:pPr>
        <w:ind w:left="360"/>
      </w:pPr>
      <w:rPr>
        <w:rFonts w:ascii="Courier New" w:eastAsia="Courier New" w:hAnsi="Courier New" w:cs="Courier New"/>
        <w:b w:val="0"/>
        <w:i w:val="0"/>
        <w:strike w:val="0"/>
        <w:dstrike w:val="0"/>
        <w:color w:val="000000"/>
        <w:sz w:val="24"/>
        <w:u w:val="none" w:color="000000"/>
        <w:shd w:val="clear" w:color="auto" w:fill="auto"/>
        <w:vertAlign w:val="baseline"/>
      </w:rPr>
    </w:lvl>
    <w:lvl w:ilvl="1">
      <w:start w:val="1"/>
      <w:numFmt w:val="bullet"/>
      <w:lvlText w:val="o"/>
      <w:lvlJc w:val="left"/>
      <w:pPr>
        <w:ind w:left="766"/>
      </w:pPr>
      <w:rPr>
        <w:rFonts w:ascii="Courier New" w:eastAsia="Courier New" w:hAnsi="Courier New" w:cs="Courier New"/>
        <w:b w:val="0"/>
        <w:i w:val="0"/>
        <w:strike w:val="0"/>
        <w:dstrike w:val="0"/>
        <w:color w:val="000000"/>
        <w:sz w:val="24"/>
        <w:u w:val="none" w:color="000000"/>
        <w:shd w:val="clear" w:color="auto" w:fill="auto"/>
        <w:vertAlign w:val="baseline"/>
      </w:rPr>
    </w:lvl>
    <w:lvl w:ilvl="2">
      <w:start w:val="1"/>
      <w:numFmt w:val="lowerRoman"/>
      <w:lvlText w:val="%3."/>
      <w:lvlJc w:val="right"/>
      <w:pPr>
        <w:ind w:left="1172"/>
      </w:pPr>
      <w:rPr>
        <w:b w:val="0"/>
        <w:i w:val="0"/>
        <w:strike w:val="0"/>
        <w:dstrike w:val="0"/>
        <w:color w:val="000000"/>
        <w:sz w:val="24"/>
        <w:u w:val="none" w:color="000000"/>
        <w:shd w:val="clear" w:color="auto" w:fill="auto"/>
        <w:vertAlign w:val="baseline"/>
      </w:rPr>
    </w:lvl>
    <w:lvl w:ilvl="3">
      <w:start w:val="1"/>
      <w:numFmt w:val="bullet"/>
      <w:lvlText w:val="•"/>
      <w:lvlJc w:val="left"/>
      <w:pPr>
        <w:ind w:left="1892"/>
      </w:pPr>
      <w:rPr>
        <w:rFonts w:ascii="Courier New" w:eastAsia="Courier New" w:hAnsi="Courier New" w:cs="Courier New"/>
        <w:b w:val="0"/>
        <w:i w:val="0"/>
        <w:strike w:val="0"/>
        <w:dstrike w:val="0"/>
        <w:color w:val="000000"/>
        <w:sz w:val="24"/>
        <w:u w:val="none" w:color="000000"/>
        <w:shd w:val="clear" w:color="auto" w:fill="auto"/>
        <w:vertAlign w:val="baseline"/>
      </w:rPr>
    </w:lvl>
    <w:lvl w:ilvl="4">
      <w:start w:val="1"/>
      <w:numFmt w:val="bullet"/>
      <w:lvlText w:val="o"/>
      <w:lvlJc w:val="left"/>
      <w:pPr>
        <w:ind w:left="2612"/>
      </w:pPr>
      <w:rPr>
        <w:rFonts w:ascii="Courier New" w:eastAsia="Courier New" w:hAnsi="Courier New" w:cs="Courier New"/>
        <w:b w:val="0"/>
        <w:i w:val="0"/>
        <w:strike w:val="0"/>
        <w:dstrike w:val="0"/>
        <w:color w:val="000000"/>
        <w:sz w:val="24"/>
        <w:u w:val="none" w:color="000000"/>
        <w:shd w:val="clear" w:color="auto" w:fill="auto"/>
        <w:vertAlign w:val="baseline"/>
      </w:rPr>
    </w:lvl>
    <w:lvl w:ilvl="5">
      <w:start w:val="1"/>
      <w:numFmt w:val="bullet"/>
      <w:lvlText w:val="▪"/>
      <w:lvlJc w:val="left"/>
      <w:pPr>
        <w:ind w:left="3332"/>
      </w:pPr>
      <w:rPr>
        <w:rFonts w:ascii="Courier New" w:eastAsia="Courier New" w:hAnsi="Courier New" w:cs="Courier New"/>
        <w:b w:val="0"/>
        <w:i w:val="0"/>
        <w:strike w:val="0"/>
        <w:dstrike w:val="0"/>
        <w:color w:val="000000"/>
        <w:sz w:val="24"/>
        <w:u w:val="none" w:color="000000"/>
        <w:shd w:val="clear" w:color="auto" w:fill="auto"/>
        <w:vertAlign w:val="baseline"/>
      </w:rPr>
    </w:lvl>
    <w:lvl w:ilvl="6">
      <w:start w:val="1"/>
      <w:numFmt w:val="bullet"/>
      <w:lvlText w:val="•"/>
      <w:lvlJc w:val="left"/>
      <w:pPr>
        <w:ind w:left="4052"/>
      </w:pPr>
      <w:rPr>
        <w:rFonts w:ascii="Courier New" w:eastAsia="Courier New" w:hAnsi="Courier New" w:cs="Courier New"/>
        <w:b w:val="0"/>
        <w:i w:val="0"/>
        <w:strike w:val="0"/>
        <w:dstrike w:val="0"/>
        <w:color w:val="000000"/>
        <w:sz w:val="24"/>
        <w:u w:val="none" w:color="000000"/>
        <w:shd w:val="clear" w:color="auto" w:fill="auto"/>
        <w:vertAlign w:val="baseline"/>
      </w:rPr>
    </w:lvl>
    <w:lvl w:ilvl="7">
      <w:start w:val="1"/>
      <w:numFmt w:val="bullet"/>
      <w:lvlText w:val="o"/>
      <w:lvlJc w:val="left"/>
      <w:pPr>
        <w:ind w:left="4772"/>
      </w:pPr>
      <w:rPr>
        <w:rFonts w:ascii="Courier New" w:eastAsia="Courier New" w:hAnsi="Courier New" w:cs="Courier New"/>
        <w:b w:val="0"/>
        <w:i w:val="0"/>
        <w:strike w:val="0"/>
        <w:dstrike w:val="0"/>
        <w:color w:val="000000"/>
        <w:sz w:val="24"/>
        <w:u w:val="none" w:color="000000"/>
        <w:shd w:val="clear" w:color="auto" w:fill="auto"/>
        <w:vertAlign w:val="baseline"/>
      </w:rPr>
    </w:lvl>
    <w:lvl w:ilvl="8">
      <w:start w:val="1"/>
      <w:numFmt w:val="bullet"/>
      <w:lvlText w:val="▪"/>
      <w:lvlJc w:val="left"/>
      <w:pPr>
        <w:ind w:left="5492"/>
      </w:pPr>
      <w:rPr>
        <w:rFonts w:ascii="Courier New" w:eastAsia="Courier New" w:hAnsi="Courier New" w:cs="Courier New"/>
        <w:b w:val="0"/>
        <w:i w:val="0"/>
        <w:strike w:val="0"/>
        <w:dstrike w:val="0"/>
        <w:color w:val="000000"/>
        <w:sz w:val="24"/>
        <w:u w:val="none" w:color="000000"/>
        <w:shd w:val="clear" w:color="auto" w:fill="auto"/>
        <w:vertAlign w:val="baseline"/>
      </w:rPr>
    </w:lvl>
  </w:abstractNum>
  <w:abstractNum w:abstractNumId="14" w15:restartNumberingAfterBreak="0">
    <w:nsid w:val="40E30CB6"/>
    <w:multiLevelType w:val="multilevel"/>
    <w:tmpl w:val="40E30CB6"/>
    <w:lvl w:ilvl="0">
      <w:start w:val="1"/>
      <w:numFmt w:val="decimal"/>
      <w:lvlText w:val="%1."/>
      <w:lvlJc w:val="lef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15" w15:restartNumberingAfterBreak="0">
    <w:nsid w:val="432E739E"/>
    <w:multiLevelType w:val="multilevel"/>
    <w:tmpl w:val="432E739E"/>
    <w:lvl w:ilvl="0">
      <w:start w:val="1"/>
      <w:numFmt w:val="bullet"/>
      <w:lvlText w:val=""/>
      <w:lvlJc w:val="left"/>
      <w:pPr>
        <w:ind w:left="630" w:hanging="360"/>
      </w:pPr>
      <w:rPr>
        <w:rFonts w:ascii="Symbol" w:hAnsi="Symbol" w:hint="default"/>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16" w15:restartNumberingAfterBreak="0">
    <w:nsid w:val="43861D9C"/>
    <w:multiLevelType w:val="multilevel"/>
    <w:tmpl w:val="43861D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4483178"/>
    <w:multiLevelType w:val="multilevel"/>
    <w:tmpl w:val="44483178"/>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18" w15:restartNumberingAfterBreak="0">
    <w:nsid w:val="47386377"/>
    <w:multiLevelType w:val="multilevel"/>
    <w:tmpl w:val="47386377"/>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85931A8"/>
    <w:multiLevelType w:val="multilevel"/>
    <w:tmpl w:val="485931A8"/>
    <w:lvl w:ilvl="0">
      <w:start w:val="1"/>
      <w:numFmt w:val="bullet"/>
      <w:lvlText w:val="•"/>
      <w:lvlJc w:val="left"/>
      <w:pPr>
        <w:ind w:left="360"/>
      </w:pPr>
      <w:rPr>
        <w:rFonts w:ascii="Wingdings" w:eastAsia="Wingdings" w:hAnsi="Wingdings" w:cs="Wingdings"/>
        <w:b w:val="0"/>
        <w:i w:val="0"/>
        <w:strike w:val="0"/>
        <w:dstrike w:val="0"/>
        <w:color w:val="000000"/>
        <w:sz w:val="24"/>
        <w:u w:val="none" w:color="000000"/>
        <w:shd w:val="clear" w:color="auto" w:fill="auto"/>
        <w:vertAlign w:val="baseline"/>
      </w:rPr>
    </w:lvl>
    <w:lvl w:ilvl="1">
      <w:start w:val="1"/>
      <w:numFmt w:val="bullet"/>
      <w:lvlText w:val="o"/>
      <w:lvlJc w:val="left"/>
      <w:pPr>
        <w:ind w:left="540"/>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720"/>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lowerRoman"/>
      <w:lvlText w:val="%4."/>
      <w:lvlJc w:val="right"/>
      <w:pPr>
        <w:ind w:left="720"/>
      </w:pPr>
      <w:rPr>
        <w:b w:val="0"/>
        <w:i w:val="0"/>
        <w:strike w:val="0"/>
        <w:dstrike w:val="0"/>
        <w:color w:val="000000"/>
        <w:sz w:val="24"/>
        <w:u w:val="none" w:color="000000"/>
        <w:shd w:val="clear" w:color="auto" w:fill="auto"/>
        <w:vertAlign w:val="baseline"/>
      </w:rPr>
    </w:lvl>
    <w:lvl w:ilvl="4">
      <w:start w:val="1"/>
      <w:numFmt w:val="bullet"/>
      <w:lvlText w:val="o"/>
      <w:lvlJc w:val="left"/>
      <w:pPr>
        <w:ind w:left="1620"/>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2340"/>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3060"/>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3780"/>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4500"/>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20" w15:restartNumberingAfterBreak="0">
    <w:nsid w:val="48A70184"/>
    <w:multiLevelType w:val="multilevel"/>
    <w:tmpl w:val="48A70184"/>
    <w:lvl w:ilvl="0">
      <w:start w:val="1"/>
      <w:numFmt w:val="bullet"/>
      <w:lvlText w:val="•"/>
      <w:lvlJc w:val="left"/>
      <w:pPr>
        <w:ind w:left="360"/>
      </w:pPr>
      <w:rPr>
        <w:rFonts w:ascii="Courier New" w:eastAsia="Courier New" w:hAnsi="Courier New" w:cs="Courier New"/>
        <w:b w:val="0"/>
        <w:i w:val="0"/>
        <w:strike w:val="0"/>
        <w:dstrike w:val="0"/>
        <w:color w:val="000000"/>
        <w:sz w:val="24"/>
        <w:u w:val="none" w:color="000000"/>
        <w:shd w:val="clear" w:color="auto" w:fill="auto"/>
        <w:vertAlign w:val="baseline"/>
      </w:rPr>
    </w:lvl>
    <w:lvl w:ilvl="1">
      <w:start w:val="1"/>
      <w:numFmt w:val="bullet"/>
      <w:lvlText w:val="o"/>
      <w:lvlJc w:val="left"/>
      <w:pPr>
        <w:ind w:left="766"/>
      </w:pPr>
      <w:rPr>
        <w:rFonts w:ascii="Courier New" w:eastAsia="Courier New" w:hAnsi="Courier New" w:cs="Courier New"/>
        <w:b w:val="0"/>
        <w:i w:val="0"/>
        <w:strike w:val="0"/>
        <w:dstrike w:val="0"/>
        <w:color w:val="000000"/>
        <w:sz w:val="24"/>
        <w:u w:val="none" w:color="000000"/>
        <w:shd w:val="clear" w:color="auto" w:fill="auto"/>
        <w:vertAlign w:val="baseline"/>
      </w:rPr>
    </w:lvl>
    <w:lvl w:ilvl="2">
      <w:start w:val="1"/>
      <w:numFmt w:val="lowerRoman"/>
      <w:lvlText w:val="%3."/>
      <w:lvlJc w:val="right"/>
      <w:pPr>
        <w:ind w:left="1172"/>
      </w:pPr>
      <w:rPr>
        <w:b w:val="0"/>
        <w:i w:val="0"/>
        <w:strike w:val="0"/>
        <w:dstrike w:val="0"/>
        <w:color w:val="000000"/>
        <w:sz w:val="24"/>
        <w:u w:val="none" w:color="000000"/>
        <w:shd w:val="clear" w:color="auto" w:fill="auto"/>
        <w:vertAlign w:val="baseline"/>
      </w:rPr>
    </w:lvl>
    <w:lvl w:ilvl="3">
      <w:start w:val="1"/>
      <w:numFmt w:val="bullet"/>
      <w:lvlText w:val="•"/>
      <w:lvlJc w:val="left"/>
      <w:pPr>
        <w:ind w:left="1892"/>
      </w:pPr>
      <w:rPr>
        <w:rFonts w:ascii="Courier New" w:eastAsia="Courier New" w:hAnsi="Courier New" w:cs="Courier New"/>
        <w:b w:val="0"/>
        <w:i w:val="0"/>
        <w:strike w:val="0"/>
        <w:dstrike w:val="0"/>
        <w:color w:val="000000"/>
        <w:sz w:val="24"/>
        <w:u w:val="none" w:color="000000"/>
        <w:shd w:val="clear" w:color="auto" w:fill="auto"/>
        <w:vertAlign w:val="baseline"/>
      </w:rPr>
    </w:lvl>
    <w:lvl w:ilvl="4">
      <w:start w:val="1"/>
      <w:numFmt w:val="bullet"/>
      <w:lvlText w:val="o"/>
      <w:lvlJc w:val="left"/>
      <w:pPr>
        <w:ind w:left="2612"/>
      </w:pPr>
      <w:rPr>
        <w:rFonts w:ascii="Courier New" w:eastAsia="Courier New" w:hAnsi="Courier New" w:cs="Courier New"/>
        <w:b w:val="0"/>
        <w:i w:val="0"/>
        <w:strike w:val="0"/>
        <w:dstrike w:val="0"/>
        <w:color w:val="000000"/>
        <w:sz w:val="24"/>
        <w:u w:val="none" w:color="000000"/>
        <w:shd w:val="clear" w:color="auto" w:fill="auto"/>
        <w:vertAlign w:val="baseline"/>
      </w:rPr>
    </w:lvl>
    <w:lvl w:ilvl="5">
      <w:start w:val="1"/>
      <w:numFmt w:val="bullet"/>
      <w:lvlText w:val="▪"/>
      <w:lvlJc w:val="left"/>
      <w:pPr>
        <w:ind w:left="3332"/>
      </w:pPr>
      <w:rPr>
        <w:rFonts w:ascii="Courier New" w:eastAsia="Courier New" w:hAnsi="Courier New" w:cs="Courier New"/>
        <w:b w:val="0"/>
        <w:i w:val="0"/>
        <w:strike w:val="0"/>
        <w:dstrike w:val="0"/>
        <w:color w:val="000000"/>
        <w:sz w:val="24"/>
        <w:u w:val="none" w:color="000000"/>
        <w:shd w:val="clear" w:color="auto" w:fill="auto"/>
        <w:vertAlign w:val="baseline"/>
      </w:rPr>
    </w:lvl>
    <w:lvl w:ilvl="6">
      <w:start w:val="1"/>
      <w:numFmt w:val="bullet"/>
      <w:lvlText w:val="•"/>
      <w:lvlJc w:val="left"/>
      <w:pPr>
        <w:ind w:left="4052"/>
      </w:pPr>
      <w:rPr>
        <w:rFonts w:ascii="Courier New" w:eastAsia="Courier New" w:hAnsi="Courier New" w:cs="Courier New"/>
        <w:b w:val="0"/>
        <w:i w:val="0"/>
        <w:strike w:val="0"/>
        <w:dstrike w:val="0"/>
        <w:color w:val="000000"/>
        <w:sz w:val="24"/>
        <w:u w:val="none" w:color="000000"/>
        <w:shd w:val="clear" w:color="auto" w:fill="auto"/>
        <w:vertAlign w:val="baseline"/>
      </w:rPr>
    </w:lvl>
    <w:lvl w:ilvl="7">
      <w:start w:val="1"/>
      <w:numFmt w:val="bullet"/>
      <w:lvlText w:val="o"/>
      <w:lvlJc w:val="left"/>
      <w:pPr>
        <w:ind w:left="4772"/>
      </w:pPr>
      <w:rPr>
        <w:rFonts w:ascii="Courier New" w:eastAsia="Courier New" w:hAnsi="Courier New" w:cs="Courier New"/>
        <w:b w:val="0"/>
        <w:i w:val="0"/>
        <w:strike w:val="0"/>
        <w:dstrike w:val="0"/>
        <w:color w:val="000000"/>
        <w:sz w:val="24"/>
        <w:u w:val="none" w:color="000000"/>
        <w:shd w:val="clear" w:color="auto" w:fill="auto"/>
        <w:vertAlign w:val="baseline"/>
      </w:rPr>
    </w:lvl>
    <w:lvl w:ilvl="8">
      <w:start w:val="1"/>
      <w:numFmt w:val="bullet"/>
      <w:lvlText w:val="▪"/>
      <w:lvlJc w:val="left"/>
      <w:pPr>
        <w:ind w:left="5492"/>
      </w:pPr>
      <w:rPr>
        <w:rFonts w:ascii="Courier New" w:eastAsia="Courier New" w:hAnsi="Courier New" w:cs="Courier New"/>
        <w:b w:val="0"/>
        <w:i w:val="0"/>
        <w:strike w:val="0"/>
        <w:dstrike w:val="0"/>
        <w:color w:val="000000"/>
        <w:sz w:val="24"/>
        <w:u w:val="none" w:color="000000"/>
        <w:shd w:val="clear" w:color="auto" w:fill="auto"/>
        <w:vertAlign w:val="baseline"/>
      </w:rPr>
    </w:lvl>
  </w:abstractNum>
  <w:abstractNum w:abstractNumId="21" w15:restartNumberingAfterBreak="0">
    <w:nsid w:val="4BAD0049"/>
    <w:multiLevelType w:val="multilevel"/>
    <w:tmpl w:val="4BAD004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4B60F4D"/>
    <w:multiLevelType w:val="multilevel"/>
    <w:tmpl w:val="54B60F4D"/>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23" w15:restartNumberingAfterBreak="0">
    <w:nsid w:val="578A04DA"/>
    <w:multiLevelType w:val="multilevel"/>
    <w:tmpl w:val="578A04DA"/>
    <w:lvl w:ilvl="0">
      <w:start w:val="1"/>
      <w:numFmt w:val="lowerRoman"/>
      <w:lvlText w:val="%1."/>
      <w:lvlJc w:val="righ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24" w15:restartNumberingAfterBreak="0">
    <w:nsid w:val="5D2E009E"/>
    <w:multiLevelType w:val="multilevel"/>
    <w:tmpl w:val="5D2E00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68C476A"/>
    <w:multiLevelType w:val="multilevel"/>
    <w:tmpl w:val="668C476A"/>
    <w:lvl w:ilvl="0">
      <w:start w:val="1"/>
      <w:numFmt w:val="decimal"/>
      <w:lvlText w:val="%1."/>
      <w:lvlJc w:val="left"/>
      <w:pPr>
        <w:ind w:left="720" w:hanging="360"/>
      </w:pPr>
      <w:rPr>
        <w:b w:val="0"/>
      </w:rPr>
    </w:lvl>
    <w:lvl w:ilvl="1">
      <w:start w:val="3"/>
      <w:numFmt w:val="decimal"/>
      <w:lvlText w:val="%1.%2"/>
      <w:lvlJc w:val="left"/>
      <w:pPr>
        <w:ind w:left="1110" w:hanging="540"/>
      </w:pPr>
      <w:rPr>
        <w:b w:val="0"/>
      </w:rPr>
    </w:lvl>
    <w:lvl w:ilvl="2">
      <w:start w:val="1"/>
      <w:numFmt w:val="decimal"/>
      <w:lvlText w:val="%1.%2.%3"/>
      <w:lvlJc w:val="left"/>
      <w:pPr>
        <w:ind w:left="1530" w:hanging="720"/>
      </w:pPr>
      <w:rPr>
        <w:b/>
      </w:rPr>
    </w:lvl>
    <w:lvl w:ilvl="3">
      <w:start w:val="1"/>
      <w:numFmt w:val="decimal"/>
      <w:lvlText w:val="%1.%2.%3.%4"/>
      <w:lvlJc w:val="left"/>
      <w:pPr>
        <w:ind w:left="1710" w:hanging="720"/>
      </w:pPr>
      <w:rPr>
        <w:b w:val="0"/>
      </w:rPr>
    </w:lvl>
    <w:lvl w:ilvl="4">
      <w:start w:val="1"/>
      <w:numFmt w:val="decimal"/>
      <w:lvlText w:val="%1.%2.%3.%4.%5"/>
      <w:lvlJc w:val="left"/>
      <w:pPr>
        <w:ind w:left="2280" w:hanging="1080"/>
      </w:pPr>
      <w:rPr>
        <w:b w:val="0"/>
      </w:rPr>
    </w:lvl>
    <w:lvl w:ilvl="5">
      <w:start w:val="1"/>
      <w:numFmt w:val="decimal"/>
      <w:lvlText w:val="%1.%2.%3.%4.%5.%6"/>
      <w:lvlJc w:val="left"/>
      <w:pPr>
        <w:ind w:left="2490" w:hanging="1080"/>
      </w:pPr>
      <w:rPr>
        <w:b w:val="0"/>
      </w:rPr>
    </w:lvl>
    <w:lvl w:ilvl="6">
      <w:start w:val="1"/>
      <w:numFmt w:val="decimal"/>
      <w:lvlText w:val="%1.%2.%3.%4.%5.%6.%7"/>
      <w:lvlJc w:val="left"/>
      <w:pPr>
        <w:ind w:left="3060" w:hanging="1440"/>
      </w:pPr>
      <w:rPr>
        <w:b w:val="0"/>
      </w:rPr>
    </w:lvl>
    <w:lvl w:ilvl="7">
      <w:start w:val="1"/>
      <w:numFmt w:val="decimal"/>
      <w:lvlText w:val="%1.%2.%3.%4.%5.%6.%7.%8"/>
      <w:lvlJc w:val="left"/>
      <w:pPr>
        <w:ind w:left="3270" w:hanging="1440"/>
      </w:pPr>
      <w:rPr>
        <w:b w:val="0"/>
      </w:rPr>
    </w:lvl>
    <w:lvl w:ilvl="8">
      <w:start w:val="1"/>
      <w:numFmt w:val="decimal"/>
      <w:lvlText w:val="%1.%2.%3.%4.%5.%6.%7.%8.%9"/>
      <w:lvlJc w:val="left"/>
      <w:pPr>
        <w:ind w:left="3840" w:hanging="1800"/>
      </w:pPr>
      <w:rPr>
        <w:b w:val="0"/>
      </w:rPr>
    </w:lvl>
  </w:abstractNum>
  <w:abstractNum w:abstractNumId="26" w15:restartNumberingAfterBreak="0">
    <w:nsid w:val="77F42A79"/>
    <w:multiLevelType w:val="multilevel"/>
    <w:tmpl w:val="77F42A79"/>
    <w:lvl w:ilvl="0">
      <w:start w:val="1"/>
      <w:numFmt w:val="bullet"/>
      <w:lvlText w:val=""/>
      <w:lvlJc w:val="left"/>
      <w:pPr>
        <w:ind w:left="63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8C27473"/>
    <w:multiLevelType w:val="multilevel"/>
    <w:tmpl w:val="78C27473"/>
    <w:lvl w:ilvl="0">
      <w:start w:val="1"/>
      <w:numFmt w:val="lowerLetter"/>
      <w:lvlText w:val="%1."/>
      <w:lvlJc w:val="left"/>
      <w:pPr>
        <w:ind w:left="705"/>
      </w:pPr>
      <w:rPr>
        <w:b w:val="0"/>
        <w:i w:val="0"/>
        <w:strike w:val="0"/>
        <w:dstrike w:val="0"/>
        <w:color w:val="000000"/>
        <w:sz w:val="24"/>
        <w:u w:val="none" w:color="000000"/>
        <w:shd w:val="clear" w:color="auto" w:fill="auto"/>
        <w:vertAlign w:val="baseline"/>
      </w:rPr>
    </w:lvl>
    <w:lvl w:ilvl="1">
      <w:start w:val="1"/>
      <w:numFmt w:val="bullet"/>
      <w:lvlText w:val="o"/>
      <w:lvlJc w:val="left"/>
      <w:pPr>
        <w:ind w:left="1425"/>
      </w:pPr>
      <w:rPr>
        <w:rFonts w:ascii="Wingdings" w:eastAsia="Wingdings" w:hAnsi="Wingdings" w:cs="Wingdings"/>
        <w:b w:val="0"/>
        <w:i w:val="0"/>
        <w:strike w:val="0"/>
        <w:dstrike w:val="0"/>
        <w:color w:val="000000"/>
        <w:sz w:val="24"/>
        <w:u w:val="none" w:color="000000"/>
        <w:shd w:val="clear" w:color="auto" w:fill="auto"/>
        <w:vertAlign w:val="baseline"/>
      </w:rPr>
    </w:lvl>
    <w:lvl w:ilvl="2">
      <w:start w:val="1"/>
      <w:numFmt w:val="bullet"/>
      <w:lvlText w:val="▪"/>
      <w:lvlJc w:val="left"/>
      <w:pPr>
        <w:ind w:left="2145"/>
      </w:pPr>
      <w:rPr>
        <w:rFonts w:ascii="Wingdings" w:eastAsia="Wingdings" w:hAnsi="Wingdings" w:cs="Wingdings"/>
        <w:b w:val="0"/>
        <w:i w:val="0"/>
        <w:strike w:val="0"/>
        <w:dstrike w:val="0"/>
        <w:color w:val="000000"/>
        <w:sz w:val="24"/>
        <w:u w:val="none" w:color="000000"/>
        <w:shd w:val="clear" w:color="auto" w:fill="auto"/>
        <w:vertAlign w:val="baseline"/>
      </w:rPr>
    </w:lvl>
    <w:lvl w:ilvl="3">
      <w:start w:val="1"/>
      <w:numFmt w:val="bullet"/>
      <w:lvlText w:val="•"/>
      <w:lvlJc w:val="left"/>
      <w:pPr>
        <w:ind w:left="2865"/>
      </w:pPr>
      <w:rPr>
        <w:rFonts w:ascii="Wingdings" w:eastAsia="Wingdings" w:hAnsi="Wingdings" w:cs="Wingdings"/>
        <w:b w:val="0"/>
        <w:i w:val="0"/>
        <w:strike w:val="0"/>
        <w:dstrike w:val="0"/>
        <w:color w:val="000000"/>
        <w:sz w:val="24"/>
        <w:u w:val="none" w:color="000000"/>
        <w:shd w:val="clear" w:color="auto" w:fill="auto"/>
        <w:vertAlign w:val="baseline"/>
      </w:rPr>
    </w:lvl>
    <w:lvl w:ilvl="4">
      <w:start w:val="1"/>
      <w:numFmt w:val="bullet"/>
      <w:lvlText w:val="o"/>
      <w:lvlJc w:val="left"/>
      <w:pPr>
        <w:ind w:left="3585"/>
      </w:pPr>
      <w:rPr>
        <w:rFonts w:ascii="Wingdings" w:eastAsia="Wingdings" w:hAnsi="Wingdings" w:cs="Wingdings"/>
        <w:b w:val="0"/>
        <w:i w:val="0"/>
        <w:strike w:val="0"/>
        <w:dstrike w:val="0"/>
        <w:color w:val="000000"/>
        <w:sz w:val="24"/>
        <w:u w:val="none" w:color="000000"/>
        <w:shd w:val="clear" w:color="auto" w:fill="auto"/>
        <w:vertAlign w:val="baseline"/>
      </w:rPr>
    </w:lvl>
    <w:lvl w:ilvl="5">
      <w:start w:val="1"/>
      <w:numFmt w:val="bullet"/>
      <w:lvlText w:val="▪"/>
      <w:lvlJc w:val="left"/>
      <w:pPr>
        <w:ind w:left="4305"/>
      </w:pPr>
      <w:rPr>
        <w:rFonts w:ascii="Wingdings" w:eastAsia="Wingdings" w:hAnsi="Wingdings" w:cs="Wingdings"/>
        <w:b w:val="0"/>
        <w:i w:val="0"/>
        <w:strike w:val="0"/>
        <w:dstrike w:val="0"/>
        <w:color w:val="000000"/>
        <w:sz w:val="24"/>
        <w:u w:val="none" w:color="000000"/>
        <w:shd w:val="clear" w:color="auto" w:fill="auto"/>
        <w:vertAlign w:val="baseline"/>
      </w:rPr>
    </w:lvl>
    <w:lvl w:ilvl="6">
      <w:start w:val="1"/>
      <w:numFmt w:val="bullet"/>
      <w:lvlText w:val="•"/>
      <w:lvlJc w:val="left"/>
      <w:pPr>
        <w:ind w:left="5025"/>
      </w:pPr>
      <w:rPr>
        <w:rFonts w:ascii="Wingdings" w:eastAsia="Wingdings" w:hAnsi="Wingdings" w:cs="Wingdings"/>
        <w:b w:val="0"/>
        <w:i w:val="0"/>
        <w:strike w:val="0"/>
        <w:dstrike w:val="0"/>
        <w:color w:val="000000"/>
        <w:sz w:val="24"/>
        <w:u w:val="none" w:color="000000"/>
        <w:shd w:val="clear" w:color="auto" w:fill="auto"/>
        <w:vertAlign w:val="baseline"/>
      </w:rPr>
    </w:lvl>
    <w:lvl w:ilvl="7">
      <w:start w:val="1"/>
      <w:numFmt w:val="bullet"/>
      <w:lvlText w:val="o"/>
      <w:lvlJc w:val="left"/>
      <w:pPr>
        <w:ind w:left="5745"/>
      </w:pPr>
      <w:rPr>
        <w:rFonts w:ascii="Wingdings" w:eastAsia="Wingdings" w:hAnsi="Wingdings" w:cs="Wingdings"/>
        <w:b w:val="0"/>
        <w:i w:val="0"/>
        <w:strike w:val="0"/>
        <w:dstrike w:val="0"/>
        <w:color w:val="000000"/>
        <w:sz w:val="24"/>
        <w:u w:val="none" w:color="000000"/>
        <w:shd w:val="clear" w:color="auto" w:fill="auto"/>
        <w:vertAlign w:val="baseline"/>
      </w:rPr>
    </w:lvl>
    <w:lvl w:ilvl="8">
      <w:start w:val="1"/>
      <w:numFmt w:val="bullet"/>
      <w:lvlText w:val="▪"/>
      <w:lvlJc w:val="left"/>
      <w:pPr>
        <w:ind w:left="6465"/>
      </w:pPr>
      <w:rPr>
        <w:rFonts w:ascii="Wingdings" w:eastAsia="Wingdings" w:hAnsi="Wingdings" w:cs="Wingdings"/>
        <w:b w:val="0"/>
        <w:i w:val="0"/>
        <w:strike w:val="0"/>
        <w:dstrike w:val="0"/>
        <w:color w:val="000000"/>
        <w:sz w:val="24"/>
        <w:u w:val="none" w:color="000000"/>
        <w:shd w:val="clear" w:color="auto" w:fill="auto"/>
        <w:vertAlign w:val="baseline"/>
      </w:rPr>
    </w:lvl>
  </w:abstractNum>
  <w:abstractNum w:abstractNumId="28" w15:restartNumberingAfterBreak="0">
    <w:nsid w:val="7DC663A7"/>
    <w:multiLevelType w:val="hybridMultilevel"/>
    <w:tmpl w:val="8FF42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5623362">
    <w:abstractNumId w:val="1"/>
  </w:num>
  <w:num w:numId="2" w16cid:durableId="69428528">
    <w:abstractNumId w:val="10"/>
  </w:num>
  <w:num w:numId="3" w16cid:durableId="1672761165">
    <w:abstractNumId w:val="2"/>
  </w:num>
  <w:num w:numId="4" w16cid:durableId="1628730787">
    <w:abstractNumId w:val="27"/>
  </w:num>
  <w:num w:numId="5" w16cid:durableId="257715191">
    <w:abstractNumId w:val="14"/>
  </w:num>
  <w:num w:numId="6" w16cid:durableId="698313684">
    <w:abstractNumId w:val="13"/>
  </w:num>
  <w:num w:numId="7" w16cid:durableId="458450993">
    <w:abstractNumId w:val="20"/>
  </w:num>
  <w:num w:numId="8" w16cid:durableId="1154880950">
    <w:abstractNumId w:val="19"/>
  </w:num>
  <w:num w:numId="9" w16cid:durableId="1650406640">
    <w:abstractNumId w:val="21"/>
  </w:num>
  <w:num w:numId="10" w16cid:durableId="561714526">
    <w:abstractNumId w:val="16"/>
  </w:num>
  <w:num w:numId="11" w16cid:durableId="1793091278">
    <w:abstractNumId w:val="24"/>
  </w:num>
  <w:num w:numId="12" w16cid:durableId="371275408">
    <w:abstractNumId w:val="15"/>
  </w:num>
  <w:num w:numId="13" w16cid:durableId="1701317911">
    <w:abstractNumId w:val="12"/>
  </w:num>
  <w:num w:numId="14" w16cid:durableId="224068116">
    <w:abstractNumId w:val="3"/>
  </w:num>
  <w:num w:numId="15" w16cid:durableId="1863199100">
    <w:abstractNumId w:val="17"/>
  </w:num>
  <w:num w:numId="16" w16cid:durableId="1926068725">
    <w:abstractNumId w:val="9"/>
  </w:num>
  <w:num w:numId="17" w16cid:durableId="1507206247">
    <w:abstractNumId w:val="11"/>
  </w:num>
  <w:num w:numId="18" w16cid:durableId="885532938">
    <w:abstractNumId w:val="22"/>
  </w:num>
  <w:num w:numId="19" w16cid:durableId="1469317327">
    <w:abstractNumId w:val="23"/>
  </w:num>
  <w:num w:numId="20" w16cid:durableId="308747833">
    <w:abstractNumId w:val="5"/>
  </w:num>
  <w:num w:numId="21" w16cid:durableId="1844052946">
    <w:abstractNumId w:val="7"/>
  </w:num>
  <w:num w:numId="22" w16cid:durableId="585766527">
    <w:abstractNumId w:val="6"/>
  </w:num>
  <w:num w:numId="23" w16cid:durableId="1812477297">
    <w:abstractNumId w:val="8"/>
  </w:num>
  <w:num w:numId="24" w16cid:durableId="1986203880">
    <w:abstractNumId w:val="25"/>
  </w:num>
  <w:num w:numId="25" w16cid:durableId="1523741836">
    <w:abstractNumId w:val="18"/>
  </w:num>
  <w:num w:numId="26" w16cid:durableId="880555757">
    <w:abstractNumId w:val="0"/>
  </w:num>
  <w:num w:numId="27" w16cid:durableId="1621909355">
    <w:abstractNumId w:val="26"/>
  </w:num>
  <w:num w:numId="28" w16cid:durableId="652950707">
    <w:abstractNumId w:val="28"/>
  </w:num>
  <w:num w:numId="29" w16cid:durableId="1579169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8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MjMzszA3MDSzNLO0NDZU0lEKTi0uzszPAykwrgUAeZJN1SwAAAA="/>
  </w:docVars>
  <w:rsids>
    <w:rsidRoot w:val="00781D77"/>
    <w:rsid w:val="00007367"/>
    <w:rsid w:val="00010A8C"/>
    <w:rsid w:val="00023D48"/>
    <w:rsid w:val="00047571"/>
    <w:rsid w:val="00047FB2"/>
    <w:rsid w:val="00055F39"/>
    <w:rsid w:val="0007622B"/>
    <w:rsid w:val="00084320"/>
    <w:rsid w:val="0008718E"/>
    <w:rsid w:val="000927C8"/>
    <w:rsid w:val="000F5C73"/>
    <w:rsid w:val="0010187C"/>
    <w:rsid w:val="00113372"/>
    <w:rsid w:val="00117587"/>
    <w:rsid w:val="001410B9"/>
    <w:rsid w:val="00147C5D"/>
    <w:rsid w:val="001500A1"/>
    <w:rsid w:val="00151C45"/>
    <w:rsid w:val="00153936"/>
    <w:rsid w:val="00155F67"/>
    <w:rsid w:val="001567E9"/>
    <w:rsid w:val="001609DD"/>
    <w:rsid w:val="00166BB4"/>
    <w:rsid w:val="00166F61"/>
    <w:rsid w:val="00197791"/>
    <w:rsid w:val="001B4839"/>
    <w:rsid w:val="001E2EF1"/>
    <w:rsid w:val="00217F4F"/>
    <w:rsid w:val="0022493F"/>
    <w:rsid w:val="00225D5B"/>
    <w:rsid w:val="00227114"/>
    <w:rsid w:val="00265004"/>
    <w:rsid w:val="002674BA"/>
    <w:rsid w:val="00290113"/>
    <w:rsid w:val="002954EE"/>
    <w:rsid w:val="002A16A1"/>
    <w:rsid w:val="002E6F4F"/>
    <w:rsid w:val="002F37C7"/>
    <w:rsid w:val="002F761C"/>
    <w:rsid w:val="00305982"/>
    <w:rsid w:val="00312890"/>
    <w:rsid w:val="00314D41"/>
    <w:rsid w:val="00314F4B"/>
    <w:rsid w:val="00317EC2"/>
    <w:rsid w:val="00343B9F"/>
    <w:rsid w:val="003479BC"/>
    <w:rsid w:val="00347FA5"/>
    <w:rsid w:val="00350CA1"/>
    <w:rsid w:val="00351DC1"/>
    <w:rsid w:val="003528A7"/>
    <w:rsid w:val="00353DC3"/>
    <w:rsid w:val="00354380"/>
    <w:rsid w:val="003547DB"/>
    <w:rsid w:val="00362924"/>
    <w:rsid w:val="00367BBA"/>
    <w:rsid w:val="003721CD"/>
    <w:rsid w:val="00381DD9"/>
    <w:rsid w:val="00390964"/>
    <w:rsid w:val="003928E1"/>
    <w:rsid w:val="003A3B08"/>
    <w:rsid w:val="003A7DF2"/>
    <w:rsid w:val="003B2329"/>
    <w:rsid w:val="003B3C9C"/>
    <w:rsid w:val="003B7341"/>
    <w:rsid w:val="003D1076"/>
    <w:rsid w:val="003D3061"/>
    <w:rsid w:val="003D4A58"/>
    <w:rsid w:val="003F5115"/>
    <w:rsid w:val="004053F4"/>
    <w:rsid w:val="00410E22"/>
    <w:rsid w:val="00416298"/>
    <w:rsid w:val="0044075F"/>
    <w:rsid w:val="00447DE2"/>
    <w:rsid w:val="00454D37"/>
    <w:rsid w:val="00457F29"/>
    <w:rsid w:val="00460374"/>
    <w:rsid w:val="00471FE2"/>
    <w:rsid w:val="0047224D"/>
    <w:rsid w:val="0048511B"/>
    <w:rsid w:val="004E1B35"/>
    <w:rsid w:val="0050434E"/>
    <w:rsid w:val="00520F4C"/>
    <w:rsid w:val="0052304D"/>
    <w:rsid w:val="0052790E"/>
    <w:rsid w:val="00530C57"/>
    <w:rsid w:val="0053272B"/>
    <w:rsid w:val="00553C7A"/>
    <w:rsid w:val="00574602"/>
    <w:rsid w:val="00576092"/>
    <w:rsid w:val="005841F0"/>
    <w:rsid w:val="00585ECD"/>
    <w:rsid w:val="00587C0C"/>
    <w:rsid w:val="00592285"/>
    <w:rsid w:val="005A6154"/>
    <w:rsid w:val="005B49B8"/>
    <w:rsid w:val="005C2660"/>
    <w:rsid w:val="005C5D07"/>
    <w:rsid w:val="005D2E1E"/>
    <w:rsid w:val="005D4774"/>
    <w:rsid w:val="005E2F07"/>
    <w:rsid w:val="00603223"/>
    <w:rsid w:val="00605B67"/>
    <w:rsid w:val="00621A0C"/>
    <w:rsid w:val="00634F6F"/>
    <w:rsid w:val="00660ADA"/>
    <w:rsid w:val="0066522C"/>
    <w:rsid w:val="006728CE"/>
    <w:rsid w:val="0067789C"/>
    <w:rsid w:val="00680C2F"/>
    <w:rsid w:val="00691F94"/>
    <w:rsid w:val="0069319D"/>
    <w:rsid w:val="00694D37"/>
    <w:rsid w:val="006E6048"/>
    <w:rsid w:val="006F215B"/>
    <w:rsid w:val="00711741"/>
    <w:rsid w:val="00712906"/>
    <w:rsid w:val="00733A0D"/>
    <w:rsid w:val="00735B63"/>
    <w:rsid w:val="00740E6E"/>
    <w:rsid w:val="007639B7"/>
    <w:rsid w:val="00774FCD"/>
    <w:rsid w:val="00777AE6"/>
    <w:rsid w:val="00781D77"/>
    <w:rsid w:val="00782B44"/>
    <w:rsid w:val="00783702"/>
    <w:rsid w:val="0079523C"/>
    <w:rsid w:val="007952A2"/>
    <w:rsid w:val="007A4E3B"/>
    <w:rsid w:val="007B67BB"/>
    <w:rsid w:val="007D47B1"/>
    <w:rsid w:val="007E03DD"/>
    <w:rsid w:val="00814409"/>
    <w:rsid w:val="00840D38"/>
    <w:rsid w:val="008435A5"/>
    <w:rsid w:val="008551CF"/>
    <w:rsid w:val="00864061"/>
    <w:rsid w:val="0086617B"/>
    <w:rsid w:val="008844EF"/>
    <w:rsid w:val="00890BC4"/>
    <w:rsid w:val="008B2AC7"/>
    <w:rsid w:val="008B4D51"/>
    <w:rsid w:val="008B5888"/>
    <w:rsid w:val="008C5AE1"/>
    <w:rsid w:val="008E74B0"/>
    <w:rsid w:val="008F4778"/>
    <w:rsid w:val="00906BEF"/>
    <w:rsid w:val="0092471F"/>
    <w:rsid w:val="0093148A"/>
    <w:rsid w:val="00943D9C"/>
    <w:rsid w:val="00946C51"/>
    <w:rsid w:val="0096589B"/>
    <w:rsid w:val="00974C91"/>
    <w:rsid w:val="00981A2C"/>
    <w:rsid w:val="00994A76"/>
    <w:rsid w:val="00997054"/>
    <w:rsid w:val="009B625F"/>
    <w:rsid w:val="009C055A"/>
    <w:rsid w:val="009D7679"/>
    <w:rsid w:val="009E3C00"/>
    <w:rsid w:val="009F0E51"/>
    <w:rsid w:val="00A03BC5"/>
    <w:rsid w:val="00A049C6"/>
    <w:rsid w:val="00A119F1"/>
    <w:rsid w:val="00A12BD0"/>
    <w:rsid w:val="00A22BB9"/>
    <w:rsid w:val="00A26D72"/>
    <w:rsid w:val="00A27DD0"/>
    <w:rsid w:val="00A308C6"/>
    <w:rsid w:val="00A32BF4"/>
    <w:rsid w:val="00A34418"/>
    <w:rsid w:val="00A36C7F"/>
    <w:rsid w:val="00A37B51"/>
    <w:rsid w:val="00A51625"/>
    <w:rsid w:val="00A6017B"/>
    <w:rsid w:val="00A6229E"/>
    <w:rsid w:val="00A861E2"/>
    <w:rsid w:val="00AA33C2"/>
    <w:rsid w:val="00AA48C1"/>
    <w:rsid w:val="00AB5780"/>
    <w:rsid w:val="00AB6090"/>
    <w:rsid w:val="00AC13E2"/>
    <w:rsid w:val="00AC5652"/>
    <w:rsid w:val="00AC716C"/>
    <w:rsid w:val="00AD158E"/>
    <w:rsid w:val="00AD64A5"/>
    <w:rsid w:val="00B02912"/>
    <w:rsid w:val="00B17539"/>
    <w:rsid w:val="00B21585"/>
    <w:rsid w:val="00B238BB"/>
    <w:rsid w:val="00B30F7A"/>
    <w:rsid w:val="00B3308F"/>
    <w:rsid w:val="00B4618D"/>
    <w:rsid w:val="00B55135"/>
    <w:rsid w:val="00B82FD0"/>
    <w:rsid w:val="00B864D5"/>
    <w:rsid w:val="00B8736E"/>
    <w:rsid w:val="00B91F74"/>
    <w:rsid w:val="00B92B2A"/>
    <w:rsid w:val="00B9708E"/>
    <w:rsid w:val="00BA6552"/>
    <w:rsid w:val="00BB4EF3"/>
    <w:rsid w:val="00BC2FC5"/>
    <w:rsid w:val="00BC37DF"/>
    <w:rsid w:val="00BC4976"/>
    <w:rsid w:val="00BC6317"/>
    <w:rsid w:val="00BE626B"/>
    <w:rsid w:val="00BF0620"/>
    <w:rsid w:val="00BF0919"/>
    <w:rsid w:val="00BF74D4"/>
    <w:rsid w:val="00C01B43"/>
    <w:rsid w:val="00C0285C"/>
    <w:rsid w:val="00C067FE"/>
    <w:rsid w:val="00C16366"/>
    <w:rsid w:val="00C30CB8"/>
    <w:rsid w:val="00C379C2"/>
    <w:rsid w:val="00C644F9"/>
    <w:rsid w:val="00C81742"/>
    <w:rsid w:val="00C846D8"/>
    <w:rsid w:val="00CA1D2B"/>
    <w:rsid w:val="00CA268D"/>
    <w:rsid w:val="00CB38C9"/>
    <w:rsid w:val="00CB4531"/>
    <w:rsid w:val="00CD10B5"/>
    <w:rsid w:val="00CE4011"/>
    <w:rsid w:val="00D07CB5"/>
    <w:rsid w:val="00D2426B"/>
    <w:rsid w:val="00D26B68"/>
    <w:rsid w:val="00D371B3"/>
    <w:rsid w:val="00D438F3"/>
    <w:rsid w:val="00D44EB4"/>
    <w:rsid w:val="00D54285"/>
    <w:rsid w:val="00D5561A"/>
    <w:rsid w:val="00D641ED"/>
    <w:rsid w:val="00D70AFD"/>
    <w:rsid w:val="00D8504A"/>
    <w:rsid w:val="00D9136C"/>
    <w:rsid w:val="00D91971"/>
    <w:rsid w:val="00DC3427"/>
    <w:rsid w:val="00DD367F"/>
    <w:rsid w:val="00DD4672"/>
    <w:rsid w:val="00DE543F"/>
    <w:rsid w:val="00DF2728"/>
    <w:rsid w:val="00E0782F"/>
    <w:rsid w:val="00E112E2"/>
    <w:rsid w:val="00E22CD1"/>
    <w:rsid w:val="00E22F86"/>
    <w:rsid w:val="00E42BC1"/>
    <w:rsid w:val="00E63A4E"/>
    <w:rsid w:val="00E64D74"/>
    <w:rsid w:val="00E962ED"/>
    <w:rsid w:val="00EA50D9"/>
    <w:rsid w:val="00EF65FF"/>
    <w:rsid w:val="00F06789"/>
    <w:rsid w:val="00F248EB"/>
    <w:rsid w:val="00F27884"/>
    <w:rsid w:val="00F27A1D"/>
    <w:rsid w:val="00F6396D"/>
    <w:rsid w:val="00F65F3E"/>
    <w:rsid w:val="00F70876"/>
    <w:rsid w:val="00F92DB5"/>
    <w:rsid w:val="00F941BC"/>
    <w:rsid w:val="00F963AF"/>
    <w:rsid w:val="00F974FC"/>
    <w:rsid w:val="00FA754D"/>
    <w:rsid w:val="00FB255C"/>
    <w:rsid w:val="00FD05BE"/>
    <w:rsid w:val="00FD2D96"/>
    <w:rsid w:val="00FE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0"/>
    <o:shapelayout v:ext="edit">
      <o:idmap v:ext="edit" data="2"/>
    </o:shapelayout>
  </w:shapeDefaults>
  <w:decimalSymbol w:val="."/>
  <w:listSeparator w:val=","/>
  <w14:docId w14:val="2F5210DB"/>
  <w15:docId w15:val="{1F9C8CEA-70CC-429D-9AB3-2BC86A481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D77"/>
    <w:rPr>
      <w:rFonts w:ascii="Calibri" w:eastAsia="Calibri" w:hAnsi="Calibri" w:cs="SimSun"/>
    </w:rPr>
  </w:style>
  <w:style w:type="paragraph" w:styleId="Heading1">
    <w:name w:val="heading 1"/>
    <w:basedOn w:val="Normal"/>
    <w:next w:val="Normal"/>
    <w:link w:val="Heading1Char"/>
    <w:uiPriority w:val="9"/>
    <w:qFormat/>
    <w:rsid w:val="00781D77"/>
    <w:pPr>
      <w:spacing w:before="480" w:after="0" w:line="240" w:lineRule="auto"/>
      <w:ind w:left="720" w:hanging="360"/>
      <w:contextualSpacing/>
      <w:outlineLvl w:val="0"/>
    </w:pPr>
    <w:rPr>
      <w:rFonts w:asciiTheme="majorHAnsi" w:eastAsiaTheme="majorEastAsia" w:hAnsiTheme="majorHAnsi" w:cstheme="majorBidi"/>
      <w:b/>
      <w:bCs/>
      <w:sz w:val="28"/>
      <w:szCs w:val="28"/>
      <w:lang w:bidi="en-US"/>
    </w:rPr>
  </w:style>
  <w:style w:type="paragraph" w:styleId="Heading2">
    <w:name w:val="heading 2"/>
    <w:basedOn w:val="Normal"/>
    <w:next w:val="Normal"/>
    <w:link w:val="Heading2Char"/>
    <w:uiPriority w:val="9"/>
    <w:unhideWhenUsed/>
    <w:qFormat/>
    <w:rsid w:val="00781D77"/>
    <w:pPr>
      <w:spacing w:before="200" w:after="0" w:line="240" w:lineRule="auto"/>
      <w:ind w:left="720" w:hanging="360"/>
      <w:outlineLvl w:val="1"/>
    </w:pPr>
    <w:rPr>
      <w:rFonts w:asciiTheme="majorHAnsi" w:eastAsiaTheme="majorEastAsia" w:hAnsiTheme="majorHAnsi" w:cstheme="majorBidi"/>
      <w:b/>
      <w:bCs/>
      <w:sz w:val="26"/>
      <w:szCs w:val="26"/>
      <w:lang w:bidi="en-US"/>
    </w:rPr>
  </w:style>
  <w:style w:type="paragraph" w:styleId="Heading3">
    <w:name w:val="heading 3"/>
    <w:basedOn w:val="Normal"/>
    <w:next w:val="Normal"/>
    <w:link w:val="Heading3Char"/>
    <w:uiPriority w:val="9"/>
    <w:unhideWhenUsed/>
    <w:qFormat/>
    <w:rsid w:val="00781D77"/>
    <w:pPr>
      <w:spacing w:before="200" w:after="0" w:line="271" w:lineRule="auto"/>
      <w:ind w:left="720" w:hanging="360"/>
      <w:outlineLvl w:val="2"/>
    </w:pPr>
    <w:rPr>
      <w:rFonts w:asciiTheme="majorHAnsi" w:eastAsiaTheme="majorEastAsia" w:hAnsiTheme="majorHAnsi" w:cstheme="majorBidi"/>
      <w:b/>
      <w:bCs/>
      <w:lang w:bidi="en-US"/>
    </w:rPr>
  </w:style>
  <w:style w:type="paragraph" w:styleId="Heading4">
    <w:name w:val="heading 4"/>
    <w:basedOn w:val="Normal"/>
    <w:next w:val="Normal"/>
    <w:link w:val="Heading4Char"/>
    <w:uiPriority w:val="9"/>
    <w:unhideWhenUsed/>
    <w:qFormat/>
    <w:rsid w:val="00781D77"/>
    <w:pPr>
      <w:spacing w:before="200" w:after="0" w:line="240" w:lineRule="auto"/>
      <w:ind w:left="720" w:hanging="360"/>
      <w:outlineLvl w:val="3"/>
    </w:pPr>
    <w:rPr>
      <w:rFonts w:asciiTheme="majorHAnsi" w:eastAsiaTheme="majorEastAsia" w:hAnsiTheme="majorHAnsi" w:cstheme="majorBidi"/>
      <w:b/>
      <w:bCs/>
      <w:i/>
      <w:iCs/>
      <w:lang w:bidi="en-US"/>
    </w:rPr>
  </w:style>
  <w:style w:type="paragraph" w:styleId="Heading5">
    <w:name w:val="heading 5"/>
    <w:basedOn w:val="Normal"/>
    <w:next w:val="Normal"/>
    <w:link w:val="Heading5Char"/>
    <w:uiPriority w:val="9"/>
    <w:unhideWhenUsed/>
    <w:qFormat/>
    <w:rsid w:val="00781D77"/>
    <w:pPr>
      <w:spacing w:before="200" w:after="0" w:line="240" w:lineRule="auto"/>
      <w:ind w:left="720" w:hanging="360"/>
      <w:outlineLvl w:val="4"/>
    </w:pPr>
    <w:rPr>
      <w:rFonts w:asciiTheme="majorHAnsi" w:eastAsiaTheme="majorEastAsia" w:hAnsiTheme="majorHAnsi" w:cstheme="majorBidi"/>
      <w:b/>
      <w:bCs/>
      <w:color w:val="7F7F7F" w:themeColor="text1" w:themeTint="80"/>
      <w:lang w:bidi="en-US"/>
    </w:rPr>
  </w:style>
  <w:style w:type="paragraph" w:styleId="Heading6">
    <w:name w:val="heading 6"/>
    <w:basedOn w:val="Normal"/>
    <w:next w:val="Normal"/>
    <w:link w:val="Heading6Char"/>
    <w:uiPriority w:val="9"/>
    <w:unhideWhenUsed/>
    <w:qFormat/>
    <w:rsid w:val="00781D77"/>
    <w:pPr>
      <w:spacing w:after="0" w:line="271" w:lineRule="auto"/>
      <w:ind w:left="720" w:hanging="360"/>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
    <w:unhideWhenUsed/>
    <w:qFormat/>
    <w:rsid w:val="00781D77"/>
    <w:pPr>
      <w:spacing w:after="0" w:line="240" w:lineRule="auto"/>
      <w:ind w:left="720" w:hanging="360"/>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
    <w:unhideWhenUsed/>
    <w:qFormat/>
    <w:rsid w:val="00781D77"/>
    <w:pPr>
      <w:spacing w:after="0" w:line="240" w:lineRule="auto"/>
      <w:ind w:left="720" w:hanging="360"/>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
    <w:unhideWhenUsed/>
    <w:qFormat/>
    <w:rsid w:val="00781D77"/>
    <w:pPr>
      <w:spacing w:after="0" w:line="240" w:lineRule="auto"/>
      <w:ind w:left="720" w:hanging="360"/>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81D77"/>
    <w:rPr>
      <w:rFonts w:asciiTheme="majorHAnsi" w:eastAsiaTheme="majorEastAsia" w:hAnsiTheme="majorHAnsi" w:cstheme="majorBidi"/>
      <w:b/>
      <w:bCs/>
      <w:sz w:val="28"/>
      <w:szCs w:val="28"/>
      <w:lang w:bidi="en-US"/>
    </w:rPr>
  </w:style>
  <w:style w:type="character" w:customStyle="1" w:styleId="Heading2Char">
    <w:name w:val="Heading 2 Char"/>
    <w:basedOn w:val="DefaultParagraphFont"/>
    <w:link w:val="Heading2"/>
    <w:uiPriority w:val="9"/>
    <w:qFormat/>
    <w:rsid w:val="00781D77"/>
    <w:rPr>
      <w:rFonts w:asciiTheme="majorHAnsi" w:eastAsiaTheme="majorEastAsia" w:hAnsiTheme="majorHAnsi" w:cstheme="majorBidi"/>
      <w:b/>
      <w:bCs/>
      <w:sz w:val="26"/>
      <w:szCs w:val="26"/>
      <w:lang w:bidi="en-US"/>
    </w:rPr>
  </w:style>
  <w:style w:type="character" w:customStyle="1" w:styleId="Heading3Char">
    <w:name w:val="Heading 3 Char"/>
    <w:basedOn w:val="DefaultParagraphFont"/>
    <w:link w:val="Heading3"/>
    <w:uiPriority w:val="9"/>
    <w:qFormat/>
    <w:rsid w:val="00781D77"/>
    <w:rPr>
      <w:rFonts w:asciiTheme="majorHAnsi" w:eastAsiaTheme="majorEastAsia" w:hAnsiTheme="majorHAnsi" w:cstheme="majorBidi"/>
      <w:b/>
      <w:bCs/>
      <w:lang w:bidi="en-US"/>
    </w:rPr>
  </w:style>
  <w:style w:type="character" w:customStyle="1" w:styleId="Heading4Char">
    <w:name w:val="Heading 4 Char"/>
    <w:basedOn w:val="DefaultParagraphFont"/>
    <w:link w:val="Heading4"/>
    <w:uiPriority w:val="9"/>
    <w:qFormat/>
    <w:rsid w:val="00781D77"/>
    <w:rPr>
      <w:rFonts w:asciiTheme="majorHAnsi" w:eastAsiaTheme="majorEastAsia" w:hAnsiTheme="majorHAnsi" w:cstheme="majorBidi"/>
      <w:b/>
      <w:bCs/>
      <w:i/>
      <w:iCs/>
      <w:lang w:bidi="en-US"/>
    </w:rPr>
  </w:style>
  <w:style w:type="character" w:customStyle="1" w:styleId="Heading5Char">
    <w:name w:val="Heading 5 Char"/>
    <w:basedOn w:val="DefaultParagraphFont"/>
    <w:link w:val="Heading5"/>
    <w:uiPriority w:val="9"/>
    <w:qFormat/>
    <w:rsid w:val="00781D77"/>
    <w:rPr>
      <w:rFonts w:asciiTheme="majorHAnsi" w:eastAsiaTheme="majorEastAsia" w:hAnsiTheme="majorHAnsi" w:cstheme="majorBidi"/>
      <w:b/>
      <w:bCs/>
      <w:color w:val="7F7F7F" w:themeColor="text1" w:themeTint="80"/>
      <w:lang w:bidi="en-US"/>
    </w:rPr>
  </w:style>
  <w:style w:type="character" w:customStyle="1" w:styleId="Heading6Char">
    <w:name w:val="Heading 6 Char"/>
    <w:basedOn w:val="DefaultParagraphFont"/>
    <w:link w:val="Heading6"/>
    <w:uiPriority w:val="9"/>
    <w:qFormat/>
    <w:rsid w:val="00781D77"/>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
    <w:qFormat/>
    <w:rsid w:val="00781D7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
    <w:qFormat/>
    <w:rsid w:val="00781D7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
    <w:qFormat/>
    <w:rsid w:val="00781D77"/>
    <w:rPr>
      <w:rFonts w:asciiTheme="majorHAnsi" w:eastAsiaTheme="majorEastAsia" w:hAnsiTheme="majorHAnsi" w:cstheme="majorBidi"/>
      <w:i/>
      <w:iCs/>
      <w:spacing w:val="5"/>
      <w:sz w:val="20"/>
      <w:szCs w:val="20"/>
      <w:lang w:bidi="en-US"/>
    </w:rPr>
  </w:style>
  <w:style w:type="paragraph" w:styleId="BalloonText">
    <w:name w:val="Balloon Text"/>
    <w:basedOn w:val="Normal"/>
    <w:link w:val="BalloonTextChar"/>
    <w:uiPriority w:val="99"/>
    <w:qFormat/>
    <w:rsid w:val="00781D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qFormat/>
    <w:rsid w:val="00781D77"/>
    <w:rPr>
      <w:rFonts w:ascii="Tahoma" w:eastAsia="Calibri" w:hAnsi="Tahoma" w:cs="Tahoma"/>
      <w:sz w:val="16"/>
      <w:szCs w:val="16"/>
    </w:rPr>
  </w:style>
  <w:style w:type="paragraph" w:styleId="BodyText">
    <w:name w:val="Body Text"/>
    <w:basedOn w:val="Normal"/>
    <w:link w:val="BodyTextChar"/>
    <w:uiPriority w:val="1"/>
    <w:qFormat/>
    <w:rsid w:val="00781D77"/>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qFormat/>
    <w:rsid w:val="00781D77"/>
    <w:rPr>
      <w:rFonts w:ascii="Times New Roman" w:eastAsia="Times New Roman" w:hAnsi="Times New Roman" w:cs="Times New Roman"/>
      <w:sz w:val="20"/>
      <w:szCs w:val="20"/>
    </w:rPr>
  </w:style>
  <w:style w:type="paragraph" w:styleId="Footer">
    <w:name w:val="footer"/>
    <w:basedOn w:val="Normal"/>
    <w:link w:val="FooterChar"/>
    <w:uiPriority w:val="99"/>
    <w:qFormat/>
    <w:rsid w:val="00781D77"/>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781D77"/>
    <w:rPr>
      <w:rFonts w:ascii="Calibri" w:eastAsia="Calibri" w:hAnsi="Calibri" w:cs="SimSun"/>
    </w:rPr>
  </w:style>
  <w:style w:type="paragraph" w:styleId="Header">
    <w:name w:val="header"/>
    <w:basedOn w:val="Normal"/>
    <w:link w:val="HeaderChar"/>
    <w:uiPriority w:val="99"/>
    <w:qFormat/>
    <w:rsid w:val="00781D77"/>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781D77"/>
    <w:rPr>
      <w:rFonts w:ascii="Calibri" w:eastAsia="Calibri" w:hAnsi="Calibri" w:cs="SimSun"/>
    </w:rPr>
  </w:style>
  <w:style w:type="paragraph" w:styleId="NormalWeb">
    <w:name w:val="Normal (Web)"/>
    <w:basedOn w:val="Normal"/>
    <w:uiPriority w:val="99"/>
    <w:unhideWhenUsed/>
    <w:qFormat/>
    <w:rsid w:val="00781D77"/>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781D77"/>
    <w:pPr>
      <w:spacing w:after="600" w:line="240" w:lineRule="auto"/>
      <w:ind w:left="720" w:hanging="360"/>
    </w:pPr>
    <w:rPr>
      <w:rFonts w:asciiTheme="majorHAnsi" w:eastAsiaTheme="majorEastAsia" w:hAnsiTheme="majorHAnsi" w:cstheme="majorBidi"/>
      <w:i/>
      <w:iCs/>
      <w:spacing w:val="13"/>
      <w:sz w:val="24"/>
      <w:szCs w:val="24"/>
      <w:lang w:bidi="en-US"/>
    </w:rPr>
  </w:style>
  <w:style w:type="character" w:customStyle="1" w:styleId="SubtitleChar">
    <w:name w:val="Subtitle Char"/>
    <w:basedOn w:val="DefaultParagraphFont"/>
    <w:link w:val="Subtitle"/>
    <w:uiPriority w:val="11"/>
    <w:qFormat/>
    <w:rsid w:val="00781D77"/>
    <w:rPr>
      <w:rFonts w:asciiTheme="majorHAnsi" w:eastAsiaTheme="majorEastAsia" w:hAnsiTheme="majorHAnsi" w:cstheme="majorBidi"/>
      <w:i/>
      <w:iCs/>
      <w:spacing w:val="13"/>
      <w:sz w:val="24"/>
      <w:szCs w:val="24"/>
      <w:lang w:bidi="en-US"/>
    </w:rPr>
  </w:style>
  <w:style w:type="paragraph" w:styleId="Title">
    <w:name w:val="Title"/>
    <w:basedOn w:val="Normal"/>
    <w:next w:val="Normal"/>
    <w:link w:val="TitleChar"/>
    <w:uiPriority w:val="10"/>
    <w:qFormat/>
    <w:rsid w:val="00781D77"/>
    <w:pPr>
      <w:pBdr>
        <w:bottom w:val="single" w:sz="4" w:space="1" w:color="auto"/>
      </w:pBdr>
      <w:spacing w:after="0" w:line="240" w:lineRule="auto"/>
      <w:ind w:left="720" w:hanging="360"/>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10"/>
    <w:qFormat/>
    <w:rsid w:val="00781D77"/>
    <w:rPr>
      <w:rFonts w:asciiTheme="majorHAnsi" w:eastAsiaTheme="majorEastAsia" w:hAnsiTheme="majorHAnsi" w:cstheme="majorBidi"/>
      <w:spacing w:val="5"/>
      <w:sz w:val="52"/>
      <w:szCs w:val="52"/>
      <w:lang w:bidi="en-US"/>
    </w:rPr>
  </w:style>
  <w:style w:type="character" w:styleId="Emphasis">
    <w:name w:val="Emphasis"/>
    <w:uiPriority w:val="20"/>
    <w:qFormat/>
    <w:rsid w:val="00781D77"/>
    <w:rPr>
      <w:b/>
      <w:bCs/>
      <w:i/>
      <w:iCs/>
      <w:spacing w:val="10"/>
      <w:shd w:val="clear" w:color="auto" w:fill="auto"/>
    </w:rPr>
  </w:style>
  <w:style w:type="character" w:styleId="Hyperlink">
    <w:name w:val="Hyperlink"/>
    <w:basedOn w:val="DefaultParagraphFont"/>
    <w:uiPriority w:val="99"/>
    <w:qFormat/>
    <w:rsid w:val="00781D77"/>
    <w:rPr>
      <w:color w:val="0000FF"/>
      <w:u w:val="single"/>
    </w:rPr>
  </w:style>
  <w:style w:type="character" w:styleId="Strong">
    <w:name w:val="Strong"/>
    <w:uiPriority w:val="22"/>
    <w:qFormat/>
    <w:rsid w:val="00781D77"/>
    <w:rPr>
      <w:b/>
      <w:bCs/>
    </w:rPr>
  </w:style>
  <w:style w:type="table" w:styleId="TableGrid">
    <w:name w:val="Table Grid"/>
    <w:basedOn w:val="TableNormal"/>
    <w:uiPriority w:val="39"/>
    <w:qFormat/>
    <w:rsid w:val="00781D77"/>
    <w:pPr>
      <w:spacing w:after="0" w:line="240" w:lineRule="auto"/>
    </w:pPr>
    <w:rPr>
      <w:rFonts w:ascii="Calibri" w:eastAsia="Calibri" w:hAnsi="Calibri" w:cs="SimSu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Normal"/>
    <w:uiPriority w:val="34"/>
    <w:qFormat/>
    <w:rsid w:val="00781D77"/>
    <w:pPr>
      <w:ind w:left="720"/>
      <w:contextualSpacing/>
    </w:pPr>
  </w:style>
  <w:style w:type="paragraph" w:customStyle="1" w:styleId="NoSpacing1">
    <w:name w:val="No Spacing1"/>
    <w:basedOn w:val="Normal"/>
    <w:link w:val="NoSpacingChar"/>
    <w:uiPriority w:val="1"/>
    <w:qFormat/>
    <w:rsid w:val="00781D77"/>
    <w:pPr>
      <w:spacing w:after="0" w:line="240" w:lineRule="auto"/>
      <w:ind w:left="720" w:hanging="360"/>
    </w:pPr>
    <w:rPr>
      <w:rFonts w:asciiTheme="minorHAnsi" w:eastAsiaTheme="minorHAnsi" w:hAnsiTheme="minorHAnsi" w:cstheme="minorBidi"/>
      <w:lang w:bidi="en-US"/>
    </w:rPr>
  </w:style>
  <w:style w:type="paragraph" w:customStyle="1" w:styleId="Quote1">
    <w:name w:val="Quote1"/>
    <w:basedOn w:val="Normal"/>
    <w:next w:val="Normal"/>
    <w:link w:val="QuoteChar"/>
    <w:uiPriority w:val="29"/>
    <w:qFormat/>
    <w:rsid w:val="00781D77"/>
    <w:pPr>
      <w:spacing w:before="200" w:after="0" w:line="240" w:lineRule="auto"/>
      <w:ind w:left="360" w:right="360" w:hanging="360"/>
    </w:pPr>
    <w:rPr>
      <w:rFonts w:asciiTheme="minorHAnsi" w:eastAsiaTheme="minorHAnsi" w:hAnsiTheme="minorHAnsi" w:cstheme="minorBidi"/>
      <w:i/>
      <w:iCs/>
      <w:lang w:bidi="en-US"/>
    </w:rPr>
  </w:style>
  <w:style w:type="character" w:customStyle="1" w:styleId="QuoteChar">
    <w:name w:val="Quote Char"/>
    <w:basedOn w:val="DefaultParagraphFont"/>
    <w:link w:val="Quote1"/>
    <w:uiPriority w:val="29"/>
    <w:qFormat/>
    <w:rsid w:val="00781D77"/>
    <w:rPr>
      <w:i/>
      <w:iCs/>
      <w:lang w:bidi="en-US"/>
    </w:rPr>
  </w:style>
  <w:style w:type="paragraph" w:customStyle="1" w:styleId="IntenseQuote1">
    <w:name w:val="Intense Quote1"/>
    <w:basedOn w:val="Normal"/>
    <w:next w:val="Normal"/>
    <w:link w:val="IntenseQuoteChar"/>
    <w:uiPriority w:val="30"/>
    <w:qFormat/>
    <w:rsid w:val="00781D77"/>
    <w:pPr>
      <w:pBdr>
        <w:bottom w:val="single" w:sz="4" w:space="1" w:color="auto"/>
      </w:pBdr>
      <w:spacing w:before="200" w:after="280" w:line="240" w:lineRule="auto"/>
      <w:ind w:left="1008" w:right="1152" w:hanging="360"/>
      <w:jc w:val="both"/>
    </w:pPr>
    <w:rPr>
      <w:rFonts w:asciiTheme="minorHAnsi" w:eastAsiaTheme="minorHAnsi" w:hAnsiTheme="minorHAnsi" w:cstheme="minorBidi"/>
      <w:b/>
      <w:bCs/>
      <w:i/>
      <w:iCs/>
      <w:lang w:bidi="en-US"/>
    </w:rPr>
  </w:style>
  <w:style w:type="character" w:customStyle="1" w:styleId="IntenseQuoteChar">
    <w:name w:val="Intense Quote Char"/>
    <w:basedOn w:val="DefaultParagraphFont"/>
    <w:link w:val="IntenseQuote1"/>
    <w:uiPriority w:val="30"/>
    <w:qFormat/>
    <w:rsid w:val="00781D77"/>
    <w:rPr>
      <w:b/>
      <w:bCs/>
      <w:i/>
      <w:iCs/>
      <w:lang w:bidi="en-US"/>
    </w:rPr>
  </w:style>
  <w:style w:type="character" w:customStyle="1" w:styleId="SubtleEmphasis1">
    <w:name w:val="Subtle Emphasis1"/>
    <w:uiPriority w:val="19"/>
    <w:qFormat/>
    <w:rsid w:val="00781D77"/>
    <w:rPr>
      <w:i/>
      <w:iCs/>
    </w:rPr>
  </w:style>
  <w:style w:type="character" w:customStyle="1" w:styleId="IntenseEmphasis1">
    <w:name w:val="Intense Emphasis1"/>
    <w:uiPriority w:val="21"/>
    <w:qFormat/>
    <w:rsid w:val="00781D77"/>
    <w:rPr>
      <w:b/>
      <w:bCs/>
    </w:rPr>
  </w:style>
  <w:style w:type="character" w:customStyle="1" w:styleId="SubtleReference1">
    <w:name w:val="Subtle Reference1"/>
    <w:uiPriority w:val="31"/>
    <w:qFormat/>
    <w:rsid w:val="00781D77"/>
    <w:rPr>
      <w:smallCaps/>
    </w:rPr>
  </w:style>
  <w:style w:type="character" w:customStyle="1" w:styleId="IntenseReference1">
    <w:name w:val="Intense Reference1"/>
    <w:uiPriority w:val="32"/>
    <w:qFormat/>
    <w:rsid w:val="00781D77"/>
    <w:rPr>
      <w:smallCaps/>
      <w:spacing w:val="5"/>
      <w:u w:val="single"/>
    </w:rPr>
  </w:style>
  <w:style w:type="character" w:customStyle="1" w:styleId="BookTitle1">
    <w:name w:val="Book Title1"/>
    <w:uiPriority w:val="33"/>
    <w:qFormat/>
    <w:rsid w:val="00781D77"/>
    <w:rPr>
      <w:i/>
      <w:iCs/>
      <w:smallCaps/>
      <w:spacing w:val="5"/>
    </w:rPr>
  </w:style>
  <w:style w:type="paragraph" w:customStyle="1" w:styleId="TOCHeading1">
    <w:name w:val="TOC Heading1"/>
    <w:basedOn w:val="Heading1"/>
    <w:next w:val="Normal"/>
    <w:uiPriority w:val="39"/>
    <w:unhideWhenUsed/>
    <w:qFormat/>
    <w:rsid w:val="00781D77"/>
    <w:pPr>
      <w:outlineLvl w:val="9"/>
    </w:pPr>
  </w:style>
  <w:style w:type="character" w:customStyle="1" w:styleId="NoSpacingChar">
    <w:name w:val="No Spacing Char"/>
    <w:basedOn w:val="DefaultParagraphFont"/>
    <w:link w:val="NoSpacing1"/>
    <w:uiPriority w:val="1"/>
    <w:qFormat/>
    <w:rsid w:val="00781D77"/>
    <w:rPr>
      <w:lang w:bidi="en-US"/>
    </w:rPr>
  </w:style>
  <w:style w:type="character" w:customStyle="1" w:styleId="fontstyle01">
    <w:name w:val="fontstyle01"/>
    <w:basedOn w:val="DefaultParagraphFont"/>
    <w:qFormat/>
    <w:rsid w:val="00781D77"/>
    <w:rPr>
      <w:rFonts w:ascii="Cambria-Bold" w:hAnsi="Cambria-Bold" w:hint="default"/>
      <w:b/>
      <w:bCs/>
      <w:color w:val="316190"/>
      <w:sz w:val="36"/>
      <w:szCs w:val="36"/>
    </w:rPr>
  </w:style>
  <w:style w:type="character" w:customStyle="1" w:styleId="fontstyle21">
    <w:name w:val="fontstyle21"/>
    <w:basedOn w:val="DefaultParagraphFont"/>
    <w:qFormat/>
    <w:rsid w:val="00781D77"/>
    <w:rPr>
      <w:rFonts w:ascii="Cambria" w:hAnsi="Cambria" w:hint="default"/>
      <w:color w:val="316190"/>
      <w:sz w:val="24"/>
      <w:szCs w:val="24"/>
    </w:rPr>
  </w:style>
  <w:style w:type="character" w:customStyle="1" w:styleId="fontstyle31">
    <w:name w:val="fontstyle31"/>
    <w:basedOn w:val="DefaultParagraphFont"/>
    <w:qFormat/>
    <w:rsid w:val="00781D77"/>
    <w:rPr>
      <w:rFonts w:ascii="Cambria-Italic" w:hAnsi="Cambria-Italic" w:hint="default"/>
      <w:i/>
      <w:iCs/>
      <w:color w:val="000000"/>
      <w:sz w:val="20"/>
      <w:szCs w:val="20"/>
    </w:rPr>
  </w:style>
  <w:style w:type="table" w:customStyle="1" w:styleId="TableGrid0">
    <w:name w:val="TableGrid"/>
    <w:qFormat/>
    <w:rsid w:val="00781D77"/>
    <w:pPr>
      <w:spacing w:after="0" w:line="240" w:lineRule="auto"/>
    </w:pPr>
    <w:rPr>
      <w:rFonts w:eastAsiaTheme="minorEastAsia"/>
      <w:sz w:val="20"/>
      <w:szCs w:val="20"/>
      <w:lang w:val="en-GB" w:eastAsia="en-GB"/>
    </w:rPr>
    <w:tblPr>
      <w:tblCellMar>
        <w:top w:w="0" w:type="dxa"/>
        <w:left w:w="0" w:type="dxa"/>
        <w:bottom w:w="0" w:type="dxa"/>
        <w:right w:w="0" w:type="dxa"/>
      </w:tblCellMar>
    </w:tblPr>
  </w:style>
  <w:style w:type="paragraph" w:customStyle="1" w:styleId="TableParagraph">
    <w:name w:val="Table Paragraph"/>
    <w:basedOn w:val="Normal"/>
    <w:uiPriority w:val="1"/>
    <w:qFormat/>
    <w:rsid w:val="00781D77"/>
    <w:pPr>
      <w:widowControl w:val="0"/>
      <w:autoSpaceDE w:val="0"/>
      <w:autoSpaceDN w:val="0"/>
      <w:spacing w:after="0" w:line="240" w:lineRule="auto"/>
      <w:ind w:left="9"/>
      <w:jc w:val="center"/>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781D77"/>
    <w:rPr>
      <w:sz w:val="16"/>
      <w:szCs w:val="16"/>
    </w:rPr>
  </w:style>
  <w:style w:type="paragraph" w:styleId="CommentText">
    <w:name w:val="annotation text"/>
    <w:basedOn w:val="Normal"/>
    <w:link w:val="CommentTextChar"/>
    <w:uiPriority w:val="99"/>
    <w:semiHidden/>
    <w:unhideWhenUsed/>
    <w:rsid w:val="00781D77"/>
    <w:pPr>
      <w:spacing w:line="240" w:lineRule="auto"/>
    </w:pPr>
    <w:rPr>
      <w:sz w:val="20"/>
      <w:szCs w:val="20"/>
    </w:rPr>
  </w:style>
  <w:style w:type="character" w:customStyle="1" w:styleId="CommentTextChar">
    <w:name w:val="Comment Text Char"/>
    <w:basedOn w:val="DefaultParagraphFont"/>
    <w:link w:val="CommentText"/>
    <w:uiPriority w:val="99"/>
    <w:semiHidden/>
    <w:rsid w:val="00781D77"/>
    <w:rPr>
      <w:rFonts w:ascii="Calibri" w:eastAsia="Calibri" w:hAnsi="Calibri" w:cs="SimSun"/>
      <w:sz w:val="20"/>
      <w:szCs w:val="20"/>
    </w:rPr>
  </w:style>
  <w:style w:type="paragraph" w:styleId="CommentSubject">
    <w:name w:val="annotation subject"/>
    <w:basedOn w:val="CommentText"/>
    <w:next w:val="CommentText"/>
    <w:link w:val="CommentSubjectChar"/>
    <w:uiPriority w:val="99"/>
    <w:semiHidden/>
    <w:unhideWhenUsed/>
    <w:rsid w:val="00781D77"/>
    <w:rPr>
      <w:b/>
      <w:bCs/>
    </w:rPr>
  </w:style>
  <w:style w:type="character" w:customStyle="1" w:styleId="CommentSubjectChar">
    <w:name w:val="Comment Subject Char"/>
    <w:basedOn w:val="CommentTextChar"/>
    <w:link w:val="CommentSubject"/>
    <w:uiPriority w:val="99"/>
    <w:semiHidden/>
    <w:rsid w:val="00781D77"/>
    <w:rPr>
      <w:rFonts w:ascii="Calibri" w:eastAsia="Calibri" w:hAnsi="Calibri" w:cs="SimSun"/>
      <w:b/>
      <w:bCs/>
      <w:sz w:val="20"/>
      <w:szCs w:val="20"/>
    </w:rPr>
  </w:style>
  <w:style w:type="paragraph" w:styleId="ListParagraph">
    <w:name w:val="List Paragraph"/>
    <w:basedOn w:val="Normal"/>
    <w:uiPriority w:val="34"/>
    <w:qFormat/>
    <w:rsid w:val="00457F29"/>
    <w:pPr>
      <w:ind w:left="720"/>
      <w:contextualSpacing/>
    </w:pPr>
  </w:style>
  <w:style w:type="character" w:styleId="UnresolvedMention">
    <w:name w:val="Unresolved Mention"/>
    <w:basedOn w:val="DefaultParagraphFont"/>
    <w:uiPriority w:val="99"/>
    <w:semiHidden/>
    <w:unhideWhenUsed/>
    <w:rsid w:val="008B4D51"/>
    <w:rPr>
      <w:color w:val="605E5C"/>
      <w:shd w:val="clear" w:color="auto" w:fill="E1DFDD"/>
    </w:rPr>
  </w:style>
  <w:style w:type="paragraph" w:styleId="NoSpacing">
    <w:name w:val="No Spacing"/>
    <w:uiPriority w:val="1"/>
    <w:qFormat/>
    <w:rsid w:val="005C5D07"/>
    <w:pPr>
      <w:spacing w:after="0" w:line="240" w:lineRule="auto"/>
    </w:pPr>
    <w:rPr>
      <w:lang w:val="en-GB"/>
    </w:rPr>
  </w:style>
  <w:style w:type="paragraph" w:styleId="Revision">
    <w:name w:val="Revision"/>
    <w:hidden/>
    <w:uiPriority w:val="99"/>
    <w:semiHidden/>
    <w:rsid w:val="00A308C6"/>
    <w:pPr>
      <w:spacing w:after="0" w:line="240" w:lineRule="auto"/>
    </w:pPr>
    <w:rPr>
      <w:rFonts w:ascii="Calibri" w:eastAsia="Calibri" w:hAnsi="Calibri" w:cs="SimSun"/>
    </w:rPr>
  </w:style>
  <w:style w:type="paragraph" w:customStyle="1" w:styleId="Default">
    <w:name w:val="Default"/>
    <w:rsid w:val="0060322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195842">
      <w:bodyDiv w:val="1"/>
      <w:marLeft w:val="0"/>
      <w:marRight w:val="0"/>
      <w:marTop w:val="0"/>
      <w:marBottom w:val="0"/>
      <w:divBdr>
        <w:top w:val="none" w:sz="0" w:space="0" w:color="auto"/>
        <w:left w:val="none" w:sz="0" w:space="0" w:color="auto"/>
        <w:bottom w:val="none" w:sz="0" w:space="0" w:color="auto"/>
        <w:right w:val="none" w:sz="0" w:space="0" w:color="auto"/>
      </w:divBdr>
    </w:div>
    <w:div w:id="157234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profesional.com/index.php/tpmj/article/view/1684?utm_source=chatgpt.com" TargetMode="External"/><Relationship Id="rId18" Type="http://schemas.openxmlformats.org/officeDocument/2006/relationships/hyperlink" Target="https://doi.org/10.2147/JHL.S300729" TargetMode="External"/><Relationship Id="rId26" Type="http://schemas.openxmlformats.org/officeDocument/2006/relationships/hyperlink" Target="https://doi.org/10.4314/ejhs.v25i4.2" TargetMode="External"/><Relationship Id="rId39" Type="http://schemas.openxmlformats.org/officeDocument/2006/relationships/header" Target="header3.xml"/><Relationship Id="rId21" Type="http://schemas.openxmlformats.org/officeDocument/2006/relationships/hyperlink" Target="https://doi.org/10.1155/2015/981756" TargetMode="External"/><Relationship Id="rId34" Type="http://schemas.openxmlformats.org/officeDocument/2006/relationships/hyperlink" Target="https://www.jofmedical.com/index.php/AJRMMS/article/view/77?utm_source=chatgpt.co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2944/CWE.12.1.06" TargetMode="External"/><Relationship Id="rId20" Type="http://schemas.openxmlformats.org/officeDocument/2006/relationships/hyperlink" Target="https://doi.org/10.21522/TIJPH.2013.10.04.Art016" TargetMode="External"/><Relationship Id="rId29" Type="http://schemas.openxmlformats.org/officeDocument/2006/relationships/hyperlink" Target="https://www.who.int/publications/i/item/WHO-FWC-WSH-17.05?utm_source=chatgpt.co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s://doi.org/10.1186/s13756-021-00916-9" TargetMode="External"/><Relationship Id="rId32" Type="http://schemas.openxmlformats.org/officeDocument/2006/relationships/hyperlink" Target="https://doi.org/10.1371/journal.pone.0334290"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1111/nhs.12998" TargetMode="External"/><Relationship Id="rId23" Type="http://schemas.openxmlformats.org/officeDocument/2006/relationships/hyperlink" Target="https://doi.org/10.3390/su9020220" TargetMode="External"/><Relationship Id="rId28" Type="http://schemas.openxmlformats.org/officeDocument/2006/relationships/hyperlink" Target="https://doi.org/10.1186/1471-2458-14-1221" TargetMode="External"/><Relationship Id="rId36" Type="http://schemas.openxmlformats.org/officeDocument/2006/relationships/header" Target="header2.xml"/><Relationship Id="rId10" Type="http://schemas.openxmlformats.org/officeDocument/2006/relationships/chart" Target="charts/chart3.xml"/><Relationship Id="rId19" Type="http://schemas.openxmlformats.org/officeDocument/2006/relationships/hyperlink" Target="https://doi.org/10.18203/2394-6040.ijcmph20171460" TargetMode="External"/><Relationship Id="rId31" Type="http://schemas.openxmlformats.org/officeDocument/2006/relationships/hyperlink" Target="https://doi.org/10.56557/ajocr/2023/v8i48414"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oi.org/10.1186/s12889-016-2916-1" TargetMode="External"/><Relationship Id="rId22" Type="http://schemas.openxmlformats.org/officeDocument/2006/relationships/hyperlink" Target="https://doi.org/10.1371/journal.pone.0243817" TargetMode="External"/><Relationship Id="rId27" Type="http://schemas.openxmlformats.org/officeDocument/2006/relationships/hyperlink" Target="https://doi.org/10.14302/issn.2641-4538.jphi-19-3005" TargetMode="External"/><Relationship Id="rId30" Type="http://schemas.openxmlformats.org/officeDocument/2006/relationships/hyperlink" Target="https://doi.org/10.9734/ijecc/2025/v15i14688" TargetMode="External"/><Relationship Id="rId35" Type="http://schemas.openxmlformats.org/officeDocument/2006/relationships/header" Target="header1.xml"/><Relationship Id="rId8"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hyperlink" Target="https://doi.org/10.1155/2020/8745472" TargetMode="External"/><Relationship Id="rId17" Type="http://schemas.openxmlformats.org/officeDocument/2006/relationships/hyperlink" Target="https://doi.org/10.3390/ijerph16061060" TargetMode="External"/><Relationship Id="rId25" Type="http://schemas.openxmlformats.org/officeDocument/2006/relationships/hyperlink" Target="https://doi.org/10.24018/clinicmed.2023.4.2.249" TargetMode="External"/><Relationship Id="rId33" Type="http://schemas.openxmlformats.org/officeDocument/2006/relationships/hyperlink" Target="https://doi.org/10.1186/s12912-025-03073-1" TargetMode="External"/><Relationship Id="rId38"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3"/>
                <c:pt idx="0">
                  <c:v>18 – 28</c:v>
                </c:pt>
                <c:pt idx="1">
                  <c:v>29 – 30</c:v>
                </c:pt>
                <c:pt idx="2">
                  <c:v>31 – 40</c:v>
                </c:pt>
              </c:strCache>
            </c:strRef>
          </c:cat>
          <c:val>
            <c:numRef>
              <c:f>Sheet1!$B$2:$B$5</c:f>
              <c:numCache>
                <c:formatCode>0.00%</c:formatCode>
                <c:ptCount val="4"/>
                <c:pt idx="0">
                  <c:v>0.55700000000000005</c:v>
                </c:pt>
                <c:pt idx="1">
                  <c:v>0.23600000000000004</c:v>
                </c:pt>
                <c:pt idx="2">
                  <c:v>0.18600000000000028</c:v>
                </c:pt>
              </c:numCache>
            </c:numRef>
          </c:val>
          <c:extLst>
            <c:ext xmlns:c16="http://schemas.microsoft.com/office/drawing/2014/chart" uri="{C3380CC4-5D6E-409C-BE32-E72D297353CC}">
              <c16:uniqueId val="{00000000-1BBF-224F-85D5-CED7305D46A7}"/>
            </c:ext>
          </c:extLst>
        </c:ser>
        <c:dLbls>
          <c:showLegendKey val="0"/>
          <c:showVal val="0"/>
          <c:showCatName val="0"/>
          <c:showSerName val="0"/>
          <c:showPercent val="0"/>
          <c:showBubbleSize val="0"/>
        </c:dLbls>
        <c:gapWidth val="219"/>
        <c:overlap val="-27"/>
        <c:axId val="129065728"/>
        <c:axId val="129067264"/>
      </c:barChart>
      <c:catAx>
        <c:axId val="129065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29067264"/>
        <c:crosses val="autoZero"/>
        <c:auto val="1"/>
        <c:lblAlgn val="ctr"/>
        <c:lblOffset val="100"/>
        <c:noMultiLvlLbl val="0"/>
      </c:catAx>
      <c:valAx>
        <c:axId val="12906726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29065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x-none"/>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Sheet1!$A$2:$A$3</c:f>
              <c:strCache>
                <c:ptCount val="2"/>
                <c:pt idx="0">
                  <c:v>Male</c:v>
                </c:pt>
                <c:pt idx="1">
                  <c:v>Female</c:v>
                </c:pt>
              </c:strCache>
            </c:strRef>
          </c:cat>
          <c:val>
            <c:numRef>
              <c:f>Sheet1!$B$2:$B$3</c:f>
              <c:numCache>
                <c:formatCode>0%</c:formatCode>
                <c:ptCount val="2"/>
                <c:pt idx="0">
                  <c:v>0.16</c:v>
                </c:pt>
                <c:pt idx="1">
                  <c:v>0.84000000000000163</c:v>
                </c:pt>
              </c:numCache>
            </c:numRef>
          </c:val>
          <c:extLst>
            <c:ext xmlns:c16="http://schemas.microsoft.com/office/drawing/2014/chart" uri="{C3380CC4-5D6E-409C-BE32-E72D297353CC}">
              <c16:uniqueId val="{00000000-F52C-D640-B23E-A16328602547}"/>
            </c:ext>
          </c:extLst>
        </c:ser>
        <c:dLbls>
          <c:showLegendKey val="0"/>
          <c:showVal val="0"/>
          <c:showCatName val="0"/>
          <c:showSerName val="0"/>
          <c:showPercent val="0"/>
          <c:showBubbleSize val="0"/>
        </c:dLbls>
        <c:gapWidth val="219"/>
        <c:overlap val="-27"/>
        <c:axId val="149890176"/>
        <c:axId val="149891712"/>
      </c:barChart>
      <c:catAx>
        <c:axId val="149890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49891712"/>
        <c:crosses val="autoZero"/>
        <c:auto val="1"/>
        <c:lblAlgn val="ctr"/>
        <c:lblOffset val="100"/>
        <c:noMultiLvlLbl val="0"/>
      </c:catAx>
      <c:valAx>
        <c:axId val="14989171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49890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x-none"/>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Sheet1!$A$2:$A$3</c:f>
              <c:strCache>
                <c:ptCount val="2"/>
                <c:pt idx="0">
                  <c:v>Married</c:v>
                </c:pt>
                <c:pt idx="1">
                  <c:v>Single</c:v>
                </c:pt>
              </c:strCache>
            </c:strRef>
          </c:cat>
          <c:val>
            <c:numRef>
              <c:f>Sheet1!$B$2:$B$3</c:f>
              <c:numCache>
                <c:formatCode>0.00%</c:formatCode>
                <c:ptCount val="2"/>
                <c:pt idx="0">
                  <c:v>0.3860000000000019</c:v>
                </c:pt>
                <c:pt idx="1">
                  <c:v>0.61400000000000265</c:v>
                </c:pt>
              </c:numCache>
            </c:numRef>
          </c:val>
          <c:extLst>
            <c:ext xmlns:c16="http://schemas.microsoft.com/office/drawing/2014/chart" uri="{C3380CC4-5D6E-409C-BE32-E72D297353CC}">
              <c16:uniqueId val="{00000000-2586-2C4C-8E4B-8F47BDD9968F}"/>
            </c:ext>
          </c:extLst>
        </c:ser>
        <c:dLbls>
          <c:showLegendKey val="0"/>
          <c:showVal val="0"/>
          <c:showCatName val="0"/>
          <c:showSerName val="0"/>
          <c:showPercent val="0"/>
          <c:showBubbleSize val="0"/>
        </c:dLbls>
        <c:gapWidth val="219"/>
        <c:overlap val="-27"/>
        <c:axId val="150148608"/>
        <c:axId val="150150144"/>
      </c:barChart>
      <c:catAx>
        <c:axId val="150148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50150144"/>
        <c:crosses val="autoZero"/>
        <c:auto val="1"/>
        <c:lblAlgn val="ctr"/>
        <c:lblOffset val="100"/>
        <c:noMultiLvlLbl val="0"/>
      </c:catAx>
      <c:valAx>
        <c:axId val="1501501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endParaRPr lang="en-US"/>
          </a:p>
        </c:txPr>
        <c:crossAx val="1501486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x-none"/>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Lbls>
            <c:spPr>
              <a:noFill/>
              <a:ln>
                <a:noFill/>
              </a:ln>
              <a:effectLst/>
            </c:spPr>
            <c:txPr>
              <a:bodyPr rot="0" spcFirstLastPara="0" vertOverflow="ellipsis" vert="horz" wrap="square" lIns="38100" tIns="19050" rIns="38100" bIns="19050" anchor="ctr" anchorCtr="1"/>
              <a:lstStyle/>
              <a:p>
                <a:pPr>
                  <a:defRPr lang="x-none" sz="1000" kern="1200">
                    <a:solidFill>
                      <a:schemeClr val="tx1"/>
                    </a:solidFill>
                    <a:latin typeface="+mn-lt"/>
                    <a:ea typeface="+mn-ea"/>
                    <a:cs typeface="+mn-cs"/>
                  </a:defRPr>
                </a:pPr>
                <a:endParaRPr lang="en-US"/>
              </a:p>
            </c:txPr>
            <c:dLblPos val="bestFit"/>
            <c:showLegendKey val="0"/>
            <c:showVal val="0"/>
            <c:showCatName val="0"/>
            <c:showSerName val="0"/>
            <c:showPercent val="1"/>
            <c:showBubbleSize val="0"/>
            <c:showLeaderLines val="1"/>
            <c:extLst>
              <c:ext xmlns:c15="http://schemas.microsoft.com/office/drawing/2012/chart" uri="{CE6537A1-D6FC-4f65-9D91-7224C49458BB}"/>
            </c:extLst>
          </c:dLbls>
          <c:cat>
            <c:strRef>
              <c:f>Sheet1!$A$2:$A$5</c:f>
              <c:strCache>
                <c:ptCount val="4"/>
                <c:pt idx="0">
                  <c:v>Lab Scientist</c:v>
                </c:pt>
                <c:pt idx="1">
                  <c:v>Waste handlers</c:v>
                </c:pt>
                <c:pt idx="2">
                  <c:v>Nurses</c:v>
                </c:pt>
                <c:pt idx="3">
                  <c:v>Doctors</c:v>
                </c:pt>
              </c:strCache>
            </c:strRef>
          </c:cat>
          <c:val>
            <c:numRef>
              <c:f>Sheet1!$B$2:$B$5</c:f>
              <c:numCache>
                <c:formatCode>General</c:formatCode>
                <c:ptCount val="4"/>
                <c:pt idx="0">
                  <c:v>15.7</c:v>
                </c:pt>
                <c:pt idx="1">
                  <c:v>15.7</c:v>
                </c:pt>
                <c:pt idx="2">
                  <c:v>34.300000000000004</c:v>
                </c:pt>
                <c:pt idx="3">
                  <c:v>34.300000000000004</c:v>
                </c:pt>
              </c:numCache>
            </c:numRef>
          </c:val>
          <c:extLst>
            <c:ext xmlns:c16="http://schemas.microsoft.com/office/drawing/2014/chart" uri="{C3380CC4-5D6E-409C-BE32-E72D297353CC}">
              <c16:uniqueId val="{00000004-1C5A-6948-95F7-47EBD7476441}"/>
            </c:ext>
          </c:extLst>
        </c:ser>
        <c:dLbls>
          <c:showLegendKey val="0"/>
          <c:showVal val="0"/>
          <c:showCatName val="0"/>
          <c:showSerName val="0"/>
          <c:showPercent val="1"/>
          <c:showBubbleSize val="0"/>
          <c:showLeaderLines val="1"/>
        </c:dLbls>
        <c:firstSliceAng val="0"/>
      </c:pieChart>
    </c:plotArea>
    <c:plotVisOnly val="1"/>
    <c:dispBlanksAs val="zero"/>
    <c:showDLblsOverMax val="0"/>
  </c:chart>
  <c:spPr>
    <a:ln w="9525" cap="flat" cmpd="sng" algn="ctr">
      <a:noFill/>
      <a:prstDash val="solid"/>
      <a:round/>
    </a:ln>
  </c:spPr>
  <c:txPr>
    <a:bodyPr/>
    <a:lstStyle/>
    <a:p>
      <a:pPr>
        <a:defRPr lang="x-none"/>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13F48-D76E-46A0-ABF7-0B4FC5905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1345</TotalTime>
  <Pages>17</Pages>
  <Words>5850</Words>
  <Characters>33349</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2026_AJRMMS_2644</vt:lpstr>
    </vt:vector>
  </TitlesOfParts>
  <Company/>
  <LinksUpToDate>false</LinksUpToDate>
  <CharactersWithSpaces>39121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2026_AJRMMS_2644</dc:title>
  <dc:creator>HP</dc:creator>
  <cp:lastModifiedBy>Editor-90</cp:lastModifiedBy>
  <cp:revision>181</cp:revision>
  <dcterms:created xsi:type="dcterms:W3CDTF">2026-02-07T13:35:00Z</dcterms:created>
  <dcterms:modified xsi:type="dcterms:W3CDTF">2026-06-26T06:10:00Z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b06f002c-93cb-47f4-b997-f3c268c14a7b</vt:lpwstr>
  </property>
</Properties>
</file>